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styles.xml" ContentType="application/vnd.openxmlformats-officedocument.wordprocessingml.styles+xml"/>
  <Override PartName="/word/document.xml" ContentType="application/vnd.openxmlformats-officedocument.wordprocessingml.document.main+xml"/>
  <Override PartName="/word/footer304.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5.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297.xml" ContentType="application/vnd.openxmlformats-officedocument.wordprocessingml.footer+xml"/>
  <Override PartName="/word/footer313.xml" ContentType="application/vnd.openxmlformats-officedocument.wordprocessingml.footer+xml"/>
  <Override PartName="/word/footer298.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footer314.xml" ContentType="application/vnd.openxmlformats-officedocument.wordprocessingml.footer+xml"/>
  <Override PartName="/word/footer300.xml" ContentType="application/vnd.openxmlformats-officedocument.wordprocessingml.footer+xml"/>
  <Override PartName="/word/footer284.xml" ContentType="application/vnd.openxmlformats-officedocument.wordprocessingml.footer+xml"/>
  <Override PartName="/word/footer292.xml" ContentType="application/vnd.openxmlformats-officedocument.wordprocessingml.footer+xml"/>
  <Override PartName="/word/footer301.xml" ContentType="application/vnd.openxmlformats-officedocument.wordprocessingml.footer+xml"/>
  <Override PartName="/word/footer285.xml" ContentType="application/vnd.openxmlformats-officedocument.wordprocessingml.footer+xml"/>
  <Override PartName="/word/footer293.xml" ContentType="application/vnd.openxmlformats-officedocument.wordprocessingml.footer+xml"/>
  <Override PartName="/word/footer302.xml" ContentType="application/vnd.openxmlformats-officedocument.wordprocessingml.footer+xml"/>
  <Override PartName="/word/footer286.xml" ContentType="application/vnd.openxmlformats-officedocument.wordprocessingml.footer+xml"/>
  <Override PartName="/word/footer294.xml" ContentType="application/vnd.openxmlformats-officedocument.wordprocessingml.footer+xml"/>
  <Override PartName="/word/footer310.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287.xml" ContentType="application/vnd.openxmlformats-officedocument.wordprocessingml.footer+xml"/>
  <Override PartName="/word/footer296.xml" ContentType="application/vnd.openxmlformats-officedocument.wordprocessingml.footer+xml"/>
  <Override PartName="/word/footer312.xml" ContentType="application/vnd.openxmlformats-officedocument.wordprocessingml.footer+xml"/>
  <Override PartName="/word/footer305.xml" ContentType="application/vnd.openxmlformats-officedocument.wordprocessingml.footer+xml"/>
  <Override PartName="/word/footer180.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49.xml" ContentType="application/vnd.openxmlformats-officedocument.wordprocessingml.footer+xml"/>
  <Override PartName="/word/footer315.xml" ContentType="application/vnd.openxmlformats-officedocument.wordprocessingml.footer+xml"/>
  <Override PartName="/word/footer190.xml" ContentType="application/vnd.openxmlformats-officedocument.wordprocessingml.footer+xml"/>
  <Override PartName="/word/footer311.xml" ContentType="application/vnd.openxmlformats-officedocument.wordprocessingml.footer+xml"/>
  <Override PartName="/word/footer295.xml" ContentType="application/vnd.openxmlformats-officedocument.wordprocessingml.footer+xml"/>
  <Override PartName="/word/footer288.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01.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332.xml" ContentType="application/vnd.openxmlformats-officedocument.wordprocessingml.footer+xml"/>
  <Override PartName="/word/footer2.xml" ContentType="application/vnd.openxmlformats-officedocument.wordprocessingml.footer+xml"/>
  <Override PartName="/word/footer270.xml" ContentType="application/vnd.openxmlformats-officedocument.wordprocessingml.footer+xml"/>
  <Override PartName="/word/footer322.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330.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99.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89.xml" ContentType="application/vnd.openxmlformats-officedocument.wordprocessingml.footer+xml"/>
  <Override PartName="/word/footer291.xml" ContentType="application/vnd.openxmlformats-officedocument.wordprocessingml.footer+xml"/>
  <Override PartName="/word/footer290.xml" ContentType="application/vnd.openxmlformats-officedocument.wordprocessingml.footer+xml"/>
  <Override PartName="/word/footer283.xml" ContentType="application/vnd.openxmlformats-officedocument.wordprocessingml.footer+xml"/>
  <Override PartName="/word/footer282.xml" ContentType="application/vnd.openxmlformats-officedocument.wordprocessingml.footer+xml"/>
  <Override PartName="/word/footer281.xml" ContentType="application/vnd.openxmlformats-officedocument.wordprocessingml.footer+xml"/>
  <Override PartName="/word/footer280.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26.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81.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91.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52.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326.xml" ContentType="application/vnd.openxmlformats-officedocument.wordprocessingml.footer+xml"/>
  <Override PartName="/word/footer160.xml" ContentType="application/vnd.openxmlformats-officedocument.wordprocessingml.footer+xml"/>
  <Override PartName="/word/footer327.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8.xml" ContentType="application/vnd.openxmlformats-officedocument.wordprocessingml.footer+xml"/>
  <Override PartName="/word/footer32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مجموعه مقالات یادنامه آیت الله علی مشکینی جلد </w:t>
      </w:r>
      <w:r>
        <w:rPr/>
        <w:t>1</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9598_1878427129">
            <w:r>
              <w:rPr>
                <w:webHidden/>
                <w:rStyle w:val="IndexLink"/>
                <w:rtl w:val="true"/>
              </w:rPr>
              <w:t>مشخصات کتاب</w:t>
            </w:r>
            <w:r>
              <w:rPr>
                <w:rStyle w:val="IndexLink"/>
                <w:rtl w:val="true"/>
              </w:rPr>
              <w:tab/>
            </w:r>
            <w:r>
              <w:rPr>
                <w:rStyle w:val="IndexLink"/>
              </w:rPr>
              <w:t>8</w:t>
            </w:r>
          </w:hyperlink>
        </w:p>
        <w:p>
          <w:pPr>
            <w:pStyle w:val="Contents2"/>
            <w:tabs>
              <w:tab w:val="clear" w:pos="8743"/>
              <w:tab w:val="right" w:pos="9026" w:leader="dot"/>
            </w:tabs>
            <w:rPr/>
          </w:pPr>
          <w:hyperlink w:anchor="__RefHeading___Toc39600_1878427129">
            <w:r>
              <w:rPr>
                <w:webHidden/>
                <w:rStyle w:val="IndexLink"/>
                <w:rtl w:val="true"/>
              </w:rPr>
              <w:t>اشاره</w:t>
            </w:r>
            <w:r>
              <w:rPr>
                <w:rStyle w:val="IndexLink"/>
                <w:rtl w:val="true"/>
              </w:rPr>
              <w:tab/>
            </w:r>
            <w:r>
              <w:rPr>
                <w:rStyle w:val="IndexLink"/>
              </w:rPr>
              <w:t>8</w:t>
            </w:r>
          </w:hyperlink>
        </w:p>
        <w:p>
          <w:pPr>
            <w:pStyle w:val="Contents2"/>
            <w:tabs>
              <w:tab w:val="clear" w:pos="8743"/>
              <w:tab w:val="right" w:pos="9026" w:leader="dot"/>
            </w:tabs>
            <w:rPr/>
          </w:pPr>
          <w:hyperlink w:anchor="__RefHeading___Toc39602_1878427129">
            <w:r>
              <w:rPr>
                <w:webHidden/>
                <w:rStyle w:val="IndexLink"/>
                <w:rtl w:val="true"/>
              </w:rPr>
              <w:t>پیش گفتار</w:t>
            </w:r>
            <w:r>
              <w:rPr>
                <w:rStyle w:val="IndexLink"/>
                <w:rtl w:val="true"/>
              </w:rPr>
              <w:tab/>
            </w:r>
            <w:r>
              <w:rPr>
                <w:rStyle w:val="IndexLink"/>
              </w:rPr>
              <w:t>12</w:t>
            </w:r>
          </w:hyperlink>
        </w:p>
        <w:p>
          <w:pPr>
            <w:pStyle w:val="Contents2"/>
            <w:tabs>
              <w:tab w:val="clear" w:pos="8743"/>
              <w:tab w:val="right" w:pos="9026" w:leader="dot"/>
            </w:tabs>
            <w:rPr/>
          </w:pPr>
          <w:hyperlink w:anchor="__RefHeading___Toc39604_1878427129">
            <w:r>
              <w:rPr>
                <w:webHidden/>
                <w:rStyle w:val="IndexLink"/>
                <w:rtl w:val="true"/>
              </w:rPr>
              <w:t>یادداشت دبیر علمی همایش</w:t>
            </w:r>
            <w:r>
              <w:rPr>
                <w:rStyle w:val="IndexLink"/>
                <w:rtl w:val="true"/>
              </w:rPr>
              <w:tab/>
            </w:r>
            <w:r>
              <w:rPr>
                <w:rStyle w:val="IndexLink"/>
              </w:rPr>
              <w:t>13</w:t>
            </w:r>
          </w:hyperlink>
        </w:p>
        <w:p>
          <w:pPr>
            <w:pStyle w:val="Contents3"/>
            <w:tabs>
              <w:tab w:val="clear" w:pos="8459"/>
              <w:tab w:val="right" w:pos="9026" w:leader="dot"/>
            </w:tabs>
            <w:rPr/>
          </w:pPr>
          <w:hyperlink w:anchor="__RefHeading___Toc39606_1878427129">
            <w:r>
              <w:rPr>
                <w:webHidden/>
                <w:rStyle w:val="IndexLink"/>
                <w:rtl w:val="true"/>
              </w:rPr>
              <w:t>یکم</w:t>
            </w:r>
            <w:r>
              <w:rPr>
                <w:rStyle w:val="IndexLink"/>
                <w:rtl w:val="true"/>
              </w:rPr>
              <w:t xml:space="preserve">. </w:t>
            </w:r>
            <w:r>
              <w:rPr>
                <w:rStyle w:val="IndexLink"/>
                <w:rtl w:val="true"/>
              </w:rPr>
              <w:t>نگاهی اجمالی به زندگانی آیت اللّه مشکینی رحمه الله</w:t>
            </w:r>
            <w:r>
              <w:rPr>
                <w:rStyle w:val="IndexLink"/>
                <w:rtl w:val="true"/>
              </w:rPr>
              <w:tab/>
            </w:r>
            <w:r>
              <w:rPr>
                <w:rStyle w:val="IndexLink"/>
              </w:rPr>
              <w:t>13</w:t>
            </w:r>
          </w:hyperlink>
        </w:p>
        <w:p>
          <w:pPr>
            <w:pStyle w:val="Contents4"/>
            <w:tabs>
              <w:tab w:val="clear" w:pos="8176"/>
              <w:tab w:val="right" w:pos="9026" w:leader="dot"/>
            </w:tabs>
            <w:rPr/>
          </w:pPr>
          <w:hyperlink w:anchor="__RefHeading___Toc39608_1878427129">
            <w:r>
              <w:rPr>
                <w:webHidden/>
                <w:rStyle w:val="IndexLink"/>
                <w:rtl w:val="true"/>
              </w:rPr>
              <w:t>اشاره</w:t>
            </w:r>
            <w:r>
              <w:rPr>
                <w:rStyle w:val="IndexLink"/>
                <w:rtl w:val="true"/>
              </w:rPr>
              <w:tab/>
            </w:r>
            <w:r>
              <w:rPr>
                <w:rStyle w:val="IndexLink"/>
              </w:rPr>
              <w:t>13</w:t>
            </w:r>
          </w:hyperlink>
        </w:p>
        <w:p>
          <w:pPr>
            <w:pStyle w:val="Contents4"/>
            <w:tabs>
              <w:tab w:val="clear" w:pos="8176"/>
              <w:tab w:val="right" w:pos="9026" w:leader="dot"/>
            </w:tabs>
            <w:rPr/>
          </w:pPr>
          <w:hyperlink w:anchor="__RefHeading___Toc39610_1878427129">
            <w:r>
              <w:rPr>
                <w:webHidden/>
                <w:rStyle w:val="IndexLink"/>
                <w:rtl w:val="true"/>
              </w:rPr>
              <w:t>الف</w:t>
            </w:r>
            <w:r>
              <w:rPr>
                <w:rStyle w:val="IndexLink"/>
                <w:rtl w:val="true"/>
              </w:rPr>
              <w:t xml:space="preserve">. </w:t>
            </w:r>
            <w:r>
              <w:rPr>
                <w:rStyle w:val="IndexLink"/>
                <w:rtl w:val="true"/>
              </w:rPr>
              <w:t>آثار مکتوب</w:t>
            </w:r>
            <w:r>
              <w:rPr>
                <w:rStyle w:val="IndexLink"/>
                <w:rtl w:val="true"/>
              </w:rPr>
              <w:tab/>
            </w:r>
            <w:r>
              <w:rPr>
                <w:rStyle w:val="IndexLink"/>
              </w:rPr>
              <w:t>14</w:t>
            </w:r>
          </w:hyperlink>
        </w:p>
        <w:p>
          <w:pPr>
            <w:pStyle w:val="Contents4"/>
            <w:tabs>
              <w:tab w:val="clear" w:pos="8176"/>
              <w:tab w:val="right" w:pos="9026" w:leader="dot"/>
            </w:tabs>
            <w:rPr/>
          </w:pPr>
          <w:hyperlink w:anchor="__RefHeading___Toc39612_1878427129">
            <w:r>
              <w:rPr>
                <w:webHidden/>
                <w:rStyle w:val="IndexLink"/>
                <w:rtl w:val="true"/>
              </w:rPr>
              <w:t>ب</w:t>
            </w:r>
            <w:r>
              <w:rPr>
                <w:rStyle w:val="IndexLink"/>
                <w:rtl w:val="true"/>
              </w:rPr>
              <w:t xml:space="preserve">. </w:t>
            </w:r>
            <w:r>
              <w:rPr>
                <w:rStyle w:val="IndexLink"/>
                <w:rtl w:val="true"/>
              </w:rPr>
              <w:t>تدریس</w:t>
            </w:r>
            <w:r>
              <w:rPr>
                <w:rStyle w:val="IndexLink"/>
                <w:rtl w:val="true"/>
              </w:rPr>
              <w:tab/>
            </w:r>
            <w:r>
              <w:rPr>
                <w:rStyle w:val="IndexLink"/>
              </w:rPr>
              <w:t>16</w:t>
            </w:r>
          </w:hyperlink>
        </w:p>
        <w:p>
          <w:pPr>
            <w:pStyle w:val="Contents4"/>
            <w:tabs>
              <w:tab w:val="clear" w:pos="8176"/>
              <w:tab w:val="right" w:pos="9026" w:leader="dot"/>
            </w:tabs>
            <w:rPr/>
          </w:pPr>
          <w:hyperlink w:anchor="__RefHeading___Toc39614_1878427129">
            <w:r>
              <w:rPr>
                <w:webHidden/>
                <w:rStyle w:val="IndexLink"/>
                <w:rtl w:val="true"/>
              </w:rPr>
              <w:t>ج</w:t>
            </w:r>
            <w:r>
              <w:rPr>
                <w:rStyle w:val="IndexLink"/>
                <w:rtl w:val="true"/>
              </w:rPr>
              <w:t xml:space="preserve">. </w:t>
            </w:r>
            <w:r>
              <w:rPr>
                <w:rStyle w:val="IndexLink"/>
                <w:rtl w:val="true"/>
              </w:rPr>
              <w:t xml:space="preserve">فعالیت‌های اجتماعی </w:t>
            </w:r>
            <w:r>
              <w:rPr>
                <w:rStyle w:val="IndexLink"/>
                <w:rtl w:val="true"/>
              </w:rPr>
              <w:t xml:space="preserve">- </w:t>
            </w:r>
            <w:r>
              <w:rPr>
                <w:rStyle w:val="IndexLink"/>
                <w:rtl w:val="true"/>
              </w:rPr>
              <w:t>سیاسی</w:t>
            </w:r>
            <w:r>
              <w:rPr>
                <w:rStyle w:val="IndexLink"/>
                <w:rtl w:val="true"/>
              </w:rPr>
              <w:tab/>
            </w:r>
            <w:r>
              <w:rPr>
                <w:rStyle w:val="IndexLink"/>
              </w:rPr>
              <w:t>16</w:t>
            </w:r>
          </w:hyperlink>
        </w:p>
        <w:p>
          <w:pPr>
            <w:pStyle w:val="Contents4"/>
            <w:tabs>
              <w:tab w:val="clear" w:pos="8176"/>
              <w:tab w:val="right" w:pos="9026" w:leader="dot"/>
            </w:tabs>
            <w:rPr/>
          </w:pPr>
          <w:hyperlink w:anchor="__RefHeading___Toc39616_1878427129">
            <w:r>
              <w:rPr>
                <w:webHidden/>
                <w:rStyle w:val="IndexLink"/>
                <w:rtl w:val="true"/>
              </w:rPr>
              <w:t>د</w:t>
            </w:r>
            <w:r>
              <w:rPr>
                <w:rStyle w:val="IndexLink"/>
                <w:rtl w:val="true"/>
              </w:rPr>
              <w:t xml:space="preserve">. </w:t>
            </w:r>
            <w:r>
              <w:rPr>
                <w:rStyle w:val="IndexLink"/>
                <w:rtl w:val="true"/>
              </w:rPr>
              <w:t>فعالیت‌های فرهنگی</w:t>
            </w:r>
            <w:r>
              <w:rPr>
                <w:rStyle w:val="IndexLink"/>
                <w:rtl w:val="true"/>
              </w:rPr>
              <w:tab/>
            </w:r>
            <w:r>
              <w:rPr>
                <w:rStyle w:val="IndexLink"/>
              </w:rPr>
              <w:t>17</w:t>
            </w:r>
          </w:hyperlink>
        </w:p>
        <w:p>
          <w:pPr>
            <w:pStyle w:val="Contents4"/>
            <w:tabs>
              <w:tab w:val="clear" w:pos="8176"/>
              <w:tab w:val="right" w:pos="9026" w:leader="dot"/>
            </w:tabs>
            <w:rPr/>
          </w:pPr>
          <w:hyperlink w:anchor="__RefHeading___Toc39618_1878427129">
            <w:r>
              <w:rPr>
                <w:webHidden/>
                <w:rStyle w:val="IndexLink"/>
                <w:rtl w:val="true"/>
              </w:rPr>
              <w:t>ه‍</w:t>
            </w:r>
            <w:r>
              <w:rPr>
                <w:rStyle w:val="IndexLink"/>
                <w:rtl w:val="true"/>
              </w:rPr>
              <w:t xml:space="preserve">. </w:t>
            </w:r>
            <w:r>
              <w:rPr>
                <w:rStyle w:val="IndexLink"/>
                <w:rtl w:val="true"/>
              </w:rPr>
              <w:t>منصب‌ها و مسئولیت‌ها در جمهوری اسلامی ایران</w:t>
            </w:r>
            <w:r>
              <w:rPr>
                <w:rStyle w:val="IndexLink"/>
                <w:rtl w:val="true"/>
              </w:rPr>
              <w:tab/>
            </w:r>
            <w:r>
              <w:rPr>
                <w:rStyle w:val="IndexLink"/>
              </w:rPr>
              <w:t>17</w:t>
            </w:r>
          </w:hyperlink>
        </w:p>
        <w:p>
          <w:pPr>
            <w:pStyle w:val="Contents3"/>
            <w:tabs>
              <w:tab w:val="clear" w:pos="8459"/>
              <w:tab w:val="right" w:pos="9026" w:leader="dot"/>
            </w:tabs>
            <w:rPr/>
          </w:pPr>
          <w:hyperlink w:anchor="__RefHeading___Toc39620_1878427129">
            <w:r>
              <w:rPr>
                <w:webHidden/>
                <w:rStyle w:val="IndexLink"/>
                <w:rtl w:val="true"/>
              </w:rPr>
              <w:t>دوم</w:t>
            </w:r>
            <w:r>
              <w:rPr>
                <w:rStyle w:val="IndexLink"/>
                <w:rtl w:val="true"/>
              </w:rPr>
              <w:t xml:space="preserve">. </w:t>
            </w:r>
            <w:r>
              <w:rPr>
                <w:rStyle w:val="IndexLink"/>
                <w:rtl w:val="true"/>
              </w:rPr>
              <w:t>فعالیت های علمی همایش</w:t>
            </w:r>
            <w:r>
              <w:rPr>
                <w:rStyle w:val="IndexLink"/>
                <w:rtl w:val="true"/>
              </w:rPr>
              <w:tab/>
            </w:r>
            <w:r>
              <w:rPr>
                <w:rStyle w:val="IndexLink"/>
              </w:rPr>
              <w:t>17</w:t>
            </w:r>
          </w:hyperlink>
        </w:p>
        <w:p>
          <w:pPr>
            <w:pStyle w:val="Contents4"/>
            <w:tabs>
              <w:tab w:val="clear" w:pos="8176"/>
              <w:tab w:val="right" w:pos="9026" w:leader="dot"/>
            </w:tabs>
            <w:rPr/>
          </w:pPr>
          <w:hyperlink w:anchor="__RefHeading___Toc39622_1878427129">
            <w:r>
              <w:rPr>
                <w:webHidden/>
                <w:rStyle w:val="IndexLink"/>
                <w:rtl w:val="true"/>
              </w:rPr>
              <w:t>اشاره</w:t>
            </w:r>
            <w:r>
              <w:rPr>
                <w:rStyle w:val="IndexLink"/>
                <w:rtl w:val="true"/>
              </w:rPr>
              <w:tab/>
            </w:r>
            <w:r>
              <w:rPr>
                <w:rStyle w:val="IndexLink"/>
              </w:rPr>
              <w:t>17</w:t>
            </w:r>
          </w:hyperlink>
        </w:p>
        <w:p>
          <w:pPr>
            <w:pStyle w:val="Contents4"/>
            <w:tabs>
              <w:tab w:val="clear" w:pos="8176"/>
              <w:tab w:val="right" w:pos="9026" w:leader="dot"/>
            </w:tabs>
            <w:rPr/>
          </w:pPr>
          <w:hyperlink w:anchor="__RefHeading___Toc39624_1878427129">
            <w:r>
              <w:rPr>
                <w:webHidden/>
                <w:rStyle w:val="IndexLink"/>
                <w:rtl w:val="true"/>
              </w:rPr>
              <w:t>الف</w:t>
            </w:r>
            <w:r>
              <w:rPr>
                <w:rStyle w:val="IndexLink"/>
                <w:rtl w:val="true"/>
              </w:rPr>
              <w:t xml:space="preserve">. </w:t>
            </w:r>
            <w:r>
              <w:rPr>
                <w:rStyle w:val="IndexLink"/>
                <w:rtl w:val="true"/>
              </w:rPr>
              <w:t>مجموعه آثار آیت‌اللّه مشکینی</w:t>
            </w:r>
            <w:r>
              <w:rPr>
                <w:rStyle w:val="IndexLink"/>
                <w:rtl w:val="true"/>
              </w:rPr>
              <w:tab/>
            </w:r>
            <w:r>
              <w:rPr>
                <w:rStyle w:val="IndexLink"/>
              </w:rPr>
              <w:t>17</w:t>
            </w:r>
          </w:hyperlink>
        </w:p>
        <w:p>
          <w:pPr>
            <w:pStyle w:val="Contents4"/>
            <w:tabs>
              <w:tab w:val="clear" w:pos="8176"/>
              <w:tab w:val="right" w:pos="9026" w:leader="dot"/>
            </w:tabs>
            <w:rPr/>
          </w:pPr>
          <w:hyperlink w:anchor="__RefHeading___Toc39626_1878427129">
            <w:r>
              <w:rPr>
                <w:webHidden/>
                <w:rStyle w:val="IndexLink"/>
                <w:rtl w:val="true"/>
              </w:rPr>
              <w:t>ب</w:t>
            </w:r>
            <w:r>
              <w:rPr>
                <w:rStyle w:val="IndexLink"/>
                <w:rtl w:val="true"/>
              </w:rPr>
              <w:t xml:space="preserve">. </w:t>
            </w:r>
            <w:r>
              <w:rPr>
                <w:rStyle w:val="IndexLink"/>
                <w:rtl w:val="true"/>
              </w:rPr>
              <w:t>گفتارها</w:t>
            </w:r>
            <w:r>
              <w:rPr>
                <w:rStyle w:val="IndexLink"/>
                <w:rtl w:val="true"/>
              </w:rPr>
              <w:tab/>
            </w:r>
            <w:r>
              <w:rPr>
                <w:rStyle w:val="IndexLink"/>
              </w:rPr>
              <w:t>18</w:t>
            </w:r>
          </w:hyperlink>
        </w:p>
        <w:p>
          <w:pPr>
            <w:pStyle w:val="Contents4"/>
            <w:tabs>
              <w:tab w:val="clear" w:pos="8176"/>
              <w:tab w:val="right" w:pos="9026" w:leader="dot"/>
            </w:tabs>
            <w:rPr/>
          </w:pPr>
          <w:hyperlink w:anchor="__RefHeading___Toc39628_1878427129">
            <w:r>
              <w:rPr>
                <w:webHidden/>
                <w:rStyle w:val="IndexLink"/>
                <w:rtl w:val="true"/>
              </w:rPr>
              <w:t>ج</w:t>
            </w:r>
            <w:r>
              <w:rPr>
                <w:rStyle w:val="IndexLink"/>
                <w:rtl w:val="true"/>
              </w:rPr>
              <w:t xml:space="preserve">. </w:t>
            </w:r>
            <w:r>
              <w:rPr>
                <w:rStyle w:val="IndexLink"/>
                <w:rtl w:val="true"/>
              </w:rPr>
              <w:t>یادنامۀ آیت‌اللّه مشکینی</w:t>
            </w:r>
            <w:r>
              <w:rPr>
                <w:rStyle w:val="IndexLink"/>
                <w:rtl w:val="true"/>
              </w:rPr>
              <w:tab/>
            </w:r>
            <w:r>
              <w:rPr>
                <w:rStyle w:val="IndexLink"/>
              </w:rPr>
              <w:t>20</w:t>
            </w:r>
          </w:hyperlink>
        </w:p>
        <w:p>
          <w:pPr>
            <w:pStyle w:val="Contents4"/>
            <w:tabs>
              <w:tab w:val="clear" w:pos="8176"/>
              <w:tab w:val="right" w:pos="9026" w:leader="dot"/>
            </w:tabs>
            <w:rPr/>
          </w:pPr>
          <w:hyperlink w:anchor="__RefHeading___Toc39630_1878427129">
            <w:r>
              <w:rPr>
                <w:webHidden/>
                <w:rStyle w:val="IndexLink"/>
                <w:rtl w:val="true"/>
              </w:rPr>
              <w:t>د</w:t>
            </w:r>
            <w:r>
              <w:rPr>
                <w:rStyle w:val="IndexLink"/>
                <w:rtl w:val="true"/>
              </w:rPr>
              <w:t xml:space="preserve">. </w:t>
            </w:r>
            <w:r>
              <w:rPr>
                <w:rStyle w:val="IndexLink"/>
                <w:rtl w:val="true"/>
              </w:rPr>
              <w:t>برنامه‌های دیگر</w:t>
            </w:r>
            <w:r>
              <w:rPr>
                <w:rStyle w:val="IndexLink"/>
                <w:rtl w:val="true"/>
              </w:rPr>
              <w:tab/>
            </w:r>
            <w:r>
              <w:rPr>
                <w:rStyle w:val="IndexLink"/>
              </w:rPr>
              <w:t>20</w:t>
            </w:r>
          </w:hyperlink>
        </w:p>
        <w:p>
          <w:pPr>
            <w:pStyle w:val="Contents3"/>
            <w:tabs>
              <w:tab w:val="clear" w:pos="8459"/>
              <w:tab w:val="right" w:pos="9026" w:leader="dot"/>
            </w:tabs>
            <w:rPr/>
          </w:pPr>
          <w:hyperlink w:anchor="__RefHeading___Toc39632_1878427129">
            <w:r>
              <w:rPr>
                <w:webHidden/>
                <w:rStyle w:val="IndexLink"/>
                <w:rtl w:val="true"/>
              </w:rPr>
              <w:t>سوم</w:t>
            </w:r>
            <w:r>
              <w:rPr>
                <w:rStyle w:val="IndexLink"/>
                <w:rtl w:val="true"/>
              </w:rPr>
              <w:t xml:space="preserve">. </w:t>
            </w:r>
            <w:r>
              <w:rPr>
                <w:rStyle w:val="IndexLink"/>
                <w:rtl w:val="true"/>
              </w:rPr>
              <w:t>دربارۀ مجموعه آثار</w:t>
            </w:r>
            <w:r>
              <w:rPr>
                <w:rStyle w:val="IndexLink"/>
                <w:rtl w:val="true"/>
              </w:rPr>
              <w:tab/>
            </w:r>
            <w:r>
              <w:rPr>
                <w:rStyle w:val="IndexLink"/>
              </w:rPr>
              <w:t>20</w:t>
            </w:r>
          </w:hyperlink>
        </w:p>
        <w:p>
          <w:pPr>
            <w:pStyle w:val="Contents3"/>
            <w:tabs>
              <w:tab w:val="clear" w:pos="8459"/>
              <w:tab w:val="right" w:pos="9026" w:leader="dot"/>
            </w:tabs>
            <w:rPr/>
          </w:pPr>
          <w:hyperlink w:anchor="__RefHeading___Toc39634_1878427129">
            <w:r>
              <w:rPr>
                <w:webHidden/>
                <w:rStyle w:val="IndexLink"/>
                <w:rtl w:val="true"/>
              </w:rPr>
              <w:t>چهارم</w:t>
            </w:r>
            <w:r>
              <w:rPr>
                <w:rStyle w:val="IndexLink"/>
                <w:rtl w:val="true"/>
              </w:rPr>
              <w:t xml:space="preserve">. </w:t>
            </w:r>
            <w:r>
              <w:rPr>
                <w:rStyle w:val="IndexLink"/>
                <w:rtl w:val="true"/>
              </w:rPr>
              <w:t>در بارۀ این اثر</w:t>
            </w:r>
            <w:r>
              <w:rPr>
                <w:rStyle w:val="IndexLink"/>
                <w:rtl w:val="true"/>
              </w:rPr>
              <w:tab/>
            </w:r>
            <w:r>
              <w:rPr>
                <w:rStyle w:val="IndexLink"/>
              </w:rPr>
              <w:t>21</w:t>
            </w:r>
          </w:hyperlink>
        </w:p>
        <w:p>
          <w:pPr>
            <w:pStyle w:val="Contents3"/>
            <w:tabs>
              <w:tab w:val="clear" w:pos="8459"/>
              <w:tab w:val="right" w:pos="9026" w:leader="dot"/>
            </w:tabs>
            <w:rPr/>
          </w:pPr>
          <w:hyperlink w:anchor="__RefHeading___Toc39636_1878427129">
            <w:r>
              <w:rPr>
                <w:webHidden/>
                <w:rStyle w:val="IndexLink"/>
                <w:rtl w:val="true"/>
              </w:rPr>
              <w:t>پنجم</w:t>
            </w:r>
            <w:r>
              <w:rPr>
                <w:rStyle w:val="IndexLink"/>
                <w:rtl w:val="true"/>
              </w:rPr>
              <w:t xml:space="preserve">. </w:t>
            </w:r>
            <w:r>
              <w:rPr>
                <w:rStyle w:val="IndexLink"/>
                <w:rtl w:val="true"/>
              </w:rPr>
              <w:t>تقدیر و سپاس</w:t>
            </w:r>
            <w:r>
              <w:rPr>
                <w:rStyle w:val="IndexLink"/>
                <w:rtl w:val="true"/>
              </w:rPr>
              <w:tab/>
            </w:r>
            <w:r>
              <w:rPr>
                <w:rStyle w:val="IndexLink"/>
              </w:rPr>
              <w:t>22</w:t>
            </w:r>
          </w:hyperlink>
        </w:p>
        <w:p>
          <w:pPr>
            <w:pStyle w:val="Contents2"/>
            <w:tabs>
              <w:tab w:val="clear" w:pos="8743"/>
              <w:tab w:val="right" w:pos="9026" w:leader="dot"/>
            </w:tabs>
            <w:rPr/>
          </w:pPr>
          <w:hyperlink w:anchor="__RefHeading___Toc39638_1878427129">
            <w:r>
              <w:rPr>
                <w:webHidden/>
                <w:rStyle w:val="IndexLink"/>
                <w:rtl w:val="true"/>
              </w:rPr>
              <w:t>تفسیر هدایت</w:t>
            </w:r>
            <w:r>
              <w:rPr>
                <w:rStyle w:val="IndexLink"/>
                <w:rtl w:val="true"/>
              </w:rPr>
              <w:t xml:space="preserve">: </w:t>
            </w:r>
            <w:r>
              <w:rPr>
                <w:rStyle w:val="IndexLink"/>
                <w:rtl w:val="true"/>
              </w:rPr>
              <w:t>گاهی گذرا به تفسیر روان، نگاشته آیت اللّه مشکینی</w:t>
            </w:r>
            <w:r>
              <w:rPr>
                <w:rStyle w:val="IndexLink"/>
                <w:rtl w:val="true"/>
              </w:rPr>
              <w:tab/>
            </w:r>
            <w:r>
              <w:rPr>
                <w:rStyle w:val="IndexLink"/>
              </w:rPr>
              <w:t>23</w:t>
            </w:r>
          </w:hyperlink>
        </w:p>
        <w:p>
          <w:pPr>
            <w:pStyle w:val="Contents3"/>
            <w:tabs>
              <w:tab w:val="clear" w:pos="8459"/>
              <w:tab w:val="right" w:pos="9026" w:leader="dot"/>
            </w:tabs>
            <w:rPr/>
          </w:pPr>
          <w:hyperlink w:anchor="__RefHeading___Toc39640_1878427129">
            <w:r>
              <w:rPr>
                <w:webHidden/>
                <w:rStyle w:val="IndexLink"/>
                <w:rtl w:val="true"/>
              </w:rPr>
              <w:t>اشاره</w:t>
            </w:r>
            <w:r>
              <w:rPr>
                <w:rStyle w:val="IndexLink"/>
                <w:rtl w:val="true"/>
              </w:rPr>
              <w:tab/>
            </w:r>
            <w:r>
              <w:rPr>
                <w:rStyle w:val="IndexLink"/>
              </w:rPr>
              <w:t>23</w:t>
            </w:r>
          </w:hyperlink>
        </w:p>
        <w:p>
          <w:pPr>
            <w:pStyle w:val="Contents3"/>
            <w:tabs>
              <w:tab w:val="clear" w:pos="8459"/>
              <w:tab w:val="right" w:pos="9026" w:leader="dot"/>
            </w:tabs>
            <w:rPr/>
          </w:pPr>
          <w:hyperlink w:anchor="__RefHeading___Toc39642_1878427129">
            <w:r>
              <w:rPr>
                <w:webHidden/>
                <w:rStyle w:val="IndexLink"/>
                <w:rtl w:val="true"/>
              </w:rPr>
              <w:t>چکیده</w:t>
            </w:r>
            <w:r>
              <w:rPr>
                <w:rStyle w:val="IndexLink"/>
                <w:rtl w:val="true"/>
              </w:rPr>
              <w:tab/>
            </w:r>
            <w:r>
              <w:rPr>
                <w:rStyle w:val="IndexLink"/>
              </w:rPr>
              <w:t>23</w:t>
            </w:r>
          </w:hyperlink>
        </w:p>
        <w:p>
          <w:pPr>
            <w:pStyle w:val="Contents3"/>
            <w:tabs>
              <w:tab w:val="clear" w:pos="8459"/>
              <w:tab w:val="right" w:pos="9026" w:leader="dot"/>
            </w:tabs>
            <w:rPr/>
          </w:pPr>
          <w:hyperlink w:anchor="__RefHeading___Toc39644_1878427129">
            <w:r>
              <w:rPr>
                <w:webHidden/>
                <w:rStyle w:val="IndexLink"/>
                <w:rtl w:val="true"/>
              </w:rPr>
              <w:t>اشاره</w:t>
            </w:r>
            <w:r>
              <w:rPr>
                <w:rStyle w:val="IndexLink"/>
                <w:rtl w:val="true"/>
              </w:rPr>
              <w:tab/>
            </w:r>
            <w:r>
              <w:rPr>
                <w:rStyle w:val="IndexLink"/>
              </w:rPr>
              <w:t>23</w:t>
            </w:r>
          </w:hyperlink>
        </w:p>
        <w:p>
          <w:pPr>
            <w:pStyle w:val="Contents3"/>
            <w:tabs>
              <w:tab w:val="clear" w:pos="8459"/>
              <w:tab w:val="right" w:pos="9026" w:leader="dot"/>
            </w:tabs>
            <w:rPr/>
          </w:pPr>
          <w:hyperlink w:anchor="__RefHeading___Toc39646_1878427129">
            <w:r>
              <w:rPr>
                <w:webHidden/>
                <w:rStyle w:val="IndexLink"/>
                <w:rtl w:val="true"/>
              </w:rPr>
              <w:t>مقدمه</w:t>
            </w:r>
            <w:r>
              <w:rPr>
                <w:rStyle w:val="IndexLink"/>
                <w:rtl w:val="true"/>
              </w:rPr>
              <w:tab/>
            </w:r>
            <w:r>
              <w:rPr>
                <w:rStyle w:val="IndexLink"/>
              </w:rPr>
              <w:t>26</w:t>
            </w:r>
          </w:hyperlink>
        </w:p>
        <w:p>
          <w:pPr>
            <w:pStyle w:val="Contents3"/>
            <w:tabs>
              <w:tab w:val="clear" w:pos="8459"/>
              <w:tab w:val="right" w:pos="9026" w:leader="dot"/>
            </w:tabs>
            <w:rPr/>
          </w:pPr>
          <w:hyperlink w:anchor="__RefHeading___Toc39648_1878427129">
            <w:r>
              <w:rPr>
                <w:webHidden/>
                <w:rStyle w:val="IndexLink"/>
                <w:rtl w:val="true"/>
              </w:rPr>
              <w:t>سبک نگارش</w:t>
            </w:r>
            <w:r>
              <w:rPr>
                <w:rStyle w:val="IndexLink"/>
                <w:rtl w:val="true"/>
              </w:rPr>
              <w:tab/>
            </w:r>
            <w:r>
              <w:rPr>
                <w:rStyle w:val="IndexLink"/>
              </w:rPr>
              <w:t>27</w:t>
            </w:r>
          </w:hyperlink>
        </w:p>
        <w:p>
          <w:pPr>
            <w:pStyle w:val="Contents3"/>
            <w:tabs>
              <w:tab w:val="clear" w:pos="8459"/>
              <w:tab w:val="right" w:pos="9026" w:leader="dot"/>
            </w:tabs>
            <w:rPr/>
          </w:pPr>
          <w:hyperlink w:anchor="__RefHeading___Toc39650_1878427129">
            <w:r>
              <w:rPr>
                <w:webHidden/>
                <w:rStyle w:val="IndexLink"/>
                <w:rtl w:val="true"/>
              </w:rPr>
              <w:t>تفسیر قرآن به قرآن</w:t>
            </w:r>
            <w:r>
              <w:rPr>
                <w:rStyle w:val="IndexLink"/>
                <w:rtl w:val="true"/>
              </w:rPr>
              <w:tab/>
            </w:r>
            <w:r>
              <w:rPr>
                <w:rStyle w:val="IndexLink"/>
              </w:rPr>
              <w:t>28</w:t>
            </w:r>
          </w:hyperlink>
        </w:p>
        <w:p>
          <w:pPr>
            <w:pStyle w:val="Contents3"/>
            <w:tabs>
              <w:tab w:val="clear" w:pos="8459"/>
              <w:tab w:val="right" w:pos="9026" w:leader="dot"/>
            </w:tabs>
            <w:rPr/>
          </w:pPr>
          <w:hyperlink w:anchor="__RefHeading___Toc39652_1878427129">
            <w:r>
              <w:rPr>
                <w:webHidden/>
                <w:rStyle w:val="IndexLink"/>
                <w:rtl w:val="true"/>
              </w:rPr>
              <w:t>تأمل در فضای آیات</w:t>
            </w:r>
            <w:r>
              <w:rPr>
                <w:rStyle w:val="IndexLink"/>
                <w:rtl w:val="true"/>
              </w:rPr>
              <w:tab/>
            </w:r>
            <w:r>
              <w:rPr>
                <w:rStyle w:val="IndexLink"/>
              </w:rPr>
              <w:t>33</w:t>
            </w:r>
          </w:hyperlink>
        </w:p>
        <w:p>
          <w:pPr>
            <w:pStyle w:val="Contents3"/>
            <w:tabs>
              <w:tab w:val="clear" w:pos="8459"/>
              <w:tab w:val="right" w:pos="9026" w:leader="dot"/>
            </w:tabs>
            <w:rPr/>
          </w:pPr>
          <w:hyperlink w:anchor="__RefHeading___Toc39654_1878427129">
            <w:r>
              <w:rPr>
                <w:webHidden/>
                <w:rStyle w:val="IndexLink"/>
                <w:rtl w:val="true"/>
              </w:rPr>
              <w:t>تأمل ها، هدایت ها</w:t>
            </w:r>
            <w:r>
              <w:rPr>
                <w:rStyle w:val="IndexLink"/>
                <w:rtl w:val="true"/>
              </w:rPr>
              <w:tab/>
            </w:r>
            <w:r>
              <w:rPr>
                <w:rStyle w:val="IndexLink"/>
              </w:rPr>
              <w:t>37</w:t>
            </w:r>
          </w:hyperlink>
        </w:p>
        <w:p>
          <w:pPr>
            <w:pStyle w:val="Contents3"/>
            <w:tabs>
              <w:tab w:val="clear" w:pos="8459"/>
              <w:tab w:val="right" w:pos="9026" w:leader="dot"/>
            </w:tabs>
            <w:rPr/>
          </w:pPr>
          <w:hyperlink w:anchor="__RefHeading___Toc39656_1878427129">
            <w:r>
              <w:rPr>
                <w:webHidden/>
                <w:rStyle w:val="IndexLink"/>
                <w:rtl w:val="true"/>
              </w:rPr>
              <w:t>توسعۀ معنایی</w:t>
            </w:r>
            <w:r>
              <w:rPr>
                <w:rStyle w:val="IndexLink"/>
                <w:rtl w:val="true"/>
              </w:rPr>
              <w:tab/>
            </w:r>
            <w:r>
              <w:rPr>
                <w:rStyle w:val="IndexLink"/>
              </w:rPr>
              <w:t>41</w:t>
            </w:r>
          </w:hyperlink>
        </w:p>
        <w:p>
          <w:pPr>
            <w:pStyle w:val="Contents3"/>
            <w:tabs>
              <w:tab w:val="clear" w:pos="8459"/>
              <w:tab w:val="right" w:pos="9026" w:leader="dot"/>
            </w:tabs>
            <w:rPr/>
          </w:pPr>
          <w:hyperlink w:anchor="__RefHeading___Toc39658_1878427129">
            <w:r>
              <w:rPr>
                <w:webHidden/>
                <w:rStyle w:val="IndexLink"/>
                <w:rtl w:val="true"/>
              </w:rPr>
              <w:t>پیوند پایان آیات با جملات آیه</w:t>
            </w:r>
            <w:r>
              <w:rPr>
                <w:rStyle w:val="IndexLink"/>
                <w:rtl w:val="true"/>
              </w:rPr>
              <w:tab/>
            </w:r>
            <w:r>
              <w:rPr>
                <w:rStyle w:val="IndexLink"/>
              </w:rPr>
              <w:t>45</w:t>
            </w:r>
          </w:hyperlink>
        </w:p>
        <w:p>
          <w:pPr>
            <w:pStyle w:val="Contents3"/>
            <w:tabs>
              <w:tab w:val="clear" w:pos="8459"/>
              <w:tab w:val="right" w:pos="9026" w:leader="dot"/>
            </w:tabs>
            <w:rPr/>
          </w:pPr>
          <w:hyperlink w:anchor="__RefHeading___Toc39660_1878427129">
            <w:r>
              <w:rPr>
                <w:webHidden/>
                <w:rStyle w:val="IndexLink"/>
                <w:rtl w:val="true"/>
              </w:rPr>
              <w:t>تفسیر روان و روایات</w:t>
            </w:r>
            <w:r>
              <w:rPr>
                <w:rStyle w:val="IndexLink"/>
                <w:rtl w:val="true"/>
              </w:rPr>
              <w:tab/>
            </w:r>
            <w:r>
              <w:rPr>
                <w:rStyle w:val="IndexLink"/>
              </w:rPr>
              <w:t>47</w:t>
            </w:r>
          </w:hyperlink>
        </w:p>
        <w:p>
          <w:pPr>
            <w:pStyle w:val="Contents3"/>
            <w:tabs>
              <w:tab w:val="clear" w:pos="8459"/>
              <w:tab w:val="right" w:pos="9026" w:leader="dot"/>
            </w:tabs>
            <w:rPr/>
          </w:pPr>
          <w:hyperlink w:anchor="__RefHeading___Toc39662_1878427129">
            <w:r>
              <w:rPr>
                <w:webHidden/>
                <w:rStyle w:val="IndexLink"/>
                <w:rtl w:val="true"/>
              </w:rPr>
              <w:t>تبیین موضوعات در پرتو آیات</w:t>
            </w:r>
            <w:r>
              <w:rPr>
                <w:rStyle w:val="IndexLink"/>
                <w:rtl w:val="true"/>
              </w:rPr>
              <w:tab/>
            </w:r>
            <w:r>
              <w:rPr>
                <w:rStyle w:val="IndexLink"/>
              </w:rPr>
              <w:t>51</w:t>
            </w:r>
          </w:hyperlink>
        </w:p>
        <w:p>
          <w:pPr>
            <w:pStyle w:val="Contents3"/>
            <w:tabs>
              <w:tab w:val="clear" w:pos="8459"/>
              <w:tab w:val="right" w:pos="9026" w:leader="dot"/>
            </w:tabs>
            <w:rPr/>
          </w:pPr>
          <w:hyperlink w:anchor="__RefHeading___Toc39664_1878427129">
            <w:r>
              <w:rPr>
                <w:webHidden/>
                <w:rStyle w:val="IndexLink"/>
                <w:rtl w:val="true"/>
              </w:rPr>
              <w:t>احتیاط و حزم اندیشی</w:t>
            </w:r>
            <w:r>
              <w:rPr>
                <w:rStyle w:val="IndexLink"/>
                <w:rtl w:val="true"/>
              </w:rPr>
              <w:tab/>
            </w:r>
            <w:r>
              <w:rPr>
                <w:rStyle w:val="IndexLink"/>
              </w:rPr>
              <w:t>54</w:t>
            </w:r>
          </w:hyperlink>
        </w:p>
        <w:p>
          <w:pPr>
            <w:pStyle w:val="Contents3"/>
            <w:tabs>
              <w:tab w:val="clear" w:pos="8459"/>
              <w:tab w:val="right" w:pos="9026" w:leader="dot"/>
            </w:tabs>
            <w:rPr/>
          </w:pPr>
          <w:hyperlink w:anchor="__RefHeading___Toc39666_1878427129">
            <w:r>
              <w:rPr>
                <w:webHidden/>
                <w:rStyle w:val="IndexLink"/>
                <w:rtl w:val="true"/>
              </w:rPr>
              <w:t>تکملۀ آیت اللّه استادی</w:t>
            </w:r>
            <w:r>
              <w:rPr>
                <w:rStyle w:val="IndexLink"/>
                <w:rtl w:val="true"/>
              </w:rPr>
              <w:tab/>
            </w:r>
            <w:r>
              <w:rPr>
                <w:rStyle w:val="IndexLink"/>
              </w:rPr>
              <w:t>55</w:t>
            </w:r>
          </w:hyperlink>
        </w:p>
        <w:p>
          <w:pPr>
            <w:pStyle w:val="Contents3"/>
            <w:tabs>
              <w:tab w:val="clear" w:pos="8459"/>
              <w:tab w:val="right" w:pos="9026" w:leader="dot"/>
            </w:tabs>
            <w:rPr/>
          </w:pPr>
          <w:hyperlink w:anchor="__RefHeading___Toc39668_1878427129">
            <w:r>
              <w:rPr>
                <w:webHidden/>
                <w:rStyle w:val="IndexLink"/>
                <w:rtl w:val="true"/>
              </w:rPr>
              <w:t>کتاب نامه</w:t>
            </w:r>
            <w:r>
              <w:rPr>
                <w:rStyle w:val="IndexLink"/>
                <w:rtl w:val="true"/>
              </w:rPr>
              <w:tab/>
            </w:r>
            <w:r>
              <w:rPr>
                <w:rStyle w:val="IndexLink"/>
              </w:rPr>
              <w:t>58</w:t>
            </w:r>
          </w:hyperlink>
        </w:p>
        <w:p>
          <w:pPr>
            <w:pStyle w:val="Contents2"/>
            <w:tabs>
              <w:tab w:val="clear" w:pos="8743"/>
              <w:tab w:val="right" w:pos="9026" w:leader="dot"/>
            </w:tabs>
            <w:rPr/>
          </w:pPr>
          <w:hyperlink w:anchor="__RefHeading___Toc39670_1878427129">
            <w:r>
              <w:rPr>
                <w:webHidden/>
                <w:rStyle w:val="IndexLink"/>
                <w:rtl w:val="true"/>
              </w:rPr>
              <w:t>روش شناسی تربیتی تفسیر آیت اللّه مشکینی</w:t>
            </w:r>
            <w:r>
              <w:rPr>
                <w:rStyle w:val="IndexLink"/>
                <w:rtl w:val="true"/>
              </w:rPr>
              <w:tab/>
            </w:r>
            <w:r>
              <w:rPr>
                <w:rStyle w:val="IndexLink"/>
              </w:rPr>
              <w:t>59</w:t>
            </w:r>
          </w:hyperlink>
        </w:p>
        <w:p>
          <w:pPr>
            <w:pStyle w:val="Contents3"/>
            <w:tabs>
              <w:tab w:val="clear" w:pos="8459"/>
              <w:tab w:val="right" w:pos="9026" w:leader="dot"/>
            </w:tabs>
            <w:rPr/>
          </w:pPr>
          <w:hyperlink w:anchor="__RefHeading___Toc39672_1878427129">
            <w:r>
              <w:rPr>
                <w:webHidden/>
                <w:rStyle w:val="IndexLink"/>
                <w:rtl w:val="true"/>
              </w:rPr>
              <w:t>اشاره</w:t>
            </w:r>
            <w:r>
              <w:rPr>
                <w:rStyle w:val="IndexLink"/>
                <w:rtl w:val="true"/>
              </w:rPr>
              <w:tab/>
            </w:r>
            <w:r>
              <w:rPr>
                <w:rStyle w:val="IndexLink"/>
              </w:rPr>
              <w:t>59</w:t>
            </w:r>
          </w:hyperlink>
        </w:p>
        <w:p>
          <w:pPr>
            <w:pStyle w:val="Contents3"/>
            <w:tabs>
              <w:tab w:val="clear" w:pos="8459"/>
              <w:tab w:val="right" w:pos="9026" w:leader="dot"/>
            </w:tabs>
            <w:rPr/>
          </w:pPr>
          <w:hyperlink w:anchor="__RefHeading___Toc39674_1878427129">
            <w:r>
              <w:rPr>
                <w:webHidden/>
                <w:rStyle w:val="IndexLink"/>
                <w:rtl w:val="true"/>
              </w:rPr>
              <w:t>چکیده</w:t>
            </w:r>
            <w:r>
              <w:rPr>
                <w:rStyle w:val="IndexLink"/>
                <w:rtl w:val="true"/>
              </w:rPr>
              <w:tab/>
            </w:r>
            <w:r>
              <w:rPr>
                <w:rStyle w:val="IndexLink"/>
              </w:rPr>
              <w:t>59</w:t>
            </w:r>
          </w:hyperlink>
        </w:p>
        <w:p>
          <w:pPr>
            <w:pStyle w:val="Contents3"/>
            <w:tabs>
              <w:tab w:val="clear" w:pos="8459"/>
              <w:tab w:val="right" w:pos="9026" w:leader="dot"/>
            </w:tabs>
            <w:rPr/>
          </w:pPr>
          <w:hyperlink w:anchor="__RefHeading___Toc39676_1878427129">
            <w:r>
              <w:rPr>
                <w:webHidden/>
                <w:rStyle w:val="IndexLink"/>
                <w:rtl w:val="true"/>
              </w:rPr>
              <w:t>مقدمه</w:t>
            </w:r>
            <w:r>
              <w:rPr>
                <w:rStyle w:val="IndexLink"/>
                <w:rtl w:val="true"/>
              </w:rPr>
              <w:tab/>
            </w:r>
            <w:r>
              <w:rPr>
                <w:rStyle w:val="IndexLink"/>
              </w:rPr>
              <w:t>60</w:t>
            </w:r>
          </w:hyperlink>
        </w:p>
        <w:p>
          <w:pPr>
            <w:pStyle w:val="Contents3"/>
            <w:tabs>
              <w:tab w:val="clear" w:pos="8459"/>
              <w:tab w:val="right" w:pos="9026" w:leader="dot"/>
            </w:tabs>
            <w:rPr/>
          </w:pPr>
          <w:hyperlink w:anchor="__RefHeading___Toc39678_1878427129">
            <w:r>
              <w:rPr>
                <w:webHidden/>
                <w:rStyle w:val="IndexLink"/>
                <w:rtl w:val="true"/>
              </w:rPr>
              <w:t>تعریف گرایش</w:t>
            </w:r>
            <w:r>
              <w:rPr>
                <w:rStyle w:val="IndexLink"/>
                <w:rtl w:val="true"/>
              </w:rPr>
              <w:tab/>
            </w:r>
            <w:r>
              <w:rPr>
                <w:rStyle w:val="IndexLink"/>
              </w:rPr>
              <w:t>60</w:t>
            </w:r>
          </w:hyperlink>
        </w:p>
        <w:p>
          <w:pPr>
            <w:pStyle w:val="Contents3"/>
            <w:tabs>
              <w:tab w:val="clear" w:pos="8459"/>
              <w:tab w:val="right" w:pos="9026" w:leader="dot"/>
            </w:tabs>
            <w:rPr/>
          </w:pPr>
          <w:hyperlink w:anchor="__RefHeading___Toc39680_1878427129">
            <w:r>
              <w:rPr>
                <w:webHidden/>
                <w:rStyle w:val="IndexLink"/>
                <w:rtl w:val="true"/>
              </w:rPr>
              <w:t>آشنایی با آثار قرآنی</w:t>
            </w:r>
            <w:r>
              <w:rPr>
                <w:rStyle w:val="IndexLink"/>
                <w:rtl w:val="true"/>
              </w:rPr>
              <w:tab/>
            </w:r>
            <w:r>
              <w:rPr>
                <w:rStyle w:val="IndexLink"/>
              </w:rPr>
              <w:t>62</w:t>
            </w:r>
          </w:hyperlink>
        </w:p>
        <w:p>
          <w:pPr>
            <w:pStyle w:val="Contents3"/>
            <w:tabs>
              <w:tab w:val="clear" w:pos="8459"/>
              <w:tab w:val="right" w:pos="9026" w:leader="dot"/>
            </w:tabs>
            <w:rPr/>
          </w:pPr>
          <w:hyperlink w:anchor="__RefHeading___Toc39682_1878427129">
            <w:r>
              <w:rPr>
                <w:webHidden/>
                <w:rStyle w:val="IndexLink"/>
                <w:rtl w:val="true"/>
              </w:rPr>
              <w:t>ترجمه نگاری تفسیر</w:t>
            </w:r>
            <w:r>
              <w:rPr>
                <w:rStyle w:val="IndexLink"/>
                <w:rtl w:val="true"/>
              </w:rPr>
              <w:tab/>
            </w:r>
            <w:r>
              <w:rPr>
                <w:rStyle w:val="IndexLink"/>
              </w:rPr>
              <w:t>63</w:t>
            </w:r>
          </w:hyperlink>
        </w:p>
        <w:p>
          <w:pPr>
            <w:pStyle w:val="Contents3"/>
            <w:tabs>
              <w:tab w:val="clear" w:pos="8459"/>
              <w:tab w:val="right" w:pos="9026" w:leader="dot"/>
            </w:tabs>
            <w:rPr/>
          </w:pPr>
          <w:hyperlink w:anchor="__RefHeading___Toc39684_1878427129">
            <w:r>
              <w:rPr>
                <w:webHidden/>
                <w:rStyle w:val="IndexLink"/>
                <w:rtl w:val="true"/>
              </w:rPr>
              <w:t>شیوۀ تفسیری</w:t>
            </w:r>
            <w:r>
              <w:rPr>
                <w:rStyle w:val="IndexLink"/>
                <w:rtl w:val="true"/>
              </w:rPr>
              <w:tab/>
            </w:r>
            <w:r>
              <w:rPr>
                <w:rStyle w:val="IndexLink"/>
              </w:rPr>
              <w:t>64</w:t>
            </w:r>
          </w:hyperlink>
        </w:p>
        <w:p>
          <w:pPr>
            <w:pStyle w:val="Contents4"/>
            <w:tabs>
              <w:tab w:val="clear" w:pos="8176"/>
              <w:tab w:val="right" w:pos="9026" w:leader="dot"/>
            </w:tabs>
            <w:rPr/>
          </w:pPr>
          <w:hyperlink w:anchor="__RefHeading___Toc39686_1878427129">
            <w:r>
              <w:rPr>
                <w:webHidden/>
                <w:rStyle w:val="IndexLink"/>
                <w:rtl w:val="true"/>
              </w:rPr>
              <w:t>اشاره</w:t>
            </w:r>
            <w:r>
              <w:rPr>
                <w:rStyle w:val="IndexLink"/>
                <w:rtl w:val="true"/>
              </w:rPr>
              <w:tab/>
            </w:r>
            <w:r>
              <w:rPr>
                <w:rStyle w:val="IndexLink"/>
              </w:rPr>
              <w:t>64</w:t>
            </w:r>
          </w:hyperlink>
        </w:p>
        <w:p>
          <w:pPr>
            <w:pStyle w:val="Contents4"/>
            <w:tabs>
              <w:tab w:val="clear" w:pos="8176"/>
              <w:tab w:val="right" w:pos="9026" w:leader="dot"/>
            </w:tabs>
            <w:rPr/>
          </w:pPr>
          <w:hyperlink w:anchor="__RefHeading___Toc39688_1878427129">
            <w:r>
              <w:rPr>
                <w:webHidden/>
                <w:rStyle w:val="IndexLink"/>
              </w:rPr>
              <w:t>1</w:t>
            </w:r>
            <w:r>
              <w:rPr>
                <w:rStyle w:val="IndexLink"/>
                <w:rtl w:val="true"/>
              </w:rPr>
              <w:t xml:space="preserve">. </w:t>
            </w:r>
            <w:r>
              <w:rPr>
                <w:rStyle w:val="IndexLink"/>
                <w:rtl w:val="true"/>
              </w:rPr>
              <w:t>روش استنادی و استدلالی</w:t>
            </w:r>
            <w:r>
              <w:rPr>
                <w:rStyle w:val="IndexLink"/>
                <w:rtl w:val="true"/>
              </w:rPr>
              <w:tab/>
            </w:r>
            <w:r>
              <w:rPr>
                <w:rStyle w:val="IndexLink"/>
              </w:rPr>
              <w:t>64</w:t>
            </w:r>
          </w:hyperlink>
        </w:p>
        <w:p>
          <w:pPr>
            <w:pStyle w:val="Contents4"/>
            <w:tabs>
              <w:tab w:val="clear" w:pos="8176"/>
              <w:tab w:val="right" w:pos="9026" w:leader="dot"/>
            </w:tabs>
            <w:rPr/>
          </w:pPr>
          <w:hyperlink w:anchor="__RefHeading___Toc39690_1878427129">
            <w:r>
              <w:rPr>
                <w:webHidden/>
                <w:rStyle w:val="IndexLink"/>
              </w:rPr>
              <w:t>2</w:t>
            </w:r>
            <w:r>
              <w:rPr>
                <w:rStyle w:val="IndexLink"/>
                <w:rtl w:val="true"/>
              </w:rPr>
              <w:t xml:space="preserve">. </w:t>
            </w:r>
            <w:r>
              <w:rPr>
                <w:rStyle w:val="IndexLink"/>
                <w:rtl w:val="true"/>
              </w:rPr>
              <w:t>روش اقناعی</w:t>
            </w:r>
            <w:r>
              <w:rPr>
                <w:rStyle w:val="IndexLink"/>
                <w:rtl w:val="true"/>
              </w:rPr>
              <w:tab/>
            </w:r>
            <w:r>
              <w:rPr>
                <w:rStyle w:val="IndexLink"/>
              </w:rPr>
              <w:t>68</w:t>
            </w:r>
          </w:hyperlink>
        </w:p>
        <w:p>
          <w:pPr>
            <w:pStyle w:val="Contents4"/>
            <w:tabs>
              <w:tab w:val="clear" w:pos="8176"/>
              <w:tab w:val="right" w:pos="9026" w:leader="dot"/>
            </w:tabs>
            <w:rPr/>
          </w:pPr>
          <w:hyperlink w:anchor="__RefHeading___Toc39692_1878427129">
            <w:r>
              <w:rPr>
                <w:webHidden/>
                <w:rStyle w:val="IndexLink"/>
              </w:rPr>
              <w:t>3</w:t>
            </w:r>
            <w:r>
              <w:rPr>
                <w:rStyle w:val="IndexLink"/>
                <w:rtl w:val="true"/>
              </w:rPr>
              <w:t xml:space="preserve">. </w:t>
            </w:r>
            <w:r>
              <w:rPr>
                <w:rStyle w:val="IndexLink"/>
                <w:rtl w:val="true"/>
              </w:rPr>
              <w:t>روش تشویقی و تبشیری</w:t>
            </w:r>
            <w:r>
              <w:rPr>
                <w:rStyle w:val="IndexLink"/>
                <w:rtl w:val="true"/>
              </w:rPr>
              <w:tab/>
            </w:r>
            <w:r>
              <w:rPr>
                <w:rStyle w:val="IndexLink"/>
              </w:rPr>
              <w:t>71</w:t>
            </w:r>
          </w:hyperlink>
        </w:p>
        <w:p>
          <w:pPr>
            <w:pStyle w:val="Contents4"/>
            <w:tabs>
              <w:tab w:val="clear" w:pos="8176"/>
              <w:tab w:val="right" w:pos="9026" w:leader="dot"/>
            </w:tabs>
            <w:rPr/>
          </w:pPr>
          <w:hyperlink w:anchor="__RefHeading___Toc39694_1878427129">
            <w:r>
              <w:rPr>
                <w:webHidden/>
                <w:rStyle w:val="IndexLink"/>
              </w:rPr>
              <w:t>4</w:t>
            </w:r>
            <w:r>
              <w:rPr>
                <w:rStyle w:val="IndexLink"/>
                <w:rtl w:val="true"/>
              </w:rPr>
              <w:t xml:space="preserve">. </w:t>
            </w:r>
            <w:r>
              <w:rPr>
                <w:rStyle w:val="IndexLink"/>
                <w:rtl w:val="true"/>
              </w:rPr>
              <w:t>روش انذاری و تحذیری</w:t>
            </w:r>
            <w:r>
              <w:rPr>
                <w:rStyle w:val="IndexLink"/>
                <w:rtl w:val="true"/>
              </w:rPr>
              <w:tab/>
            </w:r>
            <w:r>
              <w:rPr>
                <w:rStyle w:val="IndexLink"/>
              </w:rPr>
              <w:t>75</w:t>
            </w:r>
          </w:hyperlink>
        </w:p>
        <w:p>
          <w:pPr>
            <w:pStyle w:val="Contents4"/>
            <w:tabs>
              <w:tab w:val="clear" w:pos="8176"/>
              <w:tab w:val="right" w:pos="9026" w:leader="dot"/>
            </w:tabs>
            <w:rPr/>
          </w:pPr>
          <w:hyperlink w:anchor="__RefHeading___Toc39696_1878427129">
            <w:r>
              <w:rPr>
                <w:webHidden/>
                <w:rStyle w:val="IndexLink"/>
              </w:rPr>
              <w:t>5</w:t>
            </w:r>
            <w:r>
              <w:rPr>
                <w:rStyle w:val="IndexLink"/>
                <w:rtl w:val="true"/>
              </w:rPr>
              <w:t xml:space="preserve">. </w:t>
            </w:r>
            <w:r>
              <w:rPr>
                <w:rStyle w:val="IndexLink"/>
                <w:rtl w:val="true"/>
              </w:rPr>
              <w:t>روش تحلیلی و توصیفی</w:t>
            </w:r>
            <w:r>
              <w:rPr>
                <w:rStyle w:val="IndexLink"/>
                <w:rtl w:val="true"/>
              </w:rPr>
              <w:tab/>
            </w:r>
            <w:r>
              <w:rPr>
                <w:rStyle w:val="IndexLink"/>
              </w:rPr>
              <w:t>77</w:t>
            </w:r>
          </w:hyperlink>
        </w:p>
        <w:p>
          <w:pPr>
            <w:pStyle w:val="Contents3"/>
            <w:tabs>
              <w:tab w:val="clear" w:pos="8459"/>
              <w:tab w:val="right" w:pos="9026" w:leader="dot"/>
            </w:tabs>
            <w:rPr/>
          </w:pPr>
          <w:hyperlink w:anchor="__RefHeading___Toc39698_1878427129">
            <w:r>
              <w:rPr>
                <w:webHidden/>
                <w:rStyle w:val="IndexLink"/>
                <w:rtl w:val="true"/>
              </w:rPr>
              <w:t>جایگاه این روش ها در قرآن</w:t>
            </w:r>
            <w:r>
              <w:rPr>
                <w:rStyle w:val="IndexLink"/>
                <w:rtl w:val="true"/>
              </w:rPr>
              <w:tab/>
            </w:r>
            <w:r>
              <w:rPr>
                <w:rStyle w:val="IndexLink"/>
              </w:rPr>
              <w:t>78</w:t>
            </w:r>
          </w:hyperlink>
        </w:p>
        <w:p>
          <w:pPr>
            <w:pStyle w:val="Contents3"/>
            <w:tabs>
              <w:tab w:val="clear" w:pos="8459"/>
              <w:tab w:val="right" w:pos="9026" w:leader="dot"/>
            </w:tabs>
            <w:rPr/>
          </w:pPr>
          <w:hyperlink w:anchor="__RefHeading___Toc39700_1878427129">
            <w:r>
              <w:rPr>
                <w:webHidden/>
                <w:rStyle w:val="IndexLink"/>
                <w:rtl w:val="true"/>
              </w:rPr>
              <w:t>جمع بندی و نتیجه گیری</w:t>
            </w:r>
            <w:r>
              <w:rPr>
                <w:rStyle w:val="IndexLink"/>
                <w:rtl w:val="true"/>
              </w:rPr>
              <w:tab/>
            </w:r>
            <w:r>
              <w:rPr>
                <w:rStyle w:val="IndexLink"/>
              </w:rPr>
              <w:t>84</w:t>
            </w:r>
          </w:hyperlink>
        </w:p>
        <w:p>
          <w:pPr>
            <w:pStyle w:val="Contents3"/>
            <w:tabs>
              <w:tab w:val="clear" w:pos="8459"/>
              <w:tab w:val="right" w:pos="9026" w:leader="dot"/>
            </w:tabs>
            <w:rPr/>
          </w:pPr>
          <w:hyperlink w:anchor="__RefHeading___Toc39702_1878427129">
            <w:r>
              <w:rPr>
                <w:webHidden/>
                <w:rStyle w:val="IndexLink"/>
                <w:rtl w:val="true"/>
              </w:rPr>
              <w:t>کتاب نامه</w:t>
            </w:r>
            <w:r>
              <w:rPr>
                <w:rStyle w:val="IndexLink"/>
                <w:rtl w:val="true"/>
              </w:rPr>
              <w:tab/>
            </w:r>
            <w:r>
              <w:rPr>
                <w:rStyle w:val="IndexLink"/>
              </w:rPr>
              <w:t>85</w:t>
            </w:r>
          </w:hyperlink>
        </w:p>
        <w:p>
          <w:pPr>
            <w:pStyle w:val="Contents2"/>
            <w:tabs>
              <w:tab w:val="clear" w:pos="8743"/>
              <w:tab w:val="right" w:pos="9026" w:leader="dot"/>
            </w:tabs>
            <w:rPr/>
          </w:pPr>
          <w:hyperlink w:anchor="__RefHeading___Toc39704_1878427129">
            <w:r>
              <w:rPr>
                <w:webHidden/>
                <w:rStyle w:val="IndexLink"/>
                <w:rtl w:val="true"/>
              </w:rPr>
              <w:t>یادگار ماندگار</w:t>
            </w:r>
            <w:r>
              <w:rPr>
                <w:rStyle w:val="IndexLink"/>
                <w:rtl w:val="true"/>
              </w:rPr>
              <w:tab/>
            </w:r>
            <w:r>
              <w:rPr>
                <w:rStyle w:val="IndexLink"/>
              </w:rPr>
              <w:t>87</w:t>
            </w:r>
          </w:hyperlink>
        </w:p>
        <w:p>
          <w:pPr>
            <w:pStyle w:val="Contents3"/>
            <w:tabs>
              <w:tab w:val="clear" w:pos="8459"/>
              <w:tab w:val="right" w:pos="9026" w:leader="dot"/>
            </w:tabs>
            <w:rPr/>
          </w:pPr>
          <w:hyperlink w:anchor="__RefHeading___Toc39706_1878427129">
            <w:r>
              <w:rPr>
                <w:webHidden/>
                <w:rStyle w:val="IndexLink"/>
                <w:rtl w:val="true"/>
              </w:rPr>
              <w:t>اشاره</w:t>
            </w:r>
            <w:r>
              <w:rPr>
                <w:rStyle w:val="IndexLink"/>
                <w:rtl w:val="true"/>
              </w:rPr>
              <w:tab/>
            </w:r>
            <w:r>
              <w:rPr>
                <w:rStyle w:val="IndexLink"/>
              </w:rPr>
              <w:t>87</w:t>
            </w:r>
          </w:hyperlink>
        </w:p>
        <w:p>
          <w:pPr>
            <w:pStyle w:val="Contents3"/>
            <w:tabs>
              <w:tab w:val="clear" w:pos="8459"/>
              <w:tab w:val="right" w:pos="9026" w:leader="dot"/>
            </w:tabs>
            <w:rPr/>
          </w:pPr>
          <w:hyperlink w:anchor="__RefHeading___Toc39708_1878427129">
            <w:r>
              <w:rPr>
                <w:webHidden/>
                <w:rStyle w:val="IndexLink"/>
                <w:rtl w:val="true"/>
              </w:rPr>
              <w:t>چکیده</w:t>
            </w:r>
            <w:r>
              <w:rPr>
                <w:rStyle w:val="IndexLink"/>
                <w:rtl w:val="true"/>
              </w:rPr>
              <w:tab/>
            </w:r>
            <w:r>
              <w:rPr>
                <w:rStyle w:val="IndexLink"/>
              </w:rPr>
              <w:t>87</w:t>
            </w:r>
          </w:hyperlink>
        </w:p>
        <w:p>
          <w:pPr>
            <w:pStyle w:val="Contents3"/>
            <w:tabs>
              <w:tab w:val="clear" w:pos="8459"/>
              <w:tab w:val="right" w:pos="9026" w:leader="dot"/>
            </w:tabs>
            <w:rPr/>
          </w:pPr>
          <w:hyperlink w:anchor="__RefHeading___Toc39710_1878427129">
            <w:r>
              <w:rPr>
                <w:webHidden/>
                <w:rStyle w:val="IndexLink"/>
                <w:rtl w:val="true"/>
              </w:rPr>
              <w:t>اشاره ای به زندگی و آثار</w:t>
            </w:r>
            <w:r>
              <w:rPr>
                <w:rStyle w:val="IndexLink"/>
                <w:rtl w:val="true"/>
              </w:rPr>
              <w:tab/>
            </w:r>
            <w:r>
              <w:rPr>
                <w:rStyle w:val="IndexLink"/>
              </w:rPr>
              <w:t>88</w:t>
            </w:r>
          </w:hyperlink>
        </w:p>
        <w:p>
          <w:pPr>
            <w:pStyle w:val="Contents3"/>
            <w:tabs>
              <w:tab w:val="clear" w:pos="8459"/>
              <w:tab w:val="right" w:pos="9026" w:leader="dot"/>
            </w:tabs>
            <w:rPr/>
          </w:pPr>
          <w:hyperlink w:anchor="__RefHeading___Toc39712_1878427129">
            <w:r>
              <w:rPr>
                <w:webHidden/>
                <w:rStyle w:val="IndexLink"/>
                <w:rtl w:val="true"/>
              </w:rPr>
              <w:t>کارنامۀ ممتاز قرآن پژوهی</w:t>
            </w:r>
            <w:r>
              <w:rPr>
                <w:rStyle w:val="IndexLink"/>
                <w:rtl w:val="true"/>
              </w:rPr>
              <w:tab/>
            </w:r>
            <w:r>
              <w:rPr>
                <w:rStyle w:val="IndexLink"/>
              </w:rPr>
              <w:t>89</w:t>
            </w:r>
          </w:hyperlink>
        </w:p>
        <w:p>
          <w:pPr>
            <w:pStyle w:val="Contents3"/>
            <w:tabs>
              <w:tab w:val="clear" w:pos="8459"/>
              <w:tab w:val="right" w:pos="9026" w:leader="dot"/>
            </w:tabs>
            <w:rPr/>
          </w:pPr>
          <w:hyperlink w:anchor="__RefHeading___Toc39714_1878427129">
            <w:r>
              <w:rPr>
                <w:webHidden/>
                <w:rStyle w:val="IndexLink"/>
                <w:rtl w:val="true"/>
              </w:rPr>
              <w:t>دست نوشته های قرآنی</w:t>
            </w:r>
            <w:r>
              <w:rPr>
                <w:rStyle w:val="IndexLink"/>
                <w:rtl w:val="true"/>
              </w:rPr>
              <w:tab/>
            </w:r>
            <w:r>
              <w:rPr>
                <w:rStyle w:val="IndexLink"/>
              </w:rPr>
              <w:t>92</w:t>
            </w:r>
          </w:hyperlink>
        </w:p>
        <w:p>
          <w:pPr>
            <w:pStyle w:val="Contents3"/>
            <w:tabs>
              <w:tab w:val="clear" w:pos="8459"/>
              <w:tab w:val="right" w:pos="9026" w:leader="dot"/>
            </w:tabs>
            <w:rPr/>
          </w:pPr>
          <w:hyperlink w:anchor="__RefHeading___Toc39716_1878427129">
            <w:r>
              <w:rPr>
                <w:webHidden/>
                <w:rStyle w:val="IndexLink"/>
                <w:rtl w:val="true"/>
              </w:rPr>
              <w:t>غفلت از بُعد قرآنی آثار مرحوم مشکینی</w:t>
            </w:r>
            <w:r>
              <w:rPr>
                <w:rStyle w:val="IndexLink"/>
                <w:rtl w:val="true"/>
              </w:rPr>
              <w:tab/>
            </w:r>
            <w:r>
              <w:rPr>
                <w:rStyle w:val="IndexLink"/>
              </w:rPr>
              <w:t>93</w:t>
            </w:r>
          </w:hyperlink>
        </w:p>
        <w:p>
          <w:pPr>
            <w:pStyle w:val="Contents3"/>
            <w:tabs>
              <w:tab w:val="clear" w:pos="8459"/>
              <w:tab w:val="right" w:pos="9026" w:leader="dot"/>
            </w:tabs>
            <w:rPr/>
          </w:pPr>
          <w:hyperlink w:anchor="__RefHeading___Toc39718_1878427129">
            <w:r>
              <w:rPr>
                <w:webHidden/>
                <w:rStyle w:val="IndexLink"/>
                <w:rtl w:val="true"/>
              </w:rPr>
              <w:t>مؤخرۀ مترجم و روش ترجمۀ ایشان</w:t>
            </w:r>
            <w:r>
              <w:rPr>
                <w:rStyle w:val="IndexLink"/>
                <w:rtl w:val="true"/>
              </w:rPr>
              <w:tab/>
            </w:r>
            <w:r>
              <w:rPr>
                <w:rStyle w:val="IndexLink"/>
              </w:rPr>
              <w:t>94</w:t>
            </w:r>
          </w:hyperlink>
        </w:p>
        <w:p>
          <w:pPr>
            <w:pStyle w:val="Contents3"/>
            <w:tabs>
              <w:tab w:val="clear" w:pos="8459"/>
              <w:tab w:val="right" w:pos="9026" w:leader="dot"/>
            </w:tabs>
            <w:rPr/>
          </w:pPr>
          <w:hyperlink w:anchor="__RefHeading___Toc39720_1878427129">
            <w:r>
              <w:rPr>
                <w:webHidden/>
                <w:rStyle w:val="IndexLink"/>
                <w:rtl w:val="true"/>
              </w:rPr>
              <w:t>شرایط مترجم قرآن</w:t>
            </w:r>
            <w:r>
              <w:rPr>
                <w:rStyle w:val="IndexLink"/>
                <w:rtl w:val="true"/>
              </w:rPr>
              <w:tab/>
            </w:r>
            <w:r>
              <w:rPr>
                <w:rStyle w:val="IndexLink"/>
              </w:rPr>
              <w:t>94</w:t>
            </w:r>
          </w:hyperlink>
        </w:p>
        <w:p>
          <w:pPr>
            <w:pStyle w:val="Contents3"/>
            <w:tabs>
              <w:tab w:val="clear" w:pos="8459"/>
              <w:tab w:val="right" w:pos="9026" w:leader="dot"/>
            </w:tabs>
            <w:rPr/>
          </w:pPr>
          <w:hyperlink w:anchor="__RefHeading___Toc39722_1878427129">
            <w:r>
              <w:rPr>
                <w:webHidden/>
                <w:rStyle w:val="IndexLink"/>
                <w:rtl w:val="true"/>
              </w:rPr>
              <w:t>برخی مزایای این ترجمه</w:t>
            </w:r>
            <w:r>
              <w:rPr>
                <w:rStyle w:val="IndexLink"/>
                <w:rtl w:val="true"/>
              </w:rPr>
              <w:tab/>
            </w:r>
            <w:r>
              <w:rPr>
                <w:rStyle w:val="IndexLink"/>
              </w:rPr>
              <w:t>95</w:t>
            </w:r>
          </w:hyperlink>
        </w:p>
        <w:p>
          <w:pPr>
            <w:pStyle w:val="Contents3"/>
            <w:tabs>
              <w:tab w:val="clear" w:pos="8459"/>
              <w:tab w:val="right" w:pos="9026" w:leader="dot"/>
            </w:tabs>
            <w:rPr/>
          </w:pPr>
          <w:hyperlink w:anchor="__RefHeading___Toc39724_1878427129">
            <w:r>
              <w:rPr>
                <w:webHidden/>
                <w:rStyle w:val="IndexLink"/>
                <w:rtl w:val="true"/>
              </w:rPr>
              <w:t>زیر ذرّه بین نقدها و ارزیابی ها</w:t>
            </w:r>
            <w:r>
              <w:rPr>
                <w:rStyle w:val="IndexLink"/>
                <w:rtl w:val="true"/>
              </w:rPr>
              <w:tab/>
            </w:r>
            <w:r>
              <w:rPr>
                <w:rStyle w:val="IndexLink"/>
              </w:rPr>
              <w:t>97</w:t>
            </w:r>
          </w:hyperlink>
        </w:p>
        <w:p>
          <w:pPr>
            <w:pStyle w:val="Contents3"/>
            <w:tabs>
              <w:tab w:val="clear" w:pos="8459"/>
              <w:tab w:val="right" w:pos="9026" w:leader="dot"/>
            </w:tabs>
            <w:rPr/>
          </w:pPr>
          <w:hyperlink w:anchor="__RefHeading___Toc39726_1878427129">
            <w:r>
              <w:rPr>
                <w:webHidden/>
                <w:rStyle w:val="IndexLink"/>
                <w:rtl w:val="true"/>
              </w:rPr>
              <w:t>ارزیابی مرکز ترجمۀ قرآن مجید</w:t>
            </w:r>
            <w:r>
              <w:rPr>
                <w:rStyle w:val="IndexLink"/>
                <w:rtl w:val="true"/>
              </w:rPr>
              <w:tab/>
            </w:r>
            <w:r>
              <w:rPr>
                <w:rStyle w:val="IndexLink"/>
              </w:rPr>
              <w:t>98</w:t>
            </w:r>
          </w:hyperlink>
        </w:p>
        <w:p>
          <w:pPr>
            <w:pStyle w:val="Contents3"/>
            <w:tabs>
              <w:tab w:val="clear" w:pos="8459"/>
              <w:tab w:val="right" w:pos="9026" w:leader="dot"/>
            </w:tabs>
            <w:rPr/>
          </w:pPr>
          <w:hyperlink w:anchor="__RefHeading___Toc39728_1878427129">
            <w:r>
              <w:rPr>
                <w:webHidden/>
                <w:rStyle w:val="IndexLink"/>
                <w:rtl w:val="true"/>
              </w:rPr>
              <w:t>نقد مفصل استاد خرمشاهی</w:t>
            </w:r>
            <w:r>
              <w:rPr>
                <w:rStyle w:val="IndexLink"/>
                <w:rtl w:val="true"/>
              </w:rPr>
              <w:tab/>
            </w:r>
            <w:r>
              <w:rPr>
                <w:rStyle w:val="IndexLink"/>
              </w:rPr>
              <w:t>99</w:t>
            </w:r>
          </w:hyperlink>
        </w:p>
        <w:p>
          <w:pPr>
            <w:pStyle w:val="Contents3"/>
            <w:tabs>
              <w:tab w:val="clear" w:pos="8459"/>
              <w:tab w:val="right" w:pos="9026" w:leader="dot"/>
            </w:tabs>
            <w:rPr/>
          </w:pPr>
          <w:hyperlink w:anchor="__RefHeading___Toc39730_1878427129">
            <w:r>
              <w:rPr>
                <w:webHidden/>
                <w:rStyle w:val="IndexLink"/>
                <w:rtl w:val="true"/>
              </w:rPr>
              <w:t>نظر آیت اللّه استادی</w:t>
            </w:r>
            <w:r>
              <w:rPr>
                <w:rStyle w:val="IndexLink"/>
                <w:rtl w:val="true"/>
              </w:rPr>
              <w:tab/>
            </w:r>
            <w:r>
              <w:rPr>
                <w:rStyle w:val="IndexLink"/>
              </w:rPr>
              <w:t>101</w:t>
            </w:r>
          </w:hyperlink>
        </w:p>
        <w:p>
          <w:pPr>
            <w:pStyle w:val="Contents3"/>
            <w:tabs>
              <w:tab w:val="clear" w:pos="8459"/>
              <w:tab w:val="right" w:pos="9026" w:leader="dot"/>
            </w:tabs>
            <w:rPr/>
          </w:pPr>
          <w:hyperlink w:anchor="__RefHeading___Toc39732_1878427129">
            <w:r>
              <w:rPr>
                <w:webHidden/>
                <w:rStyle w:val="IndexLink"/>
                <w:rtl w:val="true"/>
              </w:rPr>
              <w:t>نظر دکتر حداد عادل</w:t>
            </w:r>
            <w:r>
              <w:rPr>
                <w:rStyle w:val="IndexLink"/>
                <w:rtl w:val="true"/>
              </w:rPr>
              <w:tab/>
            </w:r>
            <w:r>
              <w:rPr>
                <w:rStyle w:val="IndexLink"/>
              </w:rPr>
              <w:t>102</w:t>
            </w:r>
          </w:hyperlink>
        </w:p>
        <w:p>
          <w:pPr>
            <w:pStyle w:val="Contents3"/>
            <w:tabs>
              <w:tab w:val="clear" w:pos="8459"/>
              <w:tab w:val="right" w:pos="9026" w:leader="dot"/>
            </w:tabs>
            <w:rPr/>
          </w:pPr>
          <w:hyperlink w:anchor="__RefHeading___Toc39734_1878427129">
            <w:r>
              <w:rPr>
                <w:webHidden/>
                <w:rStyle w:val="IndexLink"/>
                <w:rtl w:val="true"/>
              </w:rPr>
              <w:t>نظر هیئت داوران کتاب سال</w:t>
            </w:r>
            <w:r>
              <w:rPr>
                <w:rStyle w:val="IndexLink"/>
                <w:rtl w:val="true"/>
              </w:rPr>
              <w:tab/>
            </w:r>
            <w:r>
              <w:rPr>
                <w:rStyle w:val="IndexLink"/>
              </w:rPr>
              <w:t>103</w:t>
            </w:r>
          </w:hyperlink>
        </w:p>
        <w:p>
          <w:pPr>
            <w:pStyle w:val="Contents3"/>
            <w:tabs>
              <w:tab w:val="clear" w:pos="8459"/>
              <w:tab w:val="right" w:pos="9026" w:leader="dot"/>
            </w:tabs>
            <w:rPr/>
          </w:pPr>
          <w:hyperlink w:anchor="__RefHeading___Toc39736_1878427129">
            <w:r>
              <w:rPr>
                <w:webHidden/>
                <w:rStyle w:val="IndexLink"/>
                <w:rtl w:val="true"/>
              </w:rPr>
              <w:t>نظر ویراستار</w:t>
            </w:r>
            <w:r>
              <w:rPr>
                <w:rStyle w:val="IndexLink"/>
                <w:rtl w:val="true"/>
              </w:rPr>
              <w:tab/>
            </w:r>
            <w:r>
              <w:rPr>
                <w:rStyle w:val="IndexLink"/>
              </w:rPr>
              <w:t>104</w:t>
            </w:r>
          </w:hyperlink>
        </w:p>
        <w:p>
          <w:pPr>
            <w:pStyle w:val="Contents3"/>
            <w:tabs>
              <w:tab w:val="clear" w:pos="8459"/>
              <w:tab w:val="right" w:pos="9026" w:leader="dot"/>
            </w:tabs>
            <w:rPr/>
          </w:pPr>
          <w:hyperlink w:anchor="__RefHeading___Toc39738_1878427129">
            <w:r>
              <w:rPr>
                <w:webHidden/>
                <w:rStyle w:val="IndexLink"/>
                <w:rtl w:val="true"/>
              </w:rPr>
              <w:t>مقایسه با ترجمه های قبل و بعد</w:t>
            </w:r>
            <w:r>
              <w:rPr>
                <w:rStyle w:val="IndexLink"/>
                <w:rtl w:val="true"/>
              </w:rPr>
              <w:tab/>
            </w:r>
            <w:r>
              <w:rPr>
                <w:rStyle w:val="IndexLink"/>
              </w:rPr>
              <w:t>105</w:t>
            </w:r>
          </w:hyperlink>
        </w:p>
        <w:p>
          <w:pPr>
            <w:pStyle w:val="Contents3"/>
            <w:tabs>
              <w:tab w:val="clear" w:pos="8459"/>
              <w:tab w:val="right" w:pos="9026" w:leader="dot"/>
            </w:tabs>
            <w:rPr/>
          </w:pPr>
          <w:hyperlink w:anchor="__RefHeading___Toc39740_1878427129">
            <w:r>
              <w:rPr>
                <w:webHidden/>
                <w:rStyle w:val="IndexLink"/>
                <w:rtl w:val="true"/>
              </w:rPr>
              <w:t>نمونه ها</w:t>
            </w:r>
            <w:r>
              <w:rPr>
                <w:rStyle w:val="IndexLink"/>
                <w:rtl w:val="true"/>
              </w:rPr>
              <w:tab/>
            </w:r>
            <w:r>
              <w:rPr>
                <w:rStyle w:val="IndexLink"/>
              </w:rPr>
              <w:t>109</w:t>
            </w:r>
          </w:hyperlink>
        </w:p>
        <w:p>
          <w:pPr>
            <w:pStyle w:val="Contents3"/>
            <w:tabs>
              <w:tab w:val="clear" w:pos="8459"/>
              <w:tab w:val="right" w:pos="9026" w:leader="dot"/>
            </w:tabs>
            <w:rPr/>
          </w:pPr>
          <w:hyperlink w:anchor="__RefHeading___Toc39742_1878427129">
            <w:r>
              <w:rPr>
                <w:webHidden/>
                <w:rStyle w:val="IndexLink"/>
                <w:rtl w:val="true"/>
              </w:rPr>
              <w:t>کتاب نامه</w:t>
            </w:r>
            <w:r>
              <w:rPr>
                <w:rStyle w:val="IndexLink"/>
                <w:rtl w:val="true"/>
              </w:rPr>
              <w:tab/>
            </w:r>
            <w:r>
              <w:rPr>
                <w:rStyle w:val="IndexLink"/>
              </w:rPr>
              <w:t>111</w:t>
            </w:r>
          </w:hyperlink>
        </w:p>
        <w:p>
          <w:pPr>
            <w:pStyle w:val="Contents2"/>
            <w:tabs>
              <w:tab w:val="clear" w:pos="8743"/>
              <w:tab w:val="right" w:pos="9026" w:leader="dot"/>
            </w:tabs>
            <w:rPr/>
          </w:pPr>
          <w:hyperlink w:anchor="__RefHeading___Toc39744_1878427129">
            <w:r>
              <w:rPr>
                <w:webHidden/>
                <w:rStyle w:val="IndexLink"/>
                <w:rtl w:val="true"/>
              </w:rPr>
              <w:t>بررسی ترجمۀ قرآن کریم</w:t>
            </w:r>
            <w:r>
              <w:rPr>
                <w:rStyle w:val="IndexLink"/>
                <w:rtl w:val="true"/>
              </w:rPr>
              <w:tab/>
            </w:r>
            <w:r>
              <w:rPr>
                <w:rStyle w:val="IndexLink"/>
              </w:rPr>
              <w:t>113</w:t>
            </w:r>
          </w:hyperlink>
        </w:p>
        <w:p>
          <w:pPr>
            <w:pStyle w:val="Contents3"/>
            <w:tabs>
              <w:tab w:val="clear" w:pos="8459"/>
              <w:tab w:val="right" w:pos="9026" w:leader="dot"/>
            </w:tabs>
            <w:rPr/>
          </w:pPr>
          <w:hyperlink w:anchor="__RefHeading___Toc39746_1878427129">
            <w:r>
              <w:rPr>
                <w:webHidden/>
                <w:rStyle w:val="IndexLink"/>
                <w:rtl w:val="true"/>
              </w:rPr>
              <w:t>اشاره</w:t>
            </w:r>
            <w:r>
              <w:rPr>
                <w:rStyle w:val="IndexLink"/>
                <w:rtl w:val="true"/>
              </w:rPr>
              <w:tab/>
            </w:r>
            <w:r>
              <w:rPr>
                <w:rStyle w:val="IndexLink"/>
              </w:rPr>
              <w:t>113</w:t>
            </w:r>
          </w:hyperlink>
        </w:p>
        <w:p>
          <w:pPr>
            <w:pStyle w:val="Contents3"/>
            <w:tabs>
              <w:tab w:val="clear" w:pos="8459"/>
              <w:tab w:val="right" w:pos="9026" w:leader="dot"/>
            </w:tabs>
            <w:rPr/>
          </w:pPr>
          <w:hyperlink w:anchor="__RefHeading___Toc39748_1878427129">
            <w:r>
              <w:rPr>
                <w:webHidden/>
                <w:rStyle w:val="IndexLink"/>
                <w:rtl w:val="true"/>
              </w:rPr>
              <w:t>چکیده</w:t>
            </w:r>
            <w:r>
              <w:rPr>
                <w:rStyle w:val="IndexLink"/>
                <w:rtl w:val="true"/>
              </w:rPr>
              <w:tab/>
            </w:r>
            <w:r>
              <w:rPr>
                <w:rStyle w:val="IndexLink"/>
              </w:rPr>
              <w:t>113</w:t>
            </w:r>
          </w:hyperlink>
        </w:p>
        <w:p>
          <w:pPr>
            <w:pStyle w:val="Contents3"/>
            <w:tabs>
              <w:tab w:val="clear" w:pos="8459"/>
              <w:tab w:val="right" w:pos="9026" w:leader="dot"/>
            </w:tabs>
            <w:rPr/>
          </w:pPr>
          <w:hyperlink w:anchor="__RefHeading___Toc39750_1878427129">
            <w:r>
              <w:rPr>
                <w:webHidden/>
                <w:rStyle w:val="IndexLink"/>
                <w:rtl w:val="true"/>
              </w:rPr>
              <w:t>درآمد</w:t>
            </w:r>
            <w:r>
              <w:rPr>
                <w:rStyle w:val="IndexLink"/>
                <w:rtl w:val="true"/>
              </w:rPr>
              <w:tab/>
            </w:r>
            <w:r>
              <w:rPr>
                <w:rStyle w:val="IndexLink"/>
              </w:rPr>
              <w:t>113</w:t>
            </w:r>
          </w:hyperlink>
        </w:p>
        <w:p>
          <w:pPr>
            <w:pStyle w:val="Contents3"/>
            <w:tabs>
              <w:tab w:val="clear" w:pos="8459"/>
              <w:tab w:val="right" w:pos="9026" w:leader="dot"/>
            </w:tabs>
            <w:rPr/>
          </w:pPr>
          <w:hyperlink w:anchor="__RefHeading___Toc39752_1878427129">
            <w:r>
              <w:rPr>
                <w:webHidden/>
                <w:rStyle w:val="IndexLink"/>
                <w:rtl w:val="true"/>
              </w:rPr>
              <w:t>مزایا</w:t>
            </w:r>
            <w:r>
              <w:rPr>
                <w:rStyle w:val="IndexLink"/>
                <w:rtl w:val="true"/>
              </w:rPr>
              <w:tab/>
            </w:r>
            <w:r>
              <w:rPr>
                <w:rStyle w:val="IndexLink"/>
              </w:rPr>
              <w:t>115</w:t>
            </w:r>
          </w:hyperlink>
        </w:p>
        <w:p>
          <w:pPr>
            <w:pStyle w:val="Contents3"/>
            <w:tabs>
              <w:tab w:val="clear" w:pos="8459"/>
              <w:tab w:val="right" w:pos="9026" w:leader="dot"/>
            </w:tabs>
            <w:rPr/>
          </w:pPr>
          <w:hyperlink w:anchor="__RefHeading___Toc39754_1878427129">
            <w:r>
              <w:rPr>
                <w:webHidden/>
                <w:rStyle w:val="IndexLink"/>
                <w:rtl w:val="true"/>
              </w:rPr>
              <w:t>کاستی ها</w:t>
            </w:r>
            <w:r>
              <w:rPr>
                <w:rStyle w:val="IndexLink"/>
                <w:rtl w:val="true"/>
              </w:rPr>
              <w:tab/>
            </w:r>
            <w:r>
              <w:rPr>
                <w:rStyle w:val="IndexLink"/>
              </w:rPr>
              <w:t>117</w:t>
            </w:r>
          </w:hyperlink>
        </w:p>
        <w:p>
          <w:pPr>
            <w:pStyle w:val="Contents3"/>
            <w:tabs>
              <w:tab w:val="clear" w:pos="8459"/>
              <w:tab w:val="right" w:pos="9026" w:leader="dot"/>
            </w:tabs>
            <w:rPr/>
          </w:pPr>
          <w:hyperlink w:anchor="__RefHeading___Toc39756_1878427129">
            <w:r>
              <w:rPr>
                <w:webHidden/>
                <w:rStyle w:val="IndexLink"/>
                <w:rtl w:val="true"/>
              </w:rPr>
              <w:t>نتیجه</w:t>
            </w:r>
            <w:r>
              <w:rPr>
                <w:rStyle w:val="IndexLink"/>
                <w:rtl w:val="true"/>
              </w:rPr>
              <w:tab/>
            </w:r>
            <w:r>
              <w:rPr>
                <w:rStyle w:val="IndexLink"/>
              </w:rPr>
              <w:t>129</w:t>
            </w:r>
          </w:hyperlink>
        </w:p>
        <w:p>
          <w:pPr>
            <w:pStyle w:val="Contents3"/>
            <w:tabs>
              <w:tab w:val="clear" w:pos="8459"/>
              <w:tab w:val="right" w:pos="9026" w:leader="dot"/>
            </w:tabs>
            <w:rPr/>
          </w:pPr>
          <w:hyperlink w:anchor="__RefHeading___Toc39758_1878427129">
            <w:r>
              <w:rPr>
                <w:webHidden/>
                <w:rStyle w:val="IndexLink"/>
                <w:rtl w:val="true"/>
              </w:rPr>
              <w:t>کتاب نامه</w:t>
            </w:r>
            <w:r>
              <w:rPr>
                <w:rStyle w:val="IndexLink"/>
                <w:rtl w:val="true"/>
              </w:rPr>
              <w:tab/>
            </w:r>
            <w:r>
              <w:rPr>
                <w:rStyle w:val="IndexLink"/>
              </w:rPr>
              <w:t>130</w:t>
            </w:r>
          </w:hyperlink>
        </w:p>
        <w:p>
          <w:pPr>
            <w:pStyle w:val="Contents2"/>
            <w:tabs>
              <w:tab w:val="clear" w:pos="8743"/>
              <w:tab w:val="right" w:pos="9026" w:leader="dot"/>
            </w:tabs>
            <w:rPr/>
          </w:pPr>
          <w:hyperlink w:anchor="__RefHeading___Toc39760_1878427129">
            <w:r>
              <w:rPr>
                <w:webHidden/>
                <w:rStyle w:val="IndexLink"/>
                <w:rtl w:val="true"/>
              </w:rPr>
              <w:t xml:space="preserve">سبک شناسی آثار همسو با </w:t>
            </w:r>
            <w:r>
              <w:rPr>
                <w:rStyle w:val="IndexLink"/>
                <w:rtl w:val="true"/>
              </w:rPr>
              <w:t>«</w:t>
            </w:r>
            <w:r>
              <w:rPr>
                <w:rStyle w:val="IndexLink"/>
                <w:rtl w:val="true"/>
              </w:rPr>
              <w:t>المواعظ العددیه</w:t>
            </w:r>
            <w:r>
              <w:rPr>
                <w:rStyle w:val="IndexLink"/>
                <w:rtl w:val="true"/>
              </w:rPr>
              <w:t>»</w:t>
              <w:tab/>
            </w:r>
            <w:r>
              <w:rPr>
                <w:rStyle w:val="IndexLink"/>
              </w:rPr>
              <w:t>132</w:t>
            </w:r>
          </w:hyperlink>
        </w:p>
        <w:p>
          <w:pPr>
            <w:pStyle w:val="Contents3"/>
            <w:tabs>
              <w:tab w:val="clear" w:pos="8459"/>
              <w:tab w:val="right" w:pos="9026" w:leader="dot"/>
            </w:tabs>
            <w:rPr/>
          </w:pPr>
          <w:hyperlink w:anchor="__RefHeading___Toc39762_1878427129">
            <w:r>
              <w:rPr>
                <w:webHidden/>
                <w:rStyle w:val="IndexLink"/>
                <w:rtl w:val="true"/>
              </w:rPr>
              <w:t>اشاره</w:t>
            </w:r>
            <w:r>
              <w:rPr>
                <w:rStyle w:val="IndexLink"/>
                <w:rtl w:val="true"/>
              </w:rPr>
              <w:tab/>
            </w:r>
            <w:r>
              <w:rPr>
                <w:rStyle w:val="IndexLink"/>
              </w:rPr>
              <w:t>132</w:t>
            </w:r>
          </w:hyperlink>
        </w:p>
        <w:p>
          <w:pPr>
            <w:pStyle w:val="Contents3"/>
            <w:tabs>
              <w:tab w:val="clear" w:pos="8459"/>
              <w:tab w:val="right" w:pos="9026" w:leader="dot"/>
            </w:tabs>
            <w:rPr/>
          </w:pPr>
          <w:hyperlink w:anchor="__RefHeading___Toc39764_1878427129">
            <w:r>
              <w:rPr>
                <w:webHidden/>
                <w:rStyle w:val="IndexLink"/>
                <w:rtl w:val="true"/>
              </w:rPr>
              <w:t>چکیده</w:t>
            </w:r>
            <w:r>
              <w:rPr>
                <w:rStyle w:val="IndexLink"/>
                <w:rtl w:val="true"/>
              </w:rPr>
              <w:tab/>
            </w:r>
            <w:r>
              <w:rPr>
                <w:rStyle w:val="IndexLink"/>
              </w:rPr>
              <w:t>132</w:t>
            </w:r>
          </w:hyperlink>
        </w:p>
        <w:p>
          <w:pPr>
            <w:pStyle w:val="Contents3"/>
            <w:tabs>
              <w:tab w:val="clear" w:pos="8459"/>
              <w:tab w:val="right" w:pos="9026" w:leader="dot"/>
            </w:tabs>
            <w:rPr/>
          </w:pPr>
          <w:hyperlink w:anchor="__RefHeading___Toc39766_1878427129">
            <w:r>
              <w:rPr>
                <w:webHidden/>
                <w:rStyle w:val="IndexLink"/>
                <w:rtl w:val="true"/>
              </w:rPr>
              <w:t>درآمد</w:t>
            </w:r>
            <w:r>
              <w:rPr>
                <w:rStyle w:val="IndexLink"/>
                <w:rtl w:val="true"/>
              </w:rPr>
              <w:tab/>
            </w:r>
            <w:r>
              <w:rPr>
                <w:rStyle w:val="IndexLink"/>
              </w:rPr>
              <w:t>132</w:t>
            </w:r>
          </w:hyperlink>
        </w:p>
        <w:p>
          <w:pPr>
            <w:pStyle w:val="Contents3"/>
            <w:tabs>
              <w:tab w:val="clear" w:pos="8459"/>
              <w:tab w:val="right" w:pos="9026" w:leader="dot"/>
            </w:tabs>
            <w:rPr/>
          </w:pPr>
          <w:hyperlink w:anchor="__RefHeading___Toc39768_1878427129">
            <w:r>
              <w:rPr>
                <w:webHidden/>
                <w:rStyle w:val="IndexLink"/>
                <w:rtl w:val="true"/>
              </w:rPr>
              <w:t>سبک احادیث عددی</w:t>
            </w:r>
            <w:r>
              <w:rPr>
                <w:rStyle w:val="IndexLink"/>
                <w:rtl w:val="true"/>
              </w:rPr>
              <w:tab/>
            </w:r>
            <w:r>
              <w:rPr>
                <w:rStyle w:val="IndexLink"/>
              </w:rPr>
              <w:t>133</w:t>
            </w:r>
          </w:hyperlink>
        </w:p>
        <w:p>
          <w:pPr>
            <w:pStyle w:val="Contents3"/>
            <w:tabs>
              <w:tab w:val="clear" w:pos="8459"/>
              <w:tab w:val="right" w:pos="9026" w:leader="dot"/>
            </w:tabs>
            <w:rPr/>
          </w:pPr>
          <w:hyperlink w:anchor="__RefHeading___Toc39770_1878427129">
            <w:r>
              <w:rPr>
                <w:webHidden/>
                <w:rStyle w:val="IndexLink"/>
                <w:rtl w:val="true"/>
              </w:rPr>
              <w:t>باب منش های سه گانه</w:t>
            </w:r>
            <w:r>
              <w:rPr>
                <w:rStyle w:val="IndexLink"/>
                <w:rtl w:val="true"/>
              </w:rPr>
              <w:tab/>
            </w:r>
            <w:r>
              <w:rPr>
                <w:rStyle w:val="IndexLink"/>
              </w:rPr>
              <w:t>135</w:t>
            </w:r>
          </w:hyperlink>
        </w:p>
        <w:p>
          <w:pPr>
            <w:pStyle w:val="Contents3"/>
            <w:tabs>
              <w:tab w:val="clear" w:pos="8459"/>
              <w:tab w:val="right" w:pos="9026" w:leader="dot"/>
            </w:tabs>
            <w:rPr/>
          </w:pPr>
          <w:hyperlink w:anchor="__RefHeading___Toc39772_1878427129">
            <w:r>
              <w:rPr>
                <w:webHidden/>
                <w:rStyle w:val="IndexLink"/>
                <w:rtl w:val="true"/>
              </w:rPr>
              <w:t>ضرورت و اهداف</w:t>
            </w:r>
            <w:r>
              <w:rPr>
                <w:rStyle w:val="IndexLink"/>
                <w:rtl w:val="true"/>
              </w:rPr>
              <w:tab/>
            </w:r>
            <w:r>
              <w:rPr>
                <w:rStyle w:val="IndexLink"/>
              </w:rPr>
              <w:t>135</w:t>
            </w:r>
          </w:hyperlink>
        </w:p>
        <w:p>
          <w:pPr>
            <w:pStyle w:val="Contents3"/>
            <w:tabs>
              <w:tab w:val="clear" w:pos="8459"/>
              <w:tab w:val="right" w:pos="9026" w:leader="dot"/>
            </w:tabs>
            <w:rPr/>
          </w:pPr>
          <w:hyperlink w:anchor="__RefHeading___Toc39774_1878427129">
            <w:r>
              <w:rPr>
                <w:webHidden/>
                <w:rStyle w:val="IndexLink"/>
                <w:rtl w:val="true"/>
              </w:rPr>
              <w:t>پیشینه</w:t>
            </w:r>
            <w:r>
              <w:rPr>
                <w:rStyle w:val="IndexLink"/>
                <w:rtl w:val="true"/>
              </w:rPr>
              <w:tab/>
            </w:r>
            <w:r>
              <w:rPr>
                <w:rStyle w:val="IndexLink"/>
              </w:rPr>
              <w:t>136</w:t>
            </w:r>
          </w:hyperlink>
        </w:p>
        <w:p>
          <w:pPr>
            <w:pStyle w:val="Contents3"/>
            <w:tabs>
              <w:tab w:val="clear" w:pos="8459"/>
              <w:tab w:val="right" w:pos="9026" w:leader="dot"/>
            </w:tabs>
            <w:rPr/>
          </w:pPr>
          <w:hyperlink w:anchor="__RefHeading___Toc39776_1878427129">
            <w:r>
              <w:rPr>
                <w:webHidden/>
                <w:rStyle w:val="IndexLink"/>
                <w:rtl w:val="true"/>
              </w:rPr>
              <w:t>کتاب هایی به سبک احادیث عددی</w:t>
            </w:r>
            <w:r>
              <w:rPr>
                <w:rStyle w:val="IndexLink"/>
                <w:rtl w:val="true"/>
              </w:rPr>
              <w:tab/>
            </w:r>
            <w:r>
              <w:rPr>
                <w:rStyle w:val="IndexLink"/>
              </w:rPr>
              <w:t>138</w:t>
            </w:r>
          </w:hyperlink>
        </w:p>
        <w:p>
          <w:pPr>
            <w:pStyle w:val="Contents3"/>
            <w:tabs>
              <w:tab w:val="clear" w:pos="8459"/>
              <w:tab w:val="right" w:pos="9026" w:leader="dot"/>
            </w:tabs>
            <w:rPr/>
          </w:pPr>
          <w:hyperlink w:anchor="__RefHeading___Toc39778_1878427129">
            <w:r>
              <w:rPr>
                <w:webHidden/>
                <w:rStyle w:val="IndexLink"/>
                <w:rtl w:val="true"/>
              </w:rPr>
              <w:t>کتاب نامه</w:t>
            </w:r>
            <w:r>
              <w:rPr>
                <w:rStyle w:val="IndexLink"/>
                <w:rtl w:val="true"/>
              </w:rPr>
              <w:tab/>
            </w:r>
            <w:r>
              <w:rPr>
                <w:rStyle w:val="IndexLink"/>
              </w:rPr>
              <w:t>151</w:t>
            </w:r>
          </w:hyperlink>
        </w:p>
        <w:p>
          <w:pPr>
            <w:pStyle w:val="Contents2"/>
            <w:tabs>
              <w:tab w:val="clear" w:pos="8743"/>
              <w:tab w:val="right" w:pos="9026" w:leader="dot"/>
            </w:tabs>
            <w:rPr/>
          </w:pPr>
          <w:hyperlink w:anchor="__RefHeading___Toc39780_1878427129">
            <w:r>
              <w:rPr>
                <w:webHidden/>
                <w:rStyle w:val="IndexLink"/>
                <w:rtl w:val="true"/>
              </w:rPr>
              <w:t>پیامدهای نظریۀ تکامل و پاسخ های ایرانی</w:t>
            </w:r>
            <w:r>
              <w:rPr>
                <w:rStyle w:val="IndexLink"/>
                <w:rtl w:val="true"/>
              </w:rPr>
              <w:t xml:space="preserve">: </w:t>
            </w:r>
            <w:r>
              <w:rPr>
                <w:rStyle w:val="IndexLink"/>
                <w:rtl w:val="true"/>
              </w:rPr>
              <w:t>از طباطبایی تا مشکینی</w:t>
            </w:r>
            <w:r>
              <w:rPr>
                <w:rStyle w:val="IndexLink"/>
                <w:rtl w:val="true"/>
              </w:rPr>
              <w:tab/>
            </w:r>
            <w:r>
              <w:rPr>
                <w:rStyle w:val="IndexLink"/>
              </w:rPr>
              <w:t>154</w:t>
            </w:r>
          </w:hyperlink>
        </w:p>
        <w:p>
          <w:pPr>
            <w:pStyle w:val="Contents3"/>
            <w:tabs>
              <w:tab w:val="clear" w:pos="8459"/>
              <w:tab w:val="right" w:pos="9026" w:leader="dot"/>
            </w:tabs>
            <w:rPr/>
          </w:pPr>
          <w:hyperlink w:anchor="__RefHeading___Toc39782_1878427129">
            <w:r>
              <w:rPr>
                <w:webHidden/>
                <w:rStyle w:val="IndexLink"/>
                <w:rtl w:val="true"/>
              </w:rPr>
              <w:t>اشاره</w:t>
            </w:r>
            <w:r>
              <w:rPr>
                <w:rStyle w:val="IndexLink"/>
                <w:rtl w:val="true"/>
              </w:rPr>
              <w:tab/>
            </w:r>
            <w:r>
              <w:rPr>
                <w:rStyle w:val="IndexLink"/>
              </w:rPr>
              <w:t>154</w:t>
            </w:r>
          </w:hyperlink>
        </w:p>
        <w:p>
          <w:pPr>
            <w:pStyle w:val="Contents3"/>
            <w:tabs>
              <w:tab w:val="clear" w:pos="8459"/>
              <w:tab w:val="right" w:pos="9026" w:leader="dot"/>
            </w:tabs>
            <w:rPr/>
          </w:pPr>
          <w:hyperlink w:anchor="__RefHeading___Toc39784_1878427129">
            <w:r>
              <w:rPr>
                <w:webHidden/>
                <w:rStyle w:val="IndexLink"/>
                <w:rtl w:val="true"/>
              </w:rPr>
              <w:t>چکیده</w:t>
            </w:r>
            <w:r>
              <w:rPr>
                <w:rStyle w:val="IndexLink"/>
                <w:rtl w:val="true"/>
              </w:rPr>
              <w:tab/>
            </w:r>
            <w:r>
              <w:rPr>
                <w:rStyle w:val="IndexLink"/>
              </w:rPr>
              <w:t>154</w:t>
            </w:r>
          </w:hyperlink>
        </w:p>
        <w:p>
          <w:pPr>
            <w:pStyle w:val="Contents3"/>
            <w:tabs>
              <w:tab w:val="clear" w:pos="8459"/>
              <w:tab w:val="right" w:pos="9026" w:leader="dot"/>
            </w:tabs>
            <w:rPr/>
          </w:pPr>
          <w:hyperlink w:anchor="__RefHeading___Toc39786_1878427129">
            <w:r>
              <w:rPr>
                <w:webHidden/>
                <w:rStyle w:val="IndexLink"/>
              </w:rPr>
              <w:t>1</w:t>
            </w:r>
            <w:r>
              <w:rPr>
                <w:rStyle w:val="IndexLink"/>
                <w:rtl w:val="true"/>
              </w:rPr>
              <w:t xml:space="preserve">. </w:t>
            </w:r>
            <w:r>
              <w:rPr>
                <w:rStyle w:val="IndexLink"/>
                <w:rtl w:val="true"/>
              </w:rPr>
              <w:t>موازنۀ دشوار</w:t>
            </w:r>
            <w:r>
              <w:rPr>
                <w:rStyle w:val="IndexLink"/>
                <w:rtl w:val="true"/>
              </w:rPr>
              <w:tab/>
            </w:r>
            <w:r>
              <w:rPr>
                <w:rStyle w:val="IndexLink"/>
              </w:rPr>
              <w:t>155</w:t>
            </w:r>
          </w:hyperlink>
        </w:p>
        <w:p>
          <w:pPr>
            <w:pStyle w:val="Contents3"/>
            <w:tabs>
              <w:tab w:val="clear" w:pos="8459"/>
              <w:tab w:val="right" w:pos="9026" w:leader="dot"/>
            </w:tabs>
            <w:rPr/>
          </w:pPr>
          <w:hyperlink w:anchor="__RefHeading___Toc39788_1878427129">
            <w:r>
              <w:rPr>
                <w:webHidden/>
                <w:rStyle w:val="IndexLink"/>
              </w:rPr>
              <w:t>2</w:t>
            </w:r>
            <w:r>
              <w:rPr>
                <w:rStyle w:val="IndexLink"/>
                <w:rtl w:val="true"/>
              </w:rPr>
              <w:t xml:space="preserve">. </w:t>
            </w:r>
            <w:r>
              <w:rPr>
                <w:rStyle w:val="IndexLink"/>
                <w:rtl w:val="true"/>
              </w:rPr>
              <w:t>تفکیک سه مفهوم ابهام آفرین</w:t>
            </w:r>
            <w:r>
              <w:rPr>
                <w:rStyle w:val="IndexLink"/>
                <w:rtl w:val="true"/>
              </w:rPr>
              <w:tab/>
            </w:r>
            <w:r>
              <w:rPr>
                <w:rStyle w:val="IndexLink"/>
              </w:rPr>
              <w:t>156</w:t>
            </w:r>
          </w:hyperlink>
        </w:p>
        <w:p>
          <w:pPr>
            <w:pStyle w:val="Contents3"/>
            <w:tabs>
              <w:tab w:val="clear" w:pos="8459"/>
              <w:tab w:val="right" w:pos="9026" w:leader="dot"/>
            </w:tabs>
            <w:rPr/>
          </w:pPr>
          <w:hyperlink w:anchor="__RefHeading___Toc39790_1878427129">
            <w:r>
              <w:rPr>
                <w:webHidden/>
                <w:rStyle w:val="IndexLink"/>
              </w:rPr>
              <w:t>3</w:t>
            </w:r>
            <w:r>
              <w:rPr>
                <w:rStyle w:val="IndexLink"/>
                <w:rtl w:val="true"/>
              </w:rPr>
              <w:t xml:space="preserve">. </w:t>
            </w:r>
            <w:r>
              <w:rPr>
                <w:rStyle w:val="IndexLink"/>
                <w:rtl w:val="true"/>
              </w:rPr>
              <w:t>جایگاه امروزی نظریۀ تکامل</w:t>
            </w:r>
            <w:r>
              <w:rPr>
                <w:rStyle w:val="IndexLink"/>
                <w:rtl w:val="true"/>
              </w:rPr>
              <w:tab/>
            </w:r>
            <w:r>
              <w:rPr>
                <w:rStyle w:val="IndexLink"/>
              </w:rPr>
              <w:t>162</w:t>
            </w:r>
          </w:hyperlink>
        </w:p>
        <w:p>
          <w:pPr>
            <w:pStyle w:val="Contents3"/>
            <w:tabs>
              <w:tab w:val="clear" w:pos="8459"/>
              <w:tab w:val="right" w:pos="9026" w:leader="dot"/>
            </w:tabs>
            <w:rPr/>
          </w:pPr>
          <w:hyperlink w:anchor="__RefHeading___Toc39792_1878427129">
            <w:r>
              <w:rPr>
                <w:webHidden/>
                <w:rStyle w:val="IndexLink"/>
              </w:rPr>
              <w:t>4</w:t>
            </w:r>
            <w:r>
              <w:rPr>
                <w:rStyle w:val="IndexLink"/>
                <w:rtl w:val="true"/>
              </w:rPr>
              <w:t xml:space="preserve">. </w:t>
            </w:r>
            <w:r>
              <w:rPr>
                <w:rStyle w:val="IndexLink"/>
                <w:rtl w:val="true"/>
              </w:rPr>
              <w:t>خطوط کلی نظریۀ تکاملی داروین</w:t>
            </w:r>
            <w:r>
              <w:rPr>
                <w:rStyle w:val="IndexLink"/>
                <w:rtl w:val="true"/>
              </w:rPr>
              <w:tab/>
            </w:r>
            <w:r>
              <w:rPr>
                <w:rStyle w:val="IndexLink"/>
              </w:rPr>
              <w:t>168</w:t>
            </w:r>
          </w:hyperlink>
        </w:p>
        <w:p>
          <w:pPr>
            <w:pStyle w:val="Contents3"/>
            <w:tabs>
              <w:tab w:val="clear" w:pos="8459"/>
              <w:tab w:val="right" w:pos="9026" w:leader="dot"/>
            </w:tabs>
            <w:rPr/>
          </w:pPr>
          <w:hyperlink w:anchor="__RefHeading___Toc39794_1878427129">
            <w:r>
              <w:rPr>
                <w:webHidden/>
                <w:rStyle w:val="IndexLink"/>
              </w:rPr>
              <w:t>5</w:t>
            </w:r>
            <w:r>
              <w:rPr>
                <w:rStyle w:val="IndexLink"/>
                <w:rtl w:val="true"/>
              </w:rPr>
              <w:t xml:space="preserve">. </w:t>
            </w:r>
            <w:r>
              <w:rPr>
                <w:rStyle w:val="IndexLink"/>
                <w:rtl w:val="true"/>
              </w:rPr>
              <w:t>پیامدهای الهیاتی نظریۀ تکامل</w:t>
            </w:r>
            <w:r>
              <w:rPr>
                <w:rStyle w:val="IndexLink"/>
                <w:rtl w:val="true"/>
              </w:rPr>
              <w:tab/>
            </w:r>
            <w:r>
              <w:rPr>
                <w:rStyle w:val="IndexLink"/>
              </w:rPr>
              <w:t>171</w:t>
            </w:r>
          </w:hyperlink>
        </w:p>
        <w:p>
          <w:pPr>
            <w:pStyle w:val="Contents3"/>
            <w:tabs>
              <w:tab w:val="clear" w:pos="8459"/>
              <w:tab w:val="right" w:pos="9026" w:leader="dot"/>
            </w:tabs>
            <w:rPr/>
          </w:pPr>
          <w:hyperlink w:anchor="__RefHeading___Toc39796_1878427129">
            <w:r>
              <w:rPr>
                <w:webHidden/>
                <w:rStyle w:val="IndexLink"/>
              </w:rPr>
              <w:t>6</w:t>
            </w:r>
            <w:r>
              <w:rPr>
                <w:rStyle w:val="IndexLink"/>
                <w:rtl w:val="true"/>
              </w:rPr>
              <w:t xml:space="preserve">. </w:t>
            </w:r>
            <w:r>
              <w:rPr>
                <w:rStyle w:val="IndexLink"/>
                <w:rtl w:val="true"/>
              </w:rPr>
              <w:t>بازتاب نظریۀ تکامل در جهان اسلام</w:t>
            </w:r>
            <w:r>
              <w:rPr>
                <w:rStyle w:val="IndexLink"/>
                <w:rtl w:val="true"/>
              </w:rPr>
              <w:tab/>
            </w:r>
            <w:r>
              <w:rPr>
                <w:rStyle w:val="IndexLink"/>
              </w:rPr>
              <w:t>175</w:t>
            </w:r>
          </w:hyperlink>
        </w:p>
        <w:p>
          <w:pPr>
            <w:pStyle w:val="Contents3"/>
            <w:tabs>
              <w:tab w:val="clear" w:pos="8459"/>
              <w:tab w:val="right" w:pos="9026" w:leader="dot"/>
            </w:tabs>
            <w:rPr/>
          </w:pPr>
          <w:hyperlink w:anchor="__RefHeading___Toc39798_1878427129">
            <w:r>
              <w:rPr>
                <w:webHidden/>
                <w:rStyle w:val="IndexLink"/>
              </w:rPr>
              <w:t>7</w:t>
            </w:r>
            <w:r>
              <w:rPr>
                <w:rStyle w:val="IndexLink"/>
                <w:rtl w:val="true"/>
              </w:rPr>
              <w:t xml:space="preserve">. </w:t>
            </w:r>
            <w:r>
              <w:rPr>
                <w:rStyle w:val="IndexLink"/>
                <w:rtl w:val="true"/>
              </w:rPr>
              <w:t>پاسخ های ایرانی به چالش تکامل</w:t>
            </w:r>
            <w:r>
              <w:rPr>
                <w:rStyle w:val="IndexLink"/>
                <w:rtl w:val="true"/>
              </w:rPr>
              <w:tab/>
            </w:r>
            <w:r>
              <w:rPr>
                <w:rStyle w:val="IndexLink"/>
              </w:rPr>
              <w:t>179</w:t>
            </w:r>
          </w:hyperlink>
        </w:p>
        <w:p>
          <w:pPr>
            <w:pStyle w:val="Contents4"/>
            <w:tabs>
              <w:tab w:val="clear" w:pos="8176"/>
              <w:tab w:val="right" w:pos="9026" w:leader="dot"/>
            </w:tabs>
            <w:rPr/>
          </w:pPr>
          <w:hyperlink w:anchor="__RefHeading___Toc39800_1878427129">
            <w:r>
              <w:rPr>
                <w:webHidden/>
                <w:rStyle w:val="IndexLink"/>
                <w:rtl w:val="true"/>
              </w:rPr>
              <w:t>اشاره</w:t>
            </w:r>
            <w:r>
              <w:rPr>
                <w:rStyle w:val="IndexLink"/>
                <w:rtl w:val="true"/>
              </w:rPr>
              <w:tab/>
            </w:r>
            <w:r>
              <w:rPr>
                <w:rStyle w:val="IndexLink"/>
              </w:rPr>
              <w:t>179</w:t>
            </w:r>
          </w:hyperlink>
        </w:p>
        <w:p>
          <w:pPr>
            <w:pStyle w:val="Contents4"/>
            <w:tabs>
              <w:tab w:val="clear" w:pos="8176"/>
              <w:tab w:val="right" w:pos="9026" w:leader="dot"/>
            </w:tabs>
            <w:rPr/>
          </w:pPr>
          <w:hyperlink w:anchor="__RefHeading___Toc39802_1878427129">
            <w:r>
              <w:rPr>
                <w:webHidden/>
                <w:rStyle w:val="IndexLink"/>
              </w:rPr>
              <w:t>7.1</w:t>
            </w:r>
            <w:r>
              <w:rPr>
                <w:rStyle w:val="IndexLink"/>
                <w:rtl w:val="true"/>
              </w:rPr>
              <w:t xml:space="preserve">. </w:t>
            </w:r>
            <w:r>
              <w:rPr>
                <w:rStyle w:val="IndexLink"/>
                <w:rtl w:val="true"/>
              </w:rPr>
              <w:t>مخالفت قرآن با نظریۀ تکاملی داروین</w:t>
            </w:r>
            <w:r>
              <w:rPr>
                <w:rStyle w:val="IndexLink"/>
                <w:rtl w:val="true"/>
              </w:rPr>
              <w:tab/>
            </w:r>
            <w:r>
              <w:rPr>
                <w:rStyle w:val="IndexLink"/>
              </w:rPr>
              <w:t>181</w:t>
            </w:r>
          </w:hyperlink>
        </w:p>
        <w:p>
          <w:pPr>
            <w:pStyle w:val="Contents4"/>
            <w:tabs>
              <w:tab w:val="clear" w:pos="8176"/>
              <w:tab w:val="right" w:pos="9026" w:leader="dot"/>
            </w:tabs>
            <w:rPr/>
          </w:pPr>
          <w:hyperlink w:anchor="__RefHeading___Toc39804_1878427129">
            <w:r>
              <w:rPr>
                <w:webHidden/>
                <w:rStyle w:val="IndexLink"/>
              </w:rPr>
              <w:t>7.2</w:t>
            </w:r>
            <w:r>
              <w:rPr>
                <w:rStyle w:val="IndexLink"/>
                <w:rtl w:val="true"/>
              </w:rPr>
              <w:t xml:space="preserve">. </w:t>
            </w:r>
            <w:r>
              <w:rPr>
                <w:rStyle w:val="IndexLink"/>
                <w:rtl w:val="true"/>
              </w:rPr>
              <w:t>موافقت قرآن با نظریۀ تکاملی داروین</w:t>
            </w:r>
            <w:r>
              <w:rPr>
                <w:rStyle w:val="IndexLink"/>
                <w:rtl w:val="true"/>
              </w:rPr>
              <w:tab/>
            </w:r>
            <w:r>
              <w:rPr>
                <w:rStyle w:val="IndexLink"/>
              </w:rPr>
              <w:t>192</w:t>
            </w:r>
          </w:hyperlink>
        </w:p>
        <w:p>
          <w:pPr>
            <w:pStyle w:val="Contents4"/>
            <w:tabs>
              <w:tab w:val="clear" w:pos="8176"/>
              <w:tab w:val="right" w:pos="9026" w:leader="dot"/>
            </w:tabs>
            <w:rPr/>
          </w:pPr>
          <w:hyperlink w:anchor="__RefHeading___Toc39806_1878427129">
            <w:r>
              <w:rPr>
                <w:webHidden/>
                <w:rStyle w:val="IndexLink"/>
              </w:rPr>
              <w:t>7.3</w:t>
            </w:r>
            <w:r>
              <w:rPr>
                <w:rStyle w:val="IndexLink"/>
                <w:rtl w:val="true"/>
              </w:rPr>
              <w:t xml:space="preserve">. </w:t>
            </w:r>
            <w:r>
              <w:rPr>
                <w:rStyle w:val="IndexLink"/>
                <w:rtl w:val="true"/>
              </w:rPr>
              <w:t>سکوت قرآن در قبال نظریۀ تکاملی داروین</w:t>
            </w:r>
            <w:r>
              <w:rPr>
                <w:rStyle w:val="IndexLink"/>
                <w:rtl w:val="true"/>
              </w:rPr>
              <w:tab/>
            </w:r>
            <w:r>
              <w:rPr>
                <w:rStyle w:val="IndexLink"/>
              </w:rPr>
              <w:t>196</w:t>
            </w:r>
          </w:hyperlink>
        </w:p>
        <w:p>
          <w:pPr>
            <w:pStyle w:val="Contents4"/>
            <w:tabs>
              <w:tab w:val="clear" w:pos="8176"/>
              <w:tab w:val="right" w:pos="9026" w:leader="dot"/>
            </w:tabs>
            <w:rPr/>
          </w:pPr>
          <w:hyperlink w:anchor="__RefHeading___Toc39808_1878427129">
            <w:r>
              <w:rPr>
                <w:webHidden/>
                <w:rStyle w:val="IndexLink"/>
                <w:rtl w:val="true"/>
              </w:rPr>
              <w:t>رهیافت فلسفی مطهری</w:t>
            </w:r>
            <w:r>
              <w:rPr>
                <w:rStyle w:val="IndexLink"/>
                <w:rtl w:val="true"/>
              </w:rPr>
              <w:tab/>
            </w:r>
            <w:r>
              <w:rPr>
                <w:rStyle w:val="IndexLink"/>
              </w:rPr>
              <w:t>196</w:t>
            </w:r>
          </w:hyperlink>
        </w:p>
        <w:p>
          <w:pPr>
            <w:pStyle w:val="Contents4"/>
            <w:tabs>
              <w:tab w:val="clear" w:pos="8176"/>
              <w:tab w:val="right" w:pos="9026" w:leader="dot"/>
            </w:tabs>
            <w:rPr/>
          </w:pPr>
          <w:hyperlink w:anchor="__RefHeading___Toc39810_1878427129">
            <w:r>
              <w:rPr>
                <w:webHidden/>
                <w:rStyle w:val="IndexLink"/>
                <w:rtl w:val="true"/>
              </w:rPr>
              <w:t>رهیافت تفسیری مشکینی</w:t>
            </w:r>
            <w:r>
              <w:rPr>
                <w:rStyle w:val="IndexLink"/>
                <w:rtl w:val="true"/>
              </w:rPr>
              <w:tab/>
            </w:r>
            <w:r>
              <w:rPr>
                <w:rStyle w:val="IndexLink"/>
              </w:rPr>
              <w:t>200</w:t>
            </w:r>
          </w:hyperlink>
        </w:p>
        <w:p>
          <w:pPr>
            <w:pStyle w:val="Contents3"/>
            <w:tabs>
              <w:tab w:val="clear" w:pos="8459"/>
              <w:tab w:val="right" w:pos="9026" w:leader="dot"/>
            </w:tabs>
            <w:rPr/>
          </w:pPr>
          <w:hyperlink w:anchor="__RefHeading___Toc39812_1878427129">
            <w:r>
              <w:rPr>
                <w:webHidden/>
                <w:rStyle w:val="IndexLink"/>
              </w:rPr>
              <w:t>8</w:t>
            </w:r>
            <w:r>
              <w:rPr>
                <w:rStyle w:val="IndexLink"/>
                <w:rtl w:val="true"/>
              </w:rPr>
              <w:t xml:space="preserve">. </w:t>
            </w:r>
            <w:r>
              <w:rPr>
                <w:rStyle w:val="IndexLink"/>
                <w:rtl w:val="true"/>
              </w:rPr>
              <w:t>درس های آموختنی از این مناقشه</w:t>
            </w:r>
            <w:r>
              <w:rPr>
                <w:rStyle w:val="IndexLink"/>
                <w:rtl w:val="true"/>
              </w:rPr>
              <w:tab/>
            </w:r>
            <w:r>
              <w:rPr>
                <w:rStyle w:val="IndexLink"/>
              </w:rPr>
              <w:t>209</w:t>
            </w:r>
          </w:hyperlink>
        </w:p>
        <w:p>
          <w:pPr>
            <w:pStyle w:val="Contents3"/>
            <w:tabs>
              <w:tab w:val="clear" w:pos="8459"/>
              <w:tab w:val="right" w:pos="9026" w:leader="dot"/>
            </w:tabs>
            <w:rPr/>
          </w:pPr>
          <w:hyperlink w:anchor="__RefHeading___Toc39814_1878427129">
            <w:r>
              <w:rPr>
                <w:webHidden/>
                <w:rStyle w:val="IndexLink"/>
                <w:rtl w:val="true"/>
              </w:rPr>
              <w:t>کتاب نامه</w:t>
            </w:r>
            <w:r>
              <w:rPr>
                <w:rStyle w:val="IndexLink"/>
                <w:rtl w:val="true"/>
              </w:rPr>
              <w:tab/>
            </w:r>
            <w:r>
              <w:rPr>
                <w:rStyle w:val="IndexLink"/>
              </w:rPr>
              <w:t>218</w:t>
            </w:r>
          </w:hyperlink>
        </w:p>
        <w:p>
          <w:pPr>
            <w:pStyle w:val="Contents2"/>
            <w:tabs>
              <w:tab w:val="clear" w:pos="8743"/>
              <w:tab w:val="right" w:pos="9026" w:leader="dot"/>
            </w:tabs>
            <w:rPr/>
          </w:pPr>
          <w:hyperlink w:anchor="__RefHeading___Toc39816_1878427129">
            <w:r>
              <w:rPr>
                <w:webHidden/>
                <w:rStyle w:val="IndexLink"/>
                <w:rtl w:val="true"/>
              </w:rPr>
              <w:t>آیت اللّه مشکینی و اعتقادات دینی</w:t>
            </w:r>
            <w:r>
              <w:rPr>
                <w:rStyle w:val="IndexLink"/>
                <w:rtl w:val="true"/>
              </w:rPr>
              <w:tab/>
            </w:r>
            <w:r>
              <w:rPr>
                <w:rStyle w:val="IndexLink"/>
              </w:rPr>
              <w:t>224</w:t>
            </w:r>
          </w:hyperlink>
        </w:p>
        <w:p>
          <w:pPr>
            <w:pStyle w:val="Contents3"/>
            <w:tabs>
              <w:tab w:val="clear" w:pos="8459"/>
              <w:tab w:val="right" w:pos="9026" w:leader="dot"/>
            </w:tabs>
            <w:rPr/>
          </w:pPr>
          <w:hyperlink w:anchor="__RefHeading___Toc39818_1878427129">
            <w:r>
              <w:rPr>
                <w:webHidden/>
                <w:rStyle w:val="IndexLink"/>
                <w:rtl w:val="true"/>
              </w:rPr>
              <w:t>اشاره</w:t>
            </w:r>
            <w:r>
              <w:rPr>
                <w:rStyle w:val="IndexLink"/>
                <w:rtl w:val="true"/>
              </w:rPr>
              <w:tab/>
            </w:r>
            <w:r>
              <w:rPr>
                <w:rStyle w:val="IndexLink"/>
              </w:rPr>
              <w:t>224</w:t>
            </w:r>
          </w:hyperlink>
        </w:p>
        <w:p>
          <w:pPr>
            <w:pStyle w:val="Contents3"/>
            <w:tabs>
              <w:tab w:val="clear" w:pos="8459"/>
              <w:tab w:val="right" w:pos="9026" w:leader="dot"/>
            </w:tabs>
            <w:rPr/>
          </w:pPr>
          <w:hyperlink w:anchor="__RefHeading___Toc39820_1878427129">
            <w:r>
              <w:rPr>
                <w:webHidden/>
                <w:rStyle w:val="IndexLink"/>
                <w:rtl w:val="true"/>
              </w:rPr>
              <w:t>چکیده</w:t>
            </w:r>
            <w:r>
              <w:rPr>
                <w:rStyle w:val="IndexLink"/>
                <w:rtl w:val="true"/>
              </w:rPr>
              <w:tab/>
            </w:r>
            <w:r>
              <w:rPr>
                <w:rStyle w:val="IndexLink"/>
              </w:rPr>
              <w:t>224</w:t>
            </w:r>
          </w:hyperlink>
        </w:p>
        <w:p>
          <w:pPr>
            <w:pStyle w:val="Contents3"/>
            <w:tabs>
              <w:tab w:val="clear" w:pos="8459"/>
              <w:tab w:val="right" w:pos="9026" w:leader="dot"/>
            </w:tabs>
            <w:rPr/>
          </w:pPr>
          <w:hyperlink w:anchor="__RefHeading___Toc39822_1878427129">
            <w:r>
              <w:rPr>
                <w:webHidden/>
                <w:rStyle w:val="IndexLink"/>
                <w:rtl w:val="true"/>
              </w:rPr>
              <w:t>مقدمه</w:t>
            </w:r>
            <w:r>
              <w:rPr>
                <w:rStyle w:val="IndexLink"/>
                <w:rtl w:val="true"/>
              </w:rPr>
              <w:tab/>
            </w:r>
            <w:r>
              <w:rPr>
                <w:rStyle w:val="IndexLink"/>
              </w:rPr>
              <w:t>224</w:t>
            </w:r>
          </w:hyperlink>
        </w:p>
        <w:p>
          <w:pPr>
            <w:pStyle w:val="Contents3"/>
            <w:tabs>
              <w:tab w:val="clear" w:pos="8459"/>
              <w:tab w:val="right" w:pos="9026" w:leader="dot"/>
            </w:tabs>
            <w:rPr/>
          </w:pPr>
          <w:hyperlink w:anchor="__RefHeading___Toc39824_1878427129">
            <w:r>
              <w:rPr>
                <w:webHidden/>
                <w:rStyle w:val="IndexLink"/>
                <w:rtl w:val="true"/>
              </w:rPr>
              <w:t>روحیۀ علمی</w:t>
            </w:r>
            <w:r>
              <w:rPr>
                <w:rStyle w:val="IndexLink"/>
                <w:rtl w:val="true"/>
              </w:rPr>
              <w:tab/>
            </w:r>
            <w:r>
              <w:rPr>
                <w:rStyle w:val="IndexLink"/>
              </w:rPr>
              <w:t>226</w:t>
            </w:r>
          </w:hyperlink>
        </w:p>
        <w:p>
          <w:pPr>
            <w:pStyle w:val="Contents3"/>
            <w:tabs>
              <w:tab w:val="clear" w:pos="8459"/>
              <w:tab w:val="right" w:pos="9026" w:leader="dot"/>
            </w:tabs>
            <w:rPr/>
          </w:pPr>
          <w:hyperlink w:anchor="__RefHeading___Toc39826_1878427129">
            <w:r>
              <w:rPr>
                <w:webHidden/>
                <w:rStyle w:val="IndexLink"/>
                <w:rtl w:val="true"/>
              </w:rPr>
              <w:t>سرچشمه های عقاید در نظر آیت اللّه مشکینی رحمه الله</w:t>
            </w:r>
            <w:r>
              <w:rPr>
                <w:rStyle w:val="IndexLink"/>
                <w:rtl w:val="true"/>
              </w:rPr>
              <w:tab/>
            </w:r>
            <w:r>
              <w:rPr>
                <w:rStyle w:val="IndexLink"/>
              </w:rPr>
              <w:t>228</w:t>
            </w:r>
          </w:hyperlink>
        </w:p>
        <w:p>
          <w:pPr>
            <w:pStyle w:val="Contents3"/>
            <w:tabs>
              <w:tab w:val="clear" w:pos="8459"/>
              <w:tab w:val="right" w:pos="9026" w:leader="dot"/>
            </w:tabs>
            <w:rPr/>
          </w:pPr>
          <w:hyperlink w:anchor="__RefHeading___Toc39828_1878427129">
            <w:r>
              <w:rPr>
                <w:webHidden/>
                <w:rStyle w:val="IndexLink"/>
                <w:rtl w:val="true"/>
              </w:rPr>
              <w:t>عقاید و خبر واحد</w:t>
            </w:r>
            <w:r>
              <w:rPr>
                <w:rStyle w:val="IndexLink"/>
                <w:rtl w:val="true"/>
              </w:rPr>
              <w:tab/>
            </w:r>
            <w:r>
              <w:rPr>
                <w:rStyle w:val="IndexLink"/>
              </w:rPr>
              <w:t>230</w:t>
            </w:r>
          </w:hyperlink>
        </w:p>
        <w:p>
          <w:pPr>
            <w:pStyle w:val="Contents3"/>
            <w:tabs>
              <w:tab w:val="clear" w:pos="8459"/>
              <w:tab w:val="right" w:pos="9026" w:leader="dot"/>
            </w:tabs>
            <w:rPr/>
          </w:pPr>
          <w:hyperlink w:anchor="__RefHeading___Toc39830_1878427129">
            <w:r>
              <w:rPr>
                <w:webHidden/>
                <w:rStyle w:val="IndexLink"/>
                <w:rtl w:val="true"/>
              </w:rPr>
              <w:t>نگاه به مسائل روز</w:t>
            </w:r>
            <w:r>
              <w:rPr>
                <w:rStyle w:val="IndexLink"/>
                <w:rtl w:val="true"/>
              </w:rPr>
              <w:tab/>
            </w:r>
            <w:r>
              <w:rPr>
                <w:rStyle w:val="IndexLink"/>
              </w:rPr>
              <w:t>231</w:t>
            </w:r>
          </w:hyperlink>
        </w:p>
        <w:p>
          <w:pPr>
            <w:pStyle w:val="Contents3"/>
            <w:tabs>
              <w:tab w:val="clear" w:pos="8459"/>
              <w:tab w:val="right" w:pos="9026" w:leader="dot"/>
            </w:tabs>
            <w:rPr/>
          </w:pPr>
          <w:hyperlink w:anchor="__RefHeading___Toc39832_1878427129">
            <w:r>
              <w:rPr>
                <w:webHidden/>
                <w:rStyle w:val="IndexLink"/>
                <w:rtl w:val="true"/>
              </w:rPr>
              <w:t>باورهای اجتهادی</w:t>
            </w:r>
            <w:r>
              <w:rPr>
                <w:rStyle w:val="IndexLink"/>
                <w:rtl w:val="true"/>
              </w:rPr>
              <w:tab/>
            </w:r>
            <w:r>
              <w:rPr>
                <w:rStyle w:val="IndexLink"/>
              </w:rPr>
              <w:t>232</w:t>
            </w:r>
          </w:hyperlink>
        </w:p>
        <w:p>
          <w:pPr>
            <w:pStyle w:val="Contents3"/>
            <w:tabs>
              <w:tab w:val="clear" w:pos="8459"/>
              <w:tab w:val="right" w:pos="9026" w:leader="dot"/>
            </w:tabs>
            <w:rPr/>
          </w:pPr>
          <w:hyperlink w:anchor="__RefHeading___Toc39834_1878427129">
            <w:r>
              <w:rPr>
                <w:webHidden/>
                <w:rStyle w:val="IndexLink"/>
                <w:rtl w:val="true"/>
              </w:rPr>
              <w:t>آیت اللّه مشکینی و روشنفکری دینی</w:t>
            </w:r>
            <w:r>
              <w:rPr>
                <w:rStyle w:val="IndexLink"/>
                <w:rtl w:val="true"/>
              </w:rPr>
              <w:tab/>
            </w:r>
            <w:r>
              <w:rPr>
                <w:rStyle w:val="IndexLink"/>
              </w:rPr>
              <w:t>240</w:t>
            </w:r>
          </w:hyperlink>
        </w:p>
        <w:p>
          <w:pPr>
            <w:pStyle w:val="Contents3"/>
            <w:tabs>
              <w:tab w:val="clear" w:pos="8459"/>
              <w:tab w:val="right" w:pos="9026" w:leader="dot"/>
            </w:tabs>
            <w:rPr/>
          </w:pPr>
          <w:hyperlink w:anchor="__RefHeading___Toc39836_1878427129">
            <w:r>
              <w:rPr>
                <w:webHidden/>
                <w:rStyle w:val="IndexLink"/>
                <w:rtl w:val="true"/>
              </w:rPr>
              <w:t>پایان سخن</w:t>
            </w:r>
            <w:r>
              <w:rPr>
                <w:rStyle w:val="IndexLink"/>
                <w:rtl w:val="true"/>
              </w:rPr>
              <w:tab/>
            </w:r>
            <w:r>
              <w:rPr>
                <w:rStyle w:val="IndexLink"/>
              </w:rPr>
              <w:t>243</w:t>
            </w:r>
          </w:hyperlink>
        </w:p>
        <w:p>
          <w:pPr>
            <w:pStyle w:val="Contents3"/>
            <w:tabs>
              <w:tab w:val="clear" w:pos="8459"/>
              <w:tab w:val="right" w:pos="9026" w:leader="dot"/>
            </w:tabs>
            <w:rPr/>
          </w:pPr>
          <w:hyperlink w:anchor="__RefHeading___Toc39838_1878427129">
            <w:r>
              <w:rPr>
                <w:webHidden/>
                <w:rStyle w:val="IndexLink"/>
                <w:rtl w:val="true"/>
              </w:rPr>
              <w:t>کتاب نامه</w:t>
            </w:r>
            <w:r>
              <w:rPr>
                <w:rStyle w:val="IndexLink"/>
                <w:rtl w:val="true"/>
              </w:rPr>
              <w:tab/>
            </w:r>
            <w:r>
              <w:rPr>
                <w:rStyle w:val="IndexLink"/>
              </w:rPr>
              <w:t>244</w:t>
            </w:r>
          </w:hyperlink>
        </w:p>
        <w:p>
          <w:pPr>
            <w:pStyle w:val="Contents2"/>
            <w:tabs>
              <w:tab w:val="clear" w:pos="8743"/>
              <w:tab w:val="right" w:pos="9026" w:leader="dot"/>
            </w:tabs>
            <w:rPr/>
          </w:pPr>
          <w:hyperlink w:anchor="__RefHeading___Toc39840_1878427129">
            <w:r>
              <w:rPr>
                <w:webHidden/>
                <w:rStyle w:val="IndexLink"/>
                <w:rtl w:val="true"/>
              </w:rPr>
              <w:t>نخستین گام در فرهنگ اصطلاحات اصول فقه</w:t>
            </w:r>
            <w:r>
              <w:rPr>
                <w:rStyle w:val="IndexLink"/>
                <w:rtl w:val="true"/>
              </w:rPr>
              <w:tab/>
            </w:r>
            <w:r>
              <w:rPr>
                <w:rStyle w:val="IndexLink"/>
              </w:rPr>
              <w:t>246</w:t>
            </w:r>
          </w:hyperlink>
        </w:p>
        <w:p>
          <w:pPr>
            <w:pStyle w:val="Contents3"/>
            <w:tabs>
              <w:tab w:val="clear" w:pos="8459"/>
              <w:tab w:val="right" w:pos="9026" w:leader="dot"/>
            </w:tabs>
            <w:rPr/>
          </w:pPr>
          <w:hyperlink w:anchor="__RefHeading___Toc39842_1878427129">
            <w:r>
              <w:rPr>
                <w:webHidden/>
                <w:rStyle w:val="IndexLink"/>
                <w:rtl w:val="true"/>
              </w:rPr>
              <w:t>اشاره</w:t>
            </w:r>
            <w:r>
              <w:rPr>
                <w:rStyle w:val="IndexLink"/>
                <w:rtl w:val="true"/>
              </w:rPr>
              <w:tab/>
            </w:r>
            <w:r>
              <w:rPr>
                <w:rStyle w:val="IndexLink"/>
              </w:rPr>
              <w:t>246</w:t>
            </w:r>
          </w:hyperlink>
        </w:p>
        <w:p>
          <w:pPr>
            <w:pStyle w:val="Contents3"/>
            <w:tabs>
              <w:tab w:val="clear" w:pos="8459"/>
              <w:tab w:val="right" w:pos="9026" w:leader="dot"/>
            </w:tabs>
            <w:rPr/>
          </w:pPr>
          <w:hyperlink w:anchor="__RefHeading___Toc39844_1878427129">
            <w:r>
              <w:rPr>
                <w:webHidden/>
                <w:rStyle w:val="IndexLink"/>
                <w:rtl w:val="true"/>
              </w:rPr>
              <w:t>چکیده</w:t>
            </w:r>
            <w:r>
              <w:rPr>
                <w:rStyle w:val="IndexLink"/>
                <w:rtl w:val="true"/>
              </w:rPr>
              <w:tab/>
            </w:r>
            <w:r>
              <w:rPr>
                <w:rStyle w:val="IndexLink"/>
              </w:rPr>
              <w:t>246</w:t>
            </w:r>
          </w:hyperlink>
        </w:p>
        <w:p>
          <w:pPr>
            <w:pStyle w:val="Contents3"/>
            <w:tabs>
              <w:tab w:val="clear" w:pos="8459"/>
              <w:tab w:val="right" w:pos="9026" w:leader="dot"/>
            </w:tabs>
            <w:rPr/>
          </w:pPr>
          <w:hyperlink w:anchor="__RefHeading___Toc39846_1878427129">
            <w:r>
              <w:rPr>
                <w:webHidden/>
                <w:rStyle w:val="IndexLink"/>
                <w:rtl w:val="true"/>
              </w:rPr>
              <w:t>مقدمه</w:t>
            </w:r>
            <w:r>
              <w:rPr>
                <w:rStyle w:val="IndexLink"/>
                <w:rtl w:val="true"/>
              </w:rPr>
              <w:tab/>
            </w:r>
            <w:r>
              <w:rPr>
                <w:rStyle w:val="IndexLink"/>
              </w:rPr>
              <w:t>246</w:t>
            </w:r>
          </w:hyperlink>
        </w:p>
        <w:p>
          <w:pPr>
            <w:pStyle w:val="Contents3"/>
            <w:tabs>
              <w:tab w:val="clear" w:pos="8459"/>
              <w:tab w:val="right" w:pos="9026" w:leader="dot"/>
            </w:tabs>
            <w:rPr/>
          </w:pPr>
          <w:hyperlink w:anchor="__RefHeading___Toc39848_1878427129">
            <w:r>
              <w:rPr>
                <w:webHidden/>
                <w:rStyle w:val="IndexLink"/>
                <w:rtl w:val="true"/>
              </w:rPr>
              <w:t>تعاریف</w:t>
            </w:r>
            <w:r>
              <w:rPr>
                <w:rStyle w:val="IndexLink"/>
                <w:rtl w:val="true"/>
              </w:rPr>
              <w:tab/>
            </w:r>
            <w:r>
              <w:rPr>
                <w:rStyle w:val="IndexLink"/>
              </w:rPr>
              <w:t>248</w:t>
            </w:r>
          </w:hyperlink>
        </w:p>
        <w:p>
          <w:pPr>
            <w:pStyle w:val="Contents3"/>
            <w:tabs>
              <w:tab w:val="clear" w:pos="8459"/>
              <w:tab w:val="right" w:pos="9026" w:leader="dot"/>
            </w:tabs>
            <w:rPr/>
          </w:pPr>
          <w:hyperlink w:anchor="__RefHeading___Toc39850_1878427129">
            <w:r>
              <w:rPr>
                <w:webHidden/>
                <w:rStyle w:val="IndexLink"/>
                <w:rtl w:val="true"/>
              </w:rPr>
              <w:t>فرهنگ فرهنگ لغت</w:t>
            </w:r>
            <w:r>
              <w:rPr>
                <w:rStyle w:val="IndexLink"/>
                <w:rtl w:val="true"/>
              </w:rPr>
              <w:tab/>
            </w:r>
            <w:r>
              <w:rPr>
                <w:rStyle w:val="IndexLink"/>
              </w:rPr>
              <w:t>248</w:t>
            </w:r>
          </w:hyperlink>
        </w:p>
        <w:p>
          <w:pPr>
            <w:pStyle w:val="Contents3"/>
            <w:tabs>
              <w:tab w:val="clear" w:pos="8459"/>
              <w:tab w:val="right" w:pos="9026" w:leader="dot"/>
            </w:tabs>
            <w:rPr/>
          </w:pPr>
          <w:hyperlink w:anchor="__RefHeading___Toc39852_1878427129">
            <w:r>
              <w:rPr>
                <w:webHidden/>
                <w:rStyle w:val="IndexLink"/>
                <w:rtl w:val="true"/>
              </w:rPr>
              <w:t>اصطلاح نامه</w:t>
            </w:r>
            <w:r>
              <w:rPr>
                <w:rStyle w:val="IndexLink"/>
                <w:rtl w:val="true"/>
              </w:rPr>
              <w:tab/>
            </w:r>
            <w:r>
              <w:rPr>
                <w:rStyle w:val="IndexLink"/>
              </w:rPr>
              <w:t>249</w:t>
            </w:r>
          </w:hyperlink>
        </w:p>
        <w:p>
          <w:pPr>
            <w:pStyle w:val="Contents3"/>
            <w:tabs>
              <w:tab w:val="clear" w:pos="8459"/>
              <w:tab w:val="right" w:pos="9026" w:leader="dot"/>
            </w:tabs>
            <w:rPr/>
          </w:pPr>
          <w:hyperlink w:anchor="__RefHeading___Toc39854_1878427129">
            <w:r>
              <w:rPr>
                <w:webHidden/>
                <w:rStyle w:val="IndexLink"/>
                <w:rtl w:val="true"/>
              </w:rPr>
              <w:t>فرهنگ نامه</w:t>
            </w:r>
            <w:r>
              <w:rPr>
                <w:rStyle w:val="IndexLink"/>
                <w:rtl w:val="true"/>
              </w:rPr>
              <w:tab/>
            </w:r>
            <w:r>
              <w:rPr>
                <w:rStyle w:val="IndexLink"/>
              </w:rPr>
              <w:t>249</w:t>
            </w:r>
          </w:hyperlink>
        </w:p>
        <w:p>
          <w:pPr>
            <w:pStyle w:val="Contents3"/>
            <w:tabs>
              <w:tab w:val="clear" w:pos="8459"/>
              <w:tab w:val="right" w:pos="9026" w:leader="dot"/>
            </w:tabs>
            <w:rPr/>
          </w:pPr>
          <w:hyperlink w:anchor="__RefHeading___Toc39856_1878427129">
            <w:r>
              <w:rPr>
                <w:webHidden/>
                <w:rStyle w:val="IndexLink"/>
                <w:rtl w:val="true"/>
              </w:rPr>
              <w:t>دانش نامه</w:t>
            </w:r>
            <w:r>
              <w:rPr>
                <w:rStyle w:val="IndexLink"/>
                <w:rtl w:val="true"/>
              </w:rPr>
              <w:tab/>
            </w:r>
            <w:r>
              <w:rPr>
                <w:rStyle w:val="IndexLink"/>
              </w:rPr>
              <w:t>250</w:t>
            </w:r>
          </w:hyperlink>
        </w:p>
        <w:p>
          <w:pPr>
            <w:pStyle w:val="Contents3"/>
            <w:tabs>
              <w:tab w:val="clear" w:pos="8459"/>
              <w:tab w:val="right" w:pos="9026" w:leader="dot"/>
            </w:tabs>
            <w:rPr/>
          </w:pPr>
          <w:hyperlink w:anchor="__RefHeading___Toc39858_1878427129">
            <w:r>
              <w:rPr>
                <w:webHidden/>
                <w:rStyle w:val="IndexLink"/>
                <w:rtl w:val="true"/>
              </w:rPr>
              <w:t>دائرة المعارف</w:t>
            </w:r>
            <w:r>
              <w:rPr>
                <w:rStyle w:val="IndexLink"/>
                <w:rtl w:val="true"/>
              </w:rPr>
              <w:tab/>
            </w:r>
            <w:r>
              <w:rPr>
                <w:rStyle w:val="IndexLink"/>
              </w:rPr>
              <w:t>250</w:t>
            </w:r>
          </w:hyperlink>
        </w:p>
        <w:p>
          <w:pPr>
            <w:pStyle w:val="Contents3"/>
            <w:tabs>
              <w:tab w:val="clear" w:pos="8459"/>
              <w:tab w:val="right" w:pos="9026" w:leader="dot"/>
            </w:tabs>
            <w:rPr/>
          </w:pPr>
          <w:hyperlink w:anchor="__RefHeading___Toc39860_1878427129">
            <w:r>
              <w:rPr>
                <w:webHidden/>
                <w:rStyle w:val="IndexLink"/>
                <w:rtl w:val="true"/>
              </w:rPr>
              <w:t>پیشینۀ تشریح اصطلاحات در اصول فقه</w:t>
            </w:r>
            <w:r>
              <w:rPr>
                <w:rStyle w:val="IndexLink"/>
                <w:rtl w:val="true"/>
              </w:rPr>
              <w:tab/>
            </w:r>
            <w:r>
              <w:rPr>
                <w:rStyle w:val="IndexLink"/>
              </w:rPr>
              <w:t>252</w:t>
            </w:r>
          </w:hyperlink>
        </w:p>
        <w:p>
          <w:pPr>
            <w:pStyle w:val="Contents3"/>
            <w:tabs>
              <w:tab w:val="clear" w:pos="8459"/>
              <w:tab w:val="right" w:pos="9026" w:leader="dot"/>
            </w:tabs>
            <w:rPr/>
          </w:pPr>
          <w:hyperlink w:anchor="__RefHeading___Toc39862_1878427129">
            <w:r>
              <w:rPr>
                <w:webHidden/>
                <w:rStyle w:val="IndexLink"/>
                <w:rtl w:val="true"/>
              </w:rPr>
              <w:t>جدول تطبیقی فرهنگ نامه های اصولی</w:t>
            </w:r>
            <w:r>
              <w:rPr>
                <w:rStyle w:val="IndexLink"/>
                <w:rtl w:val="true"/>
              </w:rPr>
              <w:tab/>
            </w:r>
            <w:r>
              <w:rPr>
                <w:rStyle w:val="IndexLink"/>
              </w:rPr>
              <w:t>253</w:t>
            </w:r>
          </w:hyperlink>
        </w:p>
        <w:p>
          <w:pPr>
            <w:pStyle w:val="Contents3"/>
            <w:tabs>
              <w:tab w:val="clear" w:pos="8459"/>
              <w:tab w:val="right" w:pos="9026" w:leader="dot"/>
            </w:tabs>
            <w:rPr/>
          </w:pPr>
          <w:hyperlink w:anchor="__RefHeading___Toc39864_1878427129">
            <w:r>
              <w:rPr>
                <w:webHidden/>
                <w:rStyle w:val="IndexLink"/>
                <w:rtl w:val="true"/>
              </w:rPr>
              <w:t>عناوین الاصول</w:t>
            </w:r>
            <w:r>
              <w:rPr>
                <w:rStyle w:val="IndexLink"/>
                <w:rtl w:val="true"/>
              </w:rPr>
              <w:tab/>
            </w:r>
            <w:r>
              <w:rPr>
                <w:rStyle w:val="IndexLink"/>
              </w:rPr>
              <w:t>254</w:t>
            </w:r>
          </w:hyperlink>
        </w:p>
        <w:p>
          <w:pPr>
            <w:pStyle w:val="Contents3"/>
            <w:tabs>
              <w:tab w:val="clear" w:pos="8459"/>
              <w:tab w:val="right" w:pos="9026" w:leader="dot"/>
            </w:tabs>
            <w:rPr/>
          </w:pPr>
          <w:hyperlink w:anchor="__RefHeading___Toc39866_1878427129">
            <w:r>
              <w:rPr>
                <w:webHidden/>
                <w:rStyle w:val="IndexLink"/>
                <w:rtl w:val="true"/>
              </w:rPr>
              <w:t>معجم المصطلحات الاصولیه</w:t>
            </w:r>
            <w:r>
              <w:rPr>
                <w:rStyle w:val="IndexLink"/>
                <w:rtl w:val="true"/>
              </w:rPr>
              <w:tab/>
            </w:r>
            <w:r>
              <w:rPr>
                <w:rStyle w:val="IndexLink"/>
              </w:rPr>
              <w:t>254</w:t>
            </w:r>
          </w:hyperlink>
        </w:p>
        <w:p>
          <w:pPr>
            <w:pStyle w:val="Contents3"/>
            <w:tabs>
              <w:tab w:val="clear" w:pos="8459"/>
              <w:tab w:val="right" w:pos="9026" w:leader="dot"/>
            </w:tabs>
            <w:rPr/>
          </w:pPr>
          <w:hyperlink w:anchor="__RefHeading___Toc39868_1878427129">
            <w:r>
              <w:rPr>
                <w:webHidden/>
                <w:rStyle w:val="IndexLink"/>
                <w:rtl w:val="true"/>
              </w:rPr>
              <w:t>العناوین</w:t>
            </w:r>
            <w:r>
              <w:rPr>
                <w:rStyle w:val="IndexLink"/>
                <w:rtl w:val="true"/>
              </w:rPr>
              <w:tab/>
            </w:r>
            <w:r>
              <w:rPr>
                <w:rStyle w:val="IndexLink"/>
              </w:rPr>
              <w:t>255</w:t>
            </w:r>
          </w:hyperlink>
        </w:p>
        <w:p>
          <w:pPr>
            <w:pStyle w:val="Contents3"/>
            <w:tabs>
              <w:tab w:val="clear" w:pos="8459"/>
              <w:tab w:val="right" w:pos="9026" w:leader="dot"/>
            </w:tabs>
            <w:rPr/>
          </w:pPr>
          <w:hyperlink w:anchor="__RefHeading___Toc39870_1878427129">
            <w:r>
              <w:rPr>
                <w:webHidden/>
                <w:rStyle w:val="IndexLink"/>
                <w:rtl w:val="true"/>
              </w:rPr>
              <w:t>موسوعة مصطلحات اصول الفقه عند المسلمین</w:t>
            </w:r>
            <w:r>
              <w:rPr>
                <w:rStyle w:val="IndexLink"/>
                <w:rtl w:val="true"/>
              </w:rPr>
              <w:tab/>
            </w:r>
            <w:r>
              <w:rPr>
                <w:rStyle w:val="IndexLink"/>
              </w:rPr>
              <w:t>255</w:t>
            </w:r>
          </w:hyperlink>
        </w:p>
        <w:p>
          <w:pPr>
            <w:pStyle w:val="Contents3"/>
            <w:tabs>
              <w:tab w:val="clear" w:pos="8459"/>
              <w:tab w:val="right" w:pos="9026" w:leader="dot"/>
            </w:tabs>
            <w:rPr/>
          </w:pPr>
          <w:hyperlink w:anchor="__RefHeading___Toc39872_1878427129">
            <w:r>
              <w:rPr>
                <w:webHidden/>
                <w:rStyle w:val="IndexLink"/>
                <w:rtl w:val="true"/>
              </w:rPr>
              <w:t>معجم اصول الفقه</w:t>
            </w:r>
            <w:r>
              <w:rPr>
                <w:rStyle w:val="IndexLink"/>
                <w:rtl w:val="true"/>
              </w:rPr>
              <w:tab/>
            </w:r>
            <w:r>
              <w:rPr>
                <w:rStyle w:val="IndexLink"/>
              </w:rPr>
              <w:t>255</w:t>
            </w:r>
          </w:hyperlink>
        </w:p>
        <w:p>
          <w:pPr>
            <w:pStyle w:val="Contents3"/>
            <w:tabs>
              <w:tab w:val="clear" w:pos="8459"/>
              <w:tab w:val="right" w:pos="9026" w:leader="dot"/>
            </w:tabs>
            <w:rPr/>
          </w:pPr>
          <w:hyperlink w:anchor="__RefHeading___Toc39874_1878427129">
            <w:r>
              <w:rPr>
                <w:webHidden/>
                <w:rStyle w:val="IndexLink"/>
                <w:rtl w:val="true"/>
              </w:rPr>
              <w:t>معجم مصطلحات اصول الفقه</w:t>
            </w:r>
            <w:r>
              <w:rPr>
                <w:rStyle w:val="IndexLink"/>
                <w:rtl w:val="true"/>
              </w:rPr>
              <w:tab/>
            </w:r>
            <w:r>
              <w:rPr>
                <w:rStyle w:val="IndexLink"/>
              </w:rPr>
              <w:t>256</w:t>
            </w:r>
          </w:hyperlink>
        </w:p>
        <w:p>
          <w:pPr>
            <w:pStyle w:val="Contents3"/>
            <w:tabs>
              <w:tab w:val="clear" w:pos="8459"/>
              <w:tab w:val="right" w:pos="9026" w:leader="dot"/>
            </w:tabs>
            <w:rPr/>
          </w:pPr>
          <w:hyperlink w:anchor="__RefHeading___Toc39876_1878427129">
            <w:r>
              <w:rPr>
                <w:webHidden/>
                <w:rStyle w:val="IndexLink"/>
                <w:rtl w:val="true"/>
              </w:rPr>
              <w:t>المعجم الاصولی</w:t>
            </w:r>
            <w:r>
              <w:rPr>
                <w:rStyle w:val="IndexLink"/>
                <w:rtl w:val="true"/>
              </w:rPr>
              <w:tab/>
            </w:r>
            <w:r>
              <w:rPr>
                <w:rStyle w:val="IndexLink"/>
              </w:rPr>
              <w:t>256</w:t>
            </w:r>
          </w:hyperlink>
        </w:p>
        <w:p>
          <w:pPr>
            <w:pStyle w:val="Contents3"/>
            <w:tabs>
              <w:tab w:val="clear" w:pos="8459"/>
              <w:tab w:val="right" w:pos="9026" w:leader="dot"/>
            </w:tabs>
            <w:rPr/>
          </w:pPr>
          <w:hyperlink w:anchor="__RefHeading___Toc39878_1878427129">
            <w:r>
              <w:rPr>
                <w:webHidden/>
                <w:rStyle w:val="IndexLink"/>
                <w:rtl w:val="true"/>
              </w:rPr>
              <w:t>فرهنگ اصطلاحات اصولی</w:t>
            </w:r>
            <w:r>
              <w:rPr>
                <w:rStyle w:val="IndexLink"/>
                <w:rtl w:val="true"/>
              </w:rPr>
              <w:tab/>
            </w:r>
            <w:r>
              <w:rPr>
                <w:rStyle w:val="IndexLink"/>
              </w:rPr>
              <w:t>257</w:t>
            </w:r>
          </w:hyperlink>
        </w:p>
        <w:p>
          <w:pPr>
            <w:pStyle w:val="Contents3"/>
            <w:tabs>
              <w:tab w:val="clear" w:pos="8459"/>
              <w:tab w:val="right" w:pos="9026" w:leader="dot"/>
            </w:tabs>
            <w:rPr/>
          </w:pPr>
          <w:hyperlink w:anchor="__RefHeading___Toc39880_1878427129">
            <w:r>
              <w:rPr>
                <w:webHidden/>
                <w:rStyle w:val="IndexLink"/>
                <w:rtl w:val="true"/>
              </w:rPr>
              <w:t>فرهنگ اصطلاحات اصول</w:t>
            </w:r>
            <w:r>
              <w:rPr>
                <w:rStyle w:val="IndexLink"/>
                <w:rtl w:val="true"/>
              </w:rPr>
              <w:tab/>
            </w:r>
            <w:r>
              <w:rPr>
                <w:rStyle w:val="IndexLink"/>
              </w:rPr>
              <w:t>257</w:t>
            </w:r>
          </w:hyperlink>
        </w:p>
        <w:p>
          <w:pPr>
            <w:pStyle w:val="Contents3"/>
            <w:tabs>
              <w:tab w:val="clear" w:pos="8459"/>
              <w:tab w:val="right" w:pos="9026" w:leader="dot"/>
            </w:tabs>
            <w:rPr/>
          </w:pPr>
          <w:hyperlink w:anchor="__RefHeading___Toc39882_1878427129">
            <w:r>
              <w:rPr>
                <w:webHidden/>
                <w:rStyle w:val="IndexLink"/>
                <w:rtl w:val="true"/>
              </w:rPr>
              <w:t>واژه شناسی اصطلاحات اصول فقه</w:t>
            </w:r>
            <w:r>
              <w:rPr>
                <w:rStyle w:val="IndexLink"/>
                <w:rtl w:val="true"/>
              </w:rPr>
              <w:tab/>
            </w:r>
            <w:r>
              <w:rPr>
                <w:rStyle w:val="IndexLink"/>
              </w:rPr>
              <w:t>258</w:t>
            </w:r>
          </w:hyperlink>
        </w:p>
        <w:p>
          <w:pPr>
            <w:pStyle w:val="Contents3"/>
            <w:tabs>
              <w:tab w:val="clear" w:pos="8459"/>
              <w:tab w:val="right" w:pos="9026" w:leader="dot"/>
            </w:tabs>
            <w:rPr/>
          </w:pPr>
          <w:hyperlink w:anchor="__RefHeading___Toc39884_1878427129">
            <w:r>
              <w:rPr>
                <w:webHidden/>
                <w:rStyle w:val="IndexLink"/>
                <w:rtl w:val="true"/>
              </w:rPr>
              <w:t>القاموس المبین فی اصطلاحات الاصولیین</w:t>
            </w:r>
            <w:r>
              <w:rPr>
                <w:rStyle w:val="IndexLink"/>
                <w:rtl w:val="true"/>
              </w:rPr>
              <w:tab/>
            </w:r>
            <w:r>
              <w:rPr>
                <w:rStyle w:val="IndexLink"/>
              </w:rPr>
              <w:t>258</w:t>
            </w:r>
          </w:hyperlink>
        </w:p>
        <w:p>
          <w:pPr>
            <w:pStyle w:val="Contents3"/>
            <w:tabs>
              <w:tab w:val="clear" w:pos="8459"/>
              <w:tab w:val="right" w:pos="9026" w:leader="dot"/>
            </w:tabs>
            <w:rPr/>
          </w:pPr>
          <w:hyperlink w:anchor="__RefHeading___Toc39886_1878427129">
            <w:r>
              <w:rPr>
                <w:webHidden/>
                <w:rStyle w:val="IndexLink"/>
                <w:rtl w:val="true"/>
              </w:rPr>
              <w:t>فرهنگ تشریحی اصطلاحات اصول</w:t>
            </w:r>
            <w:r>
              <w:rPr>
                <w:rStyle w:val="IndexLink"/>
                <w:rtl w:val="true"/>
              </w:rPr>
              <w:tab/>
            </w:r>
            <w:r>
              <w:rPr>
                <w:rStyle w:val="IndexLink"/>
              </w:rPr>
              <w:t>258</w:t>
            </w:r>
          </w:hyperlink>
        </w:p>
        <w:p>
          <w:pPr>
            <w:pStyle w:val="Contents3"/>
            <w:tabs>
              <w:tab w:val="clear" w:pos="8459"/>
              <w:tab w:val="right" w:pos="9026" w:leader="dot"/>
            </w:tabs>
            <w:rPr/>
          </w:pPr>
          <w:hyperlink w:anchor="__RefHeading___Toc39888_1878427129">
            <w:r>
              <w:rPr>
                <w:webHidden/>
                <w:rStyle w:val="IndexLink"/>
                <w:rtl w:val="true"/>
              </w:rPr>
              <w:t>معجم اصطلاحات اصول الفقه</w:t>
            </w:r>
            <w:r>
              <w:rPr>
                <w:rStyle w:val="IndexLink"/>
                <w:rtl w:val="true"/>
              </w:rPr>
              <w:tab/>
            </w:r>
            <w:r>
              <w:rPr>
                <w:rStyle w:val="IndexLink"/>
              </w:rPr>
              <w:t>260</w:t>
            </w:r>
          </w:hyperlink>
        </w:p>
        <w:p>
          <w:pPr>
            <w:pStyle w:val="Contents3"/>
            <w:tabs>
              <w:tab w:val="clear" w:pos="8459"/>
              <w:tab w:val="right" w:pos="9026" w:leader="dot"/>
            </w:tabs>
            <w:rPr/>
          </w:pPr>
          <w:hyperlink w:anchor="__RefHeading___Toc39890_1878427129">
            <w:r>
              <w:rPr>
                <w:webHidden/>
                <w:rStyle w:val="IndexLink"/>
                <w:rtl w:val="true"/>
              </w:rPr>
              <w:t>معجم مصطلح الاصول</w:t>
            </w:r>
            <w:r>
              <w:rPr>
                <w:rStyle w:val="IndexLink"/>
                <w:rtl w:val="true"/>
              </w:rPr>
              <w:tab/>
            </w:r>
            <w:r>
              <w:rPr>
                <w:rStyle w:val="IndexLink"/>
              </w:rPr>
              <w:t>260</w:t>
            </w:r>
          </w:hyperlink>
        </w:p>
        <w:p>
          <w:pPr>
            <w:pStyle w:val="Contents3"/>
            <w:tabs>
              <w:tab w:val="clear" w:pos="8459"/>
              <w:tab w:val="right" w:pos="9026" w:leader="dot"/>
            </w:tabs>
            <w:rPr/>
          </w:pPr>
          <w:hyperlink w:anchor="__RefHeading___Toc39892_1878427129">
            <w:r>
              <w:rPr>
                <w:webHidden/>
                <w:rStyle w:val="IndexLink"/>
                <w:rtl w:val="true"/>
              </w:rPr>
              <w:t>التعریفات الفقهیه، معجم شرح الالفاظ المصطلح علیها بین الفقهاء و الاصولیین</w:t>
            </w:r>
            <w:r>
              <w:rPr>
                <w:rStyle w:val="IndexLink"/>
                <w:rtl w:val="true"/>
              </w:rPr>
              <w:tab/>
            </w:r>
            <w:r>
              <w:rPr>
                <w:rStyle w:val="IndexLink"/>
              </w:rPr>
              <w:t>260</w:t>
            </w:r>
          </w:hyperlink>
        </w:p>
        <w:p>
          <w:pPr>
            <w:pStyle w:val="Contents3"/>
            <w:tabs>
              <w:tab w:val="clear" w:pos="8459"/>
              <w:tab w:val="right" w:pos="9026" w:leader="dot"/>
            </w:tabs>
            <w:rPr/>
          </w:pPr>
          <w:hyperlink w:anchor="__RefHeading___Toc39894_1878427129">
            <w:r>
              <w:rPr>
                <w:webHidden/>
                <w:rStyle w:val="IndexLink"/>
                <w:rtl w:val="true"/>
              </w:rPr>
              <w:t>مصطلحات الفقهاء و الاصولیین</w:t>
            </w:r>
            <w:r>
              <w:rPr>
                <w:rStyle w:val="IndexLink"/>
                <w:rtl w:val="true"/>
              </w:rPr>
              <w:tab/>
            </w:r>
            <w:r>
              <w:rPr>
                <w:rStyle w:val="IndexLink"/>
              </w:rPr>
              <w:t>260</w:t>
            </w:r>
          </w:hyperlink>
        </w:p>
        <w:p>
          <w:pPr>
            <w:pStyle w:val="Contents3"/>
            <w:tabs>
              <w:tab w:val="clear" w:pos="8459"/>
              <w:tab w:val="right" w:pos="9026" w:leader="dot"/>
            </w:tabs>
            <w:rPr/>
          </w:pPr>
          <w:hyperlink w:anchor="__RefHeading___Toc39896_1878427129">
            <w:r>
              <w:rPr>
                <w:webHidden/>
                <w:rStyle w:val="IndexLink"/>
                <w:rtl w:val="true"/>
              </w:rPr>
              <w:t>مبادی و اصطلاحات اصول فقه</w:t>
            </w:r>
            <w:r>
              <w:rPr>
                <w:rStyle w:val="IndexLink"/>
                <w:rtl w:val="true"/>
              </w:rPr>
              <w:tab/>
            </w:r>
            <w:r>
              <w:rPr>
                <w:rStyle w:val="IndexLink"/>
              </w:rPr>
              <w:t>261</w:t>
            </w:r>
          </w:hyperlink>
        </w:p>
        <w:p>
          <w:pPr>
            <w:pStyle w:val="Contents3"/>
            <w:tabs>
              <w:tab w:val="clear" w:pos="8459"/>
              <w:tab w:val="right" w:pos="9026" w:leader="dot"/>
            </w:tabs>
            <w:rPr/>
          </w:pPr>
          <w:hyperlink w:anchor="__RefHeading___Toc39898_1878427129">
            <w:r>
              <w:rPr>
                <w:webHidden/>
                <w:rStyle w:val="IndexLink"/>
                <w:rtl w:val="true"/>
              </w:rPr>
              <w:t>المعجم التطبیقی للقواعد الاصولیة فی فقه الامامیة</w:t>
            </w:r>
            <w:r>
              <w:rPr>
                <w:rStyle w:val="IndexLink"/>
                <w:rtl w:val="true"/>
              </w:rPr>
              <w:tab/>
            </w:r>
            <w:r>
              <w:rPr>
                <w:rStyle w:val="IndexLink"/>
              </w:rPr>
              <w:t>261</w:t>
            </w:r>
          </w:hyperlink>
        </w:p>
        <w:p>
          <w:pPr>
            <w:pStyle w:val="Contents3"/>
            <w:tabs>
              <w:tab w:val="clear" w:pos="8459"/>
              <w:tab w:val="right" w:pos="9026" w:leader="dot"/>
            </w:tabs>
            <w:rPr/>
          </w:pPr>
          <w:hyperlink w:anchor="__RefHeading___Toc39900_1878427129">
            <w:r>
              <w:rPr>
                <w:webHidden/>
                <w:rStyle w:val="IndexLink"/>
                <w:rtl w:val="true"/>
              </w:rPr>
              <w:t>فرهنگ نامۀ اصول فقه</w:t>
            </w:r>
            <w:r>
              <w:rPr>
                <w:rStyle w:val="IndexLink"/>
                <w:rtl w:val="true"/>
              </w:rPr>
              <w:tab/>
            </w:r>
            <w:r>
              <w:rPr>
                <w:rStyle w:val="IndexLink"/>
              </w:rPr>
              <w:t>262</w:t>
            </w:r>
          </w:hyperlink>
        </w:p>
        <w:p>
          <w:pPr>
            <w:pStyle w:val="Contents3"/>
            <w:tabs>
              <w:tab w:val="clear" w:pos="8459"/>
              <w:tab w:val="right" w:pos="9026" w:leader="dot"/>
            </w:tabs>
            <w:rPr/>
          </w:pPr>
          <w:hyperlink w:anchor="__RefHeading___Toc39902_1878427129">
            <w:r>
              <w:rPr>
                <w:webHidden/>
                <w:rStyle w:val="IndexLink"/>
                <w:rtl w:val="true"/>
              </w:rPr>
              <w:t>اصول فقه عمومی و قواعد آن، همراه با فرهنگ اصطلاحات اصول فقه</w:t>
            </w:r>
            <w:r>
              <w:rPr>
                <w:rStyle w:val="IndexLink"/>
                <w:rtl w:val="true"/>
              </w:rPr>
              <w:tab/>
            </w:r>
            <w:r>
              <w:rPr>
                <w:rStyle w:val="IndexLink"/>
              </w:rPr>
              <w:t>262</w:t>
            </w:r>
          </w:hyperlink>
        </w:p>
        <w:p>
          <w:pPr>
            <w:pStyle w:val="Contents3"/>
            <w:tabs>
              <w:tab w:val="clear" w:pos="8459"/>
              <w:tab w:val="right" w:pos="9026" w:leader="dot"/>
            </w:tabs>
            <w:rPr/>
          </w:pPr>
          <w:hyperlink w:anchor="__RefHeading___Toc39904_1878427129">
            <w:r>
              <w:rPr>
                <w:webHidden/>
                <w:rStyle w:val="IndexLink"/>
                <w:rtl w:val="true"/>
              </w:rPr>
              <w:t>اصطلاحات الاصول</w:t>
            </w:r>
            <w:r>
              <w:rPr>
                <w:rStyle w:val="IndexLink"/>
                <w:rtl w:val="true"/>
              </w:rPr>
              <w:tab/>
            </w:r>
            <w:r>
              <w:rPr>
                <w:rStyle w:val="IndexLink"/>
              </w:rPr>
              <w:t>262</w:t>
            </w:r>
          </w:hyperlink>
        </w:p>
        <w:p>
          <w:pPr>
            <w:pStyle w:val="Contents3"/>
            <w:tabs>
              <w:tab w:val="clear" w:pos="8459"/>
              <w:tab w:val="right" w:pos="9026" w:leader="dot"/>
            </w:tabs>
            <w:rPr/>
          </w:pPr>
          <w:hyperlink w:anchor="__RefHeading___Toc39906_1878427129">
            <w:r>
              <w:rPr>
                <w:webHidden/>
                <w:rStyle w:val="IndexLink"/>
                <w:rtl w:val="true"/>
              </w:rPr>
              <w:t>ویژگی ها</w:t>
            </w:r>
            <w:r>
              <w:rPr>
                <w:rStyle w:val="IndexLink"/>
                <w:rtl w:val="true"/>
              </w:rPr>
              <w:tab/>
            </w:r>
            <w:r>
              <w:rPr>
                <w:rStyle w:val="IndexLink"/>
              </w:rPr>
              <w:t>263</w:t>
            </w:r>
          </w:hyperlink>
        </w:p>
        <w:p>
          <w:pPr>
            <w:pStyle w:val="Contents3"/>
            <w:tabs>
              <w:tab w:val="clear" w:pos="8459"/>
              <w:tab w:val="right" w:pos="9026" w:leader="dot"/>
            </w:tabs>
            <w:rPr/>
          </w:pPr>
          <w:hyperlink w:anchor="__RefHeading___Toc39908_1878427129">
            <w:r>
              <w:rPr>
                <w:webHidden/>
                <w:rStyle w:val="IndexLink"/>
                <w:rtl w:val="true"/>
              </w:rPr>
              <w:t>کاستی ها</w:t>
            </w:r>
            <w:r>
              <w:rPr>
                <w:rStyle w:val="IndexLink"/>
                <w:rtl w:val="true"/>
              </w:rPr>
              <w:tab/>
            </w:r>
            <w:r>
              <w:rPr>
                <w:rStyle w:val="IndexLink"/>
              </w:rPr>
              <w:t>265</w:t>
            </w:r>
          </w:hyperlink>
        </w:p>
        <w:p>
          <w:pPr>
            <w:pStyle w:val="Contents4"/>
            <w:tabs>
              <w:tab w:val="clear" w:pos="8176"/>
              <w:tab w:val="right" w:pos="9026" w:leader="dot"/>
            </w:tabs>
            <w:rPr/>
          </w:pPr>
          <w:hyperlink w:anchor="__RefHeading___Toc39910_1878427129">
            <w:r>
              <w:rPr>
                <w:webHidden/>
                <w:rStyle w:val="IndexLink"/>
                <w:rtl w:val="true"/>
              </w:rPr>
              <w:t xml:space="preserve">- </w:t>
            </w:r>
            <w:r>
              <w:rPr>
                <w:rStyle w:val="IndexLink"/>
                <w:rtl w:val="true"/>
              </w:rPr>
              <w:t>عدم استناد به منابع</w:t>
            </w:r>
            <w:r>
              <w:rPr>
                <w:rStyle w:val="IndexLink"/>
                <w:rtl w:val="true"/>
              </w:rPr>
              <w:tab/>
            </w:r>
            <w:r>
              <w:rPr>
                <w:rStyle w:val="IndexLink"/>
              </w:rPr>
              <w:t>265</w:t>
            </w:r>
          </w:hyperlink>
        </w:p>
        <w:p>
          <w:pPr>
            <w:pStyle w:val="Contents4"/>
            <w:tabs>
              <w:tab w:val="clear" w:pos="8176"/>
              <w:tab w:val="right" w:pos="9026" w:leader="dot"/>
            </w:tabs>
            <w:rPr/>
          </w:pPr>
          <w:hyperlink w:anchor="__RefHeading___Toc39912_1878427129">
            <w:r>
              <w:rPr>
                <w:webHidden/>
                <w:rStyle w:val="IndexLink"/>
                <w:rtl w:val="true"/>
              </w:rPr>
              <w:t xml:space="preserve">- </w:t>
            </w:r>
            <w:r>
              <w:rPr>
                <w:rStyle w:val="IndexLink"/>
                <w:rtl w:val="true"/>
              </w:rPr>
              <w:t>عدم پوشش موضوعی کامل</w:t>
            </w:r>
            <w:r>
              <w:rPr>
                <w:rStyle w:val="IndexLink"/>
                <w:rtl w:val="true"/>
              </w:rPr>
              <w:tab/>
            </w:r>
            <w:r>
              <w:rPr>
                <w:rStyle w:val="IndexLink"/>
              </w:rPr>
              <w:t>265</w:t>
            </w:r>
          </w:hyperlink>
        </w:p>
        <w:p>
          <w:pPr>
            <w:pStyle w:val="Contents4"/>
            <w:tabs>
              <w:tab w:val="clear" w:pos="8176"/>
              <w:tab w:val="right" w:pos="9026" w:leader="dot"/>
            </w:tabs>
            <w:rPr/>
          </w:pPr>
          <w:hyperlink w:anchor="__RefHeading___Toc39914_1878427129">
            <w:r>
              <w:rPr>
                <w:webHidden/>
                <w:rStyle w:val="IndexLink"/>
                <w:rtl w:val="true"/>
              </w:rPr>
              <w:t xml:space="preserve">- </w:t>
            </w:r>
            <w:r>
              <w:rPr>
                <w:rStyle w:val="IndexLink"/>
                <w:rtl w:val="true"/>
              </w:rPr>
              <w:t>ترکیب مدخل‌ها</w:t>
            </w:r>
            <w:r>
              <w:rPr>
                <w:rStyle w:val="IndexLink"/>
                <w:rtl w:val="true"/>
              </w:rPr>
              <w:tab/>
            </w:r>
            <w:r>
              <w:rPr>
                <w:rStyle w:val="IndexLink"/>
              </w:rPr>
              <w:t>265</w:t>
            </w:r>
          </w:hyperlink>
        </w:p>
        <w:p>
          <w:pPr>
            <w:pStyle w:val="Contents4"/>
            <w:tabs>
              <w:tab w:val="clear" w:pos="8176"/>
              <w:tab w:val="right" w:pos="9026" w:leader="dot"/>
            </w:tabs>
            <w:rPr/>
          </w:pPr>
          <w:hyperlink w:anchor="__RefHeading___Toc39916_1878427129">
            <w:r>
              <w:rPr>
                <w:webHidden/>
                <w:rStyle w:val="IndexLink"/>
                <w:rtl w:val="true"/>
              </w:rPr>
              <w:t xml:space="preserve">- </w:t>
            </w:r>
            <w:r>
              <w:rPr>
                <w:rStyle w:val="IndexLink"/>
                <w:rtl w:val="true"/>
              </w:rPr>
              <w:t>استفاده نکردن از ارجاع</w:t>
            </w:r>
            <w:r>
              <w:rPr>
                <w:rStyle w:val="IndexLink"/>
                <w:rtl w:val="true"/>
              </w:rPr>
              <w:tab/>
            </w:r>
            <w:r>
              <w:rPr>
                <w:rStyle w:val="IndexLink"/>
              </w:rPr>
              <w:t>265</w:t>
            </w:r>
          </w:hyperlink>
        </w:p>
        <w:p>
          <w:pPr>
            <w:pStyle w:val="Contents3"/>
            <w:tabs>
              <w:tab w:val="clear" w:pos="8459"/>
              <w:tab w:val="right" w:pos="9026" w:leader="dot"/>
            </w:tabs>
            <w:rPr/>
          </w:pPr>
          <w:hyperlink w:anchor="__RefHeading___Toc39918_1878427129">
            <w:r>
              <w:rPr>
                <w:webHidden/>
                <w:rStyle w:val="IndexLink"/>
                <w:rtl w:val="true"/>
              </w:rPr>
              <w:t>پیشنهادها</w:t>
            </w:r>
            <w:r>
              <w:rPr>
                <w:rStyle w:val="IndexLink"/>
                <w:rtl w:val="true"/>
              </w:rPr>
              <w:tab/>
            </w:r>
            <w:r>
              <w:rPr>
                <w:rStyle w:val="IndexLink"/>
              </w:rPr>
              <w:t>266</w:t>
            </w:r>
          </w:hyperlink>
        </w:p>
        <w:p>
          <w:pPr>
            <w:pStyle w:val="Contents3"/>
            <w:tabs>
              <w:tab w:val="clear" w:pos="8459"/>
              <w:tab w:val="right" w:pos="9026" w:leader="dot"/>
            </w:tabs>
            <w:rPr/>
          </w:pPr>
          <w:hyperlink w:anchor="__RefHeading___Toc39920_1878427129">
            <w:r>
              <w:rPr>
                <w:webHidden/>
                <w:rStyle w:val="IndexLink"/>
                <w:rtl w:val="true"/>
              </w:rPr>
              <w:t>کتاب نامه</w:t>
            </w:r>
            <w:r>
              <w:rPr>
                <w:rStyle w:val="IndexLink"/>
                <w:rtl w:val="true"/>
              </w:rPr>
              <w:tab/>
            </w:r>
            <w:r>
              <w:rPr>
                <w:rStyle w:val="IndexLink"/>
              </w:rPr>
              <w:t>267</w:t>
            </w:r>
          </w:hyperlink>
        </w:p>
        <w:p>
          <w:pPr>
            <w:pStyle w:val="Contents2"/>
            <w:tabs>
              <w:tab w:val="clear" w:pos="8743"/>
              <w:tab w:val="right" w:pos="9026" w:leader="dot"/>
            </w:tabs>
            <w:rPr/>
          </w:pPr>
          <w:hyperlink w:anchor="__RefHeading___Toc39922_1878427129">
            <w:r>
              <w:rPr>
                <w:webHidden/>
                <w:rStyle w:val="IndexLink"/>
                <w:rtl w:val="true"/>
              </w:rPr>
              <w:t>اقدامی مهم در سامان بخشی به علم فقه</w:t>
            </w:r>
            <w:r>
              <w:rPr>
                <w:rStyle w:val="IndexLink"/>
                <w:rtl w:val="true"/>
              </w:rPr>
              <w:tab/>
            </w:r>
            <w:r>
              <w:rPr>
                <w:rStyle w:val="IndexLink"/>
              </w:rPr>
              <w:t>269</w:t>
            </w:r>
          </w:hyperlink>
        </w:p>
        <w:p>
          <w:pPr>
            <w:pStyle w:val="Contents3"/>
            <w:tabs>
              <w:tab w:val="clear" w:pos="8459"/>
              <w:tab w:val="right" w:pos="9026" w:leader="dot"/>
            </w:tabs>
            <w:rPr/>
          </w:pPr>
          <w:hyperlink w:anchor="__RefHeading___Toc39924_1878427129">
            <w:r>
              <w:rPr>
                <w:webHidden/>
                <w:rStyle w:val="IndexLink"/>
                <w:rtl w:val="true"/>
              </w:rPr>
              <w:t>اشاره</w:t>
            </w:r>
            <w:r>
              <w:rPr>
                <w:rStyle w:val="IndexLink"/>
                <w:rtl w:val="true"/>
              </w:rPr>
              <w:tab/>
            </w:r>
            <w:r>
              <w:rPr>
                <w:rStyle w:val="IndexLink"/>
              </w:rPr>
              <w:t>269</w:t>
            </w:r>
          </w:hyperlink>
        </w:p>
        <w:p>
          <w:pPr>
            <w:pStyle w:val="Contents3"/>
            <w:tabs>
              <w:tab w:val="clear" w:pos="8459"/>
              <w:tab w:val="right" w:pos="9026" w:leader="dot"/>
            </w:tabs>
            <w:rPr/>
          </w:pPr>
          <w:hyperlink w:anchor="__RefHeading___Toc39926_1878427129">
            <w:r>
              <w:rPr>
                <w:webHidden/>
                <w:rStyle w:val="IndexLink"/>
                <w:rtl w:val="true"/>
              </w:rPr>
              <w:t>چکیده</w:t>
            </w:r>
            <w:r>
              <w:rPr>
                <w:rStyle w:val="IndexLink"/>
                <w:rtl w:val="true"/>
              </w:rPr>
              <w:tab/>
            </w:r>
            <w:r>
              <w:rPr>
                <w:rStyle w:val="IndexLink"/>
              </w:rPr>
              <w:t>269</w:t>
            </w:r>
          </w:hyperlink>
        </w:p>
        <w:p>
          <w:pPr>
            <w:pStyle w:val="Contents3"/>
            <w:tabs>
              <w:tab w:val="clear" w:pos="8459"/>
              <w:tab w:val="right" w:pos="9026" w:leader="dot"/>
            </w:tabs>
            <w:rPr/>
          </w:pPr>
          <w:hyperlink w:anchor="__RefHeading___Toc39928_1878427129">
            <w:r>
              <w:rPr>
                <w:webHidden/>
                <w:rStyle w:val="IndexLink"/>
                <w:rtl w:val="true"/>
              </w:rPr>
              <w:t>مقدمه</w:t>
            </w:r>
            <w:r>
              <w:rPr>
                <w:rStyle w:val="IndexLink"/>
                <w:rtl w:val="true"/>
              </w:rPr>
              <w:tab/>
            </w:r>
            <w:r>
              <w:rPr>
                <w:rStyle w:val="IndexLink"/>
              </w:rPr>
              <w:t>269</w:t>
            </w:r>
          </w:hyperlink>
        </w:p>
        <w:p>
          <w:pPr>
            <w:pStyle w:val="Contents3"/>
            <w:tabs>
              <w:tab w:val="clear" w:pos="8459"/>
              <w:tab w:val="right" w:pos="9026" w:leader="dot"/>
            </w:tabs>
            <w:rPr/>
          </w:pPr>
          <w:hyperlink w:anchor="__RefHeading___Toc39930_1878427129">
            <w:r>
              <w:rPr>
                <w:webHidden/>
                <w:rStyle w:val="IndexLink"/>
                <w:rtl w:val="true"/>
              </w:rPr>
              <w:t>اهمیت تدوین فرهنگ تخصصی در فقه اسلامی</w:t>
            </w:r>
            <w:r>
              <w:rPr>
                <w:rStyle w:val="IndexLink"/>
                <w:rtl w:val="true"/>
              </w:rPr>
              <w:tab/>
            </w:r>
            <w:r>
              <w:rPr>
                <w:rStyle w:val="IndexLink"/>
              </w:rPr>
              <w:t>271</w:t>
            </w:r>
          </w:hyperlink>
        </w:p>
        <w:p>
          <w:pPr>
            <w:pStyle w:val="Contents3"/>
            <w:tabs>
              <w:tab w:val="clear" w:pos="8459"/>
              <w:tab w:val="right" w:pos="9026" w:leader="dot"/>
            </w:tabs>
            <w:rPr/>
          </w:pPr>
          <w:hyperlink w:anchor="__RefHeading___Toc39932_1878427129">
            <w:r>
              <w:rPr>
                <w:webHidden/>
                <w:rStyle w:val="IndexLink"/>
                <w:rtl w:val="true"/>
              </w:rPr>
              <w:t>پیشینۀ فرهنگ تخصصی در فقه</w:t>
            </w:r>
            <w:r>
              <w:rPr>
                <w:rStyle w:val="IndexLink"/>
                <w:rtl w:val="true"/>
              </w:rPr>
              <w:tab/>
            </w:r>
            <w:r>
              <w:rPr>
                <w:rStyle w:val="IndexLink"/>
              </w:rPr>
              <w:t>272</w:t>
            </w:r>
          </w:hyperlink>
        </w:p>
        <w:p>
          <w:pPr>
            <w:pStyle w:val="Contents3"/>
            <w:tabs>
              <w:tab w:val="clear" w:pos="8459"/>
              <w:tab w:val="right" w:pos="9026" w:leader="dot"/>
            </w:tabs>
            <w:rPr/>
          </w:pPr>
          <w:hyperlink w:anchor="__RefHeading___Toc39934_1878427129">
            <w:r>
              <w:rPr>
                <w:webHidden/>
                <w:rStyle w:val="IndexLink"/>
                <w:rtl w:val="true"/>
              </w:rPr>
              <w:t xml:space="preserve">ویژگی های </w:t>
            </w:r>
            <w:r>
              <w:rPr>
                <w:rStyle w:val="IndexLink"/>
                <w:rtl w:val="true"/>
              </w:rPr>
              <w:t>«</w:t>
            </w:r>
            <w:r>
              <w:rPr>
                <w:rStyle w:val="IndexLink"/>
                <w:rtl w:val="true"/>
              </w:rPr>
              <w:t>مصطلحات الفقه</w:t>
            </w:r>
            <w:r>
              <w:rPr>
                <w:rStyle w:val="IndexLink"/>
                <w:rtl w:val="true"/>
              </w:rPr>
              <w:t>»</w:t>
              <w:tab/>
            </w:r>
            <w:r>
              <w:rPr>
                <w:rStyle w:val="IndexLink"/>
              </w:rPr>
              <w:t>277</w:t>
            </w:r>
          </w:hyperlink>
        </w:p>
        <w:p>
          <w:pPr>
            <w:pStyle w:val="Contents3"/>
            <w:tabs>
              <w:tab w:val="clear" w:pos="8459"/>
              <w:tab w:val="right" w:pos="9026" w:leader="dot"/>
            </w:tabs>
            <w:rPr/>
          </w:pPr>
          <w:hyperlink w:anchor="__RefHeading___Toc39936_1878427129">
            <w:r>
              <w:rPr>
                <w:webHidden/>
                <w:rStyle w:val="IndexLink"/>
                <w:rtl w:val="true"/>
              </w:rPr>
              <w:t>کاستی ها</w:t>
            </w:r>
            <w:r>
              <w:rPr>
                <w:rStyle w:val="IndexLink"/>
                <w:rtl w:val="true"/>
              </w:rPr>
              <w:tab/>
            </w:r>
            <w:r>
              <w:rPr>
                <w:rStyle w:val="IndexLink"/>
              </w:rPr>
              <w:t>279</w:t>
            </w:r>
          </w:hyperlink>
        </w:p>
        <w:p>
          <w:pPr>
            <w:pStyle w:val="Contents3"/>
            <w:tabs>
              <w:tab w:val="clear" w:pos="8459"/>
              <w:tab w:val="right" w:pos="9026" w:leader="dot"/>
            </w:tabs>
            <w:rPr/>
          </w:pPr>
          <w:hyperlink w:anchor="__RefHeading___Toc39938_1878427129">
            <w:r>
              <w:rPr>
                <w:webHidden/>
                <w:rStyle w:val="IndexLink"/>
                <w:rtl w:val="true"/>
              </w:rPr>
              <w:t>پیشنهادها</w:t>
            </w:r>
            <w:r>
              <w:rPr>
                <w:rStyle w:val="IndexLink"/>
                <w:rtl w:val="true"/>
              </w:rPr>
              <w:tab/>
            </w:r>
            <w:r>
              <w:rPr>
                <w:rStyle w:val="IndexLink"/>
              </w:rPr>
              <w:t>280</w:t>
            </w:r>
          </w:hyperlink>
        </w:p>
        <w:p>
          <w:pPr>
            <w:pStyle w:val="Contents2"/>
            <w:tabs>
              <w:tab w:val="clear" w:pos="8743"/>
              <w:tab w:val="right" w:pos="9026" w:leader="dot"/>
            </w:tabs>
            <w:rPr/>
          </w:pPr>
          <w:hyperlink w:anchor="__RefHeading___Toc39940_1878427129">
            <w:r>
              <w:rPr>
                <w:webHidden/>
                <w:rStyle w:val="IndexLink"/>
                <w:rtl w:val="true"/>
              </w:rPr>
              <w:t xml:space="preserve">نیم نگاهی به </w:t>
            </w:r>
            <w:r>
              <w:rPr>
                <w:rStyle w:val="IndexLink"/>
                <w:rtl w:val="true"/>
              </w:rPr>
              <w:t>«</w:t>
            </w:r>
            <w:r>
              <w:rPr>
                <w:rStyle w:val="IndexLink"/>
                <w:rtl w:val="true"/>
              </w:rPr>
              <w:t>الفقه المأثور</w:t>
            </w:r>
            <w:r>
              <w:rPr>
                <w:rStyle w:val="IndexLink"/>
                <w:rtl w:val="true"/>
              </w:rPr>
              <w:t>»</w:t>
              <w:tab/>
            </w:r>
            <w:r>
              <w:rPr>
                <w:rStyle w:val="IndexLink"/>
              </w:rPr>
              <w:t>281</w:t>
            </w:r>
          </w:hyperlink>
        </w:p>
        <w:p>
          <w:pPr>
            <w:pStyle w:val="Contents3"/>
            <w:tabs>
              <w:tab w:val="clear" w:pos="8459"/>
              <w:tab w:val="right" w:pos="9026" w:leader="dot"/>
            </w:tabs>
            <w:rPr/>
          </w:pPr>
          <w:hyperlink w:anchor="__RefHeading___Toc39942_1878427129">
            <w:r>
              <w:rPr>
                <w:webHidden/>
                <w:rStyle w:val="IndexLink"/>
                <w:rtl w:val="true"/>
              </w:rPr>
              <w:t>اشاره</w:t>
            </w:r>
            <w:r>
              <w:rPr>
                <w:rStyle w:val="IndexLink"/>
                <w:rtl w:val="true"/>
              </w:rPr>
              <w:tab/>
            </w:r>
            <w:r>
              <w:rPr>
                <w:rStyle w:val="IndexLink"/>
              </w:rPr>
              <w:t>281</w:t>
            </w:r>
          </w:hyperlink>
        </w:p>
        <w:p>
          <w:pPr>
            <w:pStyle w:val="Contents3"/>
            <w:tabs>
              <w:tab w:val="clear" w:pos="8459"/>
              <w:tab w:val="right" w:pos="9026" w:leader="dot"/>
            </w:tabs>
            <w:rPr/>
          </w:pPr>
          <w:hyperlink w:anchor="__RefHeading___Toc39944_1878427129">
            <w:r>
              <w:rPr>
                <w:webHidden/>
                <w:rStyle w:val="IndexLink"/>
                <w:rtl w:val="true"/>
              </w:rPr>
              <w:t>چکیده</w:t>
            </w:r>
            <w:r>
              <w:rPr>
                <w:rStyle w:val="IndexLink"/>
                <w:rtl w:val="true"/>
              </w:rPr>
              <w:tab/>
            </w:r>
            <w:r>
              <w:rPr>
                <w:rStyle w:val="IndexLink"/>
              </w:rPr>
              <w:t>281</w:t>
            </w:r>
          </w:hyperlink>
        </w:p>
        <w:p>
          <w:pPr>
            <w:pStyle w:val="Contents3"/>
            <w:tabs>
              <w:tab w:val="clear" w:pos="8459"/>
              <w:tab w:val="right" w:pos="9026" w:leader="dot"/>
            </w:tabs>
            <w:rPr/>
          </w:pPr>
          <w:hyperlink w:anchor="__RefHeading___Toc39946_1878427129">
            <w:r>
              <w:rPr>
                <w:webHidden/>
                <w:rStyle w:val="IndexLink"/>
                <w:rtl w:val="true"/>
              </w:rPr>
              <w:t>شیوۀ کار مؤلف</w:t>
            </w:r>
            <w:r>
              <w:rPr>
                <w:rStyle w:val="IndexLink"/>
                <w:rtl w:val="true"/>
              </w:rPr>
              <w:tab/>
            </w:r>
            <w:r>
              <w:rPr>
                <w:rStyle w:val="IndexLink"/>
              </w:rPr>
              <w:t>283</w:t>
            </w:r>
          </w:hyperlink>
        </w:p>
        <w:p>
          <w:pPr>
            <w:pStyle w:val="Contents3"/>
            <w:tabs>
              <w:tab w:val="clear" w:pos="8459"/>
              <w:tab w:val="right" w:pos="9026" w:leader="dot"/>
            </w:tabs>
            <w:rPr/>
          </w:pPr>
          <w:hyperlink w:anchor="__RefHeading___Toc39948_1878427129">
            <w:r>
              <w:rPr>
                <w:webHidden/>
                <w:rStyle w:val="IndexLink"/>
                <w:rtl w:val="true"/>
              </w:rPr>
              <w:t>ویژگی های این کتاب</w:t>
            </w:r>
            <w:r>
              <w:rPr>
                <w:rStyle w:val="IndexLink"/>
                <w:rtl w:val="true"/>
              </w:rPr>
              <w:tab/>
            </w:r>
            <w:r>
              <w:rPr>
                <w:rStyle w:val="IndexLink"/>
              </w:rPr>
              <w:t>284</w:t>
            </w:r>
          </w:hyperlink>
        </w:p>
        <w:p>
          <w:pPr>
            <w:pStyle w:val="Contents2"/>
            <w:tabs>
              <w:tab w:val="clear" w:pos="8743"/>
              <w:tab w:val="right" w:pos="9026" w:leader="dot"/>
            </w:tabs>
            <w:rPr/>
          </w:pPr>
          <w:hyperlink w:anchor="__RefHeading___Toc39950_1878427129">
            <w:r>
              <w:rPr>
                <w:webHidden/>
                <w:rStyle w:val="IndexLink"/>
                <w:rtl w:val="true"/>
              </w:rPr>
              <w:t>ولایت فقیه در اندیشۀ سیاسی آیت اللّه مشکینی</w:t>
            </w:r>
            <w:r>
              <w:rPr>
                <w:rStyle w:val="IndexLink"/>
                <w:rtl w:val="true"/>
              </w:rPr>
              <w:tab/>
            </w:r>
            <w:r>
              <w:rPr>
                <w:rStyle w:val="IndexLink"/>
              </w:rPr>
              <w:t>287</w:t>
            </w:r>
          </w:hyperlink>
        </w:p>
        <w:p>
          <w:pPr>
            <w:pStyle w:val="Contents3"/>
            <w:tabs>
              <w:tab w:val="clear" w:pos="8459"/>
              <w:tab w:val="right" w:pos="9026" w:leader="dot"/>
            </w:tabs>
            <w:rPr/>
          </w:pPr>
          <w:hyperlink w:anchor="__RefHeading___Toc39952_1878427129">
            <w:r>
              <w:rPr>
                <w:webHidden/>
                <w:rStyle w:val="IndexLink"/>
                <w:rtl w:val="true"/>
              </w:rPr>
              <w:t>اشاره</w:t>
            </w:r>
            <w:r>
              <w:rPr>
                <w:rStyle w:val="IndexLink"/>
                <w:rtl w:val="true"/>
              </w:rPr>
              <w:tab/>
            </w:r>
            <w:r>
              <w:rPr>
                <w:rStyle w:val="IndexLink"/>
              </w:rPr>
              <w:t>287</w:t>
            </w:r>
          </w:hyperlink>
        </w:p>
        <w:p>
          <w:pPr>
            <w:pStyle w:val="Contents3"/>
            <w:tabs>
              <w:tab w:val="clear" w:pos="8459"/>
              <w:tab w:val="right" w:pos="9026" w:leader="dot"/>
            </w:tabs>
            <w:rPr/>
          </w:pPr>
          <w:hyperlink w:anchor="__RefHeading___Toc39954_1878427129">
            <w:r>
              <w:rPr>
                <w:webHidden/>
                <w:rStyle w:val="IndexLink"/>
                <w:rtl w:val="true"/>
              </w:rPr>
              <w:t>چکیده</w:t>
            </w:r>
            <w:r>
              <w:rPr>
                <w:rStyle w:val="IndexLink"/>
                <w:rtl w:val="true"/>
              </w:rPr>
              <w:tab/>
            </w:r>
            <w:r>
              <w:rPr>
                <w:rStyle w:val="IndexLink"/>
              </w:rPr>
              <w:t>287</w:t>
            </w:r>
          </w:hyperlink>
        </w:p>
        <w:p>
          <w:pPr>
            <w:pStyle w:val="Contents3"/>
            <w:tabs>
              <w:tab w:val="clear" w:pos="8459"/>
              <w:tab w:val="right" w:pos="9026" w:leader="dot"/>
            </w:tabs>
            <w:rPr/>
          </w:pPr>
          <w:hyperlink w:anchor="__RefHeading___Toc39956_1878427129">
            <w:r>
              <w:rPr>
                <w:webHidden/>
                <w:rStyle w:val="IndexLink"/>
                <w:rtl w:val="true"/>
              </w:rPr>
              <w:t>مقدمه</w:t>
            </w:r>
            <w:r>
              <w:rPr>
                <w:rStyle w:val="IndexLink"/>
                <w:rtl w:val="true"/>
              </w:rPr>
              <w:tab/>
            </w:r>
            <w:r>
              <w:rPr>
                <w:rStyle w:val="IndexLink"/>
              </w:rPr>
              <w:t>288</w:t>
            </w:r>
          </w:hyperlink>
        </w:p>
        <w:p>
          <w:pPr>
            <w:pStyle w:val="Contents3"/>
            <w:tabs>
              <w:tab w:val="clear" w:pos="8459"/>
              <w:tab w:val="right" w:pos="9026" w:leader="dot"/>
            </w:tabs>
            <w:rPr/>
          </w:pPr>
          <w:hyperlink w:anchor="__RefHeading___Toc39958_1878427129">
            <w:r>
              <w:rPr>
                <w:webHidden/>
                <w:rStyle w:val="IndexLink"/>
              </w:rPr>
              <w:t>1</w:t>
            </w:r>
            <w:r>
              <w:rPr>
                <w:rStyle w:val="IndexLink"/>
                <w:rtl w:val="true"/>
              </w:rPr>
              <w:t xml:space="preserve">. </w:t>
            </w:r>
            <w:r>
              <w:rPr>
                <w:rStyle w:val="IndexLink"/>
                <w:rtl w:val="true"/>
              </w:rPr>
              <w:t>کلیات</w:t>
            </w:r>
            <w:r>
              <w:rPr>
                <w:rStyle w:val="IndexLink"/>
                <w:rtl w:val="true"/>
              </w:rPr>
              <w:tab/>
            </w:r>
            <w:r>
              <w:rPr>
                <w:rStyle w:val="IndexLink"/>
              </w:rPr>
              <w:t>290</w:t>
            </w:r>
          </w:hyperlink>
        </w:p>
        <w:p>
          <w:pPr>
            <w:pStyle w:val="Contents4"/>
            <w:tabs>
              <w:tab w:val="clear" w:pos="8176"/>
              <w:tab w:val="right" w:pos="9026" w:leader="dot"/>
            </w:tabs>
            <w:rPr/>
          </w:pPr>
          <w:hyperlink w:anchor="__RefHeading___Toc39960_1878427129">
            <w:r>
              <w:rPr>
                <w:webHidden/>
                <w:rStyle w:val="IndexLink"/>
              </w:rPr>
              <w:t>1.1</w:t>
            </w:r>
            <w:r>
              <w:rPr>
                <w:rStyle w:val="IndexLink"/>
                <w:rtl w:val="true"/>
              </w:rPr>
              <w:t xml:space="preserve">. </w:t>
            </w:r>
            <w:r>
              <w:rPr>
                <w:rStyle w:val="IndexLink"/>
                <w:rtl w:val="true"/>
              </w:rPr>
              <w:t>اهمیت ولایت و رهبری</w:t>
            </w:r>
            <w:r>
              <w:rPr>
                <w:rStyle w:val="IndexLink"/>
                <w:rtl w:val="true"/>
              </w:rPr>
              <w:tab/>
            </w:r>
            <w:r>
              <w:rPr>
                <w:rStyle w:val="IndexLink"/>
              </w:rPr>
              <w:t>290</w:t>
            </w:r>
          </w:hyperlink>
        </w:p>
        <w:p>
          <w:pPr>
            <w:pStyle w:val="Contents4"/>
            <w:tabs>
              <w:tab w:val="clear" w:pos="8176"/>
              <w:tab w:val="right" w:pos="9026" w:leader="dot"/>
            </w:tabs>
            <w:rPr/>
          </w:pPr>
          <w:hyperlink w:anchor="__RefHeading___Toc39962_1878427129">
            <w:r>
              <w:rPr>
                <w:webHidden/>
                <w:rStyle w:val="IndexLink"/>
              </w:rPr>
              <w:t>1.2</w:t>
            </w:r>
            <w:r>
              <w:rPr>
                <w:rStyle w:val="IndexLink"/>
                <w:rtl w:val="true"/>
              </w:rPr>
              <w:t xml:space="preserve">. </w:t>
            </w:r>
            <w:r>
              <w:rPr>
                <w:rStyle w:val="IndexLink"/>
                <w:rtl w:val="true"/>
              </w:rPr>
              <w:t>انواع ولایت</w:t>
            </w:r>
            <w:r>
              <w:rPr>
                <w:rStyle w:val="IndexLink"/>
                <w:rtl w:val="true"/>
              </w:rPr>
              <w:tab/>
            </w:r>
            <w:r>
              <w:rPr>
                <w:rStyle w:val="IndexLink"/>
              </w:rPr>
              <w:t>291</w:t>
            </w:r>
          </w:hyperlink>
        </w:p>
        <w:p>
          <w:pPr>
            <w:pStyle w:val="Contents4"/>
            <w:tabs>
              <w:tab w:val="clear" w:pos="8176"/>
              <w:tab w:val="right" w:pos="9026" w:leader="dot"/>
            </w:tabs>
            <w:rPr/>
          </w:pPr>
          <w:hyperlink w:anchor="__RefHeading___Toc39964_1878427129">
            <w:r>
              <w:rPr>
                <w:webHidden/>
                <w:rStyle w:val="IndexLink"/>
              </w:rPr>
              <w:t>1.3</w:t>
            </w:r>
            <w:r>
              <w:rPr>
                <w:rStyle w:val="IndexLink"/>
                <w:rtl w:val="true"/>
              </w:rPr>
              <w:t xml:space="preserve">. </w:t>
            </w:r>
            <w:r>
              <w:rPr>
                <w:rStyle w:val="IndexLink"/>
                <w:rtl w:val="true"/>
              </w:rPr>
              <w:t>مفهوم و معنای ولایت فقیه</w:t>
            </w:r>
            <w:r>
              <w:rPr>
                <w:rStyle w:val="IndexLink"/>
                <w:rtl w:val="true"/>
              </w:rPr>
              <w:tab/>
            </w:r>
            <w:r>
              <w:rPr>
                <w:rStyle w:val="IndexLink"/>
              </w:rPr>
              <w:t>294</w:t>
            </w:r>
          </w:hyperlink>
        </w:p>
        <w:p>
          <w:pPr>
            <w:pStyle w:val="Contents4"/>
            <w:tabs>
              <w:tab w:val="clear" w:pos="8176"/>
              <w:tab w:val="right" w:pos="9026" w:leader="dot"/>
            </w:tabs>
            <w:rPr/>
          </w:pPr>
          <w:hyperlink w:anchor="__RefHeading___Toc39966_1878427129">
            <w:r>
              <w:rPr>
                <w:webHidden/>
                <w:rStyle w:val="IndexLink"/>
              </w:rPr>
              <w:t>1.4</w:t>
            </w:r>
            <w:r>
              <w:rPr>
                <w:rStyle w:val="IndexLink"/>
                <w:rtl w:val="true"/>
              </w:rPr>
              <w:t xml:space="preserve">. </w:t>
            </w:r>
            <w:r>
              <w:rPr>
                <w:rStyle w:val="IndexLink"/>
                <w:rtl w:val="true"/>
              </w:rPr>
              <w:t>معنا و مفهوم ولایت مطلقۀ فقیه</w:t>
            </w:r>
            <w:r>
              <w:rPr>
                <w:rStyle w:val="IndexLink"/>
                <w:rtl w:val="true"/>
              </w:rPr>
              <w:tab/>
            </w:r>
            <w:r>
              <w:rPr>
                <w:rStyle w:val="IndexLink"/>
              </w:rPr>
              <w:t>296</w:t>
            </w:r>
          </w:hyperlink>
        </w:p>
        <w:p>
          <w:pPr>
            <w:pStyle w:val="Contents3"/>
            <w:tabs>
              <w:tab w:val="clear" w:pos="8459"/>
              <w:tab w:val="right" w:pos="9026" w:leader="dot"/>
            </w:tabs>
            <w:rPr/>
          </w:pPr>
          <w:hyperlink w:anchor="__RefHeading___Toc39968_1878427129">
            <w:r>
              <w:rPr>
                <w:webHidden/>
                <w:rStyle w:val="IndexLink"/>
              </w:rPr>
              <w:t>2</w:t>
            </w:r>
            <w:r>
              <w:rPr>
                <w:rStyle w:val="IndexLink"/>
                <w:rtl w:val="true"/>
              </w:rPr>
              <w:t xml:space="preserve">. </w:t>
            </w:r>
            <w:r>
              <w:rPr>
                <w:rStyle w:val="IndexLink"/>
                <w:rtl w:val="true"/>
              </w:rPr>
              <w:t>ادلۀ اثبات ولایت فقیه</w:t>
            </w:r>
            <w:r>
              <w:rPr>
                <w:rStyle w:val="IndexLink"/>
                <w:rtl w:val="true"/>
              </w:rPr>
              <w:tab/>
            </w:r>
            <w:r>
              <w:rPr>
                <w:rStyle w:val="IndexLink"/>
              </w:rPr>
              <w:t>298</w:t>
            </w:r>
          </w:hyperlink>
        </w:p>
        <w:p>
          <w:pPr>
            <w:pStyle w:val="Contents3"/>
            <w:tabs>
              <w:tab w:val="clear" w:pos="8459"/>
              <w:tab w:val="right" w:pos="9026" w:leader="dot"/>
            </w:tabs>
            <w:rPr/>
          </w:pPr>
          <w:hyperlink w:anchor="__RefHeading___Toc39970_1878427129">
            <w:r>
              <w:rPr>
                <w:webHidden/>
                <w:rStyle w:val="IndexLink"/>
              </w:rPr>
              <w:t>3</w:t>
            </w:r>
            <w:r>
              <w:rPr>
                <w:rStyle w:val="IndexLink"/>
                <w:rtl w:val="true"/>
              </w:rPr>
              <w:t xml:space="preserve">. </w:t>
            </w:r>
            <w:r>
              <w:rPr>
                <w:rStyle w:val="IndexLink"/>
                <w:rtl w:val="true"/>
              </w:rPr>
              <w:t>شرایط ولایت</w:t>
            </w:r>
            <w:r>
              <w:rPr>
                <w:rStyle w:val="IndexLink"/>
                <w:rtl w:val="true"/>
              </w:rPr>
              <w:tab/>
            </w:r>
            <w:r>
              <w:rPr>
                <w:rStyle w:val="IndexLink"/>
              </w:rPr>
              <w:t>307</w:t>
            </w:r>
          </w:hyperlink>
        </w:p>
        <w:p>
          <w:pPr>
            <w:pStyle w:val="Contents4"/>
            <w:tabs>
              <w:tab w:val="clear" w:pos="8176"/>
              <w:tab w:val="right" w:pos="9026" w:leader="dot"/>
            </w:tabs>
            <w:rPr/>
          </w:pPr>
          <w:hyperlink w:anchor="__RefHeading___Toc39972_1878427129">
            <w:r>
              <w:rPr>
                <w:webHidden/>
                <w:rStyle w:val="IndexLink"/>
                <w:rtl w:val="true"/>
              </w:rPr>
              <w:t>اشاره</w:t>
            </w:r>
            <w:r>
              <w:rPr>
                <w:rStyle w:val="IndexLink"/>
                <w:rtl w:val="true"/>
              </w:rPr>
              <w:tab/>
            </w:r>
            <w:r>
              <w:rPr>
                <w:rStyle w:val="IndexLink"/>
              </w:rPr>
              <w:t>307</w:t>
            </w:r>
          </w:hyperlink>
        </w:p>
        <w:p>
          <w:pPr>
            <w:pStyle w:val="Contents4"/>
            <w:tabs>
              <w:tab w:val="clear" w:pos="8176"/>
              <w:tab w:val="right" w:pos="9026" w:leader="dot"/>
            </w:tabs>
            <w:rPr/>
          </w:pPr>
          <w:hyperlink w:anchor="__RefHeading___Toc39974_1878427129">
            <w:r>
              <w:rPr>
                <w:webHidden/>
                <w:rStyle w:val="IndexLink"/>
              </w:rPr>
              <w:t>3.1</w:t>
            </w:r>
            <w:r>
              <w:rPr>
                <w:rStyle w:val="IndexLink"/>
                <w:rtl w:val="true"/>
              </w:rPr>
              <w:t xml:space="preserve">. </w:t>
            </w:r>
            <w:r>
              <w:rPr>
                <w:rStyle w:val="IndexLink"/>
                <w:rtl w:val="true"/>
              </w:rPr>
              <w:t>مرجعیت و ولایت؛ شرایط و افتراقات</w:t>
            </w:r>
            <w:r>
              <w:rPr>
                <w:rStyle w:val="IndexLink"/>
                <w:rtl w:val="true"/>
              </w:rPr>
              <w:tab/>
            </w:r>
            <w:r>
              <w:rPr>
                <w:rStyle w:val="IndexLink"/>
              </w:rPr>
              <w:t>308</w:t>
            </w:r>
          </w:hyperlink>
        </w:p>
        <w:p>
          <w:pPr>
            <w:pStyle w:val="Contents3"/>
            <w:tabs>
              <w:tab w:val="clear" w:pos="8459"/>
              <w:tab w:val="right" w:pos="9026" w:leader="dot"/>
            </w:tabs>
            <w:rPr/>
          </w:pPr>
          <w:hyperlink w:anchor="__RefHeading___Toc39976_1878427129">
            <w:r>
              <w:rPr>
                <w:webHidden/>
                <w:rStyle w:val="IndexLink"/>
              </w:rPr>
              <w:t>4</w:t>
            </w:r>
            <w:r>
              <w:rPr>
                <w:rStyle w:val="IndexLink"/>
                <w:rtl w:val="true"/>
              </w:rPr>
              <w:t xml:space="preserve">. </w:t>
            </w:r>
            <w:r>
              <w:rPr>
                <w:rStyle w:val="IndexLink"/>
                <w:rtl w:val="true"/>
              </w:rPr>
              <w:t>ولایت فقیه؛ نصب الهی یا رأی مردمی ؟</w:t>
            </w:r>
            <w:r>
              <w:rPr>
                <w:rStyle w:val="IndexLink"/>
                <w:rtl w:val="true"/>
              </w:rPr>
              <w:tab/>
            </w:r>
            <w:r>
              <w:rPr>
                <w:rStyle w:val="IndexLink"/>
              </w:rPr>
              <w:t>311</w:t>
            </w:r>
          </w:hyperlink>
        </w:p>
        <w:p>
          <w:pPr>
            <w:pStyle w:val="Contents4"/>
            <w:tabs>
              <w:tab w:val="clear" w:pos="8176"/>
              <w:tab w:val="right" w:pos="9026" w:leader="dot"/>
            </w:tabs>
            <w:rPr/>
          </w:pPr>
          <w:hyperlink w:anchor="__RefHeading___Toc39978_1878427129">
            <w:r>
              <w:rPr>
                <w:webHidden/>
                <w:rStyle w:val="IndexLink"/>
                <w:rtl w:val="true"/>
              </w:rPr>
              <w:t>اشاره</w:t>
            </w:r>
            <w:r>
              <w:rPr>
                <w:rStyle w:val="IndexLink"/>
                <w:rtl w:val="true"/>
              </w:rPr>
              <w:tab/>
            </w:r>
            <w:r>
              <w:rPr>
                <w:rStyle w:val="IndexLink"/>
              </w:rPr>
              <w:t>311</w:t>
            </w:r>
          </w:hyperlink>
        </w:p>
        <w:p>
          <w:pPr>
            <w:pStyle w:val="Contents4"/>
            <w:tabs>
              <w:tab w:val="clear" w:pos="8176"/>
              <w:tab w:val="right" w:pos="9026" w:leader="dot"/>
            </w:tabs>
            <w:rPr/>
          </w:pPr>
          <w:hyperlink w:anchor="__RefHeading___Toc39980_1878427129">
            <w:r>
              <w:rPr>
                <w:webHidden/>
                <w:rStyle w:val="IndexLink"/>
              </w:rPr>
              <w:t>4.1</w:t>
            </w:r>
            <w:r>
              <w:rPr>
                <w:rStyle w:val="IndexLink"/>
                <w:rtl w:val="true"/>
              </w:rPr>
              <w:t xml:space="preserve">. </w:t>
            </w:r>
            <w:r>
              <w:rPr>
                <w:rStyle w:val="IndexLink"/>
                <w:rtl w:val="true"/>
              </w:rPr>
              <w:t>نصب الهی</w:t>
            </w:r>
            <w:r>
              <w:rPr>
                <w:rStyle w:val="IndexLink"/>
                <w:rtl w:val="true"/>
              </w:rPr>
              <w:tab/>
            </w:r>
            <w:r>
              <w:rPr>
                <w:rStyle w:val="IndexLink"/>
              </w:rPr>
              <w:t>312</w:t>
            </w:r>
          </w:hyperlink>
        </w:p>
        <w:p>
          <w:pPr>
            <w:pStyle w:val="Contents4"/>
            <w:tabs>
              <w:tab w:val="clear" w:pos="8176"/>
              <w:tab w:val="right" w:pos="9026" w:leader="dot"/>
            </w:tabs>
            <w:rPr/>
          </w:pPr>
          <w:hyperlink w:anchor="__RefHeading___Toc39982_1878427129">
            <w:r>
              <w:rPr>
                <w:webHidden/>
                <w:rStyle w:val="IndexLink"/>
              </w:rPr>
              <w:t>4.2</w:t>
            </w:r>
            <w:r>
              <w:rPr>
                <w:rStyle w:val="IndexLink"/>
                <w:rtl w:val="true"/>
              </w:rPr>
              <w:t xml:space="preserve">. </w:t>
            </w:r>
            <w:r>
              <w:rPr>
                <w:rStyle w:val="IndexLink"/>
                <w:rtl w:val="true"/>
              </w:rPr>
              <w:t>نقش مردم در حاکمیت ولی فقیه</w:t>
            </w:r>
            <w:r>
              <w:rPr>
                <w:rStyle w:val="IndexLink"/>
                <w:rtl w:val="true"/>
              </w:rPr>
              <w:tab/>
            </w:r>
            <w:r>
              <w:rPr>
                <w:rStyle w:val="IndexLink"/>
              </w:rPr>
              <w:t>314</w:t>
            </w:r>
          </w:hyperlink>
        </w:p>
        <w:p>
          <w:pPr>
            <w:pStyle w:val="Contents4"/>
            <w:tabs>
              <w:tab w:val="clear" w:pos="8176"/>
              <w:tab w:val="right" w:pos="9026" w:leader="dot"/>
            </w:tabs>
            <w:rPr/>
          </w:pPr>
          <w:hyperlink w:anchor="__RefHeading___Toc39984_1878427129">
            <w:r>
              <w:rPr>
                <w:webHidden/>
                <w:rStyle w:val="IndexLink"/>
              </w:rPr>
              <w:t>4.3</w:t>
            </w:r>
            <w:r>
              <w:rPr>
                <w:rStyle w:val="IndexLink"/>
                <w:rtl w:val="true"/>
              </w:rPr>
              <w:t>. «</w:t>
            </w:r>
            <w:r>
              <w:rPr>
                <w:rStyle w:val="IndexLink"/>
                <w:rtl w:val="true"/>
              </w:rPr>
              <w:t>خبرگان</w:t>
            </w:r>
            <w:r>
              <w:rPr>
                <w:rStyle w:val="IndexLink"/>
                <w:rtl w:val="true"/>
              </w:rPr>
              <w:t>»</w:t>
            </w:r>
            <w:r>
              <w:rPr>
                <w:rStyle w:val="IndexLink"/>
                <w:rtl w:val="true"/>
              </w:rPr>
              <w:t>؛ حلقۀ وصل مردم و ولی امر</w:t>
            </w:r>
            <w:r>
              <w:rPr>
                <w:rStyle w:val="IndexLink"/>
                <w:rtl w:val="true"/>
              </w:rPr>
              <w:tab/>
            </w:r>
            <w:r>
              <w:rPr>
                <w:rStyle w:val="IndexLink"/>
              </w:rPr>
              <w:t>316</w:t>
            </w:r>
          </w:hyperlink>
        </w:p>
        <w:p>
          <w:pPr>
            <w:pStyle w:val="Contents4"/>
            <w:tabs>
              <w:tab w:val="clear" w:pos="8176"/>
              <w:tab w:val="right" w:pos="9026" w:leader="dot"/>
            </w:tabs>
            <w:rPr/>
          </w:pPr>
          <w:hyperlink w:anchor="__RefHeading___Toc39986_1878427129">
            <w:r>
              <w:rPr>
                <w:webHidden/>
                <w:rStyle w:val="IndexLink"/>
              </w:rPr>
              <w:t>4.4</w:t>
            </w:r>
            <w:r>
              <w:rPr>
                <w:rStyle w:val="IndexLink"/>
                <w:rtl w:val="true"/>
              </w:rPr>
              <w:t xml:space="preserve">. </w:t>
            </w:r>
            <w:r>
              <w:rPr>
                <w:rStyle w:val="IndexLink"/>
                <w:rtl w:val="true"/>
              </w:rPr>
              <w:t>بیعت مردم؛ شرط ولایت یا</w:t>
            </w:r>
            <w:r>
              <w:rPr>
                <w:rStyle w:val="IndexLink"/>
                <w:rtl w:val="true"/>
              </w:rPr>
              <w:t>...</w:t>
            </w:r>
            <w:r>
              <w:rPr>
                <w:rStyle w:val="IndexLink"/>
                <w:rtl w:val="true"/>
              </w:rPr>
              <w:t>؟</w:t>
            </w:r>
            <w:r>
              <w:rPr>
                <w:rStyle w:val="IndexLink"/>
                <w:rtl w:val="true"/>
              </w:rPr>
              <w:tab/>
            </w:r>
            <w:r>
              <w:rPr>
                <w:rStyle w:val="IndexLink"/>
              </w:rPr>
              <w:t>319</w:t>
            </w:r>
          </w:hyperlink>
        </w:p>
        <w:p>
          <w:pPr>
            <w:pStyle w:val="Contents3"/>
            <w:tabs>
              <w:tab w:val="clear" w:pos="8459"/>
              <w:tab w:val="right" w:pos="9026" w:leader="dot"/>
            </w:tabs>
            <w:rPr/>
          </w:pPr>
          <w:hyperlink w:anchor="__RefHeading___Toc39988_1878427129">
            <w:r>
              <w:rPr>
                <w:webHidden/>
                <w:rStyle w:val="IndexLink"/>
              </w:rPr>
              <w:t>5</w:t>
            </w:r>
            <w:r>
              <w:rPr>
                <w:rStyle w:val="IndexLink"/>
                <w:rtl w:val="true"/>
              </w:rPr>
              <w:t xml:space="preserve">. </w:t>
            </w:r>
            <w:r>
              <w:rPr>
                <w:rStyle w:val="IndexLink"/>
                <w:rtl w:val="true"/>
              </w:rPr>
              <w:t>گستره و حدود اختیارات ولی فقیه</w:t>
            </w:r>
            <w:r>
              <w:rPr>
                <w:rStyle w:val="IndexLink"/>
                <w:rtl w:val="true"/>
              </w:rPr>
              <w:tab/>
            </w:r>
            <w:r>
              <w:rPr>
                <w:rStyle w:val="IndexLink"/>
              </w:rPr>
              <w:t>321</w:t>
            </w:r>
          </w:hyperlink>
        </w:p>
        <w:p>
          <w:pPr>
            <w:pStyle w:val="Contents3"/>
            <w:tabs>
              <w:tab w:val="clear" w:pos="8459"/>
              <w:tab w:val="right" w:pos="9026" w:leader="dot"/>
            </w:tabs>
            <w:rPr/>
          </w:pPr>
          <w:hyperlink w:anchor="__RefHeading___Toc39990_1878427129">
            <w:r>
              <w:rPr>
                <w:webHidden/>
                <w:rStyle w:val="IndexLink"/>
                <w:rtl w:val="true"/>
              </w:rPr>
              <w:t>نتیجه گیری</w:t>
            </w:r>
            <w:r>
              <w:rPr>
                <w:rStyle w:val="IndexLink"/>
                <w:rtl w:val="true"/>
              </w:rPr>
              <w:tab/>
            </w:r>
            <w:r>
              <w:rPr>
                <w:rStyle w:val="IndexLink"/>
              </w:rPr>
              <w:t>325</w:t>
            </w:r>
          </w:hyperlink>
        </w:p>
        <w:p>
          <w:pPr>
            <w:pStyle w:val="Contents3"/>
            <w:tabs>
              <w:tab w:val="clear" w:pos="8459"/>
              <w:tab w:val="right" w:pos="9026" w:leader="dot"/>
            </w:tabs>
            <w:rPr/>
          </w:pPr>
          <w:hyperlink w:anchor="__RefHeading___Toc39992_1878427129">
            <w:r>
              <w:rPr>
                <w:webHidden/>
                <w:rStyle w:val="IndexLink"/>
                <w:rtl w:val="true"/>
              </w:rPr>
              <w:t>کتاب نامه</w:t>
            </w:r>
            <w:r>
              <w:rPr>
                <w:rStyle w:val="IndexLink"/>
                <w:rtl w:val="true"/>
              </w:rPr>
              <w:tab/>
            </w:r>
            <w:r>
              <w:rPr>
                <w:rStyle w:val="IndexLink"/>
              </w:rPr>
              <w:t>326</w:t>
            </w:r>
          </w:hyperlink>
        </w:p>
        <w:p>
          <w:pPr>
            <w:pStyle w:val="Contents2"/>
            <w:tabs>
              <w:tab w:val="clear" w:pos="8743"/>
              <w:tab w:val="right" w:pos="9026" w:leader="dot"/>
            </w:tabs>
            <w:rPr/>
          </w:pPr>
          <w:hyperlink w:anchor="__RefHeading___Toc39994_1878427129">
            <w:r>
              <w:rPr>
                <w:webHidden/>
                <w:rStyle w:val="IndexLink"/>
                <w:rtl w:val="true"/>
              </w:rPr>
              <w:t>موسیقی و غنا از دیدگاه فقیه مشکینی</w:t>
            </w:r>
            <w:r>
              <w:rPr>
                <w:rStyle w:val="IndexLink"/>
                <w:rtl w:val="true"/>
              </w:rPr>
              <w:tab/>
            </w:r>
            <w:r>
              <w:rPr>
                <w:rStyle w:val="IndexLink"/>
              </w:rPr>
              <w:t>328</w:t>
            </w:r>
          </w:hyperlink>
        </w:p>
        <w:p>
          <w:pPr>
            <w:pStyle w:val="Contents3"/>
            <w:tabs>
              <w:tab w:val="clear" w:pos="8459"/>
              <w:tab w:val="right" w:pos="9026" w:leader="dot"/>
            </w:tabs>
            <w:rPr/>
          </w:pPr>
          <w:hyperlink w:anchor="__RefHeading___Toc39996_1878427129">
            <w:r>
              <w:rPr>
                <w:webHidden/>
                <w:rStyle w:val="IndexLink"/>
                <w:rtl w:val="true"/>
              </w:rPr>
              <w:t>اشاره</w:t>
            </w:r>
            <w:r>
              <w:rPr>
                <w:rStyle w:val="IndexLink"/>
                <w:rtl w:val="true"/>
              </w:rPr>
              <w:tab/>
            </w:r>
            <w:r>
              <w:rPr>
                <w:rStyle w:val="IndexLink"/>
              </w:rPr>
              <w:t>328</w:t>
            </w:r>
          </w:hyperlink>
        </w:p>
        <w:p>
          <w:pPr>
            <w:pStyle w:val="Contents3"/>
            <w:tabs>
              <w:tab w:val="clear" w:pos="8459"/>
              <w:tab w:val="right" w:pos="9026" w:leader="dot"/>
            </w:tabs>
            <w:rPr/>
          </w:pPr>
          <w:hyperlink w:anchor="__RefHeading___Toc39998_1878427129">
            <w:r>
              <w:rPr>
                <w:webHidden/>
                <w:rStyle w:val="IndexLink"/>
                <w:rtl w:val="true"/>
              </w:rPr>
              <w:t>چکیده</w:t>
            </w:r>
            <w:r>
              <w:rPr>
                <w:rStyle w:val="IndexLink"/>
                <w:rtl w:val="true"/>
              </w:rPr>
              <w:tab/>
            </w:r>
            <w:r>
              <w:rPr>
                <w:rStyle w:val="IndexLink"/>
              </w:rPr>
              <w:t>328</w:t>
            </w:r>
          </w:hyperlink>
        </w:p>
        <w:p>
          <w:pPr>
            <w:pStyle w:val="Contents3"/>
            <w:tabs>
              <w:tab w:val="clear" w:pos="8459"/>
              <w:tab w:val="right" w:pos="9026" w:leader="dot"/>
            </w:tabs>
            <w:rPr/>
          </w:pPr>
          <w:hyperlink w:anchor="__RefHeading___Toc40000_1878427129">
            <w:r>
              <w:rPr>
                <w:webHidden/>
                <w:rStyle w:val="IndexLink"/>
                <w:rtl w:val="true"/>
              </w:rPr>
              <w:t>مقدمه</w:t>
            </w:r>
            <w:r>
              <w:rPr>
                <w:rStyle w:val="IndexLink"/>
                <w:rtl w:val="true"/>
              </w:rPr>
              <w:tab/>
            </w:r>
            <w:r>
              <w:rPr>
                <w:rStyle w:val="IndexLink"/>
              </w:rPr>
              <w:t>329</w:t>
            </w:r>
          </w:hyperlink>
        </w:p>
        <w:p>
          <w:pPr>
            <w:pStyle w:val="Contents3"/>
            <w:tabs>
              <w:tab w:val="clear" w:pos="8459"/>
              <w:tab w:val="right" w:pos="9026" w:leader="dot"/>
            </w:tabs>
            <w:rPr/>
          </w:pPr>
          <w:hyperlink w:anchor="__RefHeading___Toc40002_1878427129">
            <w:r>
              <w:rPr>
                <w:webHidden/>
                <w:rStyle w:val="IndexLink"/>
              </w:rPr>
              <w:t>1</w:t>
            </w:r>
            <w:r>
              <w:rPr>
                <w:rStyle w:val="IndexLink"/>
                <w:rtl w:val="true"/>
              </w:rPr>
              <w:t xml:space="preserve">. </w:t>
            </w:r>
            <w:r>
              <w:rPr>
                <w:rStyle w:val="IndexLink"/>
                <w:rtl w:val="true"/>
              </w:rPr>
              <w:t>تعریف لغوی واژۀ غنا</w:t>
            </w:r>
            <w:r>
              <w:rPr>
                <w:rStyle w:val="IndexLink"/>
                <w:rtl w:val="true"/>
              </w:rPr>
              <w:tab/>
            </w:r>
            <w:r>
              <w:rPr>
                <w:rStyle w:val="IndexLink"/>
              </w:rPr>
              <w:t>330</w:t>
            </w:r>
          </w:hyperlink>
        </w:p>
        <w:p>
          <w:pPr>
            <w:pStyle w:val="Contents3"/>
            <w:tabs>
              <w:tab w:val="clear" w:pos="8459"/>
              <w:tab w:val="right" w:pos="9026" w:leader="dot"/>
            </w:tabs>
            <w:rPr/>
          </w:pPr>
          <w:hyperlink w:anchor="__RefHeading___Toc40004_1878427129">
            <w:r>
              <w:rPr>
                <w:webHidden/>
                <w:rStyle w:val="IndexLink"/>
              </w:rPr>
              <w:t>2</w:t>
            </w:r>
            <w:r>
              <w:rPr>
                <w:rStyle w:val="IndexLink"/>
                <w:rtl w:val="true"/>
              </w:rPr>
              <w:t xml:space="preserve">. </w:t>
            </w:r>
            <w:r>
              <w:rPr>
                <w:rStyle w:val="IndexLink"/>
                <w:rtl w:val="true"/>
              </w:rPr>
              <w:t>بررسی غنا در آیات قرآن کریم و نظریۀ فقیه مشکینی</w:t>
            </w:r>
            <w:r>
              <w:rPr>
                <w:rStyle w:val="IndexLink"/>
                <w:rtl w:val="true"/>
              </w:rPr>
              <w:tab/>
            </w:r>
            <w:r>
              <w:rPr>
                <w:rStyle w:val="IndexLink"/>
              </w:rPr>
              <w:t>331</w:t>
            </w:r>
          </w:hyperlink>
        </w:p>
        <w:p>
          <w:pPr>
            <w:pStyle w:val="Contents3"/>
            <w:tabs>
              <w:tab w:val="clear" w:pos="8459"/>
              <w:tab w:val="right" w:pos="9026" w:leader="dot"/>
            </w:tabs>
            <w:rPr/>
          </w:pPr>
          <w:hyperlink w:anchor="__RefHeading___Toc40006_1878427129">
            <w:r>
              <w:rPr>
                <w:webHidden/>
                <w:rStyle w:val="IndexLink"/>
                <w:rtl w:val="true"/>
              </w:rPr>
              <w:t>شنیدن و خریدن غنا</w:t>
            </w:r>
            <w:r>
              <w:rPr>
                <w:rStyle w:val="IndexLink"/>
                <w:rtl w:val="true"/>
              </w:rPr>
              <w:tab/>
            </w:r>
            <w:r>
              <w:rPr>
                <w:rStyle w:val="IndexLink"/>
              </w:rPr>
              <w:t>335</w:t>
            </w:r>
          </w:hyperlink>
        </w:p>
        <w:p>
          <w:pPr>
            <w:pStyle w:val="Contents3"/>
            <w:tabs>
              <w:tab w:val="clear" w:pos="8459"/>
              <w:tab w:val="right" w:pos="9026" w:leader="dot"/>
            </w:tabs>
            <w:rPr/>
          </w:pPr>
          <w:hyperlink w:anchor="__RefHeading___Toc40008_1878427129">
            <w:r>
              <w:rPr>
                <w:webHidden/>
                <w:rStyle w:val="IndexLink"/>
                <w:rtl w:val="true"/>
              </w:rPr>
              <w:t>بررسی مقولۀ غنا در روایات</w:t>
            </w:r>
            <w:r>
              <w:rPr>
                <w:rStyle w:val="IndexLink"/>
                <w:rtl w:val="true"/>
              </w:rPr>
              <w:tab/>
            </w:r>
            <w:r>
              <w:rPr>
                <w:rStyle w:val="IndexLink"/>
              </w:rPr>
              <w:t>337</w:t>
            </w:r>
          </w:hyperlink>
        </w:p>
        <w:p>
          <w:pPr>
            <w:pStyle w:val="Contents3"/>
            <w:tabs>
              <w:tab w:val="clear" w:pos="8459"/>
              <w:tab w:val="right" w:pos="9026" w:leader="dot"/>
            </w:tabs>
            <w:rPr/>
          </w:pPr>
          <w:hyperlink w:anchor="__RefHeading___Toc40010_1878427129">
            <w:r>
              <w:rPr>
                <w:webHidden/>
                <w:rStyle w:val="IndexLink"/>
                <w:rtl w:val="true"/>
              </w:rPr>
              <w:t>مجازات مرتکبان لهوالحدیث</w:t>
            </w:r>
            <w:r>
              <w:rPr>
                <w:rStyle w:val="IndexLink"/>
                <w:rtl w:val="true"/>
              </w:rPr>
              <w:tab/>
            </w:r>
            <w:r>
              <w:rPr>
                <w:rStyle w:val="IndexLink"/>
              </w:rPr>
              <w:t>338</w:t>
            </w:r>
          </w:hyperlink>
        </w:p>
        <w:p>
          <w:pPr>
            <w:pStyle w:val="Contents3"/>
            <w:tabs>
              <w:tab w:val="clear" w:pos="8459"/>
              <w:tab w:val="right" w:pos="9026" w:leader="dot"/>
            </w:tabs>
            <w:rPr/>
          </w:pPr>
          <w:hyperlink w:anchor="__RefHeading___Toc40012_1878427129">
            <w:r>
              <w:rPr>
                <w:webHidden/>
                <w:rStyle w:val="IndexLink"/>
                <w:rtl w:val="true"/>
              </w:rPr>
              <w:t>اندرزی اخلاقی</w:t>
            </w:r>
            <w:r>
              <w:rPr>
                <w:rStyle w:val="IndexLink"/>
                <w:rtl w:val="true"/>
              </w:rPr>
              <w:tab/>
            </w:r>
            <w:r>
              <w:rPr>
                <w:rStyle w:val="IndexLink"/>
              </w:rPr>
              <w:t>339</w:t>
            </w:r>
          </w:hyperlink>
        </w:p>
        <w:p>
          <w:pPr>
            <w:pStyle w:val="Contents3"/>
            <w:tabs>
              <w:tab w:val="clear" w:pos="8459"/>
              <w:tab w:val="right" w:pos="9026" w:leader="dot"/>
            </w:tabs>
            <w:rPr/>
          </w:pPr>
          <w:hyperlink w:anchor="__RefHeading___Toc40014_1878427129">
            <w:r>
              <w:rPr>
                <w:webHidden/>
                <w:rStyle w:val="IndexLink"/>
                <w:rtl w:val="true"/>
              </w:rPr>
              <w:t>نتیجه</w:t>
            </w:r>
            <w:r>
              <w:rPr>
                <w:rStyle w:val="IndexLink"/>
                <w:rtl w:val="true"/>
              </w:rPr>
              <w:tab/>
            </w:r>
            <w:r>
              <w:rPr>
                <w:rStyle w:val="IndexLink"/>
              </w:rPr>
              <w:t>340</w:t>
            </w:r>
          </w:hyperlink>
        </w:p>
        <w:p>
          <w:pPr>
            <w:pStyle w:val="Contents3"/>
            <w:tabs>
              <w:tab w:val="clear" w:pos="8459"/>
              <w:tab w:val="right" w:pos="9026" w:leader="dot"/>
            </w:tabs>
            <w:rPr/>
          </w:pPr>
          <w:hyperlink w:anchor="__RefHeading___Toc40016_1878427129">
            <w:r>
              <w:rPr>
                <w:webHidden/>
                <w:rStyle w:val="IndexLink"/>
                <w:rtl w:val="true"/>
              </w:rPr>
              <w:t>کتاب نامه</w:t>
            </w:r>
            <w:r>
              <w:rPr>
                <w:rStyle w:val="IndexLink"/>
                <w:rtl w:val="true"/>
              </w:rPr>
              <w:tab/>
            </w:r>
            <w:r>
              <w:rPr>
                <w:rStyle w:val="IndexLink"/>
              </w:rPr>
              <w:t>341</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4517_146120"/>
      <w:bookmarkStart w:id="1" w:name="pg14517_146120"/>
      <w:bookmarkEnd w:id="1"/>
    </w:p>
    <w:p>
      <w:pPr>
        <w:pStyle w:val="Heading2"/>
        <w:numPr>
          <w:ilvl w:val="1"/>
          <w:numId w:val="1"/>
        </w:numPr>
        <w:rPr/>
      </w:pPr>
      <w:bookmarkStart w:id="2" w:name="pg14517_146120"/>
      <w:bookmarkStart w:id="3" w:name="__RefHeading___Toc39598_1878427129"/>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همایش بزرگداشت آیت‌الله مشکینی‏</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۱۳۹۲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 مقالات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یادنامه آیه‌الله علی مشکینی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نویسندگان‏‫؛ ویراستار مصطفی پورنجاتی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علمی‌فرهنگی دارالحدیث، سازمان چاپ و نشر، ‏</w:t>
      </w:r>
      <w:r>
        <w:rPr>
          <w:rFonts w:ascii="IRNazanin" w:hAnsi="IRNazanin" w:eastAsia="IRNazanin"/>
          <w:color w:val="111111"/>
          <w:sz w:val="28"/>
          <w:sz w:val="28"/>
          <w:szCs w:val="28"/>
          <w:lang w:bidi="fa-IR"/>
        </w:rPr>
        <w:t>‫۱۳۹۲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یادنامه آیه‌الله علی مشکینی‏</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‫‭978-964-493-736-1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lang w:bidi="fa-IR"/>
        </w:rPr>
        <w:t>‫۱۱۰۰۰۰</w:t>
      </w:r>
      <w:r>
        <w:rPr>
          <w:rFonts w:ascii="IRNazanin" w:hAnsi="IRNazanin" w:eastAsia="IRNazanin"/>
          <w:color w:val="111111"/>
          <w:sz w:val="28"/>
          <w:sz w:val="28"/>
          <w:szCs w:val="28"/>
          <w:rtl w:val="true"/>
          <w:lang w:bidi="fa-IR"/>
        </w:rPr>
        <w:t xml:space="preserve"> ریال</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‫‭978-964-493-737-8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lang w:bidi="fa-IR"/>
        </w:rPr>
        <w:t>‫۱۳۰۰۰۰</w:t>
      </w:r>
      <w:r>
        <w:rPr>
          <w:rFonts w:ascii="IRNazanin" w:hAnsi="IRNazanin" w:eastAsia="IRNazanin"/>
          <w:color w:val="111111"/>
          <w:sz w:val="28"/>
          <w:sz w:val="28"/>
          <w:szCs w:val="28"/>
          <w:rtl w:val="true"/>
          <w:lang w:bidi="fa-IR"/>
        </w:rPr>
        <w:t xml:space="preserve"> ریال</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lang w:bidi="fa-IR"/>
        </w:rPr>
        <w:t>‫‬‭</w:t>
      </w:r>
      <w:r>
        <w:rPr>
          <w:rFonts w:eastAsia="IRNazanin" w:cs="IRNazanin"/>
          <w:color w:val="111111"/>
          <w:sz w:val="28"/>
          <w:szCs w:val="28"/>
          <w:lang w:bidi="fa-IR"/>
        </w:rPr>
        <w:t>978-964-493-730-9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فاپا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۱۳۹۲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فیپا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مندرجات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اندیشه‌ها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زندگی‌نامه اخلاقی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اجتماعی و عالمان اردبیل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ویراستار مصطفی پورنجاتی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م‍ش‍ک‍ی‍ن‍ی‌ اردب‍ی‍ل‍ی‌، ع‍ل‍ی‌، ‏</w:t>
      </w:r>
      <w:r>
        <w:rPr>
          <w:rFonts w:ascii="IRNazanin" w:hAnsi="IRNazanin" w:eastAsia="IRNazanin"/>
          <w:color w:val="111111"/>
          <w:sz w:val="28"/>
          <w:sz w:val="28"/>
          <w:szCs w:val="28"/>
          <w:lang w:bidi="fa-IR"/>
        </w:rPr>
        <w:t>‫۱۳۰۰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۱۳۸۶</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کنگره‌ها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مجتهدان و علما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کنگره‌ها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موسسه علمی فرهنگی دارالحدیث‏‫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چاپ و نشر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tab/>
        <w:t>‏</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۵۵</w:t>
      </w:r>
      <w:r>
        <w:rPr>
          <w:rFonts w:eastAsia="IRNazanin" w:cs="IRNazanin"/>
          <w:color w:val="111111"/>
          <w:sz w:val="28"/>
          <w:szCs w:val="28"/>
          <w:lang w:bidi="fa-IR"/>
        </w:rPr>
        <w:t>/</w:t>
      </w:r>
      <w:r>
        <w:rPr>
          <w:rFonts w:ascii="IRNazanin" w:hAnsi="IRNazanin" w:eastAsia="IRNazanin"/>
          <w:color w:val="111111"/>
          <w:sz w:val="28"/>
          <w:sz w:val="28"/>
          <w:szCs w:val="28"/>
          <w:lang w:bidi="fa-IR"/>
        </w:rPr>
        <w:t>۳‭‬ ‭</w:t>
      </w:r>
      <w:r>
        <w:rPr>
          <w:rFonts w:eastAsia="IRNazanin" w:cs="IRNazanin"/>
          <w:color w:val="111111"/>
          <w:sz w:val="28"/>
          <w:szCs w:val="28"/>
          <w:lang w:bidi="fa-IR"/>
        </w:rPr>
        <w:t>/</w:t>
      </w:r>
      <w:r>
        <w:rPr>
          <w:rFonts w:ascii="IRNazanin" w:hAnsi="IRNazanin" w:eastAsia="IRNazanin"/>
          <w:color w:val="111111"/>
          <w:sz w:val="28"/>
          <w:sz w:val="28"/>
          <w:szCs w:val="28"/>
          <w:lang w:bidi="fa-IR"/>
        </w:rPr>
        <w:t>م۵۴‏</w:t>
      </w:r>
      <w:r>
        <w:rPr>
          <w:rFonts w:ascii="IRNazanin" w:hAnsi="IRNazanin" w:eastAsia="IRNazanin"/>
          <w:color w:val="111111"/>
          <w:sz w:val="28"/>
          <w:sz w:val="28"/>
          <w:szCs w:val="28"/>
          <w:lang w:bidi="fa-IR"/>
        </w:rPr>
        <w:t>‫‭ھ۸ ۱۳۹۲</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eastAsia="IRNazanin" w:cs="IRNazanin"/>
          <w:color w:val="111111"/>
          <w:sz w:val="28"/>
          <w:szCs w:val="28"/>
          <w:lang w:bidi="fa-IR"/>
        </w:rPr>
        <w:t>‫‭</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۹۹۸</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۳۳۳۰۰۱۱</w:t>
      </w:r>
      <w:r>
        <w:rPr>
          <w:rFonts w:ascii="IRNazanin" w:hAnsi="IRNazanin" w:eastAsia="IRNazanin"/>
          <w:color w:val="111111"/>
          <w:sz w:val="28"/>
          <w:sz w:val="28"/>
          <w:szCs w:val="28"/>
          <w:rtl w:val="true"/>
          <w:lang w:bidi="fa-IR"/>
        </w:rPr>
        <w:t>‬</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39600_1878427129"/>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مجموعه مقالات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یادنامه آیه‌الله علی مشکینی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گروهی از نویسندگان</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ویراستار مصطفی پورنجاتی</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فهرست اجمالی</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فهرست اجمالی</w:t>
      </w:r>
      <w:bookmarkStart w:id="7" w:name="pg14517_146126"/>
    </w:p>
    <w:p>
      <w:pPr>
        <w:pStyle w:val="Heading2"/>
        <w:numPr>
          <w:ilvl w:val="1"/>
          <w:numId w:val="1"/>
        </w:numPr>
        <w:rPr/>
      </w:pPr>
      <w:bookmarkStart w:id="8" w:name="__RefHeading___Toc39602_1878427129"/>
      <w:bookmarkStart w:id="9" w:name="_Toc3"/>
      <w:bookmarkEnd w:id="7"/>
      <w:bookmarkEnd w:id="8"/>
      <w:r>
        <w:rPr>
          <w:rtl w:val="true"/>
        </w:rPr>
        <w:t>پیش گفتار</w:t>
      </w:r>
      <w:bookmarkEnd w:id="9"/>
    </w:p>
    <w:p>
      <w:pPr>
        <w:pStyle w:val="BookText"/>
        <w:rPr/>
      </w:pPr>
      <w:r>
        <w:rPr>
          <w:rFonts w:ascii="IRNazanin" w:hAnsi="IRNazanin" w:eastAsia="IRNazanin"/>
          <w:color w:val="111111"/>
          <w:sz w:val="28"/>
          <w:sz w:val="28"/>
          <w:szCs w:val="28"/>
          <w:rtl w:val="true"/>
          <w:lang w:bidi="fa-IR"/>
        </w:rPr>
        <w:t>تکریم عالمان و انسان‌های وارسته، نشان پویایی و کمال‌طلبی جامعه به‌شمار می‌رود، چنان که، از قدردانی و احترام به سرمایه‌های انسانی خبر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آیت‌اللّه میرزا علی مشکینی رحمه الله، از معدود انسان‌هایی است که علم را با عمل، و زهد و ساده‌زیستی را با مبارزه و فعالیت‌های اجتماعی، درآمیخت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ایشان، ابعاد گسترده‌ای داشت که شایسته است برای بهره‌گیری آیندگان، مورد تجزیه و تحلیل قرار گیرد، از جمله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ویژگی‌های اخلاقی؛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تدریس و عالم‌پروری؛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تألیف و پژوهش؛</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فعالیت‌های اجتماعی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از ایشان، دست‌نوشته‌های بسیار و نیز درس‌ها و سخنرانی‌های فراوان برجای مانده که شایسته بود برای استفادۀ جامعۀ علمی و عموم مردم، آمادۀ بهره‌برداری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خواست خداوند و اهتمام علاقه‌مندان ایشان، این مجموعه‌ها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آن‌جا که امکان دسترسی به آن‌ها فراهم گردید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آماده‌سازی شده‌اند که اینک به مناسبت همایش بزرگداشت آن مرحوم، انتشار می‌یابند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روح آن انسان بزرگ را قرین رحمت خویش قرار دهد و او را با اولیای صالحش محشور گرداند</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محمّد محمّدی ری‌شهری</w:t>
      </w:r>
      <w:bookmarkStart w:id="10" w:name="pg14517_146128"/>
    </w:p>
    <w:p>
      <w:pPr>
        <w:pStyle w:val="Heading2"/>
        <w:numPr>
          <w:ilvl w:val="1"/>
          <w:numId w:val="1"/>
        </w:numPr>
        <w:rPr/>
      </w:pPr>
      <w:bookmarkStart w:id="11" w:name="__RefHeading___Toc39604_1878427129"/>
      <w:bookmarkStart w:id="12" w:name="_Toc4"/>
      <w:bookmarkEnd w:id="10"/>
      <w:bookmarkEnd w:id="11"/>
      <w:r>
        <w:rPr>
          <w:rtl w:val="true"/>
        </w:rPr>
        <w:t>یادداشت دبیر علمی همایش</w:t>
      </w:r>
      <w:bookmarkEnd w:id="12"/>
    </w:p>
    <w:p>
      <w:pPr>
        <w:pStyle w:val="Heading3"/>
        <w:numPr>
          <w:ilvl w:val="2"/>
          <w:numId w:val="1"/>
        </w:numPr>
        <w:rPr/>
      </w:pPr>
      <w:bookmarkStart w:id="13" w:name="__RefHeading___Toc39606_1878427129"/>
      <w:bookmarkStart w:id="14" w:name="_Toc5"/>
      <w:bookmarkEnd w:id="13"/>
      <w:r>
        <w:rPr>
          <w:rtl w:val="true"/>
        </w:rPr>
        <w:t>یکم</w:t>
      </w:r>
      <w:r>
        <w:rPr>
          <w:rtl w:val="true"/>
        </w:rPr>
        <w:t xml:space="preserve">. </w:t>
      </w:r>
      <w:r>
        <w:rPr>
          <w:rtl w:val="true"/>
        </w:rPr>
        <w:t>نگاهی اجمالی به زندگانی آیت اللّه مشکینی رحمه الله</w:t>
      </w:r>
      <w:bookmarkEnd w:id="14"/>
    </w:p>
    <w:p>
      <w:pPr>
        <w:pStyle w:val="Heading4"/>
        <w:numPr>
          <w:ilvl w:val="3"/>
          <w:numId w:val="1"/>
        </w:numPr>
        <w:rPr/>
      </w:pPr>
      <w:bookmarkStart w:id="15" w:name="__RefHeading___Toc39608_1878427129"/>
      <w:bookmarkStart w:id="16" w:name="_Toc6"/>
      <w:bookmarkEnd w:id="15"/>
      <w:r>
        <w:rPr>
          <w:rtl w:val="true"/>
        </w:rPr>
        <w:t>اشاره</w:t>
      </w:r>
      <w:bookmarkEnd w:id="16"/>
    </w:p>
    <w:p>
      <w:pPr>
        <w:pStyle w:val="BookText"/>
        <w:rPr/>
      </w:pPr>
      <w:r>
        <w:rPr>
          <w:rFonts w:ascii="IRNazanin" w:hAnsi="IRNazanin" w:eastAsia="IRNazanin"/>
          <w:color w:val="111111"/>
          <w:sz w:val="28"/>
          <w:sz w:val="28"/>
          <w:szCs w:val="28"/>
          <w:rtl w:val="true"/>
          <w:lang w:bidi="fa-IR"/>
        </w:rPr>
        <w:t xml:space="preserve">حضرت آیت‌اللّه میرزا علی اکبر فیض، معروف به مشکینی در آذرماه سال </w:t>
      </w:r>
      <w:r>
        <w:rPr>
          <w:rFonts w:eastAsia="IRNazanin" w:cs="IRNazanin"/>
          <w:color w:val="111111"/>
          <w:sz w:val="28"/>
          <w:szCs w:val="28"/>
          <w:lang w:bidi="fa-IR"/>
        </w:rPr>
        <w:t>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ربیع ثانی،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روستای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توابع مشکینْشهر، در استان اردبیل، دیده به جهان گشود و در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مصادف با نیمۀ رجب </w:t>
      </w:r>
      <w:r>
        <w:rPr>
          <w:rFonts w:eastAsia="IRNazanin" w:cs="IRNazanin"/>
          <w:color w:val="111111"/>
          <w:sz w:val="28"/>
          <w:szCs w:val="28"/>
          <w:lang w:bidi="fa-IR"/>
        </w:rPr>
        <w:t>1428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فانی را وادع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آموزش‌های اولیه را در نجف اشرف به هنگام حضور پدر برای تحصیل علوم دینی در آن حوزۀ مقدس، آغاز کرد و پس از بازگشت به وطن نیز فراگیری علوم دینی را در نزد پدر،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فوت پدر، برای ادامۀ تحصیل، راهی حوزۀ علمیۀ اردبیل شد و چند ماهی در آن‌جا به آموختن دروس مقدّماتی مشغول بود و سپس برای ادامه تحصیل، به قم مهاجرت کرد و در حوزۀ علمیۀ قم، در درس حضرات 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حجّت، محقّق داماد، بروجردی و امام خمینی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رحمهم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جست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دوره از زندگی، ایشان، مهاجرت کوتاهی به نجف داشت و حدود هفت ماه در این شهر، زندگی کرد و از محضر اساتید آن دیار، بهره بُرد؛ ولی به دلیل گرمی هوای نجف و ضعف مزاج، مجبور به بازگشت شد و تحصیل و تدریس خود را در قم ادامه داد</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آیت‌اللّه مشکینی یکی از استادان مبرّز حوزۀ علمیه قم به شمار می‌رفت و درس‌های مقدمات و سطح و نیز درس تفسیر و اخلاق و درس خارج فقه ایشان، مورد توجه بود و شاگردان بسیاری تربیت کرد</w:t>
      </w:r>
      <w:r>
        <w:rPr>
          <w:rFonts w:eastAsia="IRNazanin" w:cs="IRNazanin"/>
          <w:color w:val="111111"/>
          <w:sz w:val="28"/>
          <w:szCs w:val="28"/>
          <w:rtl w:val="true"/>
          <w:lang w:bidi="fa-IR"/>
        </w:rPr>
        <w:t>.</w:t>
      </w:r>
      <w:bookmarkStart w:id="17" w:name="pg14517_146129"/>
    </w:p>
    <w:p>
      <w:pPr>
        <w:pStyle w:val="BookText"/>
        <w:rPr/>
      </w:pPr>
      <w:bookmarkEnd w:id="17"/>
      <w:r>
        <w:rPr>
          <w:rFonts w:ascii="IRNazanin" w:hAnsi="IRNazanin" w:eastAsia="IRNazanin"/>
          <w:color w:val="111111"/>
          <w:sz w:val="28"/>
          <w:sz w:val="28"/>
          <w:szCs w:val="28"/>
          <w:rtl w:val="true"/>
          <w:lang w:bidi="fa-IR"/>
        </w:rPr>
        <w:t>زندگی آیت‌اللّه مشکینی ابعادی گسترده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از یک سو، مدرّس حوزه‌های علمیه بود و از سوی دیگر، محقّق و نویسنده‌ای پُرکار و صاحب آثار فراوان، و در کنار این دو، به فعالیت‌های اجتماعی، سیاسی و فرهنگی نیز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پیش از پیروزی انقلاب اسلامی و چه پس از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اهتمام ویژه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مجموعۀ تلاش‌های فکری و عملی ایشان در بخش‌های ذیل، قابل دسته‌بندی است</w:t>
      </w:r>
      <w:r>
        <w:rPr>
          <w:rFonts w:eastAsia="IRNazanin" w:cs="IRNazanin"/>
          <w:color w:val="111111"/>
          <w:sz w:val="28"/>
          <w:szCs w:val="28"/>
          <w:rtl w:val="true"/>
          <w:lang w:bidi="fa-IR"/>
        </w:rPr>
        <w:t>:</w:t>
      </w:r>
    </w:p>
    <w:p>
      <w:pPr>
        <w:pStyle w:val="Heading4"/>
        <w:numPr>
          <w:ilvl w:val="3"/>
          <w:numId w:val="1"/>
        </w:numPr>
        <w:rPr/>
      </w:pPr>
      <w:bookmarkStart w:id="18" w:name="__RefHeading___Toc39610_1878427129"/>
      <w:bookmarkStart w:id="19" w:name="_Toc7"/>
      <w:bookmarkEnd w:id="18"/>
      <w:r>
        <w:rPr>
          <w:rtl w:val="true"/>
        </w:rPr>
        <w:t>الف</w:t>
      </w:r>
      <w:r>
        <w:rPr>
          <w:rtl w:val="true"/>
        </w:rPr>
        <w:t xml:space="preserve">. </w:t>
      </w:r>
      <w:r>
        <w:rPr>
          <w:rtl w:val="true"/>
        </w:rPr>
        <w:t>آثار مکتوب</w:t>
      </w:r>
      <w:bookmarkEnd w:id="19"/>
    </w:p>
    <w:p>
      <w:pPr>
        <w:pStyle w:val="BookText"/>
        <w:rPr/>
      </w:pPr>
      <w:r>
        <w:rPr>
          <w:rFonts w:ascii="IRNazanin" w:hAnsi="IRNazanin" w:eastAsia="IRNazanin"/>
          <w:color w:val="111111"/>
          <w:sz w:val="28"/>
          <w:sz w:val="28"/>
          <w:szCs w:val="28"/>
          <w:rtl w:val="true"/>
          <w:lang w:bidi="fa-IR"/>
        </w:rPr>
        <w:t>بیست و پنج عنوان از آثار مکتوب آیت‌اللّه مشکینی در زمان حیات ایشان به چاپ رسیده بود</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عناوین این کتاب‌ها از این قرار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ترجمۀ قرآن کریم به فارسی،</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التفسیر المبسوط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سورۀ آل عمران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سورۀ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التطوّر فی القرآن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دارای ترجمۀ فارسی با عنوان تکامل در 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المواعظ العددیة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دارای ترجمۀ فارسی با عنوان نصایح یا سخنان چهارده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قصار الجُمَل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احادیث کوتاه، تحت عناوین موضوعی، دو جلد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مفتاح الجنان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دعا، تکمیل المصباح المنیر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الهادی الی موضوعات نهج البلاغة،</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مسلکنا فی العقائد والأخلاق والعمل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دارای ترجمۀ فارسی با عنوان راه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دروس فی الأخلاق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دورۀ اخلاق، دارای ترجمۀ فارسی با عنوان درس‌های اخلاق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ازدواج در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دارای ترجمۀ فارسی با عنوان ازدواج در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اصطلاحات الاُصول،</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تحریر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الرسائل الجدیدة،</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مصطلحات الفقه،</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الفقه المأثور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دورۀ فقه به طرزی نوین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واجب و حرام احکام الزامی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دورۀ فقه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واجبات و محرّمات در شرع اسلام،</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تقلید چیست‌؟،</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بحثی پیرامون خمس،</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امر به معروف و نهی از منکر،</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حاشیه توضیحی بر کتاب مضاربۀ العروة الوثقی،</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المنافع العامة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کتاب احیاء الموات شرائع الإسلام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زمین و آنچه در آن است،</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قضا و شهادات،</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کشکول حکمت</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دست‌نوشته‌هایی نیز از ایشان بر جای مانده که هنوز منتشر نشده‌اند</w:t>
      </w:r>
      <w:r>
        <w:rPr>
          <w:rFonts w:eastAsia="IRNazanin" w:cs="IRNazanin"/>
          <w:color w:val="111111"/>
          <w:sz w:val="28"/>
          <w:szCs w:val="28"/>
          <w:rtl w:val="true"/>
          <w:lang w:bidi="fa-IR"/>
        </w:rPr>
        <w:t>.</w:t>
      </w:r>
      <w:bookmarkStart w:id="20" w:name="pg14517_146130"/>
    </w:p>
    <w:p>
      <w:pPr>
        <w:pStyle w:val="Heading4"/>
        <w:numPr>
          <w:ilvl w:val="3"/>
          <w:numId w:val="1"/>
        </w:numPr>
        <w:rPr/>
      </w:pPr>
      <w:bookmarkStart w:id="21" w:name="__RefHeading___Toc39612_1878427129"/>
      <w:bookmarkStart w:id="22" w:name="_Toc8"/>
      <w:bookmarkEnd w:id="20"/>
      <w:bookmarkEnd w:id="21"/>
      <w:r>
        <w:rPr>
          <w:rtl w:val="true"/>
        </w:rPr>
        <w:t>ب</w:t>
      </w:r>
      <w:r>
        <w:rPr>
          <w:rtl w:val="true"/>
        </w:rPr>
        <w:t xml:space="preserve">. </w:t>
      </w:r>
      <w:r>
        <w:rPr>
          <w:rtl w:val="true"/>
        </w:rPr>
        <w:t>تدریس</w:t>
      </w:r>
      <w:bookmarkEnd w:id="22"/>
    </w:p>
    <w:p>
      <w:pPr>
        <w:pStyle w:val="BookText"/>
        <w:rPr/>
      </w:pPr>
      <w:r>
        <w:rPr>
          <w:rFonts w:ascii="IRNazanin" w:hAnsi="IRNazanin" w:eastAsia="IRNazanin"/>
          <w:color w:val="111111"/>
          <w:sz w:val="28"/>
          <w:sz w:val="28"/>
          <w:szCs w:val="28"/>
          <w:rtl w:val="true"/>
          <w:lang w:bidi="fa-IR"/>
        </w:rPr>
        <w:t>آیت‌اللّه مشکینی در طول زندگی علمی، هیچ گاه تدریس را رها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اساتید به‌نام و خوش‌بیان حوزه‌های علمیه به شمار می‌رفت و درس‌های مقدّمات، سطح و خارج را در حوزه‌ها تدریس کرد و جز آن، درس تفسیر قرآن و درس اخلاق هفتگی نیز داشت</w:t>
      </w:r>
      <w:r>
        <w:rPr>
          <w:rFonts w:eastAsia="IRNazanin" w:cs="IRNazanin"/>
          <w:color w:val="111111"/>
          <w:sz w:val="28"/>
          <w:szCs w:val="28"/>
          <w:rtl w:val="true"/>
          <w:lang w:bidi="fa-IR"/>
        </w:rPr>
        <w:t>.</w:t>
      </w:r>
    </w:p>
    <w:p>
      <w:pPr>
        <w:pStyle w:val="Heading4"/>
        <w:numPr>
          <w:ilvl w:val="3"/>
          <w:numId w:val="1"/>
        </w:numPr>
        <w:rPr/>
      </w:pPr>
      <w:bookmarkStart w:id="23" w:name="__RefHeading___Toc39614_1878427129"/>
      <w:bookmarkStart w:id="24" w:name="_Toc9"/>
      <w:bookmarkEnd w:id="23"/>
      <w:r>
        <w:rPr>
          <w:rtl w:val="true"/>
        </w:rPr>
        <w:t>ج</w:t>
      </w:r>
      <w:r>
        <w:rPr>
          <w:rtl w:val="true"/>
        </w:rPr>
        <w:t xml:space="preserve">. </w:t>
      </w:r>
      <w:r>
        <w:rPr>
          <w:rtl w:val="true"/>
        </w:rPr>
        <w:t xml:space="preserve">فعالیت‌های اجتماعی </w:t>
      </w:r>
      <w:r>
        <w:rPr>
          <w:rtl w:val="true"/>
        </w:rPr>
        <w:t xml:space="preserve">- </w:t>
      </w:r>
      <w:r>
        <w:rPr>
          <w:rtl w:val="true"/>
        </w:rPr>
        <w:t>سیاسی</w:t>
      </w:r>
      <w:bookmarkEnd w:id="24"/>
    </w:p>
    <w:p>
      <w:pPr>
        <w:pStyle w:val="BookText"/>
        <w:rPr/>
      </w:pPr>
      <w:r>
        <w:rPr>
          <w:rFonts w:ascii="IRNazanin" w:hAnsi="IRNazanin" w:eastAsia="IRNazanin"/>
          <w:color w:val="111111"/>
          <w:sz w:val="28"/>
          <w:sz w:val="28"/>
          <w:szCs w:val="28"/>
          <w:rtl w:val="true"/>
          <w:lang w:bidi="fa-IR"/>
        </w:rPr>
        <w:t>فعالیت‌های سیاسی آیت‌اللّه مشکینی پیش از پیروزی انقلاب اسلامی و همراهی ایشان با نهضت امام خمینی رحمه الله، بر کسی پوشیده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ایشان همیشه به عنوان یکی از برجسته‌ترین یاران امام رحمه الله مطرح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موارد برجستۀ این فعالیت‌ها عبارت‌اند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امضای نامۀ مشهور اعلان مرجعیت امام خمینی؛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مهاجرت اجباری به مشهد؛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تبعید به کرمان؛</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تبعید به گلپایگان؛</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تبعید به کاشمر</w:t>
      </w:r>
      <w:r>
        <w:rPr>
          <w:rFonts w:eastAsia="IRNazanin" w:cs="IRNazanin"/>
          <w:color w:val="111111"/>
          <w:sz w:val="28"/>
          <w:szCs w:val="28"/>
          <w:rtl w:val="true"/>
          <w:lang w:bidi="fa-IR"/>
        </w:rPr>
        <w:t>.</w:t>
      </w:r>
      <w:bookmarkStart w:id="25" w:name="pg14517_146131"/>
    </w:p>
    <w:p>
      <w:pPr>
        <w:pStyle w:val="Heading4"/>
        <w:numPr>
          <w:ilvl w:val="3"/>
          <w:numId w:val="1"/>
        </w:numPr>
        <w:rPr/>
      </w:pPr>
      <w:bookmarkStart w:id="26" w:name="__RefHeading___Toc39616_1878427129"/>
      <w:bookmarkStart w:id="27" w:name="_Toc10"/>
      <w:bookmarkEnd w:id="25"/>
      <w:bookmarkEnd w:id="26"/>
      <w:r>
        <w:rPr>
          <w:rtl w:val="true"/>
        </w:rPr>
        <w:t>د</w:t>
      </w:r>
      <w:r>
        <w:rPr>
          <w:rtl w:val="true"/>
        </w:rPr>
        <w:t xml:space="preserve">. </w:t>
      </w:r>
      <w:r>
        <w:rPr>
          <w:rtl w:val="true"/>
        </w:rPr>
        <w:t>فعالیت‌های فرهنگی</w:t>
      </w:r>
      <w:bookmarkEnd w:id="27"/>
    </w:p>
    <w:p>
      <w:pPr>
        <w:pStyle w:val="BookText"/>
        <w:rPr/>
      </w:pPr>
      <w:r>
        <w:rPr>
          <w:rFonts w:ascii="IRNazanin" w:hAnsi="IRNazanin" w:eastAsia="IRNazanin"/>
          <w:color w:val="111111"/>
          <w:sz w:val="28"/>
          <w:sz w:val="28"/>
          <w:szCs w:val="28"/>
          <w:rtl w:val="true"/>
          <w:lang w:bidi="fa-IR"/>
        </w:rPr>
        <w:t xml:space="preserve">آیت‌اللّه مشکینی، در کنار فعالیت‌های اجتماعی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سیاسی، به فعالیت‌های فرهنگی نیز اهتمام داشت که برخی از آن‌ها عبارت‌اند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تأسیس مؤسسۀ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چاپ و نشر کتب مفید اسلامی؛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تأسیس مدرسۀ علمیۀ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جهت پرورش طلاب؛</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ساخت بیمارستان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مداوای اقشار کم درآمد</w:t>
      </w:r>
      <w:r>
        <w:rPr>
          <w:rFonts w:eastAsia="IRNazanin" w:cs="IRNazanin"/>
          <w:color w:val="111111"/>
          <w:sz w:val="28"/>
          <w:szCs w:val="28"/>
          <w:rtl w:val="true"/>
          <w:lang w:bidi="fa-IR"/>
        </w:rPr>
        <w:t>.</w:t>
      </w:r>
    </w:p>
    <w:p>
      <w:pPr>
        <w:pStyle w:val="Heading4"/>
        <w:numPr>
          <w:ilvl w:val="3"/>
          <w:numId w:val="1"/>
        </w:numPr>
        <w:rPr/>
      </w:pPr>
      <w:bookmarkStart w:id="28" w:name="__RefHeading___Toc39618_1878427129"/>
      <w:bookmarkStart w:id="29" w:name="_Toc11"/>
      <w:bookmarkEnd w:id="28"/>
      <w:r>
        <w:rPr>
          <w:rtl w:val="true"/>
        </w:rPr>
        <w:t>ه‍</w:t>
      </w:r>
      <w:r>
        <w:rPr>
          <w:rtl w:val="true"/>
        </w:rPr>
        <w:t xml:space="preserve">. </w:t>
      </w:r>
      <w:r>
        <w:rPr>
          <w:rtl w:val="true"/>
        </w:rPr>
        <w:t>منصب‌ها و مسئولیت‌ها در جمهوری اسلامی ایران</w:t>
      </w:r>
      <w:bookmarkEnd w:id="2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عضو و رئیس جامعۀ مدرّسین حوزۀ علمیۀ قم؛</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عضو مجلس خبرگان تدوین قانون اساسی؛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مسئول گزینش و اعزام قضات، با حکم امام خمینی رحمه الله؛</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جمعۀ قم، با حکم امام خمینی رحمه الله و آیت‌اللّه خامنه‌ای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دام ظلّه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عضو و رئیس شورای بازنگری قانون اساسی؛</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عضو و رئیس مجلس خبرگان رهبری</w:t>
      </w:r>
      <w:r>
        <w:rPr>
          <w:rFonts w:eastAsia="IRNazanin" w:cs="IRNazanin"/>
          <w:color w:val="111111"/>
          <w:sz w:val="28"/>
          <w:szCs w:val="28"/>
          <w:rtl w:val="true"/>
          <w:lang w:bidi="fa-IR"/>
        </w:rPr>
        <w:t>.</w:t>
      </w:r>
    </w:p>
    <w:p>
      <w:pPr>
        <w:pStyle w:val="Heading3"/>
        <w:numPr>
          <w:ilvl w:val="2"/>
          <w:numId w:val="1"/>
        </w:numPr>
        <w:rPr/>
      </w:pPr>
      <w:bookmarkStart w:id="30" w:name="__RefHeading___Toc39620_1878427129"/>
      <w:bookmarkStart w:id="31" w:name="_Toc12"/>
      <w:bookmarkEnd w:id="30"/>
      <w:r>
        <w:rPr>
          <w:rtl w:val="true"/>
        </w:rPr>
        <w:t>دوم</w:t>
      </w:r>
      <w:r>
        <w:rPr>
          <w:rtl w:val="true"/>
        </w:rPr>
        <w:t xml:space="preserve">. </w:t>
      </w:r>
      <w:r>
        <w:rPr>
          <w:rtl w:val="true"/>
        </w:rPr>
        <w:t>فعالیت های علمی همایش</w:t>
      </w:r>
      <w:bookmarkEnd w:id="31"/>
    </w:p>
    <w:p>
      <w:pPr>
        <w:pStyle w:val="Heading4"/>
        <w:numPr>
          <w:ilvl w:val="3"/>
          <w:numId w:val="1"/>
        </w:numPr>
        <w:rPr/>
      </w:pPr>
      <w:bookmarkStart w:id="32" w:name="__RefHeading___Toc39622_1878427129"/>
      <w:bookmarkStart w:id="33" w:name="_Toc13"/>
      <w:bookmarkEnd w:id="32"/>
      <w:r>
        <w:rPr>
          <w:rtl w:val="true"/>
        </w:rPr>
        <w:t>اشاره</w:t>
      </w:r>
      <w:bookmarkEnd w:id="33"/>
    </w:p>
    <w:p>
      <w:pPr>
        <w:pStyle w:val="BookText"/>
        <w:rPr/>
      </w:pPr>
      <w:r>
        <w:rPr>
          <w:rFonts w:ascii="IRNazanin" w:hAnsi="IRNazanin" w:eastAsia="IRNazanin"/>
          <w:color w:val="111111"/>
          <w:sz w:val="28"/>
          <w:sz w:val="28"/>
          <w:szCs w:val="28"/>
          <w:rtl w:val="true"/>
          <w:lang w:bidi="fa-IR"/>
        </w:rPr>
        <w:t>اینک برای قدردانی از تلاش‌های آن مرد الهی و زنده نگه داشتن نام و یاد او و نیز فراهم ساختن زمینۀ بهره‌برداری و آگاهی افزون‌تر جامعۀ علمی و عموم مردم از اندیشه‌ها و زندگی او، تلاش می‌شود تا میراث علمی و عملی وی، در چهار مجموعه با این عناوین، نشر یابد</w:t>
      </w:r>
      <w:r>
        <w:rPr>
          <w:rFonts w:eastAsia="IRNazanin" w:cs="IRNazanin"/>
          <w:color w:val="111111"/>
          <w:sz w:val="28"/>
          <w:szCs w:val="28"/>
          <w:rtl w:val="true"/>
          <w:lang w:bidi="fa-IR"/>
        </w:rPr>
        <w:t>:</w:t>
      </w:r>
    </w:p>
    <w:p>
      <w:pPr>
        <w:pStyle w:val="Heading4"/>
        <w:numPr>
          <w:ilvl w:val="3"/>
          <w:numId w:val="1"/>
        </w:numPr>
        <w:rPr/>
      </w:pPr>
      <w:bookmarkStart w:id="34" w:name="__RefHeading___Toc39624_1878427129"/>
      <w:bookmarkStart w:id="35" w:name="_Toc14"/>
      <w:bookmarkEnd w:id="34"/>
      <w:r>
        <w:rPr>
          <w:rtl w:val="true"/>
        </w:rPr>
        <w:t>الف</w:t>
      </w:r>
      <w:r>
        <w:rPr>
          <w:rtl w:val="true"/>
        </w:rPr>
        <w:t xml:space="preserve">. </w:t>
      </w:r>
      <w:r>
        <w:rPr>
          <w:rtl w:val="true"/>
        </w:rPr>
        <w:t>مجموعه آثار آیت‌اللّه مشکینی</w:t>
      </w:r>
      <w:bookmarkEnd w:id="35"/>
    </w:p>
    <w:p>
      <w:pPr>
        <w:pStyle w:val="BookText"/>
        <w:rPr/>
      </w:pPr>
      <w:r>
        <w:rPr>
          <w:rFonts w:ascii="IRNazanin" w:hAnsi="IRNazanin" w:eastAsia="IRNazanin"/>
          <w:color w:val="111111"/>
          <w:sz w:val="28"/>
          <w:sz w:val="28"/>
          <w:szCs w:val="28"/>
          <w:rtl w:val="true"/>
          <w:lang w:bidi="fa-IR"/>
        </w:rPr>
        <w:t>تصحیح و تحقیق تمامی آثار ایشان اعم از چاپ شده و دست‌نوشت و چاپ آن‌ها در یک مجموعۀ پنجاه جلدی به ترتیب زیر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ترجمۀ قرآن کریم به فارسی،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روان،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تفسیر مبسوط،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سوره‌های آل عمران، نساء، مائده و</w:t>
      </w:r>
      <w:bookmarkStart w:id="36" w:name="pg14517_146132"/>
    </w:p>
    <w:p>
      <w:pPr>
        <w:pStyle w:val="BookText"/>
        <w:rPr/>
      </w:pPr>
      <w:bookmarkEnd w:id="36"/>
      <w:r>
        <w:rPr>
          <w:rFonts w:ascii="IRNazanin" w:hAnsi="IRNazanin" w:eastAsia="IRNazanin"/>
          <w:color w:val="111111"/>
          <w:sz w:val="28"/>
          <w:sz w:val="28"/>
          <w:szCs w:val="28"/>
          <w:rtl w:val="true"/>
          <w:lang w:bidi="fa-IR"/>
        </w:rPr>
        <w:t>بحث تکامل در قرآن؛ جلد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سوره‌های فاتحه، بقره، لقمان و 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رسائل قرآنی،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المواعظ العددیة،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قصار الجُمَل،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مفتاح الجنان،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الهادی الی موضوعات نهج البلاغة،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مسلکنا فی العقائد والأخلاق والعمل،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دروس فی الأخلاق،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الزواج فی الاسلام،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الاُصول، شامل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اصطلاحات الاُصول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تحریر المعالم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الرسائل الجدیدة،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مصطلحات الفقه،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الفقه المأثور،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التعلیقة الاستدلالیة علی شرائع الإسلام،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التعلیقة الاستدلالیة علی العروة الوثقی،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التعلیقة الاستدلالیة علی تحریر الوسیلة،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تحریر التحریر،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نوشتارهای فقهی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واجب و حرام، تقلید چیست‌؟، امر به معروف و نهی از منکر، بحثی پیرامون خمس، کتاب قضا و شهادات و زمین و آنچه در آن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رسائل فقهی و اصولی،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کشکول حکمت،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مقالات، مقدمه‌ها، تقریظها و نامه‌ها،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Heading4"/>
        <w:numPr>
          <w:ilvl w:val="3"/>
          <w:numId w:val="1"/>
        </w:numPr>
        <w:rPr/>
      </w:pPr>
      <w:bookmarkStart w:id="37" w:name="__RefHeading___Toc39626_1878427129"/>
      <w:bookmarkStart w:id="38" w:name="_Toc15"/>
      <w:bookmarkEnd w:id="37"/>
      <w:r>
        <w:rPr>
          <w:rtl w:val="true"/>
        </w:rPr>
        <w:t>ب</w:t>
      </w:r>
      <w:r>
        <w:rPr>
          <w:rtl w:val="true"/>
        </w:rPr>
        <w:t xml:space="preserve">. </w:t>
      </w:r>
      <w:r>
        <w:rPr>
          <w:rtl w:val="true"/>
        </w:rPr>
        <w:t>گفتارها</w:t>
      </w:r>
      <w:bookmarkEnd w:id="3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درس‌های تفسیر؛</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درس‌های اخلاق؛</w:t>
      </w:r>
      <w:bookmarkStart w:id="39" w:name="pg14517_146133"/>
    </w:p>
    <w:p>
      <w:pPr>
        <w:pStyle w:val="BookText"/>
        <w:rPr/>
      </w:pPr>
      <w:bookmarkEnd w:id="39"/>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درس‌های فقه؛</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خطبه‌های نماز جمعه؛</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سخنرانی‌ها</w:t>
      </w:r>
      <w:r>
        <w:rPr>
          <w:rFonts w:eastAsia="IRNazanin" w:cs="IRNazanin"/>
          <w:color w:val="111111"/>
          <w:sz w:val="28"/>
          <w:szCs w:val="28"/>
          <w:rtl w:val="true"/>
          <w:lang w:bidi="fa-IR"/>
        </w:rPr>
        <w:t>.</w:t>
      </w:r>
    </w:p>
    <w:p>
      <w:pPr>
        <w:pStyle w:val="Heading4"/>
        <w:numPr>
          <w:ilvl w:val="3"/>
          <w:numId w:val="1"/>
        </w:numPr>
        <w:rPr/>
      </w:pPr>
      <w:bookmarkStart w:id="40" w:name="__RefHeading___Toc39628_1878427129"/>
      <w:bookmarkStart w:id="41" w:name="_Toc16"/>
      <w:bookmarkEnd w:id="40"/>
      <w:r>
        <w:rPr>
          <w:rtl w:val="true"/>
        </w:rPr>
        <w:t>ج</w:t>
      </w:r>
      <w:r>
        <w:rPr>
          <w:rtl w:val="true"/>
        </w:rPr>
        <w:t xml:space="preserve">. </w:t>
      </w:r>
      <w:r>
        <w:rPr>
          <w:rtl w:val="true"/>
        </w:rPr>
        <w:t>یادنامۀ آیت‌اللّه مشکینی</w:t>
      </w:r>
      <w:bookmarkEnd w:id="4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زندگی و مبارزات آیت‌اللّه مشکینی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همکاری مرکز اسناد انقلاب اسلامی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آیت‌اللّه مشکینی از نگاه دیگران؛</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آیت‌اللّه مشکینی در اسناد ساواک؛</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آیت‌اللّه مشکینی در مجلس خبرگان؛</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آیت‌اللّه مشکینی در جامعۀ مدرّسین؛</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مجموعه مقالات همایش بزرگداشت آیت‌اللّه مشکینی</w:t>
      </w:r>
      <w:r>
        <w:rPr>
          <w:rFonts w:eastAsia="IRNazanin" w:cs="IRNazanin"/>
          <w:color w:val="111111"/>
          <w:sz w:val="28"/>
          <w:szCs w:val="28"/>
          <w:rtl w:val="true"/>
          <w:lang w:bidi="fa-IR"/>
        </w:rPr>
        <w:t>.</w:t>
      </w:r>
    </w:p>
    <w:p>
      <w:pPr>
        <w:pStyle w:val="Heading4"/>
        <w:numPr>
          <w:ilvl w:val="3"/>
          <w:numId w:val="1"/>
        </w:numPr>
        <w:rPr/>
      </w:pPr>
      <w:bookmarkStart w:id="42" w:name="__RefHeading___Toc39630_1878427129"/>
      <w:bookmarkStart w:id="43" w:name="_Toc17"/>
      <w:bookmarkEnd w:id="42"/>
      <w:r>
        <w:rPr>
          <w:rtl w:val="true"/>
        </w:rPr>
        <w:t>د</w:t>
      </w:r>
      <w:r>
        <w:rPr>
          <w:rtl w:val="true"/>
        </w:rPr>
        <w:t xml:space="preserve">. </w:t>
      </w:r>
      <w:r>
        <w:rPr>
          <w:rtl w:val="true"/>
        </w:rPr>
        <w:t>برنامه‌های دیگر</w:t>
      </w:r>
      <w:bookmarkEnd w:id="4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انتشار خبرنامۀ همایش؛</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تولید نرم‌افزار مجموعه آثار همایش؛</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راه اندازی پایگاه اینترنتی</w:t>
      </w:r>
      <w:r>
        <w:rPr>
          <w:rFonts w:eastAsia="IRNazanin" w:cs="IRNazanin"/>
          <w:color w:val="111111"/>
          <w:sz w:val="28"/>
          <w:szCs w:val="28"/>
          <w:rtl w:val="true"/>
          <w:lang w:bidi="fa-IR"/>
        </w:rPr>
        <w:t>.</w:t>
      </w:r>
    </w:p>
    <w:p>
      <w:pPr>
        <w:pStyle w:val="Heading3"/>
        <w:numPr>
          <w:ilvl w:val="2"/>
          <w:numId w:val="1"/>
        </w:numPr>
        <w:rPr/>
      </w:pPr>
      <w:bookmarkStart w:id="44" w:name="__RefHeading___Toc39632_1878427129"/>
      <w:bookmarkStart w:id="45" w:name="_Toc18"/>
      <w:bookmarkEnd w:id="44"/>
      <w:r>
        <w:rPr>
          <w:rtl w:val="true"/>
        </w:rPr>
        <w:t>سوم</w:t>
      </w:r>
      <w:r>
        <w:rPr>
          <w:rtl w:val="true"/>
        </w:rPr>
        <w:t xml:space="preserve">. </w:t>
      </w:r>
      <w:r>
        <w:rPr>
          <w:rtl w:val="true"/>
        </w:rPr>
        <w:t>دربارۀ مجموعه آثار</w:t>
      </w:r>
      <w:bookmarkEnd w:id="45"/>
    </w:p>
    <w:p>
      <w:pPr>
        <w:pStyle w:val="BookText"/>
        <w:rPr/>
      </w:pPr>
      <w:r>
        <w:rPr>
          <w:rFonts w:ascii="IRNazanin" w:hAnsi="IRNazanin" w:eastAsia="IRNazanin"/>
          <w:color w:val="111111"/>
          <w:sz w:val="28"/>
          <w:sz w:val="28"/>
          <w:szCs w:val="28"/>
          <w:rtl w:val="true"/>
          <w:lang w:bidi="fa-IR"/>
        </w:rPr>
        <w:t>آنچه به عنوان مجموعه آثار عرضه می‌گردد، تمامی نوشته‌ها و مکتوبات چاپ شده و چاپ نشدۀ آیت‌اللّه مشکینی است که با جستجوهای فراوان، از منزل ایشان و مجلات و کتاب‌ها به دست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کمیتۀ علمی دربارۀ مجموعه آثار به طور عام انجام داده، به شرح زیر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تنظیم موضوعی نوشته‌ها؛</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افزودن حدّ اقلّی از علائم ویرایشی؛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استخراج مصادر نقل‌ها؛</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اعراب‌گذاری حدّ اقلّی متون عربی؛</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اصلاح و تکمیل عناوین؛</w:t>
      </w:r>
      <w:bookmarkStart w:id="46" w:name="pg14517_146134"/>
    </w:p>
    <w:p>
      <w:pPr>
        <w:pStyle w:val="BookText"/>
        <w:rPr/>
      </w:pPr>
      <w:bookmarkEnd w:id="46"/>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تهیۀ فهرست فنی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البته در مورد آثار چاپ‌نشده، در حدّ تصحیح نسخه‌های دست‌نوشت، کار علمی صورت پذیرفته است</w:t>
      </w:r>
      <w:r>
        <w:rPr>
          <w:rFonts w:eastAsia="IRNazanin" w:cs="IRNazanin"/>
          <w:color w:val="111111"/>
          <w:sz w:val="28"/>
          <w:szCs w:val="28"/>
          <w:rtl w:val="true"/>
          <w:lang w:bidi="fa-IR"/>
        </w:rPr>
        <w:t>.</w:t>
      </w:r>
    </w:p>
    <w:p>
      <w:pPr>
        <w:pStyle w:val="Heading3"/>
        <w:numPr>
          <w:ilvl w:val="2"/>
          <w:numId w:val="1"/>
        </w:numPr>
        <w:rPr/>
      </w:pPr>
      <w:bookmarkStart w:id="47" w:name="__RefHeading___Toc39634_1878427129"/>
      <w:bookmarkStart w:id="48" w:name="_Toc19"/>
      <w:bookmarkEnd w:id="47"/>
      <w:r>
        <w:rPr>
          <w:rtl w:val="true"/>
        </w:rPr>
        <w:t>چهارم</w:t>
      </w:r>
      <w:r>
        <w:rPr>
          <w:rtl w:val="true"/>
        </w:rPr>
        <w:t xml:space="preserve">. </w:t>
      </w:r>
      <w:r>
        <w:rPr>
          <w:rtl w:val="true"/>
        </w:rPr>
        <w:t>در بارۀ این اثر</w:t>
      </w:r>
      <w:bookmarkEnd w:id="48"/>
    </w:p>
    <w:p>
      <w:pPr>
        <w:pStyle w:val="BookText"/>
        <w:rPr/>
      </w:pPr>
      <w:r>
        <w:rPr>
          <w:rFonts w:ascii="IRNazanin" w:hAnsi="IRNazanin" w:eastAsia="IRNazanin"/>
          <w:color w:val="111111"/>
          <w:sz w:val="28"/>
          <w:sz w:val="28"/>
          <w:szCs w:val="28"/>
          <w:rtl w:val="true"/>
          <w:lang w:bidi="fa-IR"/>
        </w:rPr>
        <w:t>یکی از دستاوردهای علمی همایش بزرگداشت آیت‌اللّه مشکینی، نگارش مقالات سودمند و پژوهشی در تحلیل افکار و آثار و زندگی آیت‌اللّه مشکینی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پی فراخوان عمومی و سفارش نگارش مقاله،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مقاله پس از ارزیابی‌های علمی، مورد قبول داوران قرار گرفت که اینک به چاپ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مقالات در سه بخش، دسته‌بندی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اندیشه‌ها،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مقاله</w:t>
      </w:r>
    </w:p>
    <w:p>
      <w:pPr>
        <w:pStyle w:val="BookText"/>
        <w:rPr/>
      </w:pPr>
      <w:r>
        <w:rPr>
          <w:rFonts w:ascii="IRNazanin" w:hAnsi="IRNazanin" w:eastAsia="IRNazanin"/>
          <w:color w:val="111111"/>
          <w:sz w:val="28"/>
          <w:sz w:val="28"/>
          <w:szCs w:val="28"/>
          <w:rtl w:val="true"/>
          <w:lang w:bidi="fa-IR"/>
        </w:rPr>
        <w:t>بخش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سیرۀ اخلاقی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اجتماعی،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مقاله</w:t>
      </w:r>
    </w:p>
    <w:p>
      <w:pPr>
        <w:pStyle w:val="BookText"/>
        <w:rPr/>
      </w:pPr>
      <w:r>
        <w:rPr>
          <w:rFonts w:ascii="IRNazanin" w:hAnsi="IRNazanin" w:eastAsia="IRNazanin"/>
          <w:color w:val="111111"/>
          <w:sz w:val="28"/>
          <w:sz w:val="28"/>
          <w:szCs w:val="28"/>
          <w:rtl w:val="true"/>
          <w:lang w:bidi="fa-IR"/>
        </w:rPr>
        <w:t>بخش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 موضوعات،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مقاله</w:t>
      </w:r>
    </w:p>
    <w:p>
      <w:pPr>
        <w:pStyle w:val="BookText"/>
        <w:rPr/>
      </w:pPr>
      <w:r>
        <w:rPr>
          <w:rFonts w:ascii="IRNazanin" w:hAnsi="IRNazanin" w:eastAsia="IRNazanin"/>
          <w:color w:val="111111"/>
          <w:sz w:val="28"/>
          <w:sz w:val="28"/>
          <w:szCs w:val="28"/>
          <w:rtl w:val="true"/>
          <w:lang w:bidi="fa-IR"/>
        </w:rPr>
        <w:t xml:space="preserve">مقالات بخش اول، به تحلیل آثار و اندیشه‌های آیت‌اللّه مشکینی در حوزه‌های قرآن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کلام و عقاید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فقه و اصول فقه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اختصاص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مقالات بخش دوم، به تحلیل سیرۀ اخلاقی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اجتماعی و ویژگی‌های شخصی ایشان می‌پردازد و سه عرصۀ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عمومی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اخلاقی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اجتماعی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بر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مقالات بخش سوم، با سه عنوان، زندگی عالمان اردبیل را مورد کاوش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مجموعه مقالات، در دو جلد، عرضه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دوازده مقالۀ بخش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اندیشه‌ها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جلد یکم این مجموعه مقالات را شکل داده‌اند و ده مقالۀ بعدی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سیره و دیگر موضوعات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جلد دوم را</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جلد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اندیشه‌ها،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مقاله</w:t>
      </w:r>
      <w:bookmarkStart w:id="49" w:name="pg14517_146135"/>
    </w:p>
    <w:p>
      <w:pPr>
        <w:pStyle w:val="BookText"/>
        <w:rPr/>
      </w:pPr>
      <w:bookmarkEnd w:id="49"/>
      <w:r>
        <w:rPr>
          <w:rFonts w:ascii="IRNazanin" w:hAnsi="IRNazanin" w:eastAsia="IRNazanin"/>
          <w:color w:val="111111"/>
          <w:sz w:val="28"/>
          <w:sz w:val="28"/>
          <w:szCs w:val="28"/>
          <w:rtl w:val="true"/>
          <w:lang w:bidi="fa-IR"/>
        </w:rPr>
        <w:t>جلد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زندگی نامه اخلاقی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اجتماعی و مقالات دیگر،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مقاله</w:t>
      </w:r>
    </w:p>
    <w:p>
      <w:pPr>
        <w:pStyle w:val="Heading3"/>
        <w:numPr>
          <w:ilvl w:val="2"/>
          <w:numId w:val="1"/>
        </w:numPr>
        <w:rPr/>
      </w:pPr>
      <w:bookmarkStart w:id="50" w:name="__RefHeading___Toc39636_1878427129"/>
      <w:bookmarkStart w:id="51" w:name="_Toc20"/>
      <w:bookmarkEnd w:id="50"/>
      <w:r>
        <w:rPr>
          <w:rtl w:val="true"/>
        </w:rPr>
        <w:t>پنجم</w:t>
      </w:r>
      <w:r>
        <w:rPr>
          <w:rtl w:val="true"/>
        </w:rPr>
        <w:t xml:space="preserve">. </w:t>
      </w:r>
      <w:r>
        <w:rPr>
          <w:rtl w:val="true"/>
        </w:rPr>
        <w:t>تقدیر و سپاس</w:t>
      </w:r>
      <w:bookmarkEnd w:id="51"/>
    </w:p>
    <w:p>
      <w:pPr>
        <w:pStyle w:val="BookText"/>
        <w:rPr/>
      </w:pPr>
      <w:r>
        <w:rPr>
          <w:rFonts w:ascii="IRNazanin" w:hAnsi="IRNazanin" w:eastAsia="IRNazanin"/>
          <w:color w:val="111111"/>
          <w:sz w:val="28"/>
          <w:sz w:val="28"/>
          <w:szCs w:val="28"/>
          <w:rtl w:val="true"/>
          <w:lang w:bidi="fa-IR"/>
        </w:rPr>
        <w:t>پایان سخن را باید به پاسداشت تلاش‌های علمی و عملی دست‌اندرکاران اختصاص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از محققان و اندیشمندانی که در تصحیح آثار و نگارش مقالات، سهمی بزرگ در این همایش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از دست‌اندرکاران دبیرخانۀ همایش که بار سنگین کارها بر عهدۀ آنان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 از بیت آیت‌اللّه مشکینی و مسئولان مؤسسۀ الهادی که در تهیه و در اختیار نهادن نسخه‌های چاپی و دست‌نوشت آثار و نیازمندی‌های همایش، خالصانه و بی دریغ، همراهی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 از مراکز و نهادهای علمی، فرهنگی و اجرایی کشور، به ویژه در قم و اردبیل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نهایت از اعضای شورای علمی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سیاست‌گذاری همایش، حضرات آقایان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آیت‌اللّه رضا استادی؛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آیت‌اللّه محمّد محمّدی ری‌شهری؛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آیت‌اللّه سیّد علی حائری؛</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حجة الاسلام و المسلمین محمدعلی مهدوی‌راد؛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حجة الاسلام و المسلمین سیّد حسن عاملی؛</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حجة الاسلام و المسلمین سیّد مرتضی قافله‌باشی؛</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حجة الاسلام و المسلمین علی عبد اللهی؛</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حجة الاسلام و المسلمین عادل مولایی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مهدی مهریزی</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دبیر علمی همایش</w:t>
      </w:r>
      <w:bookmarkStart w:id="52" w:name="pg14517_146136"/>
    </w:p>
    <w:p>
      <w:pPr>
        <w:pStyle w:val="Heading2"/>
        <w:numPr>
          <w:ilvl w:val="1"/>
          <w:numId w:val="1"/>
        </w:numPr>
        <w:rPr/>
      </w:pPr>
      <w:bookmarkStart w:id="53" w:name="__RefHeading___Toc39638_1878427129"/>
      <w:bookmarkStart w:id="54" w:name="_Toc21"/>
      <w:bookmarkEnd w:id="52"/>
      <w:bookmarkEnd w:id="53"/>
      <w:r>
        <w:rPr>
          <w:rtl w:val="true"/>
        </w:rPr>
        <w:t>تفسیر هدایت</w:t>
      </w:r>
      <w:r>
        <w:rPr>
          <w:rtl w:val="true"/>
        </w:rPr>
        <w:t xml:space="preserve">: </w:t>
      </w:r>
      <w:r>
        <w:rPr>
          <w:rtl w:val="true"/>
        </w:rPr>
        <w:t>گاهی گذرا به تفسیر روان، نگاشته آیت اللّه مشکینی</w:t>
      </w:r>
      <w:bookmarkEnd w:id="54"/>
    </w:p>
    <w:p>
      <w:pPr>
        <w:pStyle w:val="Heading3"/>
        <w:numPr>
          <w:ilvl w:val="2"/>
          <w:numId w:val="1"/>
        </w:numPr>
        <w:rPr/>
      </w:pPr>
      <w:bookmarkStart w:id="55" w:name="__RefHeading___Toc39640_1878427129"/>
      <w:bookmarkStart w:id="56" w:name="_Toc22"/>
      <w:bookmarkEnd w:id="55"/>
      <w:r>
        <w:rPr>
          <w:rtl w:val="true"/>
        </w:rPr>
        <w:t>اشاره</w:t>
      </w:r>
      <w:bookmarkEnd w:id="56"/>
    </w:p>
    <w:p>
      <w:pPr>
        <w:pStyle w:val="BookText"/>
        <w:rPr/>
      </w:pPr>
      <w:r>
        <w:rPr>
          <w:rFonts w:ascii="IRNazanin" w:hAnsi="IRNazanin" w:eastAsia="IRNazanin"/>
          <w:color w:val="111111"/>
          <w:sz w:val="28"/>
          <w:sz w:val="28"/>
          <w:szCs w:val="28"/>
          <w:rtl w:val="true"/>
          <w:lang w:bidi="fa-IR"/>
        </w:rPr>
        <w:t>دکتر محمدعلی مهدوی‌راد</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 xml:space="preserve">دانش‌یار دانشگاه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پردیس قم</w:t>
      </w:r>
      <w:r>
        <w:rPr>
          <w:rFonts w:eastAsia="IRNazanin" w:cs="IRNazanin"/>
          <w:color w:val="111111"/>
          <w:sz w:val="28"/>
          <w:szCs w:val="28"/>
          <w:rtl w:val="true"/>
          <w:lang w:bidi="fa-IR"/>
        </w:rPr>
        <w:t>.</w:t>
      </w:r>
    </w:p>
    <w:p>
      <w:pPr>
        <w:pStyle w:val="Heading3"/>
        <w:numPr>
          <w:ilvl w:val="2"/>
          <w:numId w:val="1"/>
        </w:numPr>
        <w:rPr/>
      </w:pPr>
      <w:bookmarkStart w:id="57" w:name="__RefHeading___Toc39642_1878427129"/>
      <w:bookmarkStart w:id="58" w:name="_Toc23"/>
      <w:bookmarkEnd w:id="57"/>
      <w:r>
        <w:rPr>
          <w:rtl w:val="true"/>
        </w:rPr>
        <w:t>چکیده</w:t>
      </w:r>
      <w:bookmarkEnd w:id="58"/>
    </w:p>
    <w:p>
      <w:pPr>
        <w:pStyle w:val="BookText"/>
        <w:rPr/>
      </w:pPr>
      <w:r>
        <w:rPr>
          <w:rFonts w:ascii="IRNazanin" w:hAnsi="IRNazanin" w:eastAsia="IRNazanin"/>
          <w:color w:val="111111"/>
          <w:sz w:val="28"/>
          <w:sz w:val="28"/>
          <w:szCs w:val="28"/>
          <w:rtl w:val="true"/>
          <w:lang w:bidi="fa-IR"/>
        </w:rPr>
        <w:t>در این مقاله، ابتدا اشاره‌ای به پیشینۀ آشنایی نویسنده با آیت‌اللّه مشکینی قدس سره رفته است و سپس ویژگی‌های مهم تفسیر روان، بررسی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نویسنده، مواردی چون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سبک نگارش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قرآن به 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تأمل در فضای آیات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توسعۀ معنایی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پیوند پایان آیات با جملات آیه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تبیین موضوعات در پرتو 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احتیاط و خرم‌اندیشی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ویژگی‌های این تفسیر شمرده و بدان پرداخته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آنجا که دوازده جزء آخر تفسیر روان را آیت اللّه استادی نگاشته است، بخش پایانی مقاله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تکملۀ آیت‌اللّه استادی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توصیف شیوۀ نگارش ایشان اختصاص 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شیعی، تفسیر روان، آیت‌اللّه علی مشکینی، آیت‌اللّه رضا استادی</w:t>
      </w:r>
      <w:r>
        <w:rPr>
          <w:rFonts w:eastAsia="IRNazanin" w:cs="IRNazanin"/>
          <w:color w:val="111111"/>
          <w:sz w:val="28"/>
          <w:szCs w:val="28"/>
          <w:rtl w:val="true"/>
          <w:lang w:bidi="fa-IR"/>
        </w:rPr>
        <w:t>.</w:t>
      </w:r>
    </w:p>
    <w:p>
      <w:pPr>
        <w:pStyle w:val="Heading3"/>
        <w:numPr>
          <w:ilvl w:val="2"/>
          <w:numId w:val="1"/>
        </w:numPr>
        <w:rPr/>
      </w:pPr>
      <w:bookmarkStart w:id="59" w:name="__RefHeading___Toc39644_1878427129"/>
      <w:bookmarkStart w:id="60" w:name="_Toc24"/>
      <w:bookmarkEnd w:id="59"/>
      <w:r>
        <w:rPr>
          <w:rtl w:val="true"/>
        </w:rPr>
        <w:t>اشاره</w:t>
      </w:r>
      <w:bookmarkEnd w:id="60"/>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آیت‌اللّه علی مشکینی اردبیلی، که رضوان الاهی از آن او باد، از فقیهان، مفسران، متفکران، مصلحان، مربیان و مجاهدان بزرگ حوزۀ علمیۀ قم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بزرگوار جانی</w:t>
      </w:r>
    </w:p>
    <w:p>
      <w:pPr>
        <w:pStyle w:val="BookText"/>
        <w:rPr/>
      </w:pPr>
      <w:r>
        <w:rPr>
          <w:rFonts w:ascii="IRNazanin" w:hAnsi="IRNazanin" w:eastAsia="IRNazanin"/>
          <w:color w:val="111111"/>
          <w:sz w:val="28"/>
          <w:sz w:val="28"/>
          <w:szCs w:val="28"/>
          <w:rtl w:val="true"/>
          <w:lang w:bidi="fa-IR"/>
        </w:rPr>
        <w:t>پیراسته، قلبی پاک و روانی آرام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آیت‌اللّه مشکینی در دنیاگریزی، معادباوری، تن زدن از جذبه‌ها و کشش‌های دنیوی کم‌نظیر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بنده را با آن بزرگوار علقه و علاقۀ فکری و اندیشگی دیرینه‌ای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یاد دارم اولین اثری که از آن فرهنگ‌بان ارجمند خواندم، کتاب نصایح بود، ترجمۀ المواعظ العددیه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روزگاران داغ و دریغ، مشت و درفش و مبارزه علیه جباریت زمان، آن مجاهد نستوه را مواضعی ستودنی و ایستارهایی شکوهمند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حرکت اصلاحی و عملی او در حوزۀ علمیه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این مجموعه به گستردگی از آن سخن خواهد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مجاهدت‌های والای او در مقابل ستم و ستم‌بارگی، برای آن عالم بیداردل آوازه‌ای بلند رقم زده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سان به سال </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شهر کاشمر تبعید شد، و به تعبیر زیبای خودش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شهرش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ربذه‌اش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کوچاندند</w:t>
      </w:r>
      <w:r>
        <w:rPr>
          <w:rFonts w:eastAsia="IRNazanin" w:cs="IRNazanin"/>
          <w:color w:val="111111"/>
          <w:sz w:val="28"/>
          <w:szCs w:val="28"/>
          <w:rtl w:val="true"/>
          <w:lang w:bidi="fa-IR"/>
        </w:rPr>
        <w:t>.</w:t>
      </w:r>
      <w:r>
        <w:rPr>
          <w:rStyle w:val="FootnoteAnchor"/>
          <w:rtl w:val="true"/>
        </w:rPr>
        <w:footnoteReference w:id="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فقصدت بعد أن أغارو علی فی دار غربتی و هجرونی عن دار هجرتی و اقصونی عن مدینتی الی‌ربذتی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قصار الجمل، مقدمه، ص </w:t>
      </w:r>
      <w:r>
        <w:rPr>
          <w:rFonts w:eastAsia="IRNazanin" w:cs="IRNazanin"/>
          <w:color w:val="111111"/>
          <w:sz w:val="28"/>
          <w:szCs w:val="28"/>
          <w:lang w:bidi="fa-IR"/>
        </w:rPr>
        <w:t>3</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مقام معظم رهبری، حضرت آیت‌اللّه خامنه‌ای، که آن روزگاران درفش مبارزه و بیدارگری را در مشهد بل استان خراسان در فراز داشت و ما از جمله مستفیدان محضر شکوهمند و سپیده‌گشای آن بزرگوار بودیم، به طالبان علم سفارش می‌کردند که به کاشمر اندر شوند و با آن مجاهد نستوه دیدار کنند و بدین سان به دستگاه حاکمه بفهمانند که کسانی که جایگاه ژرفی در دل‌ها دارند، تبعید در فراموشی‌شان اثر نخواهد داشت؛ باری چنان نخواهند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از دیده روند، از دل هم بروند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 بُعد مسافت در وابستگی‌های روحانی نه تنها فراموشی را رقم نمی‌زند، که پیوستگی‌ها را افزون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باری با این سفارش بود که به کاشمر رفتم و برای اولین بار چهرۀ نورانی آن مربی نفوس مستعد را زیارت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قامتی بلند داشت و چهره‌ای نورانی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وارد شدم، تنها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چونان پدری آغوش باز کرد و این طلبۀ خرد را نواخت؛ از مشهد، حوزۀ مشهد، درس‌هایم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 پاسخ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نمی‌دانم چرا؟ شاید برای اینکه</w:t>
      </w:r>
    </w:p>
    <w:p>
      <w:pPr>
        <w:pStyle w:val="BookText"/>
        <w:rPr/>
      </w:pPr>
      <w:r>
        <w:rPr>
          <w:rFonts w:ascii="IRNazanin" w:hAnsi="IRNazanin" w:eastAsia="IRNazanin"/>
          <w:color w:val="111111"/>
          <w:sz w:val="28"/>
          <w:sz w:val="28"/>
          <w:szCs w:val="28"/>
          <w:rtl w:val="true"/>
          <w:lang w:bidi="fa-IR"/>
        </w:rPr>
        <w:t>در دل آن بزرگوار جای بیشتری باز کنم،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تُرکم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گفتارت نشانی از زبان ترکی دیده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لهجه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بلافاصله اضافه کردم که اکنون می‌توانیم ترکی حرف بزنیم، و چنان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ظهر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دیگران و دیگرانی هم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جمع قابل توجه که یکسر از سرچشمۀ نور استضائه می‌کردند و از چشمه‌سار زلال پندها و موعظه می‌نیوشیدند، چون هنگامۀ پذیرایی فرا رسید، همگان بر سر سفرۀ آبگوشت نشستند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و یا چهار روزی در محضرش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روز اول مرا به طلبه‌ای سپرد که به حجره‌اش اندر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عزیز پس از انقلاب اسلامی در جبهۀ حق علیه باطل شهد شهادت نوشید و به ملکوت پرواز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فراموش نمی‌کنم که شبی در آن روزگاران در مسجد جامع حضرت حجت‌الاسلام قرائتی با سبک ویژه‌اش که برای مستمعان تازگی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جملات اذان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تفسیر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جوانی با صدایی بس دلپذیر و بلند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فقرات اذان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فراز می‌آورد و آقای قرائتی تفسیر می‌کرد که با استقبال حیرت‌انگیز مردم مواجه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چند روزی و به هنگام بازگشت، از سر لطف موعظه کردند که به‌درستی درس بخوانم، از گذر سریع زمان غافل نباشم، به هرآنچه در زندگی سودمند نیست نپردازم و در همه حال به یاد خدا باشم و برای خدا بخوانم و تلاش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هنگام خداحافظی نیز مهمان کوچک خود را در آغوش گرفتند و نواختند و</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مدتی که به قم آمدم و آن عزیز از پسِ تبعیدهای مکرر به قم بازگشته بود، در مسجد امام حسن عسگری در درس تفسیر وی شرکت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 دلپذیری بود و بخشی از آن، بحث جنجالی آن روزها،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دقایق پایانی روزهای چهارشنبۀ این درس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بود؛ به‌یادماندنی، فراموش‌نشدنی، شکننده، سازنده، سوزنده، تکان‌دهنده و بیدارگر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دقایق پایانی روزهای چهارشنبه، آن مربی مسلط در ابلاغ، طالبان علم و تشنگان معارف را با سخنانی که از دل برمی‌خاست و لاجرم بر دل می‌نشست نصیحت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چشم‌ها به جایگاه دوخته شده، نفس‌ها در سینه‌ها حبس می‌گشت، اندک‌اندک هق‌هق مستمعان فراز می‌آمد و اشک‌ها بر</w:t>
      </w:r>
      <w:bookmarkStart w:id="61" w:name="pg14517_146139"/>
    </w:p>
    <w:p>
      <w:pPr>
        <w:pStyle w:val="BookText"/>
        <w:rPr/>
      </w:pPr>
      <w:bookmarkEnd w:id="61"/>
      <w:r>
        <w:rPr>
          <w:rFonts w:ascii="IRNazanin" w:hAnsi="IRNazanin" w:eastAsia="IRNazanin"/>
          <w:color w:val="111111"/>
          <w:sz w:val="28"/>
          <w:sz w:val="28"/>
          <w:szCs w:val="28"/>
          <w:rtl w:val="true"/>
          <w:lang w:bidi="fa-IR"/>
        </w:rPr>
        <w:t xml:space="preserve">گونه‌ها سرازیر می‌شد، به‌ویژه لحظاتی‌که آن بزرگوار، خطاب به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زمزمه می‌کرد، از گرفتاری‌ها و دشواری‌های زندگی، از هجوم بی‌امان ستم‌بارگان بر دین و حقایق دینی سخن می‌گفت و از آن عزیز فاطمه علیها السلام که صدها قافله دل همره اوست استمداد می‌جست، آن جمعیتِ بسیار یکسره آه و ناله، اشک و زمزمه می‌شد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باد آن حال‌ها، خوش حال‌ها</w:t>
      </w:r>
      <w:r>
        <w:rPr>
          <w:rFonts w:eastAsia="IRNazanin" w:cs="IRNazanin"/>
          <w:color w:val="111111"/>
          <w:sz w:val="28"/>
          <w:szCs w:val="28"/>
          <w:rtl w:val="true"/>
          <w:lang w:bidi="fa-IR"/>
        </w:rPr>
        <w:t>».</w:t>
      </w:r>
    </w:p>
    <w:p>
      <w:pPr>
        <w:pStyle w:val="Heading3"/>
        <w:numPr>
          <w:ilvl w:val="2"/>
          <w:numId w:val="1"/>
        </w:numPr>
        <w:rPr/>
      </w:pPr>
      <w:bookmarkStart w:id="62" w:name="__RefHeading___Toc39646_1878427129"/>
      <w:bookmarkStart w:id="63" w:name="_Toc25"/>
      <w:bookmarkEnd w:id="62"/>
      <w:r>
        <w:rPr>
          <w:rtl w:val="true"/>
        </w:rPr>
        <w:t>مقدمه</w:t>
      </w:r>
      <w:bookmarkEnd w:id="63"/>
    </w:p>
    <w:p>
      <w:pPr>
        <w:pStyle w:val="BookText"/>
        <w:rPr/>
      </w:pPr>
      <w:r>
        <w:rPr>
          <w:rFonts w:ascii="IRNazanin" w:hAnsi="IRNazanin" w:eastAsia="IRNazanin"/>
          <w:color w:val="111111"/>
          <w:sz w:val="28"/>
          <w:sz w:val="28"/>
          <w:szCs w:val="28"/>
          <w:rtl w:val="true"/>
          <w:lang w:bidi="fa-IR"/>
        </w:rPr>
        <w:t xml:space="preserve">حضرت آیت‌اللّه مشکینی اردبیلی از مفسران، قرآن‌پژوهان، فقیهان و مصلحان بزرگی است که سالیان سال با قرآن همبر و همسو بوده‌اند، و بزرگ‌ترین دلمشغولی آن فقیه جلیل‌القدر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پژوهش در معارف قرآن و برکشیدن درونمایه‌های قرآن و نهادن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آموزه‌های آفتابگون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الاهی در پیشدید جستجوگران تعالیم این آیین‌نامۀ سلوک فردی و اجتماعی؛ و آموزش معارف قرآنی و تفسیر در سطوح مختلف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این‌همه، و از جایگاه و پایگاه قرآنی آیت‌اللّه مشکینی، در مقالات مرتبط سخن خواهد رفت، اما در صفحات این مقالْ این بنده در حد توان و مجال مقال نگاهی‌خواهم داشت به تفسیر روان که آخرین اثر مکتوب آیت‌اللّه مشکینی است و ناتمام، که چگونگی آن را خواهم آورد</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تفسیر قرآن کریم با بیان و بنان عالمان و شیفتگان معارف قرآن، دیرینه‌ای بس کهن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به‌واقع تفسیر قرآن با توضیح‌ها، تبیین‌ها و تفسیرهای رسول اللّه صلی الله علیه و آله براساس نیازها و یا در پاسخ پرسش‌های صحابیان و مؤمنان شکل گرفت، و پس از آن با تلاش‌ها و کوشش‌های صحابیان دامن گشود و گسترش ابعاد آن در شهرها، آبادی‌ها و سرزمین‌های اسلامی در دورۀ تابعان بگسترد و با ظهور و بروز مدارس تفسیری در بلاد اسلامی، میراث مکتوب در آستانۀ قرآن رقم خورد و باورها و اندیشه‌های گونه‌گون به حوزۀ تفکر اسلامی درآمد و بر اثر مواجهۀ جامعۀ اسلامی با جریان‌های مختلف، رویکردها به دین، تفسیر متون دینی، قرآن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گونه‌گون شد و متفاوت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روی، هزاران اثر مهم، ریز و درشت با سبک‌ها</w:t>
      </w:r>
      <w:bookmarkStart w:id="64" w:name="pg14517_146140"/>
    </w:p>
    <w:p>
      <w:pPr>
        <w:pStyle w:val="BookText"/>
        <w:rPr/>
      </w:pPr>
      <w:bookmarkEnd w:id="64"/>
      <w:r>
        <w:rPr>
          <w:rFonts w:ascii="IRNazanin" w:hAnsi="IRNazanin" w:eastAsia="IRNazanin"/>
          <w:color w:val="111111"/>
          <w:sz w:val="28"/>
          <w:sz w:val="28"/>
          <w:szCs w:val="28"/>
          <w:rtl w:val="true"/>
          <w:lang w:bidi="fa-IR"/>
        </w:rPr>
        <w:t>و روش‌های گونه‌گون و رویکردها و درونمایه‌های متفاوت در آستانۀ قرآن رقم خورد</w:t>
      </w:r>
      <w:r>
        <w:rPr>
          <w:rFonts w:eastAsia="IRNazanin" w:cs="IRNazanin"/>
          <w:color w:val="111111"/>
          <w:sz w:val="28"/>
          <w:szCs w:val="28"/>
          <w:rtl w:val="true"/>
          <w:lang w:bidi="fa-IR"/>
        </w:rPr>
        <w:t>.</w:t>
      </w:r>
      <w:r>
        <w:rPr>
          <w:rStyle w:val="FootnoteAnchor"/>
          <w:rtl w:val="true"/>
        </w:rPr>
        <w:footnoteReference w:id="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معجم مصنفات القرآن، علی شواخ اسحاق، دار الرفاعی، الریاض،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 xml:space="preserve">؛ معجم الدراسات القرآنیه، ابتسام مرهون، بغداد، </w:t>
      </w:r>
      <w:r>
        <w:rPr>
          <w:rFonts w:eastAsia="IRNazanin" w:cs="IRNazanin"/>
          <w:color w:val="111111"/>
          <w:sz w:val="28"/>
          <w:szCs w:val="28"/>
          <w:lang w:bidi="fa-IR"/>
        </w:rPr>
        <w:t>1984</w:t>
      </w:r>
      <w:r>
        <w:rPr>
          <w:rFonts w:ascii="IRNazanin" w:hAnsi="IRNazanin" w:eastAsia="IRNazanin"/>
          <w:color w:val="111111"/>
          <w:sz w:val="28"/>
          <w:sz w:val="28"/>
          <w:szCs w:val="28"/>
          <w:rtl w:val="true"/>
          <w:lang w:bidi="fa-IR"/>
        </w:rPr>
        <w:t>؛ آفاق تفسیر، محمدعلی مهدوی‌راد، مقاله، تفسیر پیامبر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آیت‌اللّه مشکینی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پیش‌تر آوردیم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سالیان سال با قرآن انس داشت، چنان‌که در مناسبت‌های گوناگون به تفسیر کلام اللّه می‌پرداخت و آثاری را رقم می‌زد و سالیان پایانی عمر به ترجمه‌ای گویا، جهت‌دار و سودمند از قرآن کریم پرداخت و پس از آن به نگارش تفسیر، که سوگمندانه پایان نپذیرفت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آیت‌اللّه تا آغاز سورۀ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را پیش برد، و برای اینکه دورۀ تفسیر کامل باشد، ادامۀ آن را حضرت آیت‌اللّه حاج شیخ رضا استادی نگاشته‌اند که به‌اجمال آن از سخن خواهیم گفت</w:t>
      </w:r>
      <w:r>
        <w:rPr>
          <w:rFonts w:eastAsia="IRNazanin" w:cs="IRNazanin"/>
          <w:color w:val="111111"/>
          <w:sz w:val="28"/>
          <w:szCs w:val="28"/>
          <w:rtl w:val="true"/>
          <w:lang w:bidi="fa-IR"/>
        </w:rPr>
        <w:t>.</w:t>
      </w:r>
    </w:p>
    <w:p>
      <w:pPr>
        <w:pStyle w:val="Heading3"/>
        <w:numPr>
          <w:ilvl w:val="2"/>
          <w:numId w:val="1"/>
        </w:numPr>
        <w:rPr/>
      </w:pPr>
      <w:bookmarkStart w:id="65" w:name="__RefHeading___Toc39648_1878427129"/>
      <w:bookmarkStart w:id="66" w:name="_Toc26"/>
      <w:bookmarkEnd w:id="65"/>
      <w:r>
        <w:rPr>
          <w:rtl w:val="true"/>
        </w:rPr>
        <w:t>سبک نگارش</w:t>
      </w:r>
      <w:bookmarkEnd w:id="66"/>
    </w:p>
    <w:p>
      <w:pPr>
        <w:pStyle w:val="BookText"/>
        <w:rPr/>
      </w:pPr>
      <w:r>
        <w:rPr>
          <w:rFonts w:ascii="IRNazanin" w:hAnsi="IRNazanin" w:eastAsia="IRNazanin"/>
          <w:color w:val="111111"/>
          <w:sz w:val="28"/>
          <w:sz w:val="28"/>
          <w:szCs w:val="28"/>
          <w:rtl w:val="true"/>
          <w:lang w:bidi="fa-IR"/>
        </w:rPr>
        <w:t xml:space="preserve">شیوۀ تفسیری آیت‌اللّه مشکینی را 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الهامی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بزرگوار در فضای آیاتی چند که برای تفسیر برمی‌گزیند، تأمل می‌کند، به‌اجمال محتوای واژه‌ها را می‌کاود و با اندیشیدن به کلان‌هدف آموزه‌های قرآن و سیاق آیات، محتوای آیات را برمی‌کشد و آموزه‌های هدایتی آن را در پیشدید جستجوگران معارف قرآنی می‌نهد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تعبیری، آنچه از خامۀ آیت‌اللّه تراویده، برآیند سالیان زیستن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سایۀ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گویا به گفتۀ مفسر جلیل‌القدر معاصر، روان‌شاد، حضرت آیت‌اللّه سید محمدحسین فضل‌اللّه رحمه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استیحاء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یعنی از درون آیات و جمله‌های قرآن کریم، حقایق و آموزه‌ها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گرفتن و عرضه کردن</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قرآن‌پژوه ارجمند معاصر، حضرت آقای حسین استادولی، که خودْ مترجمی چیره‌دست و مفسری آگاه و دانشوری مأنوس با قرآن است و ترجمۀ آیت‌اللّه مشکینی و تمام نگاشتۀ تفسیری آیت‌اللّه را ویرایش کرده است، دربارۀ روش وی چنین نوشته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تفسیر به روش تفسیر قرآن به قرآن و تفسیر ظاهر آیات</w:t>
      </w:r>
      <w:bookmarkStart w:id="67" w:name="pg14517_146141"/>
    </w:p>
    <w:p>
      <w:pPr>
        <w:pStyle w:val="BookText"/>
        <w:rPr/>
      </w:pPr>
      <w:bookmarkEnd w:id="67"/>
      <w:r>
        <w:rPr>
          <w:rFonts w:ascii="IRNazanin" w:hAnsi="IRNazanin" w:eastAsia="IRNazanin"/>
          <w:color w:val="111111"/>
          <w:sz w:val="28"/>
          <w:sz w:val="28"/>
          <w:szCs w:val="28"/>
          <w:rtl w:val="true"/>
          <w:lang w:bidi="fa-IR"/>
        </w:rPr>
        <w:t>است و هرگز به تأویل آیه نمی‌پردازد و به‌اصطلاحْ تفسیر وحدتی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گاهی از روایات در فهم آیه یا بیان مصداق آن کمک می‌گیرد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 xml:space="preserve">تفسیر روان،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ادامه بر نمودن ابعاد تفسیر نوشته‌اند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ویژگی چهارم تفسیر 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ابداء رأی مستقل به هنگام اختلاف آراء مفسران در فهم آیه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هرگز مرعوب کسی نبوده و آنچه خودْ درست و مبرهن می‌دانسته در این تفسیر آورده است و گاهی به نقد آراء دیگر نیز می‌پردازد و گاه به معانی گوناگون یک کلمه یا یک آیه اشاره می‌دارد</w:t>
      </w:r>
      <w:r>
        <w:rPr>
          <w:rFonts w:eastAsia="IRNazanin" w:cs="IRNazanin"/>
          <w:color w:val="111111"/>
          <w:sz w:val="28"/>
          <w:szCs w:val="28"/>
          <w:rtl w:val="true"/>
          <w:lang w:bidi="fa-IR"/>
        </w:rPr>
        <w:t>».</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 xml:space="preserve">بدین‌سان می‌نگرید که تفسیر روان آهنگ برنمودن ابعاد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را دارد و مؤلف تمام توان را در این جهت به کار می‌گیرد که محتوا و درونمایۀ آیات را برنماید و آنچه را معتقد و مؤمن به قرآن و شیفتۀ آموزه‌های آن باید بداند، در اختیار او بنهد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صفحات آیندۀ مقاله، ویژگی‌هایی از این تفسیر ارجمند را می‌آورم؛ برخی حالت روش دارد، و برخی مرتبط به محتوای آیات الاهی</w:t>
      </w:r>
      <w:r>
        <w:rPr>
          <w:rFonts w:eastAsia="IRNazanin" w:cs="IRNazanin"/>
          <w:color w:val="111111"/>
          <w:sz w:val="28"/>
          <w:szCs w:val="28"/>
          <w:rtl w:val="true"/>
          <w:lang w:bidi="fa-IR"/>
        </w:rPr>
        <w:t>.</w:t>
      </w:r>
    </w:p>
    <w:p>
      <w:pPr>
        <w:pStyle w:val="Heading3"/>
        <w:numPr>
          <w:ilvl w:val="2"/>
          <w:numId w:val="1"/>
        </w:numPr>
        <w:rPr/>
      </w:pPr>
      <w:bookmarkStart w:id="68" w:name="__RefHeading___Toc39650_1878427129"/>
      <w:bookmarkStart w:id="69" w:name="_Toc27"/>
      <w:bookmarkEnd w:id="68"/>
      <w:r>
        <w:rPr>
          <w:rtl w:val="true"/>
        </w:rPr>
        <w:t>تفسیر قرآن به قرآن</w:t>
      </w:r>
      <w:bookmarkEnd w:id="69"/>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تفسیر آیات الاهی با توجه به آیاتی دیگر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همان‌گونه که علامه طباطبایی بدان تأکید ورزیده‌اند، مهم‌ترین شیوۀ آموزشی معصومان علیهم السلام در فهم قرآن بوده است</w:t>
      </w:r>
      <w:r>
        <w:rPr>
          <w:rFonts w:eastAsia="IRNazanin" w:cs="IRNazanin"/>
          <w:color w:val="111111"/>
          <w:sz w:val="28"/>
          <w:szCs w:val="28"/>
          <w:rtl w:val="true"/>
          <w:lang w:bidi="fa-IR"/>
        </w:rPr>
        <w:t>.</w:t>
      </w:r>
      <w:r>
        <w:rPr>
          <w:rStyle w:val="FootnoteAnchor"/>
          <w:rtl w:val="true"/>
        </w:rPr>
        <w:footnoteReference w:id="8"/>
      </w:r>
      <w:r>
        <w:rPr>
          <w:rFonts w:ascii="IRNazanin" w:hAnsi="IRNazanin" w:eastAsia="IRNazanin"/>
          <w:color w:val="111111"/>
          <w:sz w:val="28"/>
          <w:sz w:val="28"/>
          <w:szCs w:val="28"/>
          <w:rtl w:val="true"/>
          <w:lang w:bidi="fa-IR"/>
        </w:rPr>
        <w:t>این شیوه با چگونگی‌ها و ابعاد آن، از کهن‌ترین روزگاران مورد توجه مفسران بوده است و همگان در تفسیر آیات الاهی، پیش‌تر و بیشتر از هر چیز به قرآن مراجعه می‌کردند؛ و صد البته این مراجعه به لحاظ عمق، عرض عریض و ابعاد، متفاوت بوده و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نمونه‌های کهن تفسیر کامل و شایان توجه تمدن اسلامی، تفسیر جامع البیان عن تأویل آی القرآن است نگاشتۀ محمد بن جریر طبری که به‌نادرستی آن را به لحاظ روشی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مأثور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نگاهی کوتاه به</w:t>
      </w:r>
    </w:p>
    <w:p>
      <w:pPr>
        <w:pStyle w:val="BookText"/>
        <w:rPr/>
      </w:pPr>
      <w:r>
        <w:rPr>
          <w:rFonts w:ascii="IRNazanin" w:hAnsi="IRNazanin" w:eastAsia="IRNazanin"/>
          <w:color w:val="111111"/>
          <w:sz w:val="28"/>
          <w:sz w:val="28"/>
          <w:szCs w:val="28"/>
          <w:rtl w:val="true"/>
          <w:lang w:bidi="fa-IR"/>
        </w:rPr>
        <w:t xml:space="preserve">صفحات زرین این تفسیر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تأویل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 و اظهار نظرهای طبری نشان می‌دهد که چه سان از شیوۀ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به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تبیین معانی آیات و نقد آراء دیگران بهره برده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تفسیرگران‌قدر التفسیر البسیط ابوالحسن علی بن احمد بن محمد واحدی نیشابوری یکی از چند تفسیر آن عالم بلندآوازۀ قرن پنجم در پیش روی ماست</w:t>
      </w:r>
      <w:r>
        <w:rPr>
          <w:rFonts w:eastAsia="IRNazanin" w:cs="IRNazanin"/>
          <w:color w:val="111111"/>
          <w:sz w:val="28"/>
          <w:szCs w:val="28"/>
          <w:rtl w:val="true"/>
          <w:lang w:bidi="fa-IR"/>
        </w:rPr>
        <w:t>.</w:t>
      </w:r>
      <w:r>
        <w:rPr>
          <w:rStyle w:val="FootnoteAnchor"/>
          <w:rtl w:val="true"/>
        </w:rPr>
        <w:footnoteReference w:id="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التفسیر البسیط، لابن الحسن علی بن احمد بن محمد واحدی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467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صالح بن‌عبداللّه الفوزان، جامعة الام محمدبن سعود الاسلامیه، الریاض، </w:t>
      </w:r>
      <w:r>
        <w:rPr>
          <w:rFonts w:eastAsia="IRNazanin" w:cs="IRNazanin"/>
          <w:color w:val="111111"/>
          <w:sz w:val="28"/>
          <w:szCs w:val="28"/>
          <w:lang w:bidi="fa-IR"/>
        </w:rPr>
        <w:t>1430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تورّقی شتابان نیز می‌تواند نشان دهد که نیشابوری چگونه از روش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به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بهره می‌گیرد؛ و حتی در تبیین معانی واژه‌ها و استوارسازی ترکیب جمله‌ها از آن شیوه سود می‌جوید؛ و صد البته آنچه در المیزان فی تفسیر القرآن اثر جاودانۀ علامه طباطبایی چهره بسته است، به تعبیر بیهقی بزرگْ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است و این چگونگی کمابیش به خامه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هرحال، آیت‌اللّه مشکینی در تفسیر آیات و تبیین معانی کلام‌اللّه از جمله از این شیوه فراوان بهره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سورۀ بقره و در ضمن تفسیر آیۀ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الَّذینَ آمَنُوا وَ الَّذینَ هادُوا وَ النَّصاری وَ الصّابِئینَ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کسانی که به اسلام و دین محمد ایمان آورده‌اند و کسانی که یهودی هستند و نصرانی‌ها و صابئین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آمَنَ بِاللّهِ وَ الْیَوْمِ اْلآخِرِ وَ عَمِلَ صالِحاً فَلَهُمْ أجْرُهُمْ عِنْدَ رَبِّهِمْ وَ لا خَوْفٌ عَلَیْهِمْ وَ لا هُمْ یَحْزَنُونَ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جمله قید طوایف سه‌گانه است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بی‌تردید آن‌هایی که از این سه‌طایفه در عصر پیامبر خود و دین خود بودند و به خدا و روز قیامت ایمان درست و حقیقی آوردند و بر طبق شریعت خویش عمل‌های شایسته انجام دادند، برای همۀ آن‌ها پاداششان در نزد پروردگارشان ثابت و مهیاست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آنگاه پس از توضیحاتی دقیق و سودمند نوشته‌اند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حاصل مفاد آیه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از این طوایف در عصر پیامبرشان می‌زیستند و به وسیلۀ ایمان به پیامبر و کتاب آسمانی خودْ نام یهود و نصارا را داشتند، اگر ایمان صحیح به خدا و معاد داشته باشند، بی‌تردید اهل بهشت‌اند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حمل کردن این آیه را بر اینکه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آمن باللّه و الیوم</w:t>
      </w:r>
    </w:p>
    <w:p>
      <w:pPr>
        <w:pStyle w:val="BookText"/>
        <w:rPr/>
      </w:pPr>
      <w:r>
        <w:rPr>
          <w:rFonts w:ascii="IRNazanin" w:hAnsi="IRNazanin" w:eastAsia="IRNazanin"/>
          <w:color w:val="111111"/>
          <w:sz w:val="28"/>
          <w:sz w:val="28"/>
          <w:szCs w:val="28"/>
          <w:rtl w:val="true"/>
          <w:lang w:bidi="fa-IR"/>
        </w:rPr>
        <w:t>الاخر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از این طوایف‌اند که به پیامبر اسلام و قرآن ایمان آورده باشند، با ظاهر آیه سازگار نیست، و نظیر این آیه در معنا و مقصود، آیۀ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سورۀ مائده است، با اندک‌اختلافی در لفظ و به عبارت دیگر، هریک از سه طایفۀ یهود و نصارا و صابئین، منقسم به سه قسم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آن‌هایی که پیش از اسلام در عصر نبوت پیامبرشان به او ایمان آورده و به دینش عمل کرده‌اند؛</w:t>
      </w:r>
    </w:p>
    <w:p>
      <w:pPr>
        <w:pStyle w:val="BookText"/>
        <w:rPr/>
      </w:pPr>
      <w:r>
        <w:rPr>
          <w:rFonts w:ascii="IRNazanin" w:hAnsi="IRNazanin" w:eastAsia="IRNazanin"/>
          <w:color w:val="111111"/>
          <w:sz w:val="28"/>
          <w:sz w:val="28"/>
          <w:szCs w:val="28"/>
          <w:rtl w:val="true"/>
          <w:lang w:bidi="fa-IR"/>
        </w:rPr>
        <w:t>دوم آن‌هایی که در عصر نزول قرآن و پس از آن آمده و به پیامبر اسلام گرویده‌اند؛</w:t>
      </w:r>
    </w:p>
    <w:p>
      <w:pPr>
        <w:pStyle w:val="BookText"/>
        <w:rPr/>
      </w:pPr>
      <w:r>
        <w:rPr>
          <w:rFonts w:ascii="IRNazanin" w:hAnsi="IRNazanin" w:eastAsia="IRNazanin"/>
          <w:color w:val="111111"/>
          <w:sz w:val="28"/>
          <w:sz w:val="28"/>
          <w:szCs w:val="28"/>
          <w:rtl w:val="true"/>
          <w:lang w:bidi="fa-IR"/>
        </w:rPr>
        <w:t>سوم آن‌هایی که پس از ظهور اسلام آمده و به آن نگرویده‌اند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آیۀ مورد بحث و آیۀ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مائده که اندک‌اختلافی در عبارت با این آیه دارد، ظهور دارند در قسم اول از این طوایف سه‌گانه، و حداقل ارجح است از حمل بر قسم دوم، و اما آیۀ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سورۀ حج که طایفۀ مجوس و مشرکان نیز به این سه طایفه اضافه شده، ناظر است به اینکه خداوند، میان آن‌ها درروز قیامت جدایی می‌افکند و حال طوایف سه‌گانۀ این آیات از نظر اطلاق و تقیید، از آن استفاده نمی‌شود و آن آیه منافات با این دو آیه ندارد و به خواست خدا در جای‌خودش بحث خواهد شد</w:t>
      </w:r>
      <w:r>
        <w:rPr>
          <w:rFonts w:eastAsia="IRNazanin" w:cs="IRNazanin"/>
          <w:color w:val="111111"/>
          <w:sz w:val="28"/>
          <w:szCs w:val="28"/>
          <w:rtl w:val="true"/>
          <w:lang w:bidi="fa-IR"/>
        </w:rPr>
        <w:t>.</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 xml:space="preserve">تفسیر روان،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مفسر جلیل‌القدر ما در ذیل آیۀ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سورۀ بقره که سخن از روزه‌داری است و برخی از احکام ویژۀ آن، در ذیل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تلک حدود اللّه فلا تقربوها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 داده که این جمله حدود و احکام الاهی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فراز می‌آورد و این حقیقت را با توجه به آیات پیشین این آیه تبیین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بنگرید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تِلْکَ حُدُودُ اللّهِ فَلا تَقْرَبُوها</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احکام ده‌گانۀ روزه است که از آیۀ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 بیان شده و عبارتند از</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وجوب روزۀ ماه رمضان بر همۀ امت‌ها؛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سقوط آن از مریض و مسافر؛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وجوب قضای آن در روزهای دیگر؛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جواز افطار</w:t>
      </w:r>
    </w:p>
    <w:p>
      <w:pPr>
        <w:pStyle w:val="BookText"/>
        <w:rPr/>
      </w:pPr>
      <w:r>
        <w:rPr>
          <w:rFonts w:ascii="IRNazanin" w:hAnsi="IRNazanin" w:eastAsia="IRNazanin"/>
          <w:color w:val="111111"/>
          <w:sz w:val="28"/>
          <w:sz w:val="28"/>
          <w:szCs w:val="28"/>
          <w:rtl w:val="true"/>
          <w:lang w:bidi="fa-IR"/>
        </w:rPr>
        <w:t xml:space="preserve">برای عده‌ای؛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وجوب کفاره بر آن‌ها؛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دعا کردن و استحباب مؤکد آن؛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وجوب پذیرش دعوت‌های خداوند؛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سابقۀ تشریع حرمت جماع در شب‌های ماه رمضان؛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 دو حکم حرمت پس از نزول آیۀ </w:t>
      </w:r>
      <w:r>
        <w:rPr>
          <w:rFonts w:eastAsia="IRNazanin" w:cs="IRNazanin"/>
          <w:color w:val="111111"/>
          <w:sz w:val="28"/>
          <w:szCs w:val="28"/>
          <w:lang w:bidi="fa-IR"/>
        </w:rPr>
        <w:t>187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حرمت جماع در مساجد و در حال اعتکاف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معنای آیه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احکام که ذکر شد، همه حدود خداوند است؛ پس هرگز به حدود خدا نزدیک نشوید و تخلف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 احکام ده‌گانه و سایر واجبات و محرمات و احکام وضعی الهی، همه حاجز و مانع و مرزند در دنیا میان حق و باطل و مصالح اعمال و مفاسد آن و رضای خدا و غضب او، و در آخرت میان بهشت و جهنم</w:t>
      </w:r>
      <w:r>
        <w:rPr>
          <w:rFonts w:eastAsia="IRNazanin" w:cs="IRNazanin"/>
          <w:color w:val="111111"/>
          <w:sz w:val="28"/>
          <w:szCs w:val="28"/>
          <w:rtl w:val="true"/>
          <w:lang w:bidi="fa-IR"/>
        </w:rPr>
        <w:t>.</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 xml:space="preserve">تفسیر روان،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200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ذیل آیۀ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سورۀ نحل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اللّهُ لا تَتَّخِذُوا إلهَیْنِ اثْنَیْنِ إنَّما هُوَ إلهٌ واحِدٌ فَإیّایَ فَارْهَبُونِ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خداوند گفت که دو خدا اتخاذ مکنید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این نیست که او خدای یکتاست؛ پس تنها از من بترسید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 که این آیه به‌گونه‌ای اشاره به باور و عقیدۀ برخی از کسان در هنگام نزولْ اشاره دارد که به دو گونه خدا را باور داشتند و این حقیقت را با توجه به آیاتی دیگر تبیین می‌کنند، بدین 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اشاره به عقیده است و عادتی که برخی از طوایف بشری در آن عصر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معتقد به دو نوع خدا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ایجاد و آفرینش که کارش آفریدن و پدید آوردن وجود از کتم عدم بود؛ و خدای رب که کارش تربیت و تکمیل خلق‌شده‌ها و تدبیر و نظم امور آن‌ها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قسم دوم در نظر آن‌ها از فرشتگان و پریان و بتان و ستارگان بودند که می‌گفتند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هؤُلاءِ شُفَعاؤُنا عِنْدَ اللّهِ</w:t>
      </w:r>
      <w:r>
        <w:rPr>
          <w:rFonts w:eastAsia="Amiri" w:cs="Amiri" w:ascii="Amiri" w:hAnsi="Amiri"/>
          <w:color w:val="111111"/>
          <w:sz w:val="28"/>
          <w:szCs w:val="28"/>
          <w:rtl w:val="true"/>
          <w:lang w:bidi="ar-SA"/>
        </w:rPr>
        <w:t>»</w:t>
      </w:r>
      <w:r>
        <w:rPr>
          <w:rStyle w:val="FootnoteAnchor"/>
          <w:rtl w:val="true"/>
        </w:rPr>
        <w:footnoteReference w:id="12"/>
      </w:r>
      <w:r>
        <w:rPr>
          <w:rFonts w:ascii="IRNazanin" w:hAnsi="IRNazanin" w:eastAsia="IRNazanin"/>
          <w:color w:val="111111"/>
          <w:sz w:val="28"/>
          <w:sz w:val="28"/>
          <w:szCs w:val="28"/>
          <w:rtl w:val="true"/>
          <w:lang w:bidi="fa-IR"/>
        </w:rPr>
        <w:t>و می‌گفتند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نَعْبُدُهُمْ إلّا لِیُقَرِّبُونا إلَی اللّهِ زُلْفی</w:t>
      </w:r>
      <w:r>
        <w:rPr>
          <w:rFonts w:eastAsia="IRNazanin" w:cs="IRNazanin"/>
          <w:color w:val="111111"/>
          <w:sz w:val="28"/>
          <w:szCs w:val="28"/>
          <w:rtl w:val="true"/>
          <w:lang w:bidi="fa-IR"/>
        </w:rPr>
        <w:t>»</w:t>
      </w:r>
      <w:r>
        <w:rPr>
          <w:rStyle w:val="FootnoteAnchor"/>
          <w:rtl w:val="true"/>
        </w:rPr>
        <w:footnoteReference w:id="13"/>
      </w:r>
      <w:r>
        <w:rPr>
          <w:rFonts w:ascii="IRNazanin" w:hAnsi="IRNazanin" w:eastAsia="IRNazanin"/>
          <w:color w:val="111111"/>
          <w:sz w:val="28"/>
          <w:sz w:val="28"/>
          <w:szCs w:val="28"/>
          <w:rtl w:val="true"/>
          <w:lang w:bidi="fa-IR"/>
        </w:rPr>
        <w:t>و آنان خدای اول را خدای‌خدایان و خالق اشیا؛ و خدای دوم را خدای عبادت می‌گفتند و معتقد بودند که علم و دانش ما به خدای ایجاد نمی‌رسد و ما را نسزد که او را عبادت کنیم، بلکه چون زندگی ما و ادارۀ</w:t>
      </w:r>
    </w:p>
    <w:p>
      <w:pPr>
        <w:pStyle w:val="BookText"/>
        <w:rPr/>
      </w:pPr>
      <w:r>
        <w:rPr>
          <w:rFonts w:ascii="IRNazanin" w:hAnsi="IRNazanin" w:eastAsia="IRNazanin"/>
          <w:color w:val="111111"/>
          <w:sz w:val="28"/>
          <w:sz w:val="28"/>
          <w:szCs w:val="28"/>
          <w:rtl w:val="true"/>
          <w:lang w:bidi="fa-IR"/>
        </w:rPr>
        <w:t>امور عالم به دست ارباب رتبۀ دوم است، باید آن‌ها را عبادت کنیم تا جلب رضای آن‌ها یا دفع غضب و مضار آن‌ها را بکنی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قسم برحسب اختلاف مربوبات ارباب، مختلف بودند و نام‌های جداگانه داشتند</w:t>
      </w:r>
      <w:r>
        <w:rPr>
          <w:rFonts w:eastAsia="IRNazanin" w:cs="IRNazanin"/>
          <w:color w:val="111111"/>
          <w:sz w:val="28"/>
          <w:szCs w:val="28"/>
          <w:rtl w:val="true"/>
          <w:lang w:bidi="fa-IR"/>
        </w:rPr>
        <w:t>.</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 xml:space="preserve">تفسیر روان،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200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بهره‌های مفسر عالی‌قدر تفسیر روان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قرآن به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گونه‌گون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 برای بازیابی معانی آیات است، و دیگر گاه برای نقد آراء، و بالاخره گاه برای رفع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تنافی متوهم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آیۀ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أنفال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تَری إذْ یَتَوَفَّی الَّذینَ کَفَرُوا الْمَلائِکَةُ یَضْرِبُونَ وُجُوهَهُمْ وَ أدْبارَهُمْ وَ ذُوقُوا عَذابَ الْحَریقِ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می‌دیدی هنگامی را که فرشتگانْ کسانی را که کفر ورزیده‌اند قبض روح می‌کردند درحالی‌که بر صورت‌ها و پشت‌های آن‌ها می‌زدند و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بچشید عذاب سوزان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چنان‌که روشن است، نشانگر آن است که ملائکه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عهده داشته‌اند و ظاهر آیه‌ای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سجده،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خداوند سبحان چنان کرده است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آیت‌اللّه مشکینی برای رفع این تنافی، آیات را در کنار هم می‌چیند و پرتوی از آیات می‌گیرد و تنافی را رفع می‌کند بدین‌گونه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باید دانست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نحو کامل گرفتن شیء و کنایه از مرگ است؛ زیرا روح انسانی به‌کلی از بدن اخذ می‌شود و مثل خواب اخذ موقت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این آیه قبض روح مردم به جمع فرشتگان یعنی اعوان عزرائیل نسبت داده شده، و در آیۀ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زمر به خود خداوند نسبت داده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یَتَوَفَّی اْلأَنْفُسَ حینَ مَوْتِها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آیۀ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سجده به ملک‌الموت نسبت داده شده</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یَتَوَفّاکُمْ مَلَکُ الْمَوْتِ الَّذی وُکِّلَ بِکُمْ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راه جمع میان سه آیه این است که نسبت دادن مرگ به اعوانْ نسبت مباشری، و به ملک‌الموت تسبیبی به یک واسطه، و به خداوند تسبیبی به دو واسطه است؛ یعنی خدا به ملک‌الموت دستور می‌دهد و او به اعوان تا قبض روح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ممکن است</w:t>
      </w:r>
      <w:bookmarkStart w:id="70" w:name="pg14517_146146"/>
    </w:p>
    <w:p>
      <w:pPr>
        <w:pStyle w:val="BookText"/>
        <w:rPr/>
      </w:pPr>
      <w:bookmarkEnd w:id="70"/>
      <w:r>
        <w:rPr>
          <w:rFonts w:ascii="IRNazanin" w:hAnsi="IRNazanin" w:eastAsia="IRNazanin"/>
          <w:color w:val="111111"/>
          <w:sz w:val="28"/>
          <w:sz w:val="28"/>
          <w:szCs w:val="28"/>
          <w:rtl w:val="true"/>
          <w:lang w:bidi="fa-IR"/>
        </w:rPr>
        <w:t>اختلاف از نظر نفوس بشر باشد؛ یعنی برخی از خود خداوند، به ارادۀ خویش قبض می‌کند که رده‌های بالا از طایفۀ بشری هستند، برخی را ملک‌الموت و بقیه را اعوان، قبض می‌کنند</w:t>
      </w:r>
      <w:r>
        <w:rPr>
          <w:rFonts w:eastAsia="IRNazanin" w:cs="IRNazanin"/>
          <w:color w:val="111111"/>
          <w:sz w:val="28"/>
          <w:szCs w:val="28"/>
          <w:rtl w:val="true"/>
          <w:lang w:bidi="fa-IR"/>
        </w:rPr>
        <w:t>.</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 xml:space="preserve">تفسیر روان،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تا بدین جا آوردیم، موارد اندکی بود از گسترۀ چشم‌گیر و شایان توجه تبیین و تفسیر آیات الاهی در تفسیر روان با توجه به آیات دیگر</w:t>
      </w:r>
      <w:r>
        <w:rPr>
          <w:rFonts w:eastAsia="IRNazanin" w:cs="IRNazanin"/>
          <w:color w:val="111111"/>
          <w:sz w:val="28"/>
          <w:szCs w:val="28"/>
          <w:rtl w:val="true"/>
          <w:lang w:bidi="fa-IR"/>
        </w:rPr>
        <w:t>.</w:t>
      </w:r>
    </w:p>
    <w:p>
      <w:pPr>
        <w:pStyle w:val="Heading3"/>
        <w:numPr>
          <w:ilvl w:val="2"/>
          <w:numId w:val="1"/>
        </w:numPr>
        <w:rPr/>
      </w:pPr>
      <w:bookmarkStart w:id="71" w:name="__RefHeading___Toc39652_1878427129"/>
      <w:bookmarkStart w:id="72" w:name="_Toc28"/>
      <w:bookmarkEnd w:id="71"/>
      <w:r>
        <w:rPr>
          <w:rtl w:val="true"/>
        </w:rPr>
        <w:t>تأمل در فضای آیات</w:t>
      </w:r>
      <w:bookmarkEnd w:id="72"/>
    </w:p>
    <w:p>
      <w:pPr>
        <w:pStyle w:val="BookText"/>
        <w:rPr/>
      </w:pPr>
      <w:r>
        <w:rPr>
          <w:rFonts w:ascii="IRNazanin" w:hAnsi="IRNazanin" w:eastAsia="IRNazanin"/>
          <w:color w:val="111111"/>
          <w:sz w:val="28"/>
          <w:sz w:val="28"/>
          <w:szCs w:val="28"/>
          <w:rtl w:val="true"/>
          <w:lang w:bidi="fa-IR"/>
        </w:rPr>
        <w:t>پیش‌تر، آوردیم که نگاشتۀ آیت‌اللّه مشکینی نوعی برنمودن تأمل‌ها، تنبه و الهام‌هاست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سیوطی در ضمن ویژگی‌های مفسر، از جمله نوشته‌اند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دانش بخشیدنی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الموهبه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آن دانشی است که خداوند سبحان در جان کسی که به مقتضای علمش عمل کند به ودیعت می‌گذارد، و بدان اشاره دارد این حدیث</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عمل بما عَلمَ ورثه اللّه علم مالم یعلم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هرآنکه به مقتضای آنچه می‌داند عمل کند، خداوند آنچه را نمی‌داند در وجودش قرار می‌دهد</w:t>
      </w:r>
      <w:r>
        <w:rPr>
          <w:rFonts w:eastAsia="IRNazanin" w:cs="IRNazanin"/>
          <w:color w:val="111111"/>
          <w:sz w:val="28"/>
          <w:szCs w:val="28"/>
          <w:rtl w:val="true"/>
          <w:lang w:bidi="fa-IR"/>
        </w:rPr>
        <w:t>».</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مراجعۀ مکرر به تفسیر روان و مقایسۀ بخش‌هایی که مؤلف با توجه به جان‌مایۀ آیات، حقایق هدایتی و آموزه‌های بیدارگر آیات را فراز می‌آورد با تفسیرهای دیگر، می‌تواند نشان دهد که در پسِ پشتِ این تفسیرها و توضیح‌ها، جانی مشتعل، روانی پیراسته، قلبی پاک، ضمیری متبلور و اندیشه‌ای ناب قرار دارد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تفسیر سورۀ یوسف و در تبیین آیۀ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سورۀ که معرکۀ آراء مفسران و میدان تاخت‌وتاز اسرائیلیات آفرینان است، با هوشمندی آیه را از فضای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کامجویی جنسی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آورده و با تفسیری دقیق بدون اینکه در دام نقل‌های نااستوار قرار گیرد و آنگاه تلاش کند تا از این دام برهد، آیه را توضیح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بیفزایم که در این آیه، خداوند سبحان از چگونگی رویارویی زلیخا با یوسف سخن می‌دارد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لَقَدْ هَمَّتْ بِهِ وَ هَمَّ بِها لَوْ لا أنْ رَأی بُرْهانَ رَبِّهِ کَذلِکَ لِنَصْرِفَ عَنْهُ السُّوءَ وَ الْفَحْشاءَ إنَّهُ مِنْ عِبادِنا الْمُخْلَصینَ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زلیخا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قصد او کرد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 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آهنگ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 اگر برهان پروردگارش را نمی‌دید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بدی و فحشاء را از او بازگردانیم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بی‌گمان او از بندگان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مخلص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باتوجه به سیاق آیات نشان می‌دهد که در آیۀ پیشین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راودته التی هو فی بیتها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صحنۀ تقاضای کامجویی زن بود که در نهایت به‌شدت از سوی یوسف 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چرا خداوند سبحان در کلامی بلیغ که اصل عدم تکرار است، بلافاصله صحنه را تکرار می‌کند؟ روشن است که آیۀ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همت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گزارشگر موضوعی دیگر باشد، اما سوگمندانه مفسران در سایۀ نقل‌های سست‌بنیاد یهودی‌تبار، از آغاز خامه را به 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کامجویی جنسی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رانده‌اند و آنگاه مانده‌اند که این آهنگ را از سوی یوسف 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مَخلَصانِ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بندگان خداست چه سان توجیه کنند</w:t>
      </w:r>
      <w:r>
        <w:rPr>
          <w:rFonts w:eastAsia="IRNazanin" w:cs="IRNazanin"/>
          <w:color w:val="111111"/>
          <w:sz w:val="28"/>
          <w:szCs w:val="28"/>
          <w:rtl w:val="true"/>
          <w:lang w:bidi="fa-IR"/>
        </w:rPr>
        <w:t>.</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برای تفسیر دقیق آیه از جمله بنگرید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جمال انسانیت، آیت‌اللّه صالحی نجف‌آبادی؛ القصه القرآنیه، قصة یوسف نموذجاً؛ محاضرات آیت‌اللّه الشیخ مصطفی الهرندی، العارف للمطبوعات، بیروت، لبنان، </w:t>
      </w:r>
      <w:r>
        <w:rPr>
          <w:rFonts w:eastAsia="IRNazanin" w:cs="IRNazanin"/>
          <w:color w:val="111111"/>
          <w:sz w:val="28"/>
          <w:szCs w:val="28"/>
          <w:lang w:bidi="fa-IR"/>
        </w:rPr>
        <w:t>2012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تفسیر آیت‌اللّه مشکینی را بنگرید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هَمَّتْ بِهِ وَ هَمَّ بِها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شهادت مقام و سیاق کلام، متعلق همّ و قصد آن زن، رسیدن به یوسف و کامجویی بوده، و اما متعلق هم یوسف روشن نیست، بلکه سابقۀ حاشا کردن و امتناع او شاهد این است که قصد او کامجویی نبوده و چیزی که تصور دارد و مقتضای ایمان و مقام نبوت اوست، این است که قصد او دفاع از خود بوده، هرچند منجر به جرح یا قتل آن زن شود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خلاصۀ معنای آیه این است که آن زن قصد کرد به یوسف برسد و هم‌آغوش او شود، و یوسف قصد کرد او را از خود دور کند، هرچند لازم</w:t>
      </w:r>
    </w:p>
    <w:p>
      <w:pPr>
        <w:pStyle w:val="BookText"/>
        <w:rPr/>
      </w:pPr>
      <w:r>
        <w:rPr>
          <w:rFonts w:ascii="IRNazanin" w:hAnsi="IRNazanin" w:eastAsia="IRNazanin"/>
          <w:color w:val="111111"/>
          <w:sz w:val="28"/>
          <w:sz w:val="28"/>
          <w:szCs w:val="28"/>
          <w:rtl w:val="true"/>
          <w:lang w:bidi="fa-IR"/>
        </w:rPr>
        <w:t>باشد او را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امر یوسف مردد میان دو خطر بزرگ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تسلیم در مقابل خواستۀ زن و دفاع از خود، ولو به قتل او</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لا أنْ رَأی بُرْهانَ رَبِّهِ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نبود اینکه برهان پروردگار خود را دید، آنچه را قصد کرده بود انجام می‌داد؛ زیرا که همّ آن زن جدی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مقام چیزی است از جانب خداوند که سبب تنبه یوسف و یافتن راه فرار و نجات شد؛ نظیر نیروی ایمان مقام نبوت، یا فرشتگان الهی که نجاتش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تفصیل محتملات آیه به تفاسیر فریقین مراجعه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کَذلِکَ لِنَصْرِفَ عَنْهُ السُّوءَ وَ الْفَحْشاءَ إنَّهُ مِنْ عِبادِنا الْمُخْلَصینَ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به او برهان خود را نشان دادیم تا از وی بدی و فحشا را بازگردانیم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ظاهراً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محذور قتل نفس، و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ارتکاب زناست، و خداوند هر دو را که به او روی آورده بودند، با نشان دادن برهان بازگردانید، به خاطر آنکه او از بندگان مخلص ما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ایام کودکی ابعاد وجودی او را یعنی فکر و روح و اعضای او را از ارجاس کفر و شرک و رذایل اخلاق و پلیدی کردار، خالص و پاک کرده بودیم</w:t>
      </w:r>
      <w:r>
        <w:rPr>
          <w:rFonts w:eastAsia="IRNazanin" w:cs="IRNazanin"/>
          <w:color w:val="111111"/>
          <w:sz w:val="28"/>
          <w:szCs w:val="28"/>
          <w:rtl w:val="true"/>
          <w:lang w:bidi="fa-IR"/>
        </w:rPr>
        <w:t>.</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 xml:space="preserve">تفسیر روان،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تفسیر آیۀ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سورۀ نساء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اللّاتی تَخافُونَ نُشُوزَهُنَّ فَعِظُوهُنَّ وَ اهْجُرُوهُنَّ فی الْمَضاجِعِ وَ اضْرِبُوهُنَّ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به پندار من آیۀ پیشین و سیاق آیات را به گونه‌ای تفسیر و توضیح کرده‌اند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هم بدانگونه که وی گزارش می‌کند، پذیرفتنی می‌شود و خواننده از پذیرش آن تن نمی‌زند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ابتداء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سرپرستی مردان دربارۀ زنان مطرح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توجه به اموری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قیمومت و ولایت تشریعی برای شوهران جعل گشته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آنگاه اوصاف نیک زنان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فالصالحات، قانتات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گونه‌ای تفسیر شده است که نشان دهد این همه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حیات طیبه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محیطی آرام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رقم می‌زند و در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خانه‌ای که زنان، نگاه‌دارندگان زندگانی و حراست‌گران در غیاب شوهر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اکنون اگر زنی از چنین فضایی فراز آید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تفوق‌طلبی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کند، طغیان نماید و حدود الاهی را بشکند، برای بازگرداندن فضای ازدست‌رفته باید چه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بنگرید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اللاّتی تَخافُونَ نُشُوزَهُنَّ فَعِظُوهُنَّ وَ اهْجُرُوهُنَّ فی الْمَضاجِعِ وَ اضْرِبُوهُنَّ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همسرانی که از نشوز آن‌ها می‌ترسید، یعنی آثار تفوق‌طلبی و طغیان و خروج از حدود شرعی و رسوم عقلایی در آن‌ها مشاهده می‌کنید، پس در آغاز آن‌ها را با زبان و عمل موعظه نمایید؛ و اگر اثری نبخشید، از آن‌ها در خوابگاه به طور موقت دوری جویید که قهر مصنوعی و داروی پیشگیری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آن نیز مفید نیفتاد، آن‌ها را بزنید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به قصد اصلاح حال و نهی از منکر و تربیت انسانی، و حفظ وحدت خانوادگی، و پرهیز از وقوع هرج‌ومرج در محیط زندگی، و رعایت حال فرزندان از وقوع در خطرات جدایی، در محدوده‌ای که شرع اجازه داده بزنید؛ زدنی که نه حدآور باشد و نه تعزیرآور و نه سبب جرح و نقص و نه به قصد تشفی و نه توأم با کلمات خشن که اثر اصلاحی آن را زایل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نوع زدن نه فقط مورد ترخیص شرع است، بلکه سبب رعایت حق انسانی طرفین و خاصه اولاد است و عقلاً و عرفاً نیز لازم و مستحسن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أطَعْنَکُمْ فَلا تَبْغُوا عَلَیْهِنَّ سَبیلاً</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در طاعت شما درآمدند و حقوق شما و وظایف خود را رعایت کردند، پس هیچ راهی بر آن‌ها نجویید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از تکرار مذمت و توبیخ بر گذشته و تهدید بر آینده صرف نظر کنید و ماوقع را کالعدم انگارید؛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التائب من الذنب کمن لا ذنب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از گناه توبه کرد، مانند کسی است که گناهی نکرده است</w:t>
      </w:r>
      <w:r>
        <w:rPr>
          <w:rFonts w:eastAsia="IRNazanin" w:cs="IRNazanin"/>
          <w:color w:val="111111"/>
          <w:sz w:val="28"/>
          <w:szCs w:val="28"/>
          <w:rtl w:val="true"/>
          <w:lang w:bidi="fa-IR"/>
        </w:rPr>
        <w:t>.</w:t>
      </w:r>
      <w:bookmarkStart w:id="73" w:name="pg14517_146150"/>
    </w:p>
    <w:p>
      <w:pPr>
        <w:pStyle w:val="BookText"/>
        <w:rPr/>
      </w:pPr>
      <w:bookmarkEnd w:id="73"/>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کانَ عَلیماً حَکیماً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که خداوند بلندمرتبه و بزرگوار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همواره متوجه باشید که قدرت او بر شما بیش از قدرت شما بر دیگران است و بدانید که او گناهان بزرگ شما را می‌بخشد، پس شما نیز ارفاق نمایید</w:t>
      </w:r>
      <w:r>
        <w:rPr>
          <w:rFonts w:eastAsia="IRNazanin" w:cs="IRNazanin"/>
          <w:color w:val="111111"/>
          <w:sz w:val="28"/>
          <w:szCs w:val="28"/>
          <w:rtl w:val="true"/>
          <w:lang w:bidi="fa-IR"/>
        </w:rPr>
        <w:t>.</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 xml:space="preserve">تفسیر روان،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آیه، توجه دقیق به فرجام آیه است، و فراز آوردن پیام هدایتگر و طغیان‌شکن قرآنی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همواره متوجه باشید که قدرت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گردن‌فرازی نکنید و از موقعیت بیش سوء استفاده نکنید</w:t>
      </w:r>
      <w:r>
        <w:rPr>
          <w:rFonts w:eastAsia="IRNazanin" w:cs="IRNazanin"/>
          <w:color w:val="111111"/>
          <w:sz w:val="28"/>
          <w:szCs w:val="28"/>
          <w:rtl w:val="true"/>
          <w:lang w:bidi="fa-IR"/>
        </w:rPr>
        <w:t>.</w:t>
      </w:r>
    </w:p>
    <w:p>
      <w:pPr>
        <w:pStyle w:val="Heading3"/>
        <w:numPr>
          <w:ilvl w:val="2"/>
          <w:numId w:val="1"/>
        </w:numPr>
        <w:rPr/>
      </w:pPr>
      <w:bookmarkStart w:id="74" w:name="__RefHeading___Toc39654_1878427129"/>
      <w:bookmarkStart w:id="75" w:name="_Toc29"/>
      <w:bookmarkEnd w:id="74"/>
      <w:r>
        <w:rPr>
          <w:rtl w:val="true"/>
        </w:rPr>
        <w:t>تأمل ها، هدایت ها</w:t>
      </w:r>
      <w:bookmarkEnd w:id="75"/>
    </w:p>
    <w:p>
      <w:pPr>
        <w:pStyle w:val="BookText"/>
        <w:rPr/>
      </w:pPr>
      <w:r>
        <w:rPr>
          <w:rFonts w:ascii="IRNazanin" w:hAnsi="IRNazanin" w:eastAsia="IRNazanin"/>
          <w:color w:val="111111"/>
          <w:sz w:val="28"/>
          <w:sz w:val="28"/>
          <w:szCs w:val="28"/>
          <w:rtl w:val="true"/>
          <w:lang w:bidi="fa-IR"/>
        </w:rPr>
        <w:t>دقت‌ها و تأمل‌های آیت‌اللّه مشکینی در آیات الاهی و فضای سوره و یا مجموعۀ آیاتی که برای تفسیر برگزیده است، و با توجه به آهنگ هدایتی قرآن، جای‌جای تفسیر برای مؤمنان و شیفتگان معارف قرآن و دلدادگان به آموزه‌های آیات فرقان، از نکته‌های بیدارگرانۀ راهنمایانه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آکنده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بخش را حتی گزیدن نمونه‌هایی بس دشوار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تفسیر بخشی از آیۀ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بقره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الَّذینَ یَأْکُلُونَ الرِّبا لا یَقُومُونَ إلّا کَما یَقُومُ الَّذی یَتَخَبَّطُهُ الشَّیْطانُ مِنَ الْمَسِّ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ظاهری آیه را رقم زده‌اند و به ابعاد فقهی آن اشاره کرده‌اند، آنگاه به دیدگاه مفسران اشاره کرده‌اند و سپس خودْ توضیح و تبیین بیدارگری آورده‌اند تا آیه را به نقد حال همین دنیا مرتبط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معنای آیه طبق گفتۀ اکثر مفسران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در دنیا ربا می‌خورند، در روز قیامت پس از نفخ دوم صور از قبرهای خود برنمی‌خیزند، مگر همانند برخاستن کسی که شیطان او را با مس و برخورد مضر خود مثل دیوانه‌ها کرده و حرکات و رفتار او را از حال اعتدال بیرون آورده باشد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لکن بهتر است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قیام، قیام شخص در دنیا به امور خود و حرکت او در ادامۀ زندگی خویش است، و معنای آیه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w:t>
      </w:r>
    </w:p>
    <w:p>
      <w:pPr>
        <w:pStyle w:val="BookText"/>
        <w:rPr/>
      </w:pPr>
      <w:r>
        <w:rPr>
          <w:rFonts w:ascii="IRNazanin" w:hAnsi="IRNazanin" w:eastAsia="IRNazanin"/>
          <w:color w:val="111111"/>
          <w:sz w:val="28"/>
          <w:sz w:val="28"/>
          <w:szCs w:val="28"/>
          <w:rtl w:val="true"/>
          <w:lang w:bidi="fa-IR"/>
        </w:rPr>
        <w:t>ربا می‌خورند، در تدبیر امور و کیفیت روابط با جامعۀ خود قیام و رفتاری ندارند، مگر مانند کسی که شیطان او را به وسیلۀ برخورد مضر خود مخبط نموده است؛ یعنی حرکت و رفتارش را از حد اعتدال بیرون کرده و دیوانه‌وار نموده؛ زیرا رباخواران سبب فقر و احتیاج و نیاز اکثریت جامعه، و تراکم ثروت در نزد خویش می‌گردند و هریک عده‌ای را استثمار می‌کند، از ضروریات زندگی او می‌کاهد و بر رفاه عیش و اشرافیت زندگی خود می‌افزاید و این نحو زندگی تخبط و بی‌عدالتی است و همواره در فزونی تصاعدی است و آن‌ها از این مطلب آگاه و به آن خشنودند و این تخبط را به اراده و اختیار خود انجام می‌دهند</w:t>
      </w:r>
      <w:r>
        <w:rPr>
          <w:rFonts w:eastAsia="IRNazanin" w:cs="IRNazanin"/>
          <w:color w:val="111111"/>
          <w:sz w:val="28"/>
          <w:szCs w:val="28"/>
          <w:rtl w:val="true"/>
          <w:lang w:bidi="fa-IR"/>
        </w:rPr>
        <w:t>.</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 xml:space="preserve">تفسیر روان،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304</w:t>
      </w:r>
      <w:r>
        <w:rPr>
          <w:rFonts w:eastAsia="IRNazanin" w:cs="IRNazanin"/>
          <w:color w:val="111111"/>
          <w:sz w:val="28"/>
          <w:szCs w:val="28"/>
          <w:rtl w:val="true"/>
          <w:lang w:bidi="fa-IR"/>
        </w:rPr>
        <w:t>-</w:t>
      </w:r>
      <w:r>
        <w:rPr>
          <w:rFonts w:eastAsia="IRNazanin" w:cs="IRNazanin"/>
          <w:color w:val="111111"/>
          <w:sz w:val="28"/>
          <w:szCs w:val="28"/>
          <w:lang w:bidi="fa-IR"/>
        </w:rPr>
        <w:t>305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بدین‌سان و پس از آنکه از نقش تخریبی و ویرانگر ربا در جامعه سخن گفته‌اند و نشان داده‌اند که رباخواری چگونه انسان‌ها را به حرکت‌های جنون‌آمیز اقتصادی و اجتماعی مبتلا می‌کند، و روابط جامعه را به هم می‌ریزد و کرامت و انسانیت را تباه می‌سازد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ذیل آیۀ </w:t>
      </w:r>
      <w:r>
        <w:rPr>
          <w:rFonts w:eastAsia="IRNazanin" w:cs="IRNazanin"/>
          <w:color w:val="111111"/>
          <w:sz w:val="28"/>
          <w:szCs w:val="28"/>
          <w:lang w:bidi="fa-IR"/>
        </w:rPr>
        <w:t>276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یَمْحَقُ اللّهُ الرِّبا وَ یُرْبی الصَّدَقاتِ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مقایسۀ نقش‌آفرینی اجتماعی، اخلاقی، انسانی، فردی و جمعی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ربا و صدقات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گفته، هدایت‌گرانه و تنبه‌آفرین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یَمْحَقُ اللّهُ الرِّبا وَ یُرْبی الصَّدَقاتِ</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ربا را به‌تدریج نابود می‌کند و صدقات را رشد و نمو می‌بخشد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هریک از ربا و صدقات، غالباً میان طبقات بالا و ثروتمندان و طبقات پایین و مستمندان عملی می‌شود و همان گونه که صدقات، آثار نیکی در میان طبقات مختلف جامعه می‌گذارد و سبب ظهور محبت و تحریف عواطف، حسن تفاهم در زندگی، نزدیک دل‌ها به یکدیگر و حصول نوعی از امنیت نسبت به اموال و نفوس دهندگان و گیرندگان و قلت اختلاس و سرقت فساد می‌شود و بی‌تردید همۀ این امور به‌تدریج به</w:t>
      </w:r>
    </w:p>
    <w:p>
      <w:pPr>
        <w:pStyle w:val="BookText"/>
        <w:rPr/>
      </w:pPr>
      <w:r>
        <w:rPr>
          <w:rFonts w:ascii="IRNazanin" w:hAnsi="IRNazanin" w:eastAsia="IRNazanin"/>
          <w:color w:val="111111"/>
          <w:sz w:val="28"/>
          <w:sz w:val="28"/>
          <w:szCs w:val="28"/>
          <w:rtl w:val="true"/>
          <w:lang w:bidi="fa-IR"/>
        </w:rPr>
        <w:t>رشد و نمو اموال مجتمع یاری می‌رساند، ربا هم در مقابل آن قرار گرفته، سبب ظهور قساوت در دل رباخواران، بغض و عداوت و سوءظن مستمندان و ربادهندگان، سلب امنیت مالی محیط و جرأت مردم به تعدی و تجاوز و سرقت و اتلاف می‌شود و تفرق و جدایی میان طبقات، بیشتر می‌گردد و درهای اختلاف و نزاع، باز و منجر به اتلاف نفوس و اموال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علاوه بر این‌ها شمول رحمت حق و نزول نعمت، کمتر شده و برکت از اموال برداشته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آثار دربارۀ صدقات و جامعه و ربا و مجتمع، در طول تاریخ تجربه شده و قابل انکار نیست، علاوه بر انفجارها و انقلاب‌های‌عجیب و بزرگ و خونین که در صفحات تاریخ مندرج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لا یُحِبُّ کُلَّ کَفّارٍ أثیمٍ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هیچ اصرارکننده بر کفر یا کفران نعمت و فرورفته در گناهی را دوست ندارد</w:t>
      </w:r>
      <w:r>
        <w:rPr>
          <w:rFonts w:eastAsia="IRNazanin" w:cs="IRNazanin"/>
          <w:color w:val="111111"/>
          <w:sz w:val="28"/>
          <w:szCs w:val="28"/>
          <w:rtl w:val="true"/>
          <w:lang w:bidi="fa-IR"/>
        </w:rPr>
        <w:t>.</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 xml:space="preserve">تفسیر روان،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306</w:t>
      </w:r>
      <w:r>
        <w:rPr>
          <w:rFonts w:eastAsia="IRNazanin" w:cs="IRNazanin"/>
          <w:color w:val="111111"/>
          <w:sz w:val="28"/>
          <w:szCs w:val="28"/>
          <w:rtl w:val="true"/>
          <w:lang w:bidi="fa-IR"/>
        </w:rPr>
        <w:t>-</w:t>
      </w:r>
      <w:r>
        <w:rPr>
          <w:rFonts w:eastAsia="IRNazanin" w:cs="IRNazanin"/>
          <w:color w:val="111111"/>
          <w:sz w:val="28"/>
          <w:szCs w:val="28"/>
          <w:lang w:bidi="fa-IR"/>
        </w:rPr>
        <w:t>307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این‌گونه تفسیرها و تبیین‌های زندگی‌ساز، دیدگاه‌گشا، جهل‌زدا و هدایتگر به 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صالح</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چنان‌که پیش‌تر آوردم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گسترۀ صفحات زرین تفسیر را برگرفته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اندک‌نمونه‌های دیگری را بیاورم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تفسیر آیۀ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سورۀ نور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الَّذینَ کَفَرُوا أعْمالُهُمْ کَسَرابٍ بِقیعَةٍ یَحْسَبُهُ الظَّمْآنُ ماءً حَتّی إذا جاءَهُ لَمْ یَجِدْهُ شَیْئاً وَ وَجَدَ اللّهَ عِنْدَهُ فَوَفّاهُ حِسابَهُ وَ اللّهُ سَریعُ الْحِسابِ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ابتدا توضیح دربارۀ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تشبیه‌های آیه و چگونگی آن را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آنگاه در ذیل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معنای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و تفصیل هدایتگرانه و هوشمندانۀ خود را بدین‌سان رقم زده‌اند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معنای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کسانی که کفر ورزیدند، عمل‌های خیر آن‌ها همانند سراب و آب‌نما در صحرایی وسیع و هموار و بی‌آب و علف است که انسان تشنه آن را از دور آب می‌پندارد تا وقتی که بدان‌جا رسد آن را چیزی نمی‌یابد؛ یعنی</w:t>
      </w:r>
    </w:p>
    <w:p>
      <w:pPr>
        <w:pStyle w:val="BookText"/>
        <w:rPr/>
      </w:pPr>
      <w:r>
        <w:rPr>
          <w:rFonts w:ascii="IRNazanin" w:hAnsi="IRNazanin" w:eastAsia="IRNazanin"/>
          <w:color w:val="111111"/>
          <w:sz w:val="28"/>
          <w:sz w:val="28"/>
          <w:szCs w:val="28"/>
          <w:rtl w:val="true"/>
          <w:lang w:bidi="fa-IR"/>
        </w:rPr>
        <w:t xml:space="preserve">می‌بیند که هیچ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این است که عمل‌های خیر آن‌ها از انفاقات و خیرات و ابتکارات و خدمات و غیره که گمان می‌کنند همه صحیح و مستوجب پاداش است، وقت مرگ معلوم می‌شود همه باطل و بیهوده بوده؛ زیرا شرط پاداش عمل‌های‌خیر در آخرتْ ایمان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همان‌جا خدا را در نزد خویش</w:t>
      </w:r>
      <w:r>
        <w:rPr>
          <w:rStyle w:val="FootnoteAnchor"/>
          <w:rtl w:val="true"/>
        </w:rPr>
        <w:footnoteReference w:id="2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نزد عملش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می‌یابد، پس حسابش را به تمام پرداخت می‌کند، بدین معنا که حساب حسنات و سیئات را بررسی کرده، تسویه حساب می‌کند، نسبت به سیئات محکوم به عذاب و نسبت به حسنات محکوم به حرمان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زودرس به حساب است؛ زیرا اعمال سال‌های متمادی را در لحظه‌ای ارائه می‌دهد و برای همه کیفر تعیین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در تفسیر آیۀ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مؤمنون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الَّذینَ هُمْ لأَِماناتِهِمْ وَ عَهْدِهِمْ راعُونَ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تفسیری دقیق و توسعۀ معنایی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پیام هدایتگرانۀ آیات الاهی را بدین سان فراز آورده‌اند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آن‌ها کسانی هستند که امانت‌ها و عهدهای خود را مراعات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امانت‌های مالی است که مردم به یکدیگر می‌سپارند و مراد از عهد، مطلق تعهد و پیمان و قرارداد است که در شرع اسلام به سه قسم تقسیم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 تعهد و پیمان انسان با خودش، مانند عهد و قسم و نذر به اصطلاح فقهی که مثلاً به وسیلۀ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عاهَدتُ اللهَ أن أصومَ غَداً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أقسَمت أن أصومَ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للهِ عَلَی أن أصومَ غداً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روزۀ فردا را بر خود واجب می‌کند، هرچند این وجوب با امضای خداوند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تعهد و پیمان‌های انسان‌ها میان یکدیگر، مثل معاملاتی که انجام می‌دهند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سوم، تعهد و پیمان انسان‌ها با خدای خود، بدین معنا که پس از آنکه خداوند دین و شریعت را به جامعۀ بشری عرضه داشت، هر انسانی که آن</w:t>
      </w:r>
      <w:bookmarkStart w:id="76" w:name="pg14517_146154"/>
    </w:p>
    <w:p>
      <w:pPr>
        <w:pStyle w:val="BookText"/>
        <w:rPr/>
      </w:pPr>
      <w:bookmarkEnd w:id="76"/>
      <w:r>
        <w:rPr>
          <w:rFonts w:ascii="IRNazanin" w:hAnsi="IRNazanin" w:eastAsia="IRNazanin"/>
          <w:color w:val="111111"/>
          <w:sz w:val="28"/>
          <w:sz w:val="28"/>
          <w:szCs w:val="28"/>
          <w:rtl w:val="true"/>
          <w:lang w:bidi="fa-IR"/>
        </w:rPr>
        <w:t>را پذیرفت، در واقع متعهد شد و با خدای خود پیمان بست که یکایک احکام آن را عملی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مواظبت مؤمن بر انجام واجبات و ترک محرمات، رعایت پیمان‌های خود با خداوند است</w:t>
      </w:r>
      <w:r>
        <w:rPr>
          <w:rFonts w:eastAsia="IRNazanin" w:cs="IRNazanin"/>
          <w:color w:val="111111"/>
          <w:sz w:val="28"/>
          <w:szCs w:val="28"/>
          <w:rtl w:val="true"/>
          <w:lang w:bidi="fa-IR"/>
        </w:rPr>
        <w:t>.</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 xml:space="preserve">تفسیر روان،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229</w:t>
      </w:r>
      <w:r>
        <w:rPr>
          <w:rFonts w:eastAsia="IRNazanin" w:cs="IRNazanin"/>
          <w:color w:val="111111"/>
          <w:sz w:val="28"/>
          <w:szCs w:val="28"/>
          <w:rtl w:val="true"/>
          <w:lang w:bidi="fa-IR"/>
        </w:rPr>
        <w:t>.</w:t>
      </w:r>
    </w:p>
    <w:p>
      <w:pPr>
        <w:pStyle w:val="Heading3"/>
        <w:numPr>
          <w:ilvl w:val="2"/>
          <w:numId w:val="1"/>
        </w:numPr>
        <w:rPr/>
      </w:pPr>
      <w:bookmarkStart w:id="77" w:name="__RefHeading___Toc39656_1878427129"/>
      <w:bookmarkStart w:id="78" w:name="_Toc30"/>
      <w:bookmarkEnd w:id="77"/>
      <w:r>
        <w:rPr>
          <w:rtl w:val="true"/>
        </w:rPr>
        <w:t>توسعۀ معنایی</w:t>
      </w:r>
      <w:bookmarkEnd w:id="78"/>
    </w:p>
    <w:p>
      <w:pPr>
        <w:pStyle w:val="BookText"/>
        <w:rPr/>
      </w:pPr>
      <w:r>
        <w:rPr>
          <w:rFonts w:ascii="IRNazanin" w:hAnsi="IRNazanin" w:eastAsia="IRNazanin"/>
          <w:color w:val="111111"/>
          <w:sz w:val="28"/>
          <w:sz w:val="28"/>
          <w:szCs w:val="28"/>
          <w:rtl w:val="true"/>
          <w:lang w:bidi="fa-IR"/>
        </w:rPr>
        <w:t xml:space="preserve">قرآن کریم در آیاتی چند، به‌صراحتْ نزول قرآن کریم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زبان 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إنَّهُ لَتَنْزیلُ رَبِّ الْعالَمینَ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بِلِسانٍ عَرَبِیِّ مُبینٍ</w:t>
      </w:r>
      <w:r>
        <w:rPr>
          <w:rFonts w:eastAsia="Amiri" w:cs="Amiri" w:ascii="Amiri" w:hAnsi="Amiri"/>
          <w:color w:val="111111"/>
          <w:sz w:val="28"/>
          <w:szCs w:val="28"/>
          <w:rtl w:val="true"/>
          <w:lang w:bidi="ar-SA"/>
        </w:rPr>
        <w:t>»</w:t>
      </w:r>
      <w:r>
        <w:rPr>
          <w:rStyle w:val="FootnoteAnchor"/>
          <w:rtl w:val="true"/>
        </w:rPr>
        <w:footnoteReference w:id="24"/>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أنْزَلْناهُ قُرْآناً عَرَبِیّاً لَعَلَّکُمْ تَعْقِلُونَ</w:t>
      </w:r>
      <w:r>
        <w:rPr>
          <w:rFonts w:eastAsia="Amiri" w:cs="Amiri" w:ascii="Amiri" w:hAnsi="Amiri"/>
          <w:color w:val="111111"/>
          <w:sz w:val="28"/>
          <w:szCs w:val="28"/>
          <w:rtl w:val="true"/>
          <w:lang w:bidi="ar-SA"/>
        </w:rPr>
        <w:t>»</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 xml:space="preserve">بدین‌سان در اینکه قرآن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زبان 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سخنی نیست، بحث و گفتگو در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زبان 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هنگام نزولْ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لهجه‌های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گونه‌گونی داشته است، نزول قرآن به کدامین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مجال تفصیل مقال در این زمینه نیست، اما از این اشاره هم نتوان تن زد که گویا استوارترین دیدگاه، نزول قرآن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لهجۀ معیار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r>
        <w:rPr>
          <w:rStyle w:val="FootnoteAnchor"/>
          <w:rtl w:val="true"/>
        </w:rPr>
        <w:footnoteReference w:id="26"/>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هرحال قرآن کریم با زبان و ادبیات آن روزگاران آموزه‌های الاهی را عرضه کرده است، اما باید تأکید کرد که در قرآن کریم واژه‌ها 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توسعۀ معنایی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 کرده‌اند و در مواردی گسترۀ معنایی استعمال‌شده در ادب عربی تضییق پیدا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توسعۀ معنایی، در تفسیر جایگاهی بلند دارد، که اگر مفسر با دقت و تأمل بتواند بدان دست یازد، در برنمودن معارف قرآن و آموزه‌های کتاب مبین توفیقی شگرف خواهد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توسعۀ معنایی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جمله بحث‌های مهم حوزۀ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زمینه‌ها و بسترهای گونه‌گونی دارد</w:t>
      </w:r>
      <w:r>
        <w:rPr>
          <w:rFonts w:eastAsia="IRNazanin" w:cs="IRNazanin"/>
          <w:color w:val="111111"/>
          <w:sz w:val="28"/>
          <w:szCs w:val="28"/>
          <w:rtl w:val="true"/>
          <w:lang w:bidi="fa-IR"/>
        </w:rPr>
        <w:t>.</w:t>
      </w:r>
      <w:r>
        <w:rPr>
          <w:rStyle w:val="FootnoteAnchor"/>
          <w:rtl w:val="true"/>
        </w:rPr>
        <w:footnoteReference w:id="27"/>
      </w:r>
      <w:r>
        <w:rPr>
          <w:rFonts w:ascii="IRNazanin" w:hAnsi="IRNazanin" w:eastAsia="IRNazanin"/>
          <w:color w:val="111111"/>
          <w:sz w:val="28"/>
          <w:sz w:val="28"/>
          <w:szCs w:val="28"/>
          <w:rtl w:val="true"/>
          <w:lang w:bidi="fa-IR"/>
        </w:rPr>
        <w:t>آیت‌اللّه مشکینی از این ابزار تفسیر، با</w:t>
      </w:r>
    </w:p>
    <w:p>
      <w:pPr>
        <w:pStyle w:val="BookText"/>
        <w:rPr/>
      </w:pPr>
      <w:r>
        <w:rPr>
          <w:rFonts w:ascii="IRNazanin" w:hAnsi="IRNazanin" w:eastAsia="IRNazanin"/>
          <w:color w:val="111111"/>
          <w:sz w:val="28"/>
          <w:sz w:val="28"/>
          <w:szCs w:val="28"/>
          <w:rtl w:val="true"/>
          <w:lang w:bidi="fa-IR"/>
        </w:rPr>
        <w:t>تأمل و دقت بهره برده‌اند و با توجه به آهنگ کلی تفسیر روان که برنمودن جنبه‌های هدایتیِ آیات الاهی است، حقایق بیدارگری عرضه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تفسیر آیۀ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سورۀ بقره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یُؤْمِنُونَ بِالْغَیْبِ وَ یُقیمُونَ الصَّلاةَ وَ مِمّا رَزَقْناهُمْ یُنْفِقُونَ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گسترانده و باور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امور خاص را بلاوجه تلقی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بنگرید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آنکه به غیب ایمان می‌آورند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حسب لغت، هر چیزی است که از حواس ظاهری یا باطنی انسان پنهان است و مفاد غیب به این معنا گسترده و غیرقابل الزام، و تقیید آن به اموری خاص دارای ابهام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ظاهر آن است که مراد، هر امر پنهانی است که شرع یا عقلْ دلالت بر وجوب اذعان به آن دارد؛ مانند ذات اقدس خداوند، صفات جلال و جمال او، فرشتگان عالم برزخ، و عالم قیامت و حوادث آن مثل سؤال و حساب و نامۀ عمل و قضاوت و سنجش اعمال و شفاعت و بهشت و جهنم و غیر این‌ها؛ و نیز غیب شامل است بر همۀ آنچه در کتاب خدا و کلمات قطعی معصومین به آن خبر داده شده، از خصوصیات فرشتگان و وجود اجنه و شیاطین و اوضاع آسمان‌ها و ملأ اعلا و ارواح برزخی و سرگذشت پیامبران و امم گذشته و آنچه خبر داده‌اند از ملاحم و احوال آیندگان و ظهور حضرت بقیة‌اللّه ارواحنا فداه و علائم قطعی آن</w:t>
      </w:r>
      <w:r>
        <w:rPr>
          <w:rFonts w:eastAsia="IRNazanin" w:cs="IRNazanin"/>
          <w:color w:val="111111"/>
          <w:sz w:val="28"/>
          <w:szCs w:val="28"/>
          <w:rtl w:val="true"/>
          <w:lang w:bidi="fa-IR"/>
        </w:rPr>
        <w:t>.</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 xml:space="preserve">تفسیر روان،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است تفسیر و تبیین ایشان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رزق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تفسیر آن نوشته‌اند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 آنکه از آنچه روزیِ آن‌ها کرده‌ایم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جان و مال و اولادْ در راه خدا انفاق می‌کنند؛ مانند اخراج حقوق واجبه و مستحبه، ندا کردن نفس در جهاد و غیره، استفاده از مقام و جاه در قضای حوائج مردم، انجام کارهای خدماتی، تعلیم علوم و فنون و اخلاق اسلامی و نظایر آن‌ها</w:t>
      </w:r>
      <w:r>
        <w:rPr>
          <w:rFonts w:eastAsia="IRNazanin" w:cs="IRNazanin"/>
          <w:color w:val="111111"/>
          <w:sz w:val="28"/>
          <w:szCs w:val="28"/>
          <w:rtl w:val="true"/>
          <w:lang w:bidi="fa-IR"/>
        </w:rPr>
        <w:t>».</w:t>
      </w:r>
      <w:r>
        <w:rPr>
          <w:rStyle w:val="FootnoteAnchor"/>
          <w:rtl w:val="true"/>
        </w:rPr>
        <w:footnoteReference w:id="29"/>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تفسیر آیۀ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سورۀ انفال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تَنازَعُوا فَتَفْشَلُوا وَ تَذْهَبَ ریحُکُمْ وَ اصْبِرُوا إنَّ اللّهَ مَعَ</w:t>
      </w:r>
    </w:p>
    <w:p>
      <w:pPr>
        <w:pStyle w:val="BookText"/>
        <w:rPr/>
      </w:pPr>
      <w:r>
        <w:rPr>
          <w:rFonts w:ascii="IRNazanin" w:hAnsi="IRNazanin" w:eastAsia="IRNazanin"/>
          <w:color w:val="111111"/>
          <w:sz w:val="28"/>
          <w:sz w:val="28"/>
          <w:szCs w:val="28"/>
          <w:rtl w:val="true"/>
          <w:lang w:bidi="fa-IR"/>
        </w:rPr>
        <w:t>الصّابِرینَ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توسعه در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فراتر دانستن آن از موردی که نزاع جنگی باشد، تفسیری بس لطیف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تذهب ریحکم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هرگز نزاع و جدال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نهی از مطلق اختلاف و نزاع میان مسلمین است خاصه در مقام جنگ و ایام درگیری، هرچند به گفتار و جدال لفظی باشد، چنان‌که در جنگ بدر دربارۀ غنائم و اسرای جنگی، و در غزوۀ احد راجع به بیرون شدن از شهر مدینه اتفاق افتاد، که اگر چنین کنید ضعیف و ناتوان می‌شوید و بادتان نمی‌وزد، کنایه از اینکه حکومتتان سقوط می‌کند و مهابت و شوکتتان زایل می‌گردد و بیرق استقلالتان برافراشته نمی‌شود و باد به پرچمتان نمی‌خورد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صبر کنید، که البته خداوند با صابران است</w:t>
      </w:r>
      <w:r>
        <w:rPr>
          <w:rFonts w:eastAsia="IRNazanin" w:cs="IRNazanin"/>
          <w:color w:val="111111"/>
          <w:sz w:val="28"/>
          <w:szCs w:val="28"/>
          <w:rtl w:val="true"/>
          <w:lang w:bidi="fa-IR"/>
        </w:rPr>
        <w:t>.</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 xml:space="preserve">تفسیر روان،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چنین است تفسیر مفسر ارجمند ما از آیۀ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سورۀ نور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الْخَبیثاتُ لِلْخَبیثینَ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ابتداء آیه را در سیاق و با توجه به فرجام آن تفسیر می‌کنند و آنگاه با توسعۀ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تفسیری زنده، پویا و هدایتگر از این آیات الاهی به دست می‌دهند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الْخَبیثاتُ لِلْخَبیثینَ وَ الْخَبیثُونَ لِلْخَبیثاتِ وَ الطَّیِّباتُ لِلطَّیِّبینَ وَ الطَّیِّبُونَ لِلطَّیِّباتِ اولئِکَ مُبَرَّؤُنَ مِمّا یَقُولُونَ لَهُمْ مَغْفِرَةٌ وَ رِزْقٌ کَریمٌ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آخر آیه اقتضا می‌کند که این آیه نیز مربوط به تهمت زنا باشد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معنای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زن‌های پلید و زناکار از آنِ مردان پلید و زناکار، و مردان پلید و زناکار از آنِ زن‌های پلید و زناکارند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طبق اقتضای اعمال و جاذبۀ ناریت در اهل نار، زن‌های آلوده به سوی مردان آلوده، و مردان آلوده به سوی زن‌های آلوده 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به اقتضای عمل طیب و پسندیده و جاذبۀ نوریت در اهل ایمان، زن‌های پاکیزه و پاکدامن به سراغ مردان پاکیزه، و مردان پاکیزه به سراغ زن‌های پاکدامن 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بری هستند از آنچه دیگران دربارۀ آنان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زن‌ها و مردهای پاک، از تهمت عمل زنا محکوم به برائت‌اند و هیچ‌گاه قذف آن‌ها جایز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خبیثات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سخنان زشت و خبیث است، از قبیل دروغ و فحش و هجر و هرزه‌گویی و استهزای نیکان و شهادت کذب و امر به منکر و نهی از معروف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کلمات پلیدْ سزاوار انسان‌های خبیث‌النفس است و انسان‌های خبیث، دارای سخنان خبیث‌اند و سخنان پاکیزه از قبیل ذکر و دعا و قرآن و هدایت جاهلان و پند و اندرز، از آنِ نیکان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ممکن است مراد از خبیثات، سیئات و گناهان باشد که آن‌ها را نفوس خبیثه می‌گیرند و پیاده می‌کنند و مراد از طیبات، اعمال خیر باشد که آن‌ها را نیکان می‌جویند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آن‌ها یعنی برای طیبات و طیبین، معرفت و آمرزش و روزی پرارج و گرانمایه است در دنیا به صورت محدود و موقت و طبق اقتضای حکمت؛ و در آخرت به صورت بی‌حد و حصر و ابدی</w:t>
      </w:r>
      <w:r>
        <w:rPr>
          <w:rFonts w:eastAsia="IRNazanin" w:cs="IRNazanin"/>
          <w:color w:val="111111"/>
          <w:sz w:val="28"/>
          <w:szCs w:val="28"/>
          <w:rtl w:val="true"/>
          <w:lang w:bidi="fa-IR"/>
        </w:rPr>
        <w:t>.</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 xml:space="preserve">تفسیر روان،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284</w:t>
      </w:r>
      <w:r>
        <w:rPr>
          <w:rFonts w:eastAsia="IRNazanin" w:cs="IRNazanin"/>
          <w:color w:val="111111"/>
          <w:sz w:val="28"/>
          <w:szCs w:val="28"/>
          <w:rtl w:val="true"/>
          <w:lang w:bidi="fa-IR"/>
        </w:rPr>
        <w:t>-</w:t>
      </w:r>
      <w:r>
        <w:rPr>
          <w:rFonts w:eastAsia="IRNazanin" w:cs="IRNazanin"/>
          <w:color w:val="111111"/>
          <w:sz w:val="28"/>
          <w:szCs w:val="28"/>
          <w:lang w:bidi="fa-IR"/>
        </w:rPr>
        <w:t>285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اکنون بیفزایم که این توسعۀ معنایی در تفسیر آیات، گاه با توجه به روایات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نمونه را آن بزرگوار در تفسیر بخشی‌از آیۀ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مائده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مَنْ أحْیاها فَکَأنَّما أحْیا النّاسَ جَمیعاً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تأمل و دقت نوشته‌اند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و هر کس نفسی را زنده نماید، پس چنان است که گویی همۀ مردم را زنده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زنده کردن حقیقی به دمیدن روح به کالبد نیست، که احدی را چنین قدرتی نباشد، چنان‌که ظاهراً مرادْ زنده کردن به توالد و تناسل هم نیست، بلکه نظیر نجات دادن انسانی از غرق شدن در آب، سوختن در آتش، مرض مهلک و سایر موارد مهلکۀ قطعی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طبق روایات، وارد کردن مشرک و کافر و منافق به دین حقیقی، از مصادیق این آیه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ممکن است توبه دادن هر مبتلا به کبایر اخلاقی و عملی نیز از مصادیق خفیف آیه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مساوات هم در اینجا مثل شق سابق است</w:t>
      </w:r>
      <w:r>
        <w:rPr>
          <w:rFonts w:eastAsia="IRNazanin" w:cs="IRNazanin"/>
          <w:color w:val="111111"/>
          <w:sz w:val="28"/>
          <w:szCs w:val="28"/>
          <w:rtl w:val="true"/>
          <w:lang w:bidi="fa-IR"/>
        </w:rPr>
        <w:t>.</w:t>
      </w:r>
      <w:r>
        <w:rPr>
          <w:rStyle w:val="FootnoteAnchor"/>
          <w:rtl w:val="true"/>
        </w:rPr>
        <w:footnoteReference w:id="32"/>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موارد در تفسیر روان بسیار است و همه با دقت و با توجه به فضای معنایی آیات و آهنگ کلی و هدایتگرانۀ قرآن کریم</w:t>
      </w:r>
      <w:r>
        <w:rPr>
          <w:rFonts w:eastAsia="IRNazanin" w:cs="IRNazanin"/>
          <w:color w:val="111111"/>
          <w:sz w:val="28"/>
          <w:szCs w:val="28"/>
          <w:rtl w:val="true"/>
          <w:lang w:bidi="fa-IR"/>
        </w:rPr>
        <w:t>.</w:t>
      </w:r>
      <w:bookmarkStart w:id="79" w:name="pg14517_146158"/>
    </w:p>
    <w:p>
      <w:pPr>
        <w:pStyle w:val="Heading3"/>
        <w:numPr>
          <w:ilvl w:val="2"/>
          <w:numId w:val="1"/>
        </w:numPr>
        <w:rPr/>
      </w:pPr>
      <w:bookmarkStart w:id="80" w:name="__RefHeading___Toc39658_1878427129"/>
      <w:bookmarkStart w:id="81" w:name="_Toc31"/>
      <w:bookmarkEnd w:id="79"/>
      <w:bookmarkEnd w:id="80"/>
      <w:r>
        <w:rPr>
          <w:rtl w:val="true"/>
        </w:rPr>
        <w:t>پیوند پایان آیات با جملات آیه</w:t>
      </w:r>
      <w:bookmarkEnd w:id="81"/>
    </w:p>
    <w:p>
      <w:pPr>
        <w:pStyle w:val="BookText"/>
        <w:rPr/>
      </w:pPr>
      <w:r>
        <w:rPr>
          <w:rFonts w:ascii="IRNazanin" w:hAnsi="IRNazanin" w:eastAsia="IRNazanin"/>
          <w:color w:val="111111"/>
          <w:sz w:val="28"/>
          <w:sz w:val="28"/>
          <w:szCs w:val="28"/>
          <w:rtl w:val="true"/>
          <w:lang w:bidi="fa-IR"/>
        </w:rPr>
        <w:t xml:space="preserve">از جمله لطایف آیات الاهی، پیوند معنایی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واژه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صفات الاهی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با مجموعۀ جملات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مفسران بزرگی با توجه به این حقیقت والا، حقایق بسیار بلندی را عرضه کرده‌اند و در نقد آراء به توفیقات سترگی دست یافته‌اند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را که آوردم، زاویه‌ای از بحث بسیار مهم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تناسب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توجه بدان در تفسیر قرآن نقش‌آفرینی مهمی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آیت‌اللّه مشکینی از این زاویه، فراوان به آیات نگریسته و حقایق مهمی عرضه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تفسیر آیۀ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بقره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الَّذینَ آمَنُوا کُتِبَ عَلَیْکُمُ الصِّیامُ کَما کُتِبَ عَلَی الَّذینَ مِنْ قَبْلِکُمْ لَعَلَّکُمْ تَتَّقُونَ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یعنی حکمت در تشریع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مصالح کامنۀ دیگر این است که روح شما تقوی و نقش شما پروا یابد و شما ملکۀ پرهیز از گناه و مشتهیات نفسانی پیدا کنید</w:t>
      </w:r>
      <w:r>
        <w:rPr>
          <w:rFonts w:eastAsia="IRNazanin" w:cs="IRNazanin"/>
          <w:color w:val="111111"/>
          <w:sz w:val="28"/>
          <w:szCs w:val="28"/>
          <w:rtl w:val="true"/>
          <w:lang w:bidi="fa-IR"/>
        </w:rPr>
        <w:t>».</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 xml:space="preserve">تفسیر روان،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193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در روزه به‌واقع انسان دوری از گناه و آلوده نشدن به زشتی‌ها و معاصی را تمرین می‌کند و اندک‌اندک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ملکۀ پرهیز از 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وجود او شکل می‌گیرد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رقم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مفسر عالی‌قدر ما در تفسیر آیۀ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انعام آیه را به‌تفصیل تفسیر می‌کند و نکته‌های تأمل برانگیزی را با توجه به جملات آیات عرضه می‌کنند و آنگاه در تفسیر صفات الاهی پایانی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رَبَّکَ حَکیمٌ عَلیمٌ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صفات الاهی را به جملات آیه پیوند زده، می‌نویسد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گویی این جمله در مقام تعلیل خلود در آتش است،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بی‌تردید پروردگار تو دارای حکمت و دانش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غرض آنکه مقتضای علم و حکمت بالغۀ او این است که کسانی را که عمرشان را در دنیا با مخالفت و عناد با خدا گذرانده‌اند، در برابر فرامین او به طغیان برخاسته‌اند، فرستادگانش را تکذیب کرده و با آن‌ها نبرد نموده‌اند و کشته و تبعید نموده‌اند، کتاب‌های آسمانی او را نپذیرفته و استهزا و مسخره کرده‌اند،</w:t>
      </w:r>
    </w:p>
    <w:p>
      <w:pPr>
        <w:pStyle w:val="BookText"/>
        <w:rPr/>
      </w:pPr>
      <w:r>
        <w:rPr>
          <w:rFonts w:ascii="IRNazanin" w:hAnsi="IRNazanin" w:eastAsia="IRNazanin"/>
          <w:color w:val="111111"/>
          <w:sz w:val="28"/>
          <w:sz w:val="28"/>
          <w:szCs w:val="28"/>
          <w:rtl w:val="true"/>
          <w:lang w:bidi="fa-IR"/>
        </w:rPr>
        <w:t>پیوسته مانع از گرایش دیگران شده و فوج‌فوج از گروندگان را از راه بیرون کرده و در حال مرگ نیز با این تصمیم که اگر تا ابد زنده مانند، این رفتارها را ادامه دهند جان سپرده‌اند، وارد دوزخ نماید تا در آنجا جاودان بمانند</w:t>
      </w:r>
      <w:r>
        <w:rPr>
          <w:rFonts w:eastAsia="IRNazanin" w:cs="IRNazanin"/>
          <w:color w:val="111111"/>
          <w:sz w:val="28"/>
          <w:szCs w:val="28"/>
          <w:rtl w:val="true"/>
          <w:lang w:bidi="fa-IR"/>
        </w:rPr>
        <w:t>.</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 xml:space="preserve">تفسیر روان،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455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تفسیر آیۀ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ابراهیم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أرْسَلْنا مِنْ رَسُولٍ إلّا بِلِسانِ قَوْمِهِ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الْعَزیزُ الْحَکیمُ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تفسیر جملات آیات، در تفسیر صفات الاهی پایان آیات نوشته‌اند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عزیز است؛ یعنی مقتدر و تواناست که برای مجامع بشری رسولانی لایق و واجد همۀ شرایط رسالت بفرستد و اهداف خود را در برابر هر قدرتی به وسیلۀ آنان پیاده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حکیم است که همان‌گونه که در تدبیر و تصرف عالم تکوین، غایت دقت و حکمت را لحاظ کرده، در مرحلۀ تشریع نیز همۀ مصالح و مفاسد و علل تشریع را ملحوظ دارد و بالاخره هریک از مطیع و عاصی را بر پایۀ رحمت و حکمت، پاداش و کیفر دهد</w:t>
      </w:r>
      <w:r>
        <w:rPr>
          <w:rFonts w:eastAsia="IRNazanin" w:cs="IRNazanin"/>
          <w:color w:val="111111"/>
          <w:sz w:val="28"/>
          <w:szCs w:val="28"/>
          <w:rtl w:val="true"/>
          <w:lang w:bidi="fa-IR"/>
        </w:rPr>
        <w:t>.</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 xml:space="preserve">در سورۀ مائده از آیۀ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سه آیه چنین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لَمْ یَحْکُمْ بِما أنْزَلَ اللّهُ فَاُولئِکَ هُمُ الْکافِرُونَ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لَمْ یَحْکُمْ بِما أنْزَلَ اللّهُ فَاُولئِکَ هُمُ الظّالِمُونَ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لَمْ یَحْکُمْ بِما أنْزَلَ اللّهُ فَاُولئِکَ هُمُ الْفاسِقُونَ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هر سه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هستند که به ما انزل اللّه حکم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در یک آیه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دیگری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سومی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وصف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آیا پاسخ چرایی در پیوند جمله‌های پایانی با متن آیه‌ها نیست‌؟ آیت‌اللّه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بدان که در این چند آیه به کسانی که طبق ما انزل اللّه حکم نکنند، سه عنوان اطلاق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 ظالم و فاسق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عنوان اولی، دربارۀ علمای تورات، و عنوان سوم در حق علمای انجیل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جهت اختلاف سه عنوان گفته‌شده که علمای یهود از اصول عقاید دینی خود بیرون نرفتند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بلکه به تبع هوای نفس، برخی از احکام فرعی کتاب خود را تحریف کرده،</w:t>
      </w:r>
      <w:bookmarkStart w:id="82" w:name="pg14517_146160"/>
    </w:p>
    <w:p>
      <w:pPr>
        <w:pStyle w:val="BookText"/>
        <w:rPr/>
      </w:pPr>
      <w:bookmarkEnd w:id="82"/>
      <w:r>
        <w:rPr>
          <w:rFonts w:ascii="IRNazanin" w:hAnsi="IRNazanin" w:eastAsia="IRNazanin"/>
          <w:color w:val="111111"/>
          <w:sz w:val="28"/>
          <w:sz w:val="28"/>
          <w:szCs w:val="28"/>
          <w:rtl w:val="true"/>
          <w:lang w:bidi="fa-IR"/>
        </w:rPr>
        <w:t>انکار نمودند، پس به آیات خدا کافر و ظالم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علمای نصارا به‌کلی توحید را تبدیل به شرک و تثلیث ضد توحید نمودند و پولس مسیحی هم شریعت موسی را که شریعت مسیح هم بود به‌کلی کنار زد و دین مسیحیت را دینی مستقل و جدا از دین موسی اعلام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گویی علمای مسیح به کلی از دین حق اصولاً و فروعاً بیرون رفتند و فسق عبارت است از خروج شیء از محل استقرار خویش؛ نظیر خروج میوه از قشر، و مار از پوست</w:t>
      </w:r>
      <w:r>
        <w:rPr>
          <w:rFonts w:eastAsia="IRNazanin" w:cs="IRNazanin"/>
          <w:color w:val="111111"/>
          <w:sz w:val="28"/>
          <w:szCs w:val="28"/>
          <w:rtl w:val="true"/>
          <w:lang w:bidi="fa-IR"/>
        </w:rPr>
        <w:t>.</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 xml:space="preserve">تفسیر روان،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263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تفسیر آیۀ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سورۀ ابراهیم و در توضیح و تبیین پیوند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عزیز حمید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آیه به متن آیه نوشته‌اند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صِراطِ الْعَزیزِ الْحَمیدِ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سوی 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مردم را به سوی راه خداوند مقتدر و ستوده ببری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راه معنوی توحید و شریعت او که عبارت است از اصول عقاید حقه و فضایل نفسانی و فروع عملی آسمانی و علوم و معارف قرآنی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دو صفت عزت و ستوده‌خصال بودن حق در اینجا برای این است که خداوند به اقتضای قدرت و عزتش خواهد توانست این کتاب و شریعت محتوای آن را در مجامع بشری به هرگونه که بخواهد و در هر زمان که اراده نماید پیاده کند، و به اقتضای صفات حمیده‌اش پذیراشدگان کتاب و دین را مشمول توفیق و یاری در دنیا و بهترین پاداش در آخرت قرار دهد</w:t>
      </w:r>
      <w:r>
        <w:rPr>
          <w:rFonts w:eastAsia="IRNazanin" w:cs="IRNazanin"/>
          <w:color w:val="111111"/>
          <w:sz w:val="28"/>
          <w:szCs w:val="28"/>
          <w:rtl w:val="true"/>
          <w:lang w:bidi="fa-IR"/>
        </w:rPr>
        <w:t>.</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این موارد در صفحات زرین تفسیر روان بسیار است، که باید درنگریست و از آن بهره برد</w:t>
      </w:r>
      <w:r>
        <w:rPr>
          <w:rFonts w:eastAsia="IRNazanin" w:cs="IRNazanin"/>
          <w:color w:val="111111"/>
          <w:sz w:val="28"/>
          <w:szCs w:val="28"/>
          <w:rtl w:val="true"/>
          <w:lang w:bidi="fa-IR"/>
        </w:rPr>
        <w:t>.</w:t>
      </w:r>
    </w:p>
    <w:p>
      <w:pPr>
        <w:pStyle w:val="Heading3"/>
        <w:numPr>
          <w:ilvl w:val="2"/>
          <w:numId w:val="1"/>
        </w:numPr>
        <w:rPr/>
      </w:pPr>
      <w:bookmarkStart w:id="83" w:name="__RefHeading___Toc39660_1878427129"/>
      <w:bookmarkStart w:id="84" w:name="_Toc32"/>
      <w:bookmarkEnd w:id="83"/>
      <w:r>
        <w:rPr>
          <w:rtl w:val="true"/>
        </w:rPr>
        <w:t>تفسیر روان و روایات</w:t>
      </w:r>
      <w:bookmarkEnd w:id="84"/>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رسول‌اللّه صلی الله علیه و آله رسالت ابلاغ کلام حق را به عهده دارد، و بر پایۀ آموزه‌های قرآنی، آن سروَر در کنار مسئولیت ابلاغ آیات الاهی، تبیین، تفسیر و برنمایی ابعاد گسترده و</w:t>
      </w:r>
    </w:p>
    <w:p>
      <w:pPr>
        <w:pStyle w:val="BookText"/>
        <w:rPr/>
      </w:pPr>
      <w:r>
        <w:rPr>
          <w:rFonts w:ascii="IRNazanin" w:hAnsi="IRNazanin" w:eastAsia="IRNazanin"/>
          <w:color w:val="111111"/>
          <w:sz w:val="28"/>
          <w:sz w:val="28"/>
          <w:szCs w:val="28"/>
          <w:rtl w:val="true"/>
          <w:lang w:bidi="fa-IR"/>
        </w:rPr>
        <w:t>اعماق جلیل و ژرفای ناپیداکرانۀ قرآن کریم را نیز به عهده داشته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أنْزَلْنا إلَیْکَ الذِّکْرَ لِتُبَیِّنَ لِلنّاسِ ما نُزِّلَ إلَیْهِمْ وَ لَعَلَّهُمْ یَتَفَکَّرُونَ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سوی تو قرآن فرو فرستادیم تا برای مردمان بازنمایی آنچه را که به سویشان فرو فرستاده شده است؛ باشد که بیندیشند</w:t>
      </w:r>
      <w:r>
        <w:rPr>
          <w:rFonts w:eastAsia="IRNazanin" w:cs="IRNazanin"/>
          <w:color w:val="111111"/>
          <w:sz w:val="28"/>
          <w:szCs w:val="28"/>
          <w:rtl w:val="true"/>
          <w:lang w:bidi="fa-IR"/>
        </w:rPr>
        <w:t>.</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 xml:space="preserve">نحل، آیۀ </w:t>
      </w:r>
      <w:r>
        <w:rPr>
          <w:rFonts w:eastAsia="IRNazanin" w:cs="IRNazanin"/>
          <w:color w:val="111111"/>
          <w:sz w:val="28"/>
          <w:szCs w:val="28"/>
          <w:lang w:bidi="fa-IR"/>
        </w:rPr>
        <w:t>44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بدین‌سان رسول‌اللّه صلی الله علیه و آله آیات الاهی بر مردمان فرو می‌خواند، و بر پایۀ نیازها، خواست‌ها، پرسش‌ها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اعماق قرآن را تبیین می‌کرد، و رسالت تبیین، تفسیر و مرجعیت گسترش معارف قرآنی را بر اساس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ثقلین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مستندات بسیاری از امامان معصوم علیهم السلام بر عهده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میراث تفسیر معصومان در جهت تبیین و توضیح آیات الاهی گونه‌گون‌اند؛ و از زاویه‌های مختلف آیات الاهی را تبیین می‌کنند</w:t>
      </w:r>
      <w:r>
        <w:rPr>
          <w:rFonts w:eastAsia="IRNazanin" w:cs="IRNazanin"/>
          <w:color w:val="111111"/>
          <w:sz w:val="28"/>
          <w:szCs w:val="28"/>
          <w:rtl w:val="true"/>
          <w:lang w:bidi="fa-IR"/>
        </w:rPr>
        <w:t>.</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پیش‌تر آوردم که تفسیر آیت‌اللّه مشکینی بر پایۀ تأمل در آیات، فضای آیات قرآنی و الهام از خود قرآن است؛ اما این نکته که از جمله وجوه برجستۀ این تفسیر است بدان معنا نیست که آن بزرگوار در عرضۀ حقایق قرآنی به روایات مراجعه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آیت‌اللّه مشکینی به روایات تفسیر مراجعه می‌کنند؛ مراجعه‌ای هوشمندانه و کارساز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تحلیل این بخش و گونه‌های خود می‌تواند موضوع مقالۀ مستقل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اکنون و در این مجال مواردی را می‌آورم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تفسیر آیۀ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سورۀ اسراء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جَعَلْنا الرُّؤْیا الَّتی أرَیْناکَ إلّا فِتْنَةً لِلنّاسِ وَ الشَّجَرَةَ الْمَلْعُونَةَ فی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مفسر بزرگوار ما آیه را معنا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آن خوابی را که به تو ارائه کردیم، یعنی آن درخت را که در قرآن مورد لعنت قرار گرفته است به تو نشان دادیم، جز فتنه و امتحانی برای مردم نبود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آنگاه برای روشنگری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شجرۀ ملعونه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روایات می‌نویسد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معلوم باد خوابی که در این آیه بدان اشاره شده، مبهم و مجهول است و در</w:t>
      </w:r>
    </w:p>
    <w:p>
      <w:pPr>
        <w:pStyle w:val="BookText"/>
        <w:rPr/>
      </w:pPr>
      <w:r>
        <w:rPr>
          <w:rFonts w:ascii="IRNazanin" w:hAnsi="IRNazanin" w:eastAsia="IRNazanin"/>
          <w:color w:val="111111"/>
          <w:sz w:val="28"/>
          <w:sz w:val="28"/>
          <w:szCs w:val="28"/>
          <w:rtl w:val="true"/>
          <w:lang w:bidi="fa-IR"/>
        </w:rPr>
        <w:t>این کتاب کریم مورد ذکر قرار نگرفته؛ ولکن بر طبق نقل فریقان، مراد همان است که 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خواب دیدم که پس از من بنی‌امیه بر منبر من مسلط می‌شوند و همانند بوزینگان صعود و نزول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مراد از شجرۀ ملعونه در اینجا بی‌تردید همان سلسلۀ بنی‌امیه است که معروف به ظلم و متصف به نفاق بودند و در قرآن کریم ظالمان و منافقان به‌صراحت و مکرراً ذکر و لعن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حاصل آیه این است که این دو امر، یعنی خواب و تعبیر و تأویل خارجی آن، یعنی تشکیل حکومت اموی به نام اسلام، سبب آزمایش مسلمین و جهان بشریت شد که به حکومت آن شجرۀ خبیثه تن در دادند و بدین سبب انحراف در سیر اسلام راستین و تبدل آن به سلطنت جائرانه و حکومت فرعونی ظاهر گردید و حقاً که امتحان بدی دادند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نُخَوِّفُهُمْ فَما یَزیدُهُمْ إلّا طُغْیاناً کَبیرًا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 ما آن‌ها را می‌ترسانیم؛ ولی تخویف و بیم دادن ما جز طغیانی بزرگ بر آنان نمی‌افزاید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مراد این است که خواب خطرناک و هشیاردهندۀ پیامبر اسلام به نام شجرۀ ملعونه، تأثیری در حال گروه معاصر پیامبر نداشت، بلکه اثری معکوس داد، و گویی این آیه به عنوان تسلیت پیامبر است</w:t>
      </w:r>
      <w:r>
        <w:rPr>
          <w:rFonts w:eastAsia="IRNazanin" w:cs="IRNazanin"/>
          <w:color w:val="111111"/>
          <w:sz w:val="28"/>
          <w:szCs w:val="28"/>
          <w:rtl w:val="true"/>
          <w:lang w:bidi="fa-IR"/>
        </w:rPr>
        <w:t>.</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 xml:space="preserve">تفسیر روان،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تفسیر آیۀ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سورۀ رعد و در تبیین جملۀ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عنده علم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را به‌دقت تفسیر می‌کنند، محتوای آیۀ پایانی سوره را به آیۀ اول پیوند می‌زنند و نکته‌ای لطیف را رقم می‌زنند، و آنگاه دیدگاه مفسران را دربارۀ جملۀ یادشده آورده، نقد می‌کنند و سر انجام می‌نویسند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ظاهر حال و تأیید روایات متواتر از اهل بیت وحی علیهم السلام این است 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عنده علم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ابی‌طالب علیه السلام است</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محصل آیه پس از ثبوت شرکت علی علیه السلام و سایر ائمه معصومین علیهم السلام در</w:t>
      </w:r>
    </w:p>
    <w:p>
      <w:pPr>
        <w:pStyle w:val="BookText"/>
        <w:rPr/>
      </w:pPr>
      <w:r>
        <w:rPr>
          <w:rFonts w:ascii="IRNazanin" w:hAnsi="IRNazanin" w:eastAsia="IRNazanin"/>
          <w:color w:val="111111"/>
          <w:sz w:val="28"/>
          <w:sz w:val="28"/>
          <w:szCs w:val="28"/>
          <w:rtl w:val="true"/>
          <w:lang w:bidi="fa-IR"/>
        </w:rPr>
        <w:t>تمام شئون ولایت عامه و امامت امت، این است که پس از شهادت خداوند، گواهی علی علیه السلام امیرالمؤمنین و فرزندان معصومش که علم قرآن بتمامه بلکه همۀ کتاب‌های آسمانی نزد آن‌هاست، در اثبات رسالت پیامبر اسلام کافی است، هرچند کسی نداند و گواهی ندهد</w:t>
      </w:r>
      <w:r>
        <w:rPr>
          <w:rFonts w:eastAsia="IRNazanin" w:cs="IRNazanin"/>
          <w:color w:val="111111"/>
          <w:sz w:val="28"/>
          <w:szCs w:val="28"/>
          <w:rtl w:val="true"/>
          <w:lang w:bidi="fa-IR"/>
        </w:rPr>
        <w:t>.</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 xml:space="preserve">تفسیر روان،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چنین است ذیل آیۀ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مائده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وَلِیُّکُمُ اللّهُ وَ رَسُولُهُ وَ الَّذینَ آمَنُوا الَّذینَ یُقیمُونَ الصَّلاةَ وَ یُؤْتُونَ الزَّکاةَ وَ هُمْ راکِعُونَ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دقت و تأملی ستودنی آیه را تفسیر می‌کنند و از آن ولایت علوی را بهره می‌گیرند و آنگاه می‌نویسند، قراین خارجی نیز از روایات فریقین هست که این دو آیه در شأن علی بن ابی طالب است پس از آن که انگشتری را در حال رکوع به سائل داده نازل شده است</w:t>
      </w:r>
      <w:r>
        <w:rPr>
          <w:rFonts w:eastAsia="IRNazanin" w:cs="IRNazanin"/>
          <w:color w:val="111111"/>
          <w:sz w:val="28"/>
          <w:szCs w:val="28"/>
          <w:rtl w:val="true"/>
          <w:lang w:bidi="fa-IR"/>
        </w:rPr>
        <w:t>.</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 xml:space="preserve">و در ذیل آیۀ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بقره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الصَّفا وَ الْمَرْوَةَ مِنْ شَعائِرِ اللّهِ فَمَنْ حَجَّ الْبَیْتَ أوِ اعْتَمَرَ فَلا جُناحَ عَلَیْهِ أنْ یَطَّوَّفَ بِهِما وَ مَنْ تَطَوَّعَ خَیْرًا فَإنَّ اللّهَ شاکِرٌ عَلیمٌ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را توضیح می‌دهند و تصریح می‌کنند که از ظاهر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 سعی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نمی‌شود، با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سعی از اجزای واجب نفس و شرطی همۀ اقسام واجب و مستحب حج و عمره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با اشاره به روایاتی، پس‌زمینۀ نزول و بیان و تفسیر آیه را می‌آورند، تا به تفسیر صحیح آیه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بنگرید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بدان که ظاهر این آیۀ شریفه، نه استفادۀ وجوب سعی برای حج و عمره می‌شود و نه جزئیت آن، درحالی‌که سعی از اجزای واجب نفسی و شرطی همۀ اقسام واجب و مستحب حج و عمره است؛ لکن مراد از آیه وجوب سعی است و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لحاظ آن است که مسلمین آن روز قریب‌العهد به زمان شرک بودند و کفار چون به حج می‌آمدند بتی در صفا و بتی در مروه نصب می‌کردند و در هر شوطی از سعی، برای تبرک و تقرب، دست به آن‌ها می‌مالیدند و در میان عمل عبادی، کاری شرک‌آمیز می‌کردند؛ ازاین‌رو در ذهن مسلمین حرمت اصل عمل سعی تداعی می‌کرده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bookmarkStart w:id="85" w:name="pg14517_146164"/>
    </w:p>
    <w:p>
      <w:pPr>
        <w:pStyle w:val="BookText"/>
        <w:rPr/>
      </w:pPr>
      <w:bookmarkEnd w:id="85"/>
      <w:r>
        <w:rPr>
          <w:rFonts w:ascii="IRNazanin" w:hAnsi="IRNazanin" w:eastAsia="IRNazanin"/>
          <w:color w:val="111111"/>
          <w:sz w:val="28"/>
          <w:sz w:val="28"/>
          <w:szCs w:val="28"/>
          <w:rtl w:val="true"/>
          <w:lang w:bidi="fa-IR"/>
        </w:rPr>
        <w:t>این آیه بیان شد که سابقۀ وجود بت در این دو مکان و حرمت سعی آن‌چنانی مشرکان، مانع از وجوب سعی شما و حسن و قبول عبادتتان نیست؛ پس حتماً باید طواف نمایید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تَطَوَّعَ خَیْرًا فَإنَّ اللّهَ شاکِرٌ عَلیمٌ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هرکس داوطلبانه عمل خیری انجام دهد، خواه طواف یا غیر آن، و یا آنکه هر کسی سعی بیشتر کند، مانند طواف اضافه، پاداش عمل خود را خواهد گرفت؛ زیرا خداوند سپاس‌گزار و داناست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مازاد را بی‌پاداش نمی‌گذارد و کمّ و کیف عمل و مقدار پاداش دنیوی و اخروی آن را می‌داند</w:t>
      </w:r>
      <w:r>
        <w:rPr>
          <w:rFonts w:eastAsia="IRNazanin" w:cs="IRNazanin"/>
          <w:color w:val="111111"/>
          <w:sz w:val="28"/>
          <w:szCs w:val="28"/>
          <w:rtl w:val="true"/>
          <w:lang w:bidi="fa-IR"/>
        </w:rPr>
        <w:t>.</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 xml:space="preserve">تفسیر روان،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چنین است تفسیر آن بزرگوار از آیۀ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بقره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فَتَلَقّی آدَمُ مِنْ رَبِّهِ کَلِماتٍ فَتابَ عَلَیْهِ إنَّهُ هُوَ التَّوّابُ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چگونگی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توبۀ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اساس روایات رقم زده است، اما در پایان با بازگشت به فضای آیه و یا آیات، نکته‌ای هدایتی و تأمل‌برانگیز آورده است؛</w:t>
      </w:r>
      <w:r>
        <w:rPr>
          <w:rStyle w:val="FootnoteAnchor"/>
          <w:rtl w:val="true"/>
        </w:rPr>
        <w:footnoteReference w:id="44"/>
      </w:r>
      <w:r>
        <w:rPr>
          <w:rFonts w:ascii="IRNazanin" w:hAnsi="IRNazanin" w:eastAsia="IRNazanin"/>
          <w:color w:val="111111"/>
          <w:sz w:val="28"/>
          <w:sz w:val="28"/>
          <w:szCs w:val="28"/>
          <w:rtl w:val="true"/>
          <w:lang w:bidi="fa-IR"/>
        </w:rPr>
        <w:t xml:space="preserve">و نیز چنین است تفسیر وی از آیۀ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توبه و تفصیل موارد زکات با توجه به آیات و روایات</w:t>
      </w:r>
      <w:r>
        <w:rPr>
          <w:rFonts w:eastAsia="IRNazanin" w:cs="IRNazanin"/>
          <w:color w:val="111111"/>
          <w:sz w:val="28"/>
          <w:szCs w:val="28"/>
          <w:rtl w:val="true"/>
          <w:lang w:bidi="fa-IR"/>
        </w:rPr>
        <w:t>.</w:t>
      </w:r>
      <w:r>
        <w:rPr>
          <w:rStyle w:val="FootnoteAnchor"/>
          <w:rtl w:val="true"/>
        </w:rPr>
        <w:footnoteReference w:id="45"/>
      </w:r>
    </w:p>
    <w:p>
      <w:pPr>
        <w:pStyle w:val="Heading3"/>
        <w:numPr>
          <w:ilvl w:val="2"/>
          <w:numId w:val="1"/>
        </w:numPr>
        <w:rPr/>
      </w:pPr>
      <w:bookmarkStart w:id="86" w:name="__RefHeading___Toc39662_1878427129"/>
      <w:bookmarkStart w:id="87" w:name="_Toc33"/>
      <w:bookmarkEnd w:id="86"/>
      <w:r>
        <w:rPr>
          <w:rtl w:val="true"/>
        </w:rPr>
        <w:t>تبیین موضوعات در پرتو آیات</w:t>
      </w:r>
      <w:bookmarkEnd w:id="87"/>
    </w:p>
    <w:p>
      <w:pPr>
        <w:pStyle w:val="BookText"/>
        <w:rPr/>
      </w:pPr>
      <w:r>
        <w:rPr>
          <w:rFonts w:ascii="IRNazanin" w:hAnsi="IRNazanin" w:eastAsia="IRNazanin"/>
          <w:color w:val="111111"/>
          <w:sz w:val="28"/>
          <w:sz w:val="28"/>
          <w:szCs w:val="28"/>
          <w:rtl w:val="true"/>
          <w:lang w:bidi="fa-IR"/>
        </w:rPr>
        <w:t>چنان‌که پیش‌تر آوردیم، آهنگ کلی تفسیر روان این است که آیات یکسر معنا شوند، و تفسیر تمام جملات آیات به خامه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سان تمام تلاش مفسر این است که آیه و یا آیاتی که برمی‌گزیند، محتوانمایی شده، تفسیر هدایتگرانۀ آن‌ها بر اساس آنچه تا بدینجا آوردیم عرضه گردد؛ اما مفسر زنده‌یاد ما گاه در ذیل آیاتی با توجه به آیات دیگر، و یا افزون بر آن با توجه به کلیات تفکر دینی، بحث‌هایی موضوعی را نیز رقم زده است که شایان توجه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یک مورد را می‌آورم، با اشارتی به موارد دیگر</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مفسر عالی‌قدر ما در ضمن تفسیر آیۀ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بقره، از مثل سخن می‌رود و</w:t>
      </w:r>
    </w:p>
    <w:p>
      <w:pPr>
        <w:pStyle w:val="BookText"/>
        <w:rPr/>
      </w:pPr>
      <w:r>
        <w:rPr>
          <w:rFonts w:ascii="IRNazanin" w:hAnsi="IRNazanin" w:eastAsia="IRNazanin"/>
          <w:color w:val="111111"/>
          <w:sz w:val="28"/>
          <w:sz w:val="28"/>
          <w:szCs w:val="28"/>
          <w:rtl w:val="true"/>
          <w:lang w:bidi="fa-IR"/>
        </w:rPr>
        <w:t>نقش‌آفرینی دوسویۀ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ذیل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گزارش موضوعی مثل‌های قرآنی می‌پردازند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گفتۀ خودِ آن بزرگوار تنبه‌آور و بیداری‌بخش بنگر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در جاهای زیادی از کلام آسمانی خود، مثل‌هایی تنبه‌آور و بیداری‌بخش زده که از آن جمله موارد زیر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مشرکان را در خواستن حاجت و توسل به بت‌ها به کسی که با حیوانات سخن بگوید، تشبیه نموده</w:t>
      </w:r>
      <w:r>
        <w:rPr>
          <w:rFonts w:eastAsia="IRNazanin" w:cs="IRNazanin"/>
          <w:color w:val="111111"/>
          <w:sz w:val="28"/>
          <w:szCs w:val="28"/>
          <w:rtl w:val="true"/>
          <w:lang w:bidi="fa-IR"/>
        </w:rPr>
        <w:t>.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انفاق در راه خدا را به یک دانۀ کشته‌شده که هفتصد برابر یا زیادتر حاصل دهد، تشبیه نموده</w:t>
      </w:r>
      <w:r>
        <w:rPr>
          <w:rFonts w:eastAsia="IRNazanin" w:cs="IRNazanin"/>
          <w:color w:val="111111"/>
          <w:sz w:val="28"/>
          <w:szCs w:val="28"/>
          <w:rtl w:val="true"/>
          <w:lang w:bidi="fa-IR"/>
        </w:rPr>
        <w:t>.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عمل عبادی ریایی را به خاکی نرم روی سنگی صاف که باران تندی بر آن ببارد و آن را بشوید، تشبیه نموده</w:t>
      </w:r>
      <w:r>
        <w:rPr>
          <w:rFonts w:eastAsia="IRNazanin" w:cs="IRNazanin"/>
          <w:color w:val="111111"/>
          <w:sz w:val="28"/>
          <w:szCs w:val="28"/>
          <w:rtl w:val="true"/>
          <w:lang w:bidi="fa-IR"/>
        </w:rPr>
        <w:t>. (</w:t>
      </w:r>
      <w:r>
        <w:rPr>
          <w:rFonts w:eastAsia="IRNazanin" w:cs="IRNazanin"/>
          <w:color w:val="111111"/>
          <w:sz w:val="28"/>
          <w:szCs w:val="28"/>
          <w:lang w:bidi="fa-IR"/>
        </w:rPr>
        <w:t>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عمل قربی خالص را به باغی بر روی تپه‌ای که باران شدید بر آن ببارد و حاصل چند برابر دهد، تشبیه نموده</w:t>
      </w:r>
      <w:r>
        <w:rPr>
          <w:rFonts w:eastAsia="IRNazanin" w:cs="IRNazanin"/>
          <w:color w:val="111111"/>
          <w:sz w:val="28"/>
          <w:szCs w:val="28"/>
          <w:rtl w:val="true"/>
          <w:lang w:bidi="fa-IR"/>
        </w:rPr>
        <w:t>. (</w:t>
      </w:r>
      <w:r>
        <w:rPr>
          <w:rFonts w:eastAsia="IRNazanin" w:cs="IRNazanin"/>
          <w:color w:val="111111"/>
          <w:sz w:val="28"/>
          <w:szCs w:val="28"/>
          <w:lang w:bidi="fa-IR"/>
        </w:rPr>
        <w:t>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عیسی بن مریم علیه السلام را در نداشتن پدر، به آدم علیه السلام تشبیه کرده</w:t>
      </w:r>
      <w:r>
        <w:rPr>
          <w:rFonts w:eastAsia="IRNazanin" w:cs="IRNazanin"/>
          <w:color w:val="111111"/>
          <w:sz w:val="28"/>
          <w:szCs w:val="28"/>
          <w:rtl w:val="true"/>
          <w:lang w:bidi="fa-IR"/>
        </w:rPr>
        <w:t>.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انفاقات کفار را به زراعتی که باد سوزان بر آن دمیده و نابودش سازد، تشبیه کرده</w:t>
      </w:r>
      <w:r>
        <w:rPr>
          <w:rFonts w:eastAsia="IRNazanin" w:cs="IRNazanin"/>
          <w:color w:val="111111"/>
          <w:sz w:val="28"/>
          <w:szCs w:val="28"/>
          <w:rtl w:val="true"/>
          <w:lang w:bidi="fa-IR"/>
        </w:rPr>
        <w:t>.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دانشمند فاسق را به سگی که از شدت حرارت یا مرض، پیوسته زبانش را بیرون آورد، تشبیه نموده</w:t>
      </w:r>
      <w:r>
        <w:rPr>
          <w:rFonts w:eastAsia="IRNazanin" w:cs="IRNazanin"/>
          <w:color w:val="111111"/>
          <w:sz w:val="28"/>
          <w:szCs w:val="28"/>
          <w:rtl w:val="true"/>
          <w:lang w:bidi="fa-IR"/>
        </w:rPr>
        <w:t>.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زندگی دنیا را به زمین خرم و سرسبزی که ناگهان خشم خدا بر آن نازل گشته و آن را چون زمین دروشده و خکشیده سازد، تشبیه کرده</w:t>
      </w:r>
      <w:r>
        <w:rPr>
          <w:rFonts w:eastAsia="IRNazanin" w:cs="IRNazanin"/>
          <w:color w:val="111111"/>
          <w:sz w:val="28"/>
          <w:szCs w:val="28"/>
          <w:rtl w:val="true"/>
          <w:lang w:bidi="fa-IR"/>
        </w:rPr>
        <w:t>.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یونس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کافران را به کوران و کران، و مؤمنان را به بینایان و شنوایان، تشبیه نموده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اعمال خیر کفار را به خاکستری که باد تند بر آن بوزد و نابودش سازد، تشبیه نموده</w:t>
      </w:r>
      <w:r>
        <w:rPr>
          <w:rFonts w:eastAsia="IRNazanin" w:cs="IRNazanin"/>
          <w:color w:val="111111"/>
          <w:sz w:val="28"/>
          <w:szCs w:val="28"/>
          <w:rtl w:val="true"/>
          <w:lang w:bidi="fa-IR"/>
        </w:rPr>
        <w:t>.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کلام پاکیزه را به درخت پاکیزه‌ای که ریشه‌اش ثابت و شاخه‌اش سر به فلک کشیده باشد، تشبیه کرده</w:t>
      </w:r>
      <w:r>
        <w:rPr>
          <w:rFonts w:eastAsia="IRNazanin" w:cs="IRNazanin"/>
          <w:color w:val="111111"/>
          <w:sz w:val="28"/>
          <w:szCs w:val="28"/>
          <w:rtl w:val="true"/>
          <w:lang w:bidi="fa-IR"/>
        </w:rPr>
        <w:t>.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کلام پلید را به درختی که از جای خود کنده شده و روی پای خود نیست، تشبیه نموده</w:t>
      </w:r>
      <w:r>
        <w:rPr>
          <w:rFonts w:eastAsia="IRNazanin" w:cs="IRNazanin"/>
          <w:color w:val="111111"/>
          <w:sz w:val="28"/>
          <w:szCs w:val="28"/>
          <w:rtl w:val="true"/>
          <w:lang w:bidi="fa-IR"/>
        </w:rPr>
        <w:t>.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ناتوانی بت‌ها را چنین مثل زده که قدرت آفریدن مگس را ندارند و اگر مگسی از آن‌ها چیزی برباید توان گرفتن آن را ندارند</w:t>
      </w:r>
      <w:r>
        <w:rPr>
          <w:rFonts w:eastAsia="IRNazanin" w:cs="IRNazanin"/>
          <w:color w:val="111111"/>
          <w:sz w:val="28"/>
          <w:szCs w:val="28"/>
          <w:rtl w:val="true"/>
          <w:lang w:bidi="fa-IR"/>
        </w:rPr>
        <w:t>.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نور ذات اقدس خود را به چراغی که از روغن زیتون خالص و شفافی روشن شود و در میان شیشه‌ای نورانی در طاقچه‌ای محفوظ قرار گیرد که نوری بر نوری اضافه گردد، تشبیه نموده</w:t>
      </w:r>
      <w:r>
        <w:rPr>
          <w:rFonts w:eastAsia="IRNazanin" w:cs="IRNazanin"/>
          <w:color w:val="111111"/>
          <w:sz w:val="28"/>
          <w:szCs w:val="28"/>
          <w:rtl w:val="true"/>
          <w:lang w:bidi="fa-IR"/>
        </w:rPr>
        <w:t>.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اموال و اولاد را در دنیا به گیاهان سرسبزی که پس از اندک‌مدتی پژمرده و زرد و سپس خاشاک خشک شوند، تشبیه کرده</w:t>
      </w:r>
      <w:r>
        <w:rPr>
          <w:rFonts w:eastAsia="IRNazanin" w:cs="IRNazanin"/>
          <w:color w:val="111111"/>
          <w:sz w:val="28"/>
          <w:szCs w:val="28"/>
          <w:rtl w:val="true"/>
          <w:lang w:bidi="fa-IR"/>
        </w:rPr>
        <w:t>.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کسانی را که غیر خدا را سرپرست و یاور گیرند، به عنکبوتی که به خانۀ سست خود پناهنده شود، تشبیه نموده</w:t>
      </w:r>
      <w:r>
        <w:rPr>
          <w:rFonts w:eastAsia="IRNazanin" w:cs="IRNazanin"/>
          <w:color w:val="111111"/>
          <w:sz w:val="28"/>
          <w:szCs w:val="28"/>
          <w:rtl w:val="true"/>
          <w:lang w:bidi="fa-IR"/>
        </w:rPr>
        <w:t>.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عنکبوت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علمای تورات را که از زیر بار آن شانه خالی کردند، به درازگوشی که بر وی بار کتاب زده‌اند، تشبیه کرده</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شریکانی را که مشرکان برای او می‌تراشند، به برده‌ای که توان تصرف در مال و جان خود را ندارد، تشبیه نموده</w:t>
      </w:r>
      <w:r>
        <w:rPr>
          <w:rFonts w:eastAsia="IRNazanin" w:cs="IRNazanin"/>
          <w:color w:val="111111"/>
          <w:sz w:val="28"/>
          <w:szCs w:val="28"/>
          <w:rtl w:val="true"/>
          <w:lang w:bidi="fa-IR"/>
        </w:rPr>
        <w:t>.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خود را به مرد آزادی که اموال فراوان در اختیار دارد و در هر راهی که می‌خواهد مصرف می‌کند، تشبیه کرده</w:t>
      </w:r>
      <w:r>
        <w:rPr>
          <w:rFonts w:eastAsia="IRNazanin" w:cs="IRNazanin"/>
          <w:color w:val="111111"/>
          <w:sz w:val="28"/>
          <w:szCs w:val="28"/>
          <w:rtl w:val="true"/>
          <w:lang w:bidi="fa-IR"/>
        </w:rPr>
        <w:t>.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آن شریکان را به گنگ مادرزادی که بر هیچ کاری قادر نیست و باری بر دوش سرپرست خویش است، تشبیه نموده</w:t>
      </w:r>
      <w:r>
        <w:rPr>
          <w:rFonts w:eastAsia="IRNazanin" w:cs="IRNazanin"/>
          <w:color w:val="111111"/>
          <w:sz w:val="28"/>
          <w:szCs w:val="28"/>
          <w:rtl w:val="true"/>
          <w:lang w:bidi="fa-IR"/>
        </w:rPr>
        <w:t>.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خود را به مردی گویا و صاحب نطق و بیان، که بر جادۀ مستقیمی از کمالات قرار دارد و بر پایۀ عدل و قسط فرمان می‌دهد، تشبیه کرده</w:t>
      </w:r>
      <w:r>
        <w:rPr>
          <w:rFonts w:eastAsia="IRNazanin" w:cs="IRNazanin"/>
          <w:color w:val="111111"/>
          <w:sz w:val="28"/>
          <w:szCs w:val="28"/>
          <w:rtl w:val="true"/>
          <w:lang w:bidi="fa-IR"/>
        </w:rPr>
        <w:t>.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عاقبت مؤمن و کافر را به دو برادری تشبیه کرده که ارثی سرشار از پدر برده‌اند و چون باغ‌های پربار خود را دیدند، یکی کفر گفت و کفران نمود و دیگری اظهار ایمان کرد، پس به ناگاه صاعقه‌ای باغ کافر را نابود کرد و باغ دیگری سالم ماند</w:t>
      </w:r>
      <w:r>
        <w:rPr>
          <w:rFonts w:eastAsia="IRNazanin" w:cs="IRNazanin"/>
          <w:color w:val="111111"/>
          <w:sz w:val="28"/>
          <w:szCs w:val="28"/>
          <w:rtl w:val="true"/>
          <w:lang w:bidi="fa-IR"/>
        </w:rPr>
        <w:t>.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کهف</w:t>
      </w:r>
      <w:r>
        <w:rPr>
          <w:rFonts w:eastAsia="IRNazanin" w:cs="IRNazanin"/>
          <w:color w:val="111111"/>
          <w:sz w:val="28"/>
          <w:szCs w:val="28"/>
          <w:rtl w:val="true"/>
          <w:lang w:bidi="fa-IR"/>
        </w:rPr>
        <w:t>)</w:t>
      </w:r>
      <w:bookmarkStart w:id="88" w:name="pg14517_146167"/>
    </w:p>
    <w:p>
      <w:pPr>
        <w:pStyle w:val="BookText"/>
        <w:rPr/>
      </w:pPr>
      <w:bookmarkEnd w:id="88"/>
      <w:r>
        <w:rPr>
          <w:rFonts w:ascii="IRNazanin" w:hAnsi="IRNazanin" w:eastAsia="IRNazanin"/>
          <w:color w:val="111111"/>
          <w:sz w:val="28"/>
          <w:sz w:val="28"/>
          <w:szCs w:val="28"/>
          <w:rtl w:val="true"/>
          <w:lang w:bidi="fa-IR"/>
        </w:rPr>
        <w:t>کافر را به بردۀ چند نفر مولای مختلف‌الفکر و ناسازگار که هریک او را فرمانی مخالف فرمان دیگری می‌دهد و به سوی‌خود می‌کشد، تشبیه نموده</w:t>
      </w:r>
      <w:r>
        <w:rPr>
          <w:rFonts w:eastAsia="IRNazanin" w:cs="IRNazanin"/>
          <w:color w:val="111111"/>
          <w:sz w:val="28"/>
          <w:szCs w:val="28"/>
          <w:rtl w:val="true"/>
          <w:lang w:bidi="fa-IR"/>
        </w:rPr>
        <w:t>.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مؤمن را به بردۀ یک مولا و تسلیم در برابر وی که آن مولا هم در کار خود مستقل و عادلانه عمل می‌کند، تشبیه کرده</w:t>
      </w:r>
      <w:r>
        <w:rPr>
          <w:rFonts w:eastAsia="IRNazanin" w:cs="IRNazanin"/>
          <w:color w:val="111111"/>
          <w:sz w:val="28"/>
          <w:szCs w:val="28"/>
          <w:rtl w:val="true"/>
          <w:lang w:bidi="fa-IR"/>
        </w:rPr>
        <w:t>.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کفار را به همسر نوح علیه السلام و همسر لوط علیه السلام تشبیه نموده که از پیامبران الهی بهره‌مند نشدند و به آن‌ها خیانت کردند و قرب جوار پیامبران سودی به حال آن‌ها نبخشید</w:t>
      </w:r>
      <w:r>
        <w:rPr>
          <w:rFonts w:eastAsia="IRNazanin" w:cs="IRNazanin"/>
          <w:color w:val="111111"/>
          <w:sz w:val="28"/>
          <w:szCs w:val="28"/>
          <w:rtl w:val="true"/>
          <w:lang w:bidi="fa-IR"/>
        </w:rPr>
        <w:t>.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مؤمنان را به همسر فرعون که برخلاف قدرت‌های حاکم وقت ایمان قوی یافت، و به مریم دختر عمران که عفت خود را ضبط کرد و به خدا و کتاب‌های آسمانی او ایمان آورد و از نیکان شد، تشبیه نموده</w:t>
      </w:r>
      <w:r>
        <w:rPr>
          <w:rFonts w:eastAsia="IRNazanin" w:cs="IRNazanin"/>
          <w:color w:val="111111"/>
          <w:sz w:val="28"/>
          <w:szCs w:val="28"/>
          <w:rtl w:val="true"/>
          <w:lang w:bidi="fa-IR"/>
        </w:rPr>
        <w:t>.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تحریم</w:t>
      </w:r>
      <w:r>
        <w:rPr>
          <w:rFonts w:eastAsia="IRNazanin" w:cs="IRNazanin"/>
          <w:color w:val="111111"/>
          <w:sz w:val="28"/>
          <w:szCs w:val="28"/>
          <w:rtl w:val="true"/>
          <w:lang w:bidi="fa-IR"/>
        </w:rPr>
        <w:t>).</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 xml:space="preserve">تفسیر روان،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51</w:t>
      </w: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چنین است، موضوعاتی در جلد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جلد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pStyle w:val="Heading3"/>
        <w:numPr>
          <w:ilvl w:val="2"/>
          <w:numId w:val="1"/>
        </w:numPr>
        <w:rPr/>
      </w:pPr>
      <w:bookmarkStart w:id="89" w:name="__RefHeading___Toc39664_1878427129"/>
      <w:bookmarkStart w:id="90" w:name="_Toc34"/>
      <w:bookmarkEnd w:id="89"/>
      <w:r>
        <w:rPr>
          <w:rtl w:val="true"/>
        </w:rPr>
        <w:t>احتیاط و حزم اندیشی</w:t>
      </w:r>
      <w:bookmarkEnd w:id="90"/>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بی‌گمان آنچه از ظاهر بسیاری از آیات برمی‌آید، به‌ویژه آیاتی که مؤمنان را به تدبر، تأمل، تعقل در آیات الاهی فراخوانده‌اند، این است که مؤمنان باید با آیات الاهی انس بگیرند، در آن تأمل کنند، آموزه‌هایش را دریابند، و در سایۀ تعالیم الاهی زندگی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گذرگاه زمان به‌ویژه در سده‌های آغازین در جامعۀ اسلامی، بودند کسانی که تفسیر آیات الاهی را روا نمی‌دانستند، اما این‌گونه کسان و اندیشه‌ها هرگز فراگیر نشد و جریانی ایجاد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این‌همه تأمل در آیات قرآن و درنگریستن در معارف آن حتماً باید با احتیاط باشد و از 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حزم‌اندیشی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شیوه را در صفحات زرین این تفسیر ارجمند فراوان توان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بزرگوار گاه تفسیری از آیه به دست می‌دهند دقیق و استوار، و آنگاه برای توسعۀ معنایی و 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مطالبی می‌آورند با</w:t>
      </w:r>
      <w:bookmarkStart w:id="91" w:name="pg14517_146168"/>
    </w:p>
    <w:p>
      <w:pPr>
        <w:pStyle w:val="BookText"/>
        <w:rPr/>
      </w:pPr>
      <w:bookmarkEnd w:id="91"/>
      <w:r>
        <w:rPr>
          <w:rFonts w:ascii="IRNazanin" w:hAnsi="IRNazanin" w:eastAsia="IRNazanin"/>
          <w:color w:val="111111"/>
          <w:sz w:val="28"/>
          <w:sz w:val="28"/>
          <w:szCs w:val="28"/>
          <w:rtl w:val="true"/>
          <w:lang w:bidi="fa-IR"/>
        </w:rPr>
        <w:t>واژه‌ها، جمله‌ها و تعابیری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محتمل است، 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تفسیر آیۀ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بقره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مَنَّ اللّهُ عَلَی الْمُؤْمِنینَ إذْ بَعَثَ فیهِمْ رَسُولاً مِنْ أنْفُسِهِمْ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تفسیری روشن از آیه به دست می‌دهند و آنگاه در ادامۀ آن می‌نویسند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محتمل است آیه در مقام امتنان بر انسان باشد در مقابل فرشتگان و اجنه و پریان؛ یعنی خدا بر مؤمنان انسان منت نهاد که در میان آن‌ها فرستاده‌ای از خودشان برانگیخت که به‌راحتی پیامبر را ببینند و سخنانش را بشنوند و انس با او برخلاف طبع و فطرت و تحمل نباشد، و این امتنان دربارۀ فرشتگان و پریان نیست</w:t>
      </w:r>
      <w:r>
        <w:rPr>
          <w:rFonts w:eastAsia="IRNazanin" w:cs="IRNazanin"/>
          <w:color w:val="111111"/>
          <w:sz w:val="28"/>
          <w:szCs w:val="28"/>
          <w:rtl w:val="true"/>
          <w:lang w:bidi="fa-IR"/>
        </w:rPr>
        <w:t>».</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 xml:space="preserve">تفسیر روان،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456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موارد در تفسیر چشم‌گیر است و شایان توجه، و در همین موارد گاه نکته‌های نغز و دلپذیری است که از تأمل‌ها و تنبه‌های آن مفسر فقیه و فقیه مفسر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آنچه تا بدین جا آمد، نکته‌هایی بود با نگاهی گذرا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ارزیابی شتابزده‌ای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تفسیر گران‌قدر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دامن سخن را برمی‌چینم و به روح منور آن رادمرد پارسا، فرهنگ‌بان پیراسته‌جان، فقیه بیدارگر، مفسر زمان‌شناس که ضرورت‌ها و اولویت‌های جامعه را به‌درستی درک می‌کرد؛ خرافه‌ستیز بود و آگاهی‌گستر، متعهد بود و جامعه‌نگر، مصلح بود و نگران از دست رفتن فرصت‌ها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می‌فرستم</w:t>
      </w:r>
      <w:r>
        <w:rPr>
          <w:rFonts w:eastAsia="IRNazanin" w:cs="IRNazanin"/>
          <w:color w:val="111111"/>
          <w:sz w:val="28"/>
          <w:szCs w:val="28"/>
          <w:rtl w:val="true"/>
          <w:lang w:bidi="fa-IR"/>
        </w:rPr>
        <w:t>.</w:t>
      </w:r>
    </w:p>
    <w:p>
      <w:pPr>
        <w:pStyle w:val="Heading3"/>
        <w:numPr>
          <w:ilvl w:val="2"/>
          <w:numId w:val="1"/>
        </w:numPr>
        <w:rPr/>
      </w:pPr>
      <w:bookmarkStart w:id="92" w:name="__RefHeading___Toc39666_1878427129"/>
      <w:bookmarkStart w:id="93" w:name="_Toc35"/>
      <w:bookmarkEnd w:id="92"/>
      <w:r>
        <w:rPr>
          <w:rtl w:val="true"/>
        </w:rPr>
        <w:t>تکملۀ آیت اللّه استادی</w:t>
      </w:r>
      <w:bookmarkEnd w:id="93"/>
    </w:p>
    <w:p>
      <w:pPr>
        <w:pStyle w:val="BookText"/>
        <w:rPr/>
      </w:pPr>
      <w:r>
        <w:rPr>
          <w:rFonts w:ascii="IRNazanin" w:hAnsi="IRNazanin" w:eastAsia="IRNazanin"/>
          <w:color w:val="111111"/>
          <w:sz w:val="28"/>
          <w:sz w:val="28"/>
          <w:szCs w:val="28"/>
          <w:rtl w:val="true"/>
          <w:lang w:bidi="fa-IR"/>
        </w:rPr>
        <w:t>پیش‌تر آوردیم که تفسیر آیت‌اللّه مشکینی متأسفانه کامل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بزرگوار تا آغاز سورۀ شعراء، هجده جزء را تفسیر کرده است و از آغاز سورۀ شعراء تا پایان قرآن را حضرت آیت‌اللّه حاج شیخ رضا استادی عهده‌دار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سان سبک آیت‌اللّه استادی همان روش و شیوۀ آیت‌اللّه مشکینی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آقای استادی، خود در مقدمۀ کار نوشته‌اند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تفسیری که آیت‌اللّه مشکینی تألیف کرده‌اند، تنها شامل هیجده جز و اندی از قرآن مجید بود، هنگام انتشار آن تصمیم گرفته شد با اصل قرار</w:t>
      </w:r>
    </w:p>
    <w:p>
      <w:pPr>
        <w:pStyle w:val="BookText"/>
        <w:rPr/>
      </w:pPr>
      <w:r>
        <w:rPr>
          <w:rFonts w:ascii="IRNazanin" w:hAnsi="IRNazanin" w:eastAsia="IRNazanin"/>
          <w:color w:val="111111"/>
          <w:sz w:val="28"/>
          <w:sz w:val="28"/>
          <w:szCs w:val="28"/>
          <w:rtl w:val="true"/>
          <w:lang w:bidi="fa-IR"/>
        </w:rPr>
        <w:t>دادن ترجمۀ قرآن که به قلم ایشان است و استفاده از تفسیر اثنا عشری و منهج الصادقین بقیۀ قرآن به گونه‌ای تفسیر شود که با ترجمۀ ایشان هماهنگ باشد و در برخی موارد به پاره‌ای از نکات لغوی، صرفی و نحوی مربوط به هر آیه نیز اشاره گردد</w:t>
      </w:r>
      <w:r>
        <w:rPr>
          <w:rFonts w:eastAsia="IRNazanin" w:cs="IRNazanin"/>
          <w:color w:val="111111"/>
          <w:sz w:val="28"/>
          <w:szCs w:val="28"/>
          <w:rtl w:val="true"/>
          <w:lang w:bidi="fa-IR"/>
        </w:rPr>
        <w:t>.</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 xml:space="preserve">تفسیر روان،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بدین‌سان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تکملۀ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به خامۀ آیت‌اللّه استادی است و بنابر تصریح آن بزرگوار، بر پایۀ تفسیر اثنا عشری و منهج الصادقین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تورقی شتابان می‌تواند نشان دهد که حضرت آیت‌اللّه استادی در تدوین این قسمت از تفسیر به منابع بسیاری مراجعه کرده‌اند و به دو تفسیر یادشده بسنده نکرده‌اند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آیت‌اللّه استادی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پیران پژوهش و دانش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حوزوی هستند و آثار فراوانی رقم زده‌اند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آقای استادی بر شیوۀ اصل تفسیر، یک آیه و یا چند آیه را می‌آورند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جلدهای شش و هفت غالباً یک آیه است و آخرین مجلد چند آیه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آنگاه به لغت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واژه‌ای را به لحاظ معنا دشواریاب تلقی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می‌پردازد و معنای واژه و یا واژه‌هایی را برمی‌نماید و آنگاه به تفسیر آیه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چونان متن ترجمه و تفسیر را در هم می‌آمیزد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پیش‌تر از تفسیر، و در جایگاه تبیین معنای واژه‌ها،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اعراب واژه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جایگاه کلمه در ساختار معنایش می‌پردازند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 آیات بیشتر از هر چیزی در فضای معنایی تأمل می‌کنند و از آیات دیگر و روایات، و بسیار اندک از اقوال مفسّران هم بهره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 بهره‌گیری آیت‌اللّه استادی از روایات، بیشتر از آیت‌اللّه مشکینی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پیش‌تر آوردیم، آیت‌اللّه مشکینی با اشاره‌ای به روایت و یا روایت‌ها در حدّ لزوم، معانی و حقایق نهفته در آیات را برمی‌نمودند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آیت‌اللّه استادی غالباً متن روایت و یا روایت‌ها را می‌آورند و منابع و مصادر نقل را هم ثبت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آیت‌اللّه استادی افزون بر این، در تفسیر که منبع اصلی پژوهش ایشان به شمار می‌آید، به تفاسیر بسیار دیگری نیز مراجعه کرده‌اند همانند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مجمع البیان، الکشّاف، تفسیر قمی، تفسیر ابو الفتوح رازی، صافی،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منابع و مصادر حدیثی، مانند علل الشرایع، نهج البلاغه، معانی الأخبار، امالی طوسی، بحار الأنوار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میان تفاسیر روایی، تفسیر برهان و نور الثقلین، و برخی کتاب‌های لغت و اخلاق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نکتۀ مهم این است که حضرت آیت‌اللّه استادی در مواردی که معنا و تفسیر آیه دارای اقوال گونه‌گونی بوده است، تلاش کرده‌اند مبنا را برآیند ترجمۀ آیت‌اللّه مشکینی قرار دهند و نه اجتهاد خودشان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 اینکه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ادب 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ادب 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فروتنی و خاکساری عالمانه و مؤمنانه نوشته‌اند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کار را حقیر به عهده گرفتم و با صرف وقت بسیار و مراجعه به برخی کتاب‌های تفسیر و علوم قرآنی و حدیث و ادب به صورتی که ملاحظه می‌شود آن را انجام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است مانند نوشتۀ آن بزرگوار، این بخش نیز مورد استفاده قرار گیرد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توجه به مقام علمی و معنوی آن مرحوم، انتظار اینکه تفسیر این دوازده جزء از جهت سطح علمی و نیز روان بودن و جهات دیگر کاملاً مانند آن هیجده جزء باشد توقع بیجایی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ما کوشیده‌ایم تکمیل تفسیر ایشان به‌گونه‌ای که در بالا گفته شد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به روان پاک حضرت آیت‌اللّه مشکینی درود می‌فرستیم و برای حضرت آیت‌اللّه استادی دوام توفیق و سلامتی از خداوند سبحان خواستاریم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علیه یوم ولد و یوم مات و یوم یبعث حیا</w:t>
      </w:r>
    </w:p>
    <w:p>
      <w:pPr>
        <w:pStyle w:val="BookText"/>
        <w:rPr/>
      </w:pPr>
      <w:r>
        <w:rPr>
          <w:rFonts w:ascii="IRNazanin" w:hAnsi="IRNazanin" w:eastAsia="IRNazanin"/>
          <w:color w:val="111111"/>
          <w:sz w:val="28"/>
          <w:sz w:val="28"/>
          <w:szCs w:val="28"/>
          <w:rtl w:val="true"/>
          <w:lang w:bidi="fa-IR"/>
        </w:rPr>
        <w:t>و اللّه من وراء القصد</w:t>
      </w:r>
    </w:p>
    <w:p>
      <w:pPr>
        <w:pStyle w:val="BookText"/>
        <w:rPr/>
      </w:pPr>
      <w:r>
        <w:rPr>
          <w:rFonts w:ascii="IRNazanin" w:hAnsi="IRNazanin" w:eastAsia="IRNazanin"/>
          <w:color w:val="111111"/>
          <w:sz w:val="28"/>
          <w:sz w:val="28"/>
          <w:szCs w:val="28"/>
          <w:rtl w:val="true"/>
          <w:lang w:bidi="fa-IR"/>
        </w:rPr>
        <w:t>محمدعلی مهدوی‌راد</w:t>
      </w:r>
    </w:p>
    <w:p>
      <w:pPr>
        <w:pStyle w:val="BookText"/>
        <w:rPr/>
      </w:pPr>
      <w:r>
        <w:rPr>
          <w:rFonts w:ascii="IRNazanin" w:hAnsi="IRNazanin" w:eastAsia="IRNazanin"/>
          <w:color w:val="111111"/>
          <w:sz w:val="28"/>
          <w:sz w:val="28"/>
          <w:szCs w:val="28"/>
          <w:rtl w:val="true"/>
          <w:lang w:bidi="fa-IR"/>
        </w:rPr>
        <w:t xml:space="preserve">تفسیر روان،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13</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w:t>
      </w:r>
      <w:bookmarkStart w:id="94" w:name="pg14517_146171"/>
    </w:p>
    <w:p>
      <w:pPr>
        <w:pStyle w:val="Heading3"/>
        <w:numPr>
          <w:ilvl w:val="2"/>
          <w:numId w:val="1"/>
        </w:numPr>
        <w:rPr/>
      </w:pPr>
      <w:bookmarkStart w:id="95" w:name="__RefHeading___Toc39668_1878427129"/>
      <w:bookmarkStart w:id="96" w:name="_Toc36"/>
      <w:bookmarkEnd w:id="94"/>
      <w:bookmarkEnd w:id="95"/>
      <w:r>
        <w:rPr>
          <w:rtl w:val="true"/>
        </w:rPr>
        <w:t>کتاب نامه</w:t>
      </w:r>
      <w:bookmarkEnd w:id="9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آفاق تفسیر، محمّدعلی مهدوی راد،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هستی‌نما،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اتساع الدلالة فی الخطاب القرآنی، محمّد نور الدین منجد، مقدمه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 ایوبی، دمشق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الفکر، </w:t>
      </w:r>
      <w:r>
        <w:rPr>
          <w:rFonts w:eastAsia="IRNazanin" w:cs="IRNazanin"/>
          <w:color w:val="111111"/>
          <w:sz w:val="28"/>
          <w:szCs w:val="28"/>
          <w:lang w:bidi="fa-IR"/>
        </w:rPr>
        <w:t>1431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الإتقان فی علوم القرآن، جلال الدین السیوطی،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 المندوب، بیروت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دار الفکر، </w:t>
      </w:r>
      <w:r>
        <w:rPr>
          <w:rFonts w:eastAsia="IRNazanin" w:cs="IRNazanin"/>
          <w:color w:val="111111"/>
          <w:sz w:val="28"/>
          <w:szCs w:val="28"/>
          <w:lang w:bidi="fa-IR"/>
        </w:rPr>
        <w:t>1996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التفسیر البسیط، علی بن احمد بن محمد واحدی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467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صالح بن عبداللّه الفوزان، ریاض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جامعة الام محمدبن سعود الاسلامیه، </w:t>
      </w:r>
      <w:r>
        <w:rPr>
          <w:rFonts w:eastAsia="IRNazanin" w:cs="IRNazanin"/>
          <w:color w:val="111111"/>
          <w:sz w:val="28"/>
          <w:szCs w:val="28"/>
          <w:lang w:bidi="fa-IR"/>
        </w:rPr>
        <w:t>1430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المیزان فی تفسیر القرآن، سیّد محمّدحسین طباطبایی،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اسماعیلیان، </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روان، علی مشکینی،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الهادی، </w:t>
      </w:r>
      <w:r>
        <w:rPr>
          <w:rFonts w:eastAsia="IRNazanin" w:cs="IRNazanin"/>
          <w:color w:val="111111"/>
          <w:sz w:val="28"/>
          <w:szCs w:val="28"/>
          <w:lang w:bidi="fa-IR"/>
        </w:rPr>
        <w:t>1388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جمال انسانیت، عبد اللّه صالحی نجف‌آبادی، تهران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1343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حلیة الأولیاء وطبقات الأصفیاء، أبو نعیم احمد بن عبداللّه اصبهانی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دارالکتاب العربی،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دراسة الطبری للمعنی من خلال تفسیر جامع البیان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محمد المالکی، المملکة المغربیه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علوم حدیث شمارۀ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تفسیری شیعه، گونه‌شناسی و حجیت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قصار الجمل، علی مشکینی،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القصه القرآنیه، قصة یوسف نموذجاً؛ محاضرات آیت‌اللّه الشیخ مصطفی الهرندی،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العارف للمطبوعات، </w:t>
      </w:r>
      <w:r>
        <w:rPr>
          <w:rFonts w:eastAsia="IRNazanin" w:cs="IRNazanin"/>
          <w:color w:val="111111"/>
          <w:sz w:val="28"/>
          <w:szCs w:val="28"/>
          <w:lang w:bidi="fa-IR"/>
        </w:rPr>
        <w:t>2012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لغة القرآن الکریم، عبدالجلیل عبدالرحیم، عمان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 الرساله الحدیثیه، </w:t>
      </w:r>
      <w:r>
        <w:rPr>
          <w:rFonts w:eastAsia="IRNazanin" w:cs="IRNazanin"/>
          <w:color w:val="111111"/>
          <w:sz w:val="28"/>
          <w:szCs w:val="28"/>
          <w:lang w:bidi="fa-IR"/>
        </w:rPr>
        <w:t>1401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معجم الدراسات القرآنیه، ابتسام مرهون، بغداد، </w:t>
      </w:r>
      <w:r>
        <w:rPr>
          <w:rFonts w:eastAsia="IRNazanin" w:cs="IRNazanin"/>
          <w:color w:val="111111"/>
          <w:sz w:val="28"/>
          <w:szCs w:val="28"/>
          <w:lang w:bidi="fa-IR"/>
        </w:rPr>
        <w:t>1984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معجم مصنفات القرآن، علی شواخ اسحاق، دار الرفاعی، الریاض،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bookmarkStart w:id="97" w:name="pg14517_146172"/>
    </w:p>
    <w:p>
      <w:pPr>
        <w:pStyle w:val="Heading2"/>
        <w:numPr>
          <w:ilvl w:val="1"/>
          <w:numId w:val="1"/>
        </w:numPr>
        <w:rPr/>
      </w:pPr>
      <w:bookmarkStart w:id="98" w:name="__RefHeading___Toc39670_1878427129"/>
      <w:bookmarkStart w:id="99" w:name="_Toc37"/>
      <w:bookmarkEnd w:id="97"/>
      <w:bookmarkEnd w:id="98"/>
      <w:r>
        <w:rPr>
          <w:rtl w:val="true"/>
        </w:rPr>
        <w:t>روش شناسی تربیتی تفسیر آیت اللّه مشکینی</w:t>
      </w:r>
      <w:bookmarkEnd w:id="99"/>
    </w:p>
    <w:p>
      <w:pPr>
        <w:pStyle w:val="Heading3"/>
        <w:numPr>
          <w:ilvl w:val="2"/>
          <w:numId w:val="1"/>
        </w:numPr>
        <w:rPr/>
      </w:pPr>
      <w:bookmarkStart w:id="100" w:name="__RefHeading___Toc39672_1878427129"/>
      <w:bookmarkStart w:id="101" w:name="_Toc38"/>
      <w:bookmarkEnd w:id="100"/>
      <w:r>
        <w:rPr>
          <w:rtl w:val="true"/>
        </w:rPr>
        <w:t>اشاره</w:t>
      </w:r>
      <w:bookmarkEnd w:id="101"/>
    </w:p>
    <w:p>
      <w:pPr>
        <w:pStyle w:val="BookText"/>
        <w:rPr/>
      </w:pPr>
      <w:r>
        <w:rPr>
          <w:rFonts w:ascii="IRNazanin" w:hAnsi="IRNazanin" w:eastAsia="IRNazanin"/>
          <w:color w:val="111111"/>
          <w:sz w:val="28"/>
          <w:sz w:val="28"/>
          <w:szCs w:val="28"/>
          <w:rtl w:val="true"/>
          <w:lang w:bidi="fa-IR"/>
        </w:rPr>
        <w:t>دکتر سید محمدعلی ایازی</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استادیار دانشگاه آزاد اسلامی، واحد علوم و تحقیقات</w:t>
      </w:r>
      <w:r>
        <w:rPr>
          <w:rFonts w:eastAsia="IRNazanin" w:cs="IRNazanin"/>
          <w:color w:val="111111"/>
          <w:sz w:val="28"/>
          <w:szCs w:val="28"/>
          <w:rtl w:val="true"/>
          <w:lang w:bidi="fa-IR"/>
        </w:rPr>
        <w:t>.</w:t>
      </w:r>
    </w:p>
    <w:p>
      <w:pPr>
        <w:pStyle w:val="Heading3"/>
        <w:numPr>
          <w:ilvl w:val="2"/>
          <w:numId w:val="1"/>
        </w:numPr>
        <w:rPr/>
      </w:pPr>
      <w:bookmarkStart w:id="102" w:name="__RefHeading___Toc39674_1878427129"/>
      <w:bookmarkStart w:id="103" w:name="_Toc39"/>
      <w:bookmarkEnd w:id="102"/>
      <w:r>
        <w:rPr>
          <w:rtl w:val="true"/>
        </w:rPr>
        <w:t>چکیده</w:t>
      </w:r>
      <w:bookmarkEnd w:id="103"/>
    </w:p>
    <w:p>
      <w:pPr>
        <w:pStyle w:val="BookText"/>
        <w:rPr/>
      </w:pPr>
      <w:r>
        <w:rPr>
          <w:rFonts w:ascii="IRNazanin" w:hAnsi="IRNazanin" w:eastAsia="IRNazanin"/>
          <w:color w:val="111111"/>
          <w:sz w:val="28"/>
          <w:sz w:val="28"/>
          <w:szCs w:val="28"/>
          <w:rtl w:val="true"/>
          <w:lang w:bidi="fa-IR"/>
        </w:rPr>
        <w:t xml:space="preserve">آیت‌اللّه مشکینی یکی از شخصیت‌های علمی و حوزوی است که از سال‌های دور در حوزۀ علمیۀ قم به تدریس تفسیر قرآن می‌پرداخت و یکی از کسانی است که فرهنگ تدریس تفسیر را در دورۀ معاصر نهادینه و شاگردان بسیار تربیت کرد و آثار گوناگونی در حوزۀ تفسیر ترتیبی، مانند تفسیر مبسوط، تفسیر روان، تفسیر موضوعی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خلقت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ترجمۀ قرآن، به نگارش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مبانی و روش تفسیری ایشان کار مستقلی می‌طلبد، اما می‌توان به یکی از جنبه‌های شاخص این تفسیرها، یعنی گرایش تربیتی و اخلاقی اشاره کرد؛ زیرا همین گرایش از ویژگی‌های تفسیری 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این گرایش، جهت‌گیری‌ای است که مفسر در بیان پیام‌های اخلاقی و تربیتی و در مقام برجسته کردن آن با روش‌های گوناگون به استنباط یا بیان آن می‌پردازد که از نظر او از اهداف اساسی قرآن برای رسیدن به سعادت و تعالی و قرب به پروردگار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کاوش دربارۀ روش‌های مختلف این گرایش به مناسبت تفسیرپژوهی ایشان، کمک می‌کند که ادبیات این دانش غنی‌تر شود و از رهگذر آشنایی با روش‌های آن در جهت تقویت معنویت و اخلاق در ادبیات دینی کمک گرفته شود، و در تفسیرپژوهی‌های دیگر مفسران به کار گرفته شود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گرایش تربیتی و اخلاقی، مشکینی، تفسیر المبسوط، تفسیر روان، تفسیر سورۀ ص</w:t>
      </w:r>
      <w:r>
        <w:rPr>
          <w:rFonts w:eastAsia="IRNazanin" w:cs="IRNazanin"/>
          <w:color w:val="111111"/>
          <w:sz w:val="28"/>
          <w:szCs w:val="28"/>
          <w:rtl w:val="true"/>
          <w:lang w:bidi="fa-IR"/>
        </w:rPr>
        <w:t>.</w:t>
      </w:r>
      <w:bookmarkStart w:id="104" w:name="pg14517_146173"/>
    </w:p>
    <w:p>
      <w:pPr>
        <w:pStyle w:val="Heading3"/>
        <w:numPr>
          <w:ilvl w:val="2"/>
          <w:numId w:val="1"/>
        </w:numPr>
        <w:rPr/>
      </w:pPr>
      <w:bookmarkStart w:id="105" w:name="__RefHeading___Toc39676_1878427129"/>
      <w:bookmarkStart w:id="106" w:name="_Toc40"/>
      <w:bookmarkEnd w:id="104"/>
      <w:bookmarkEnd w:id="105"/>
      <w:r>
        <w:rPr>
          <w:rtl w:val="true"/>
        </w:rPr>
        <w:t>مقدمه</w:t>
      </w:r>
      <w:bookmarkEnd w:id="106"/>
    </w:p>
    <w:p>
      <w:pPr>
        <w:pStyle w:val="BookText"/>
        <w:rPr/>
      </w:pPr>
      <w:r>
        <w:rPr>
          <w:rFonts w:ascii="IRNazanin" w:hAnsi="IRNazanin" w:eastAsia="IRNazanin"/>
          <w:color w:val="111111"/>
          <w:sz w:val="28"/>
          <w:sz w:val="28"/>
          <w:szCs w:val="28"/>
          <w:rtl w:val="true"/>
          <w:lang w:bidi="fa-IR"/>
        </w:rPr>
        <w:t>گرایش تربیتی و اخلاقی در تفسیر قرآن، سابقۀ بسیار دارد و از گرایش‌های مهم و تأثیرگذار در روند دانش در دوره‌های گوناگون، در قالب تفسیرهای عرفانی و اخلاقی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نقطۀ تمرکز این گرایش، توجه به ضرورت تحول معنوی است که در آن، مفسر با رویکردی خاص به بیان حقایق درونی انسان از منظر قرآن می‌پردازد و دسته‌ای از مباحث این کتاب را با مبانی و اهداف تربیتی و با زبان ویژه، کشف، تحلیل و بیان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مفسر این اتجاه، در پی یافتن راه حل مشکلات معنوی و اخلاقی فردی در گذشته با استناد به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گرایش دارای روش‌های متنوعی در میان مفسران بوده و در دورۀ معاصر برخی از آنان شیوه‌های مناسب این قرن را برگزیده‌اند؛ به این معنا که از سویی دربردارندۀ نگاه اجتماعی، و از سوی دیگر متناسب با زبان مخاطبان امروز شیوۀ تحلیلی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ویژگی‌های تفسیر آیت‌اللّه مشکینی، گرایش تربیتی و اخلاقی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مشکل این گرایش آن است که عرض و طول بسیار دارد و در میان جریانات تفسیری و فرق و ملل، افراط و تفریطِ بسیار شده و از روش‌های غیرعلمی استفاده شده که نیازمند آشنایی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شک، آشنایی با این گرایش به مناسبت تفسیرپژوهی یکی از شخصیت‌های تفسیری معاصر و تعیین جایگاه این تفسیر، کمک می‌کند که ادبیات این دانش غنی‌تر شود و روش‌های آن در جهت معنویت و اخلاق تقویت شود؛ زیرا امروز ما از هر زمان دیگری به آن محتاج‌تریم و کمبود آن را با همۀ ترویج‌های رسمی و رواج روش‌های خواب‌گرایی و کشف‌نمایی و ظهور شخصیت‌های خلق‌الساعۀ اخلاقی، احساس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می‌توان امید بست که این جریان با روش معقول و مستند به وحی توسعه و تعمیق یابد و مرز میان این روش‌ها با روش‌های مروج خرافات و بدعت‌های دینی و غیرعقلانی مشخص شود</w:t>
      </w:r>
      <w:r>
        <w:rPr>
          <w:rFonts w:eastAsia="IRNazanin" w:cs="IRNazanin"/>
          <w:color w:val="111111"/>
          <w:sz w:val="28"/>
          <w:szCs w:val="28"/>
          <w:rtl w:val="true"/>
          <w:lang w:bidi="fa-IR"/>
        </w:rPr>
        <w:t>.</w:t>
      </w:r>
    </w:p>
    <w:p>
      <w:pPr>
        <w:pStyle w:val="Heading3"/>
        <w:numPr>
          <w:ilvl w:val="2"/>
          <w:numId w:val="1"/>
        </w:numPr>
        <w:rPr/>
      </w:pPr>
      <w:bookmarkStart w:id="107" w:name="__RefHeading___Toc39678_1878427129"/>
      <w:bookmarkStart w:id="108" w:name="_Toc41"/>
      <w:bookmarkEnd w:id="107"/>
      <w:r>
        <w:rPr>
          <w:rtl w:val="true"/>
        </w:rPr>
        <w:t>تعریف گرایش</w:t>
      </w:r>
      <w:bookmarkEnd w:id="108"/>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دربارۀ این گرایش، گفته شده جهت‌گیری‌ای است که در آن، مفسر به استنباط و بیان</w:t>
      </w:r>
    </w:p>
    <w:p>
      <w:pPr>
        <w:pStyle w:val="BookText"/>
        <w:rPr/>
      </w:pPr>
      <w:r>
        <w:rPr>
          <w:rFonts w:ascii="IRNazanin" w:hAnsi="IRNazanin" w:eastAsia="IRNazanin"/>
          <w:color w:val="111111"/>
          <w:sz w:val="28"/>
          <w:sz w:val="28"/>
          <w:szCs w:val="28"/>
          <w:rtl w:val="true"/>
          <w:lang w:bidi="fa-IR"/>
        </w:rPr>
        <w:t>پیام‌های اخلاقی و تربیتی می‌پردازد و در مقام برجسته کردن آن معارف و معانی است که از نظر او از اهداف اساسی قرآن برای رسیدن به سعادت و تعالی و قرب به پروردگار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مفسر این گرایش، با روش‌های گوناگون اهتمام دارد تا وجدان و درون انسان را بیدار کند و حجاب‌های ظلمانی را از صفحۀ دل او بزداید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وی آن است که نور فطری و هدایت وجدانی بر صفحۀ قلب انسانِ مخاطبِ این کتاب بتابد و بر راه حقیقی و تعالیم متعالی رهنمون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مفسر این گرایش می‌کوشد تا استدلال‌های قرآنی برای تشویق مخاطب به تربیت نفس و سیروسلوک و اصلاح خود و جامعه را برجسته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کار مفسر این گرایش با تبیین آیات قرآن، هدفمند و ترویجی است و فقط کشف و پرده‌برداری از مشکلات قرآن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کار خود می‌خواهد راه‌ها و روش‌هایی برای مهار نفس و رهایی از غرایز در زندگی بشر را نشان دهد که در قرآن به زبان عمومی بیان شده است؛ مانند کنترل غرایز و شهوات، چگونگی تربیت نفس، و توجه به مبدیی که او را نسبت به رفتارهای خود حساس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دستورالعمل‌ها، گاه آن‌چنان فشرده و ساده بیان شده که انسان را از این نکته غافل می‌کند که در مقام ارائۀ نظامی اخلاقی و تربیتی و تعریف نوعی جهان‌بینی اخلاقی است</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مفسران این گرایش، دو گروه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که آن را در قالب راه‌ها و روش‌های تربیتی قرار می‌دهند؛ و گروه فیلسوفان اخلاق اسلامی، که با تفسیرهایی که در این محورها انجام داده‌اند، آن را در دستگاه استدلال و برهان خاص ریخته و برای اثبات آن‌ها از زبانی مخصوص این علم بهره گرفته و میان آن استدلال‌ها و معارف قرآن، نوعی تطبیق پدید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باید به این نکته تأکید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مفسری از گرایشی اخلاقی متأثر است، به این معنا نیست که احیاناً برخی مباحث اخلاقی و سیروسلوکی را مطرح می‌کند؛ زیرا این جهت را ممکن است همۀ تفاسیر داشته باشند؛ بلکه به این معناست که روح حاکم و جلوۀ قویِ تفسیر را این بُعد با توجه به روش‌های گوناگون تشکیل می‌دهد</w:t>
      </w:r>
      <w:r>
        <w:rPr>
          <w:rFonts w:eastAsia="IRNazanin" w:cs="IRNazanin"/>
          <w:color w:val="111111"/>
          <w:sz w:val="28"/>
          <w:szCs w:val="28"/>
          <w:rtl w:val="true"/>
          <w:lang w:bidi="fa-IR"/>
        </w:rPr>
        <w:t>.</w:t>
      </w:r>
      <w:bookmarkStart w:id="109" w:name="pg14517_146175"/>
    </w:p>
    <w:p>
      <w:pPr>
        <w:pStyle w:val="BookText"/>
        <w:rPr/>
      </w:pPr>
      <w:bookmarkEnd w:id="109"/>
      <w:r>
        <w:rPr>
          <w:rFonts w:ascii="IRNazanin" w:hAnsi="IRNazanin" w:eastAsia="IRNazanin"/>
          <w:color w:val="111111"/>
          <w:sz w:val="28"/>
          <w:sz w:val="28"/>
          <w:szCs w:val="28"/>
          <w:rtl w:val="true"/>
          <w:lang w:bidi="fa-IR"/>
        </w:rPr>
        <w:t xml:space="preserve">البته بحث دربارۀ دلایل و عوامل این گرایش به مثابۀ یکی از صبغه‌های تفسیری، فرصتی مستقل می‌طلبد، مانند آنچه دربارۀ تفاسیر صوفی یا تفاسیر اجتماعی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سیاسی و یا تفاسیر عرفانی گفته می‌شود؛ اما بدون شک، شخصیت روحی و روانی و محیط تربیتی و سیر زندگی و استادان و مربیان و پیش‌ذهنیت‌های مفسر و اوضاع تاریخی و مسائل محیطی، تأثیر بسزایی در گرایش به این صبغه‌ها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تردید جلوۀ اخلاقی، از نمودهای بارز گرایشیِ این شخصیت تفسیری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ذهن و اندیشۀ مفسر به این گرایش مشغول بوده است، کمتر مناسبت و بحث تفسیری پیش می‌آید که به گونه‌ای به بُعد اخلاقی و تربیتی آن اشاره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مباحث شامل موضوع اخلاق نظری و عملی، عرفان و انسان‌شناسی و رفتارهای اخلاقی انسان و جزا و پاداش‌های آن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 از بررسی این روش، بایسته است که به کلیاتی دربارۀ این تفسیر و آشنایی با نوشته‌های گوناگون قرآنی ایشان، به‌ویژه تفسیر مبسوط بپردازم</w:t>
      </w:r>
      <w:r>
        <w:rPr>
          <w:rFonts w:eastAsia="IRNazanin" w:cs="IRNazanin"/>
          <w:color w:val="111111"/>
          <w:sz w:val="28"/>
          <w:szCs w:val="28"/>
          <w:rtl w:val="true"/>
          <w:lang w:bidi="fa-IR"/>
        </w:rPr>
        <w:t>.</w:t>
      </w:r>
    </w:p>
    <w:p>
      <w:pPr>
        <w:pStyle w:val="Heading3"/>
        <w:numPr>
          <w:ilvl w:val="2"/>
          <w:numId w:val="1"/>
        </w:numPr>
        <w:rPr/>
      </w:pPr>
      <w:bookmarkStart w:id="110" w:name="__RefHeading___Toc39680_1878427129"/>
      <w:bookmarkStart w:id="111" w:name="_Toc42"/>
      <w:bookmarkEnd w:id="110"/>
      <w:r>
        <w:rPr>
          <w:rtl w:val="true"/>
        </w:rPr>
        <w:t>آشنایی با آثار قرآنی</w:t>
      </w:r>
      <w:bookmarkEnd w:id="111"/>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آیت‌اللّه مشکینی، در کنار بیش از بیست کتاب، به مباحث قرآنی و تفسیری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چهار اثر قرآنی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روان، تفسیر سورۀ آل عمران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المبسوط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تفسیر سورۀ صاد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بخشی از مسائل حکومتی هم در آن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ترجمۀ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سورۀ صاد قبل از پیروزی انقلاب نوشته شده است و شاید تفسیر سورۀ آل عمران هم مربوط به همان زمان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متن تفسیر سورۀ صاد برمی‌آید که مخاطبان آن، عموم مردم و نیز طلاب و حوزویان شهر زنجان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ماه رمضانی را قبل از انقلاب، مهمان مردم این شهر بودند و از این فرصت استفاده کردند و تفسیر سورۀ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مطرح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یادداشت‌های آن جلسات، به صورت کتاب درآمده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تفسیر چون پیش از انقلاب بوده است، به‌مناسبت به بحث‌های روز اشاره کرده‌اند و گاه با کمترین ارتباط با آیه، آنچه بیانش را برای مردم لازم می‌دانستند، دور از توجه مأموران دولتی، در لباس تفسیر بیان کرده‌اند</w:t>
      </w:r>
      <w:r>
        <w:rPr>
          <w:rFonts w:eastAsia="IRNazanin" w:cs="IRNazanin"/>
          <w:color w:val="111111"/>
          <w:sz w:val="28"/>
          <w:szCs w:val="28"/>
          <w:rtl w:val="true"/>
          <w:lang w:bidi="fa-IR"/>
        </w:rPr>
        <w:t>.</w:t>
      </w:r>
      <w:bookmarkStart w:id="112" w:name="pg14517_146176"/>
    </w:p>
    <w:p>
      <w:pPr>
        <w:pStyle w:val="BookText"/>
        <w:rPr/>
      </w:pPr>
      <w:bookmarkEnd w:id="112"/>
      <w:r>
        <w:rPr>
          <w:rFonts w:ascii="IRNazanin" w:hAnsi="IRNazanin" w:eastAsia="IRNazanin"/>
          <w:color w:val="111111"/>
          <w:sz w:val="28"/>
          <w:sz w:val="28"/>
          <w:szCs w:val="28"/>
          <w:rtl w:val="true"/>
          <w:lang w:bidi="fa-IR"/>
        </w:rPr>
        <w:t>از سوی دیگر در موضوع قرآن نیز، پس از تفسیر می‌توان به ترجمۀ قرآن ایشان اشاره کرد که در سال‌های آخر عمر ایشان بوده، چنان‌که تفسیر روان ایشان چنین بوده و متأسفانه تفسیر روان به پایان نرسید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حیات ایشان، تا جزء هجده قرآن، در پنج جلد نوشته شد و فاضل محترم، حسین استادولی که ویراستار ترجمۀ قرآن ایشان هم بودند، آن را تصحیح و آمادۀ انتشار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با تصمیم بنیاد آیت‌اللّه مشکینی، مقرر شد ادامۀ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شیوه‌ای که در آغاز جلد ششم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قلم آیت‌اللّه استادی نگارش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 دیگر بسیاری از آثار آیت‌اللّه مشکینی، در پاسخ به نیازهای حوزه و بعضاً جامعه نگارش یافته است؛ مثل تلخیص رسائل و اصطلاحات الاصول، و تفسیر و ترجمۀ قرآنکه ساده‌سازی و فهم بیشتر قرآن را در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ایشان برای اینکه خودْ بیشتر از قرآن بهره‌مند شود و به دیگران نیز فیض برساند، بخشی از فرصت‌های خود را به این کار اختصاص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تفسیر سورۀ آل عمران با نام تفسیر المبسوط، تفسیری علمی و آکادمیک است و به زبان عربی تألیف شده و به جز برخی مباحث آن، کوتاه و فشرده است و با زبان حوزوی مناسبت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تفسیر، حاصل تدریس مؤلف گرامی آن در جمع شاگردان و علاقمه‌مندان از میان طلاب است و نگارش آن در شهر مقدس قم آغاز شده است و نخستین جلد آن، در سال </w:t>
      </w:r>
      <w:r>
        <w:rPr>
          <w:rFonts w:eastAsia="IRNazanin" w:cs="IRNazanin"/>
          <w:color w:val="111111"/>
          <w:sz w:val="28"/>
          <w:szCs w:val="28"/>
          <w:lang w:bidi="fa-IR"/>
        </w:rPr>
        <w:t>1402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چاپ شده است</w:t>
      </w:r>
      <w:r>
        <w:rPr>
          <w:rFonts w:eastAsia="IRNazanin" w:cs="IRNazanin"/>
          <w:color w:val="111111"/>
          <w:sz w:val="28"/>
          <w:szCs w:val="28"/>
          <w:rtl w:val="true"/>
          <w:lang w:bidi="fa-IR"/>
        </w:rPr>
        <w:t>.</w:t>
      </w:r>
    </w:p>
    <w:p>
      <w:pPr>
        <w:pStyle w:val="Heading3"/>
        <w:numPr>
          <w:ilvl w:val="2"/>
          <w:numId w:val="1"/>
        </w:numPr>
        <w:rPr/>
      </w:pPr>
      <w:bookmarkStart w:id="113" w:name="__RefHeading___Toc39682_1878427129"/>
      <w:bookmarkStart w:id="114" w:name="_Toc43"/>
      <w:bookmarkEnd w:id="113"/>
      <w:r>
        <w:rPr>
          <w:rtl w:val="true"/>
        </w:rPr>
        <w:t>ترجمه نگاری تفسیر</w:t>
      </w:r>
      <w:bookmarkEnd w:id="114"/>
    </w:p>
    <w:p>
      <w:pPr>
        <w:pStyle w:val="BookText"/>
        <w:rPr/>
      </w:pPr>
      <w:r>
        <w:rPr>
          <w:rFonts w:ascii="IRNazanin" w:hAnsi="IRNazanin" w:eastAsia="IRNazanin"/>
          <w:color w:val="111111"/>
          <w:sz w:val="28"/>
          <w:sz w:val="28"/>
          <w:szCs w:val="28"/>
          <w:rtl w:val="true"/>
          <w:lang w:bidi="fa-IR"/>
        </w:rPr>
        <w:t>چنان‌که یادآور شدیم، بخش نخست تفسیر روان را ترجمۀ آیات تشکیل می‌دهد؛ ترجمه‌ای که می‌تواند به طور مستقل چاپ شود و مورد توجه قرار گیرد و یکی از ترجمه‌های فارسی قرآن دوران معاصر محسوب گردد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 آوردن معانی برابر کلمات قرآن به زبان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حقیقت آن است که آوردن کلمات و جملاتی که گویای معانی بلند و بلیغ قرآن باشد، بسیار مشکل و دشوار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روی، بیشترِ ترجمه‌های موجود، آمیخته با تفسیر است؛</w:t>
      </w:r>
      <w:bookmarkStart w:id="115" w:name="pg14517_146177"/>
    </w:p>
    <w:p>
      <w:pPr>
        <w:pStyle w:val="BookText"/>
        <w:rPr/>
      </w:pPr>
      <w:bookmarkEnd w:id="115"/>
      <w:r>
        <w:rPr>
          <w:rFonts w:ascii="IRNazanin" w:hAnsi="IRNazanin" w:eastAsia="IRNazanin"/>
          <w:color w:val="111111"/>
          <w:sz w:val="28"/>
          <w:sz w:val="28"/>
          <w:szCs w:val="28"/>
          <w:rtl w:val="true"/>
          <w:lang w:bidi="fa-IR"/>
        </w:rPr>
        <w:t>زیرا چنین امکانی نیست که دقیقاً معانی و مفاهیم سخنان خداوند را در محدودۀ واژگان معین در برابر قرآن و در قالب پیام قرآن قرار دهیم بدون آنکه کلماتی در توضیح آن بیفزاییم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دشواری در باب ترجمۀ مثال‌ها، تشبیهات و مفاهیم اعتقادی افزون‌تر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بدین‌جهت در ترجمۀ آیت‌اللّه مشکینی، ویژگی مهم این است که ترجمه، دارای روانی و روشن بودن مفاهیم و پیام آیه است و مفسر با افزودن برخی توضیحات، خلاصۀ دیدگاه خود را در تفسیر آیه و مجموع بحث ارائه می‌دهد و ضمایر و قیود کلام را مشخص می‌کند و در قالب و شکل‌بندی جملات عربی قرار نمی‌گیرد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جهت این ترجمه از نظر شیوۀ ارزیابی ترجمه‌ها، قابل توجه است</w:t>
      </w:r>
      <w:r>
        <w:rPr>
          <w:rFonts w:eastAsia="IRNazanin" w:cs="IRNazanin"/>
          <w:color w:val="111111"/>
          <w:sz w:val="28"/>
          <w:szCs w:val="28"/>
          <w:rtl w:val="true"/>
          <w:lang w:bidi="fa-IR"/>
        </w:rPr>
        <w:t>.</w:t>
      </w:r>
    </w:p>
    <w:p>
      <w:pPr>
        <w:pStyle w:val="Heading3"/>
        <w:numPr>
          <w:ilvl w:val="2"/>
          <w:numId w:val="1"/>
        </w:numPr>
        <w:rPr/>
      </w:pPr>
      <w:bookmarkStart w:id="116" w:name="__RefHeading___Toc39684_1878427129"/>
      <w:bookmarkStart w:id="117" w:name="_Toc44"/>
      <w:bookmarkEnd w:id="116"/>
      <w:r>
        <w:rPr>
          <w:rtl w:val="true"/>
        </w:rPr>
        <w:t>شیوۀ تفسیری</w:t>
      </w:r>
      <w:bookmarkEnd w:id="117"/>
    </w:p>
    <w:p>
      <w:pPr>
        <w:pStyle w:val="Heading4"/>
        <w:numPr>
          <w:ilvl w:val="3"/>
          <w:numId w:val="1"/>
        </w:numPr>
        <w:rPr/>
      </w:pPr>
      <w:bookmarkStart w:id="118" w:name="__RefHeading___Toc39686_1878427129"/>
      <w:bookmarkStart w:id="119" w:name="_Toc45"/>
      <w:bookmarkEnd w:id="118"/>
      <w:r>
        <w:rPr>
          <w:rtl w:val="true"/>
        </w:rPr>
        <w:t>اشاره</w:t>
      </w:r>
      <w:bookmarkEnd w:id="119"/>
    </w:p>
    <w:p>
      <w:pPr>
        <w:pStyle w:val="BookText"/>
        <w:rPr/>
      </w:pPr>
      <w:r>
        <w:rPr>
          <w:rFonts w:ascii="IRNazanin" w:hAnsi="IRNazanin" w:eastAsia="IRNazanin"/>
          <w:color w:val="111111"/>
          <w:sz w:val="28"/>
          <w:sz w:val="28"/>
          <w:szCs w:val="28"/>
          <w:rtl w:val="true"/>
          <w:lang w:bidi="fa-IR"/>
        </w:rPr>
        <w:t xml:space="preserve">روش نگارش این تفسیر چنین است که پس از ذکر نام سوره و احیاناً تعداد آیات و مدنی و مکی بودن سوره، آیه یا چند آیۀ هم‌موضوع و وابسته به یکدیگر را نگاشته، سپس زیر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ترجمانی از آیه را به ترتیب آیات بیان می‌کند و آنگاه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آیات کریمه را تفسیر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بخش، رابطۀ آیۀ پیشین را با آیات پسین شرح داده و سپس آیه را به چند جملۀ مجزا از یکدیگر درآورده و هریک از آن قسمت‌ها را از نظر قواعد ادبیِ صرف و نحو، بلاغت و لغت مورد بحث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تبیین و توضیح مفاد آیه می‌پردازد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ویژگی این تفسیر، در گرایش به تفسیر اخلاقی و تربیتی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گرایش در میان مفسران با روش‌های گوناگون صورت می‌گیرد و گاه مفسر، از همۀ این روش‌ها برای مطلوب خود استفاده می‌کند و گاه یک روش در میان روش‌ها برجسته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به‌هرحال مناسب است که این روش‌ها بیان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روش‌های تربیتی در میان مفسران به شرح ذیل است</w:t>
      </w:r>
      <w:r>
        <w:rPr>
          <w:rFonts w:eastAsia="IRNazanin" w:cs="IRNazanin"/>
          <w:color w:val="111111"/>
          <w:sz w:val="28"/>
          <w:szCs w:val="28"/>
          <w:rtl w:val="true"/>
          <w:lang w:bidi="fa-IR"/>
        </w:rPr>
        <w:t>:</w:t>
      </w:r>
    </w:p>
    <w:p>
      <w:pPr>
        <w:pStyle w:val="Heading4"/>
        <w:numPr>
          <w:ilvl w:val="3"/>
          <w:numId w:val="1"/>
        </w:numPr>
        <w:rPr/>
      </w:pPr>
      <w:bookmarkStart w:id="120" w:name="__RefHeading___Toc39688_1878427129"/>
      <w:bookmarkStart w:id="121" w:name="_Toc46"/>
      <w:bookmarkEnd w:id="120"/>
      <w:r>
        <w:rPr/>
        <w:t>1</w:t>
      </w:r>
      <w:r>
        <w:rPr>
          <w:rtl w:val="true"/>
        </w:rPr>
        <w:t xml:space="preserve">. </w:t>
      </w:r>
      <w:r>
        <w:rPr>
          <w:rtl w:val="true"/>
        </w:rPr>
        <w:t>روش استنادی و استدلالی</w:t>
      </w:r>
      <w:bookmarkEnd w:id="121"/>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منظور از این روش، در گرایش تربیتی، تبیین موضوع و آوردن دلیل برای اثبات موضوعی اخلاقی و تربیتی و پاسخ دادن به شبهات احتمالی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این</w:t>
      </w:r>
    </w:p>
    <w:p>
      <w:pPr>
        <w:pStyle w:val="BookText"/>
        <w:rPr/>
      </w:pPr>
      <w:r>
        <w:rPr>
          <w:rFonts w:ascii="IRNazanin" w:hAnsi="IRNazanin" w:eastAsia="IRNazanin"/>
          <w:color w:val="111111"/>
          <w:sz w:val="28"/>
          <w:sz w:val="28"/>
          <w:szCs w:val="28"/>
          <w:rtl w:val="true"/>
          <w:lang w:bidi="fa-IR"/>
        </w:rPr>
        <w:t>روش، اثبات و روشن کردن موضوعی انسانی و تربیتی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موضوعات که به مناسبت تفسیر آیه مطرح می‌شود، گاه در قالب سؤال و شبهه‌ای بیان می‌شود، و گاه برای توضیح موضوعی قرآنی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فاضل نراقی با استناد به آیۀ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نساء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شریعت حکم کرده که اجتناب از گناهان کبیره، کفارۀ گناهان صغیره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اجتناب از کبیره، زمانی کفارۀ صغیره می‌شود که با اراده و قدرت، آن را برای خدا ترک کند؛ نه آنکه قدرت بر آن نداشته باشد، یا از راه ترس مردم یا حفظ آبرو یا به جهت عدم شوق و رغبت، آن را انجام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اجتنابی کفارۀ گناه صغیره نمی‌شود</w:t>
      </w:r>
      <w:r>
        <w:rPr>
          <w:rFonts w:eastAsia="IRNazanin" w:cs="IRNazanin"/>
          <w:color w:val="111111"/>
          <w:sz w:val="28"/>
          <w:szCs w:val="28"/>
          <w:rtl w:val="true"/>
          <w:lang w:bidi="fa-IR"/>
        </w:rPr>
        <w:t>».</w:t>
      </w:r>
      <w:r>
        <w:rPr>
          <w:rStyle w:val="FootnoteAnchor"/>
          <w:rtl w:val="true"/>
        </w:rPr>
        <w:footnoteReference w:id="5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معراج السعاده، ص </w:t>
      </w:r>
      <w:r>
        <w:rPr>
          <w:rFonts w:eastAsia="IRNazanin" w:cs="IRNazanin"/>
          <w:color w:val="111111"/>
          <w:sz w:val="28"/>
          <w:szCs w:val="28"/>
          <w:lang w:bidi="fa-IR"/>
        </w:rPr>
        <w:t>663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باید از گناه کبیره پرهیز کرد و از تبدیل گناه صغیره به کبیره برحذر بود؛ زیرا گناه کبیره به پنج دلیل به گناه کبیره تبدیل می‌شود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اصرار بر گناه، به معنای مکرر مرتکب آن شدن؛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حقیر شمردن آن؛ زیرا هر گناهی را که اندک شماری، نزد خدا عظیم می‌شود؛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شاد شدن به انجام دادن آن گناه، یا قدرت یافتن بر انجام دادن آن؛ مثل اینکه کسی مسلمانی را خجل یا مغبون کند و بگوید دیدی او را چگونه رسوا کردم یا خجل ساختم یا مغبون نمودم؛ و به این دلشاد باشد؛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گناهی را که مرتکب شده، بدون جهت شرعی در نزد کسی که مطلع نیست، اظهار کند؛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شخص گناهکار، کسی باشد که مردم به او اعتماد داشته، از او پیروی کنند و او گناه صغیره انجام دهد که مردم بر آن مطلع شوند و وقع و زشتی آن گناه در نظر ایشان کم شود؛ مثل اینکه عالمی لباس ابریشم بپوشد یا مسخرگی کند، یا در مجمع معصیت بنشیند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آیت‌اللّه مشکینی در تفسیر آیۀ شریفه در توجه به خاطره و ذهن بیان کرده است</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یَعْزُبُ عَنْهُ مِثْقالُ ذَرَّةٍ فی السَّماواتِ وَ لا فی اْلأَرْضِ وَ لا أصْغَرُ مِنْ ذلِکَ وَ لا أکْبَرُ إلاّ فی کِتابٍ مُبینٍ</w:t>
      </w:r>
      <w:r>
        <w:rPr>
          <w:rFonts w:eastAsia="Amiri" w:cs="Amiri" w:ascii="Amiri" w:hAnsi="Amiri"/>
          <w:color w:val="111111"/>
          <w:sz w:val="28"/>
          <w:szCs w:val="28"/>
          <w:rtl w:val="true"/>
          <w:lang w:bidi="ar-SA"/>
        </w:rPr>
        <w:t>».</w:t>
      </w:r>
      <w:r>
        <w:rPr>
          <w:rStyle w:val="FootnoteAnchor"/>
          <w:rtl w:val="true"/>
        </w:rPr>
        <w:footnoteReference w:id="51"/>
      </w:r>
      <w:r>
        <w:rPr>
          <w:rFonts w:ascii="IRNazanin" w:hAnsi="IRNazanin" w:eastAsia="IRNazanin"/>
          <w:color w:val="111111"/>
          <w:sz w:val="28"/>
          <w:sz w:val="28"/>
          <w:szCs w:val="28"/>
          <w:rtl w:val="true"/>
          <w:lang w:bidi="fa-IR"/>
        </w:rPr>
        <w:t>ایشان در تفسیر این آیه، در ابتدا به این نکته توجه می‌دهد که منظور از علم خداوند به کارهای خوب و بد انسان چیست؛ علمی که بر اساس آن خداوند به نیکان و بدکاران پاداش و کیفر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می‌گوید این آیه در سیاق آیاتی چون</w:t>
      </w:r>
    </w:p>
    <w:p>
      <w:pPr>
        <w:pStyle w:val="BookText"/>
        <w:rPr/>
      </w:pPr>
      <w:r>
        <w:rPr>
          <w:rFonts w:ascii="Amiri" w:hAnsi="Amiri" w:eastAsia="Amiri" w:cs="Amiri"/>
          <w:color w:val="111111"/>
          <w:sz w:val="28"/>
          <w:sz w:val="28"/>
          <w:szCs w:val="28"/>
          <w:rtl w:val="true"/>
          <w:lang w:bidi="ar-SA"/>
        </w:rPr>
        <w:t>این آیه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لِلّهِ ما فی السَّماواتِ وَ ما فی اْلأَرْضِ وَ إنْ تُبْدُوا ما فی أنْفُسِکُمْ أوْ تُخْفُوهُ یُحاسِبْکُمْ بِهِ اللّهُ فَیَغْفِرُ لِمَنْ یَشاءُ وَ یُعَذِّبُ مَنْ یَشاءُ وَ اللّهُ عَلی کُلِّ شَیْءٍ قَدیرٌ</w:t>
      </w:r>
      <w:r>
        <w:rPr>
          <w:rFonts w:eastAsia="Amiri" w:cs="Amiri" w:ascii="Amiri" w:hAnsi="Amiri"/>
          <w:color w:val="111111"/>
          <w:sz w:val="28"/>
          <w:szCs w:val="28"/>
          <w:rtl w:val="true"/>
          <w:lang w:bidi="ar-SA"/>
        </w:rPr>
        <w:t>».</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 xml:space="preserve">بقره، آیۀ </w:t>
      </w:r>
      <w:r>
        <w:rPr>
          <w:rFonts w:eastAsia="IRNazanin" w:cs="IRNazanin"/>
          <w:color w:val="111111"/>
          <w:sz w:val="28"/>
          <w:szCs w:val="28"/>
          <w:lang w:bidi="fa-IR"/>
        </w:rPr>
        <w:t>284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مشکل این دسته از آیات، این است که چگونه خداوند با علم خود به درون انسان و آنچه در ذهن می‌گذرد، که بسا اختیاری و در ارادۀ انسان نیست، کیفر می‌دهد که از ملکات نفسانی و خواطر شیطانی است‌؟ آیا ممکن نیست که گفته شود این آیات ناظر به اعمال انسان است و نه خواسته‌ها و نیت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الاُولی أن نقول فی المقام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الآیة المبحوث عنها باق علی عمومها بالنسبة إلی الخواطر و العقائد و الملکات، فعلمه تعالی شامل للجمیع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این پرسش را مطرح می‌کند که کیفر بر عمل است و کسی که در ذهن خود کار زشتی را تصور می‌کند، چگونه محاسبه می‌شود؟ چون می‌دانیم که عقاب بر خواطر مطلقاً مترتب نمی‌شود، پس گویی خارج از سیاق این آیه است‌؟ ایشان در آغاز، در مقام احتمال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لا یبعد القول بترتّب الثواب و العقاب علی النیّة، أی القصد و الارادة من بین الخواطر؛ اذ قد یظهر من عدّة أخبار و من بعض الآیات أیضا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همان‌طورکه برخی آن را نقل کرده‌اند، مانند علامه شیخ انصاری در رسائل</w:t>
      </w:r>
      <w:r>
        <w:rPr>
          <w:rFonts w:eastAsia="IRNazanin" w:cs="IRNazanin"/>
          <w:color w:val="111111"/>
          <w:sz w:val="28"/>
          <w:szCs w:val="28"/>
          <w:rtl w:val="true"/>
          <w:lang w:bidi="fa-IR"/>
        </w:rPr>
        <w:t>.</w:t>
      </w:r>
      <w:r>
        <w:rPr>
          <w:rStyle w:val="FootnoteAnchor"/>
          <w:rtl w:val="true"/>
        </w:rPr>
        <w:footnoteReference w:id="53"/>
      </w:r>
      <w:r>
        <w:rPr>
          <w:rFonts w:ascii="IRNazanin" w:hAnsi="IRNazanin" w:eastAsia="IRNazanin"/>
          <w:color w:val="111111"/>
          <w:sz w:val="28"/>
          <w:sz w:val="28"/>
          <w:szCs w:val="28"/>
          <w:rtl w:val="true"/>
          <w:lang w:bidi="fa-IR"/>
        </w:rPr>
        <w:t>به دلیل برخی از روایات که نیت مؤمن را ارزش‌گذاری کرده و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نیّة المؤمن خیر من علمه، و نیّة الکافر شرّ من علمه</w:t>
      </w:r>
      <w:r>
        <w:rPr>
          <w:rFonts w:eastAsia="IRNazanin" w:cs="IRNazanin"/>
          <w:color w:val="111111"/>
          <w:sz w:val="28"/>
          <w:szCs w:val="28"/>
          <w:rtl w:val="true"/>
          <w:lang w:bidi="fa-IR"/>
        </w:rPr>
        <w:t>»</w:t>
      </w:r>
      <w:r>
        <w:rPr>
          <w:rStyle w:val="FootnoteAnchor"/>
          <w:rtl w:val="true"/>
        </w:rPr>
        <w:footnoteReference w:id="54"/>
      </w:r>
      <w:r>
        <w:rPr>
          <w:rFonts w:ascii="IRNazanin" w:hAnsi="IRNazanin" w:eastAsia="IRNazanin"/>
          <w:color w:val="111111"/>
          <w:sz w:val="28"/>
          <w:sz w:val="28"/>
          <w:szCs w:val="28"/>
          <w:rtl w:val="true"/>
          <w:lang w:bidi="fa-IR"/>
        </w:rPr>
        <w:t>یا فرموده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عز و جل ما یحشر الناس علی نیّاتهم</w:t>
      </w:r>
      <w:r>
        <w:rPr>
          <w:rFonts w:eastAsia="IRNazanin" w:cs="IRNazanin"/>
          <w:color w:val="111111"/>
          <w:sz w:val="28"/>
          <w:szCs w:val="28"/>
          <w:rtl w:val="true"/>
          <w:lang w:bidi="fa-IR"/>
        </w:rPr>
        <w:t>»</w:t>
      </w:r>
      <w:r>
        <w:rPr>
          <w:rStyle w:val="FootnoteAnchor"/>
          <w:rtl w:val="true"/>
        </w:rPr>
        <w:footnoteReference w:id="55"/>
      </w:r>
      <w:r>
        <w:rPr>
          <w:rFonts w:ascii="IRNazanin" w:hAnsi="IRNazanin" w:eastAsia="IRNazanin"/>
          <w:color w:val="111111"/>
          <w:sz w:val="28"/>
          <w:sz w:val="28"/>
          <w:szCs w:val="28"/>
          <w:rtl w:val="true"/>
          <w:lang w:bidi="fa-IR"/>
        </w:rPr>
        <w:t>خداوند در روز قیامت مردم را بر اساس نیت‌های آنان محشور می‌کند، یا در علت ابدی قرار گرفتن و خلود اهل نار و اهل جنّت روایت رسیده که عزم هر دو طائفه این است که تا وقتی در دنیا باشند، خوبان بر خوبی و بدکاران بر بدی خود ثبات داشته باشند؛</w:t>
      </w:r>
      <w:r>
        <w:rPr>
          <w:rStyle w:val="FootnoteAnchor"/>
          <w:rtl w:val="true"/>
        </w:rPr>
        <w:footnoteReference w:id="56"/>
      </w:r>
      <w:r>
        <w:rPr>
          <w:rFonts w:ascii="IRNazanin" w:hAnsi="IRNazanin" w:eastAsia="IRNazanin"/>
          <w:color w:val="111111"/>
          <w:sz w:val="28"/>
          <w:sz w:val="28"/>
          <w:szCs w:val="28"/>
          <w:rtl w:val="true"/>
          <w:lang w:bidi="fa-IR"/>
        </w:rPr>
        <w:t>و روایات دیگری که هریک از آن‌ها دلالت دارد که نیت، جایگاه اساسی در حیات معنوی انسان دارد، مثل این روایت</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التقا المسلمان بسیفهما فالقاتل و المقتول</w:t>
      </w:r>
    </w:p>
    <w:p>
      <w:pPr>
        <w:pStyle w:val="BookText"/>
        <w:rPr/>
      </w:pPr>
      <w:r>
        <w:rPr>
          <w:rFonts w:ascii="IRNazanin" w:hAnsi="IRNazanin" w:eastAsia="IRNazanin"/>
          <w:color w:val="111111"/>
          <w:sz w:val="28"/>
          <w:sz w:val="28"/>
          <w:szCs w:val="28"/>
          <w:rtl w:val="true"/>
          <w:lang w:bidi="fa-IR"/>
        </w:rPr>
        <w:t>کلاهما فی النار، فقیل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القاتل، فما بال المقتول‌؟ قال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أراد قتل صاحبه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5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التهذیب،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174</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347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روایات دیگری که همین مضمون را به شکل دیگری تأیید می‌کند؛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مهم‌تر، کلام خداوند که آخرت را برای کسانی می‌داند که در دنیا حتی ارادۀ علو و برتری و فساد نداشته باشند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تِلْکَ الدّارُ اْلآخِرَةُ نَجْعَلُها لِلَّذینَ لا یُریدُونَ عُلُوًّا فی اْلأَرْضِ وَ لا فَسادًا وَ الْعاقِبَةُ لِلْمُتَّقینَ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از مجموع این آیات و روایات استفاده می‌شود که هر عقیدۀ باطل و رذیلۀ اخلاقی مورد محاسبه است و اقتضای عذاب دارد، و شاید اینکه خدا فرموده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یُؤاخِذُکُمُ اللّهُ بِاللَّغْوِ فی أیْمانِکُمْ وَ لکِنْ یُؤاخِذُکُمْ بِما کَسَبَتْ قُلُوبُکُمْ وَ اللّهُ غَفُورٌ حَلیمٌ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السَّمْعَ وَ الْبَصَرَ وَ الْفُؤادَ کُلُّ اولئِکَ کانَ عَنْهُ مَسْؤُلاً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الَّذینَ یُحِبُّونَ أنْ تَشیعَ الْفاحِشَةُ فی الَّذینَ آمَنُوا لَهُمْ عَذابٌ ألیمٌ فی الدُّنْیا وَ اْلآخِرَةِ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همه موضوع نیت و قلب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ایشان در پایان نتیجه‌گیری می‌کند که این آیات، بر محاسبۀ انسان به مکنونات قلبی و ارادی و نیت او دلالت دارد؛ هر چند که مورد بعضی از آن‌ها از نظر سیاق، خاص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طبیعی است که این روش تربیتی که شکل استنادی و استدلالی به شکل منقول آن دارد و از قبیل استدلال‌های عقلی و فلسفی یا تحلیلی نیست، برای گروهی از خوانندگان نتیجۀ تربیتی دارد و شکل هدایتی و نوعی کلامی به خود می‌گیرد و هر چند مخاطب را به سیروسلوک و تربیت نفس تشویق می‌کند، روش کلی استدلال و اثبات و استناد است</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این روش گاه شکل استناد به دلیل عقلی دارد؛ مانند غیر آنچه ایشان در مثال</w:t>
      </w:r>
      <w:bookmarkStart w:id="122" w:name="pg14517_146181"/>
    </w:p>
    <w:p>
      <w:pPr>
        <w:pStyle w:val="BookText"/>
        <w:rPr/>
      </w:pPr>
      <w:bookmarkEnd w:id="122"/>
      <w:r>
        <w:rPr>
          <w:rFonts w:ascii="IRNazanin" w:hAnsi="IRNazanin" w:eastAsia="IRNazanin"/>
          <w:color w:val="111111"/>
          <w:sz w:val="28"/>
          <w:sz w:val="28"/>
          <w:szCs w:val="28"/>
          <w:rtl w:val="true"/>
          <w:lang w:bidi="fa-IR"/>
        </w:rPr>
        <w:t>پیش‌گفته از آیات و روایات سود جست و همواره این‌گونه است که با این قالب استدلال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گاه روش شهودی و کشفی دارد و در قالب موعظۀ عارفان و سخنان اهل کشف، این نکات در ذیل آیات بیان می‌شود؛ مانند آنچه سهل تستری یا ابوعبدالرحمن سلمی در حقائق التفسیر از بایزید بسطامی نقل می‌کنند و به خواطر و تجربیات باطنی خود یا کسانی در دورۀ معاصر و به شخصیت‌هایی از اهل کشف استناد می‌جویند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دشوارترین روش، استدلال عقلی و با استناد به برهان یا تحلیل عقلی برای بیان مسائل اخلاقی و تربیتی است که به آثار و نتایج موضوعی تربیتی اشاره می‌شود، یا زیان‌های بی‌بندوباری و هرج‌ومرج و بی‌توجهی به حیات معنوی را شرح می‌دهد و به طور مستقیم و غیرمستقیم از اخلاق سخن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هریک از این چند روش، جایگاهی ویژه دارند و در میان مفسران، جدا از مباحث هرمنوتیکی و عوامل شخصیتی، استدلالی دارد که متناسب با مخاطب انتخاب شده و طرفدار پیدا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موفق‌ترین روش در میان مخاطبان تحصیل‌کرده، استفاده از روش‌های غیرمستقیم تحلیلی عقلی و نشان دادن آثار و نتایج در بیان مسائل تربیتی است</w:t>
      </w:r>
      <w:r>
        <w:rPr>
          <w:rFonts w:eastAsia="IRNazanin" w:cs="IRNazanin"/>
          <w:color w:val="111111"/>
          <w:sz w:val="28"/>
          <w:szCs w:val="28"/>
          <w:rtl w:val="true"/>
          <w:lang w:bidi="fa-IR"/>
        </w:rPr>
        <w:t>.</w:t>
      </w:r>
    </w:p>
    <w:p>
      <w:pPr>
        <w:pStyle w:val="Heading4"/>
        <w:numPr>
          <w:ilvl w:val="3"/>
          <w:numId w:val="1"/>
        </w:numPr>
        <w:rPr/>
      </w:pPr>
      <w:bookmarkStart w:id="123" w:name="__RefHeading___Toc39690_1878427129"/>
      <w:bookmarkStart w:id="124" w:name="_Toc47"/>
      <w:bookmarkEnd w:id="123"/>
      <w:r>
        <w:rPr/>
        <w:t>2</w:t>
      </w:r>
      <w:r>
        <w:rPr>
          <w:rtl w:val="true"/>
        </w:rPr>
        <w:t xml:space="preserve">. </w:t>
      </w:r>
      <w:r>
        <w:rPr>
          <w:rtl w:val="true"/>
        </w:rPr>
        <w:t>روش اقناعی</w:t>
      </w:r>
      <w:bookmarkEnd w:id="124"/>
    </w:p>
    <w:p>
      <w:pPr>
        <w:pStyle w:val="BookText"/>
        <w:rPr/>
      </w:pPr>
      <w:r>
        <w:rPr>
          <w:rFonts w:ascii="IRNazanin" w:hAnsi="IRNazanin" w:eastAsia="IRNazanin"/>
          <w:color w:val="111111"/>
          <w:sz w:val="28"/>
          <w:sz w:val="28"/>
          <w:szCs w:val="28"/>
          <w:rtl w:val="true"/>
          <w:lang w:bidi="fa-IR"/>
        </w:rPr>
        <w:t>منظور از روش اقناعی که در ابعاد وسیعی در تفسیر جریان دارد، استفاده از روش‌های گوناگون برای قانع کردن مخاطب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روش در نظر برخی مفسران بسیار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مفسران معاصر مانند محمدجواد مغنیه معتقدند تفاسیر دوره‌های متأخر، چیزی برگذشته جز بعد اقناعی کلام بر معارف آن نیفزوده‌اند</w:t>
      </w:r>
      <w:r>
        <w:rPr>
          <w:rFonts w:eastAsia="IRNazanin" w:cs="IRNazanin"/>
          <w:color w:val="111111"/>
          <w:sz w:val="28"/>
          <w:szCs w:val="28"/>
          <w:rtl w:val="true"/>
          <w:lang w:bidi="fa-IR"/>
        </w:rPr>
        <w:t>.</w:t>
      </w:r>
      <w:r>
        <w:rPr>
          <w:rStyle w:val="FootnoteAnchor"/>
          <w:rtl w:val="true"/>
        </w:rPr>
        <w:footnoteReference w:id="5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الکاشف،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مقدمۀ 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ایشان معتقد است که تفسیرنویسی هنر است که در شرایطزمانی و مکانی خاص شکل می‌گیرد؛ بدین روی تفسیر قرآن به اختلاف زمان‌ها و دگرگونی شرایط دگرگون خواهد شد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زبان اقناع در میان مفسران در میان مکاتب تفسیری و نحله‌های کلامی متفاوت</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در زبان عرفانی این روش خود را نشان می‌دهد، مانند اینکه از طریق تحریک احساسات، یا تخیل عمل می‌شود؛ و گاه با دلیل‌های اقناعی و اسکاتی، یا براهین، یا شواهدی که جنبۀ منطقی و علمی ندارد، اما می‌تواند در مخاطب تأثیرگذار باشد، مثل اینکه برخی مفسران این نحله، از عرفای نامی مطالبی نقل می‌کند، کاری که سلمی در حقائق التفسیر انجام می‌دهد؛ گاه با خواب می‌خواهد به دعا و عبادت تشویق کند، مثلاً در ذیل آیۀ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اللّهَ فَاعْبُدْ وَ کُنْ مِنَ الشّاکِرینَ</w:t>
      </w:r>
      <w:r>
        <w:rPr>
          <w:rFonts w:eastAsia="IRNazanin" w:cs="IRNazanin"/>
          <w:color w:val="111111"/>
          <w:sz w:val="28"/>
          <w:szCs w:val="28"/>
          <w:rtl w:val="true"/>
          <w:lang w:bidi="fa-IR"/>
        </w:rPr>
        <w:t>»</w:t>
      </w:r>
      <w:r>
        <w:rPr>
          <w:rStyle w:val="FootnoteAnchor"/>
          <w:rtl w:val="true"/>
        </w:rPr>
        <w:footnoteReference w:id="5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زمر، آیۀ </w:t>
      </w:r>
      <w:r>
        <w:rPr>
          <w:rFonts w:eastAsia="IRNazanin" w:cs="IRNazanin"/>
          <w:color w:val="111111"/>
          <w:sz w:val="28"/>
          <w:szCs w:val="28"/>
          <w:lang w:bidi="fa-IR"/>
        </w:rPr>
        <w:t>66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جنید بغدادی را در خواب دید و از او پرسید که خدا با تو چه کرد؟ گفت در آن عالم همۀ علوم از من زایل شد و اشارات از بین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چیزی که برایم ماند، همان رکعات سحر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نکات دیگر این روش اقناعی در تفسیر، تأثیر برخی کتاب‌های خاص تأویلی و ادبیات عرفانی، مانند لطائف اشارات قشیری نیشابوری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465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کشف الاسرار میبدی و روح البیان برسوی و بیان السعاده گنابادی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بستر این روش که با ادبیات خاص ادا می‌شود، جابه‌جا کردن آیه‌ای در آیۀ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آنچه فیض کاشانی استفاده می‌کند تا در ضرورت برداشتن زاد و راحله در سفر معنوی اقدام کند و می‌گوید همچنان‌که سفر صوری را مبدیی و منتهایی و مسافتی و مسیری و زادی و راحله‌ای و رفیقی و راهنمایی می‌باشد، همچنین سفر معنوی را که سفر روح است به جانب حق سبحانه تعالی هم هست، مبدأش جهل و نقصان طبیعی است که با خود آورده از شکم مادر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أَخْرَجَکُمْ مِنْ بُطُونِ أُمَّهاتِکُمْ لا تَعْلَمُونَ شَیْئاً</w:t>
      </w:r>
      <w:r>
        <w:rPr>
          <w:rFonts w:eastAsia="IRNazanin" w:cs="IRNazanin"/>
          <w:color w:val="111111"/>
          <w:sz w:val="28"/>
          <w:szCs w:val="28"/>
          <w:rtl w:val="true"/>
          <w:lang w:bidi="fa-IR"/>
        </w:rPr>
        <w:t>»</w:t>
      </w:r>
      <w:r>
        <w:rPr>
          <w:rStyle w:val="FootnoteAnchor"/>
          <w:rtl w:val="true"/>
        </w:rPr>
        <w:footnoteReference w:id="60"/>
      </w:r>
      <w:r>
        <w:rPr>
          <w:rFonts w:ascii="Amiri" w:hAnsi="Amiri" w:eastAsia="Amiri" w:cs="Amiri"/>
          <w:color w:val="111111"/>
          <w:sz w:val="28"/>
          <w:sz w:val="28"/>
          <w:szCs w:val="28"/>
          <w:rtl w:val="true"/>
          <w:lang w:bidi="ar-SA"/>
        </w:rPr>
        <w:t>و منتهایش کمال حقیقی است و آن وصول است به حق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أَنَّ إِلی رَبِّکَ الْمُنْتَهی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6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الْإِنْسانُ إِنَّکَ کادِحٌ إِلی رَبِّکَ کَدْحاً فَمُلاقِیهِ</w:t>
      </w:r>
      <w:r>
        <w:rPr>
          <w:rFonts w:eastAsia="Amiri" w:cs="Amiri" w:ascii="Amiri" w:hAnsi="Amiri"/>
          <w:color w:val="111111"/>
          <w:sz w:val="28"/>
          <w:szCs w:val="28"/>
          <w:rtl w:val="true"/>
          <w:lang w:bidi="ar-SA"/>
        </w:rPr>
        <w:t>»</w:t>
      </w:r>
      <w:r>
        <w:rPr>
          <w:rStyle w:val="FootnoteAnchor"/>
          <w:rtl w:val="true"/>
        </w:rPr>
        <w:footnoteReference w:id="62"/>
      </w:r>
      <w:r>
        <w:rPr>
          <w:rFonts w:ascii="IRNazanin" w:hAnsi="IRNazanin" w:eastAsia="IRNazanin"/>
          <w:color w:val="111111"/>
          <w:sz w:val="28"/>
          <w:sz w:val="28"/>
          <w:szCs w:val="28"/>
          <w:rtl w:val="true"/>
          <w:lang w:bidi="fa-IR"/>
        </w:rPr>
        <w:t>و مسافت راه در این سفر، مراتب کمالات علمیه و عملیه است که روح طی آن‌ها می‌کند شیئاً فشیئاً،</w:t>
      </w:r>
    </w:p>
    <w:p>
      <w:pPr>
        <w:pStyle w:val="BookText"/>
        <w:rPr/>
      </w:pPr>
      <w:r>
        <w:rPr>
          <w:rFonts w:ascii="IRNazanin" w:hAnsi="IRNazanin" w:eastAsia="IRNazanin"/>
          <w:color w:val="111111"/>
          <w:sz w:val="28"/>
          <w:sz w:val="28"/>
          <w:szCs w:val="28"/>
          <w:rtl w:val="true"/>
          <w:lang w:bidi="fa-IR"/>
        </w:rPr>
        <w:t>هرگاه بر صراط مستقیم شرع که سلوک اولیا و اصفیاست سایر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أَنَّ هذا صِراطِی مُسْتَقِیماً فَاتَّبِعُوهُ وَ لا تَتَّبِعُوا السُّبُلَ فَتَفَرَّقَ بِکُمْ عَنْ سَبِیلِهِ</w:t>
      </w:r>
      <w:r>
        <w:rPr>
          <w:rFonts w:eastAsia="IRNazanin" w:cs="IRNazanin"/>
          <w:color w:val="111111"/>
          <w:sz w:val="28"/>
          <w:szCs w:val="28"/>
          <w:rtl w:val="true"/>
          <w:lang w:bidi="fa-IR"/>
        </w:rPr>
        <w:t>»</w:t>
      </w:r>
      <w:r>
        <w:rPr>
          <w:rStyle w:val="FootnoteAnchor"/>
          <w:rtl w:val="true"/>
        </w:rPr>
        <w:footnoteReference w:id="6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انعام، آیۀ </w:t>
      </w:r>
      <w:r>
        <w:rPr>
          <w:rFonts w:eastAsia="IRNazanin" w:cs="IRNazanin"/>
          <w:color w:val="111111"/>
          <w:sz w:val="28"/>
          <w:szCs w:val="28"/>
          <w:lang w:bidi="fa-IR"/>
        </w:rPr>
        <w:t>154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کمالات مترتب است بعضی بر بعضی، تا کمال متقدم طی نشود، به متأخر منتقل نتوان شد، چنانچه در سفر صوری تا قطعۀ مسافت متقدمه طی نشود، به متأخر نتوان رفت؛ و منازل این سفر، صفات حمیده و اخلاق پسندیده است که احوال و مقامات روح است، از هریک به دیگری که فوق آن است منتقل می‌شود به‌تدریج که البته دارای منازل است و مسیر این منازل به مجاهده و ریاضت نفس به حمل سختی‌ها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این شیوه، گاه با تأویلات باطنی، و نقل قصه از تجربۀ عارفان و آثار حالات آنان است که زمینۀ گرایش به تأویل خاص را فراهم ساخته و افراد بسیاری را با نقل‌های پراکنده جذب خود کرده است؛ به گونه‌ای که مخاطب معناگرا را به شکل اجتناب‌ناپذیری به وادی ورای ظاهر و تأویل می‌کشاند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همان‌طور که اشاره شد، شکل اجتماعی این‌گونه سخن گفتن‌ها، گاه مشاهده می‌شود؛ مثل اینکه وقتی دربارۀ ضرورت بیدار شدن از خواب غفلت موعظه می‌شود، به این نکته اشاره می‌شود که انسان تا در این جهان است، باید مراتب و مراحل آن جهان را طی کند، بینایی و بصیرت انسان در دنیا و آخرت، به واسطۀ بینایی و بصیرتی است که در دنیا کسب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بینایی فقط در این دنیا تدارک دیده می‌شود و باید آن را با خود به آخرت بُرد؛ و این آیۀ قرآن نیز مستند ایشان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کانَ فی هذِهِ أعْمی فَهُوَ فی اْلآخِرَةِ أعْمی وَ أضَلُّ سَبیلاً</w:t>
      </w:r>
      <w:r>
        <w:rPr>
          <w:rFonts w:eastAsia="IRNazanin" w:cs="IRNazanin"/>
          <w:color w:val="111111"/>
          <w:sz w:val="28"/>
          <w:szCs w:val="28"/>
          <w:rtl w:val="true"/>
          <w:lang w:bidi="fa-IR"/>
        </w:rPr>
        <w:t>».</w:t>
      </w:r>
      <w:r>
        <w:rPr>
          <w:rStyle w:val="FootnoteAnchor"/>
          <w:rtl w:val="true"/>
        </w:rPr>
        <w:footnoteReference w:id="64"/>
      </w:r>
      <w:r>
        <w:rPr>
          <w:rFonts w:ascii="IRNazanin" w:hAnsi="IRNazanin" w:eastAsia="IRNazanin"/>
          <w:color w:val="111111"/>
          <w:sz w:val="28"/>
          <w:sz w:val="28"/>
          <w:szCs w:val="28"/>
          <w:rtl w:val="true"/>
          <w:lang w:bidi="fa-IR"/>
        </w:rPr>
        <w:t>محال است که چشم‌حقیقت‌بین انسان در این جهان باز نشده باشد و در آن جهان باز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لقاءاللّه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کریم آمده، باید در همین جهان تحصیل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زاهدان و متعبدان قشری می‌پندارند که با انجام یک سلسله اعمال ظاهری، بدون اینکه نفس</w:t>
      </w:r>
      <w:bookmarkStart w:id="125" w:name="pg14517_146184"/>
    </w:p>
    <w:p>
      <w:pPr>
        <w:pStyle w:val="BookText"/>
        <w:rPr/>
      </w:pPr>
      <w:bookmarkEnd w:id="125"/>
      <w:r>
        <w:rPr>
          <w:rFonts w:ascii="IRNazanin" w:hAnsi="IRNazanin" w:eastAsia="IRNazanin"/>
          <w:color w:val="111111"/>
          <w:sz w:val="28"/>
          <w:sz w:val="28"/>
          <w:szCs w:val="28"/>
          <w:rtl w:val="true"/>
          <w:lang w:bidi="fa-IR"/>
        </w:rPr>
        <w:t xml:space="preserve">در این جهان اطوار خود را طی کرده باشد، می‌توان به جوار قرب الهی رسید، خیال خام و وعدۀ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نسیۀ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شیطانی است</w:t>
      </w:r>
      <w:r>
        <w:rPr>
          <w:rFonts w:eastAsia="IRNazanin" w:cs="IRNazanin"/>
          <w:color w:val="111111"/>
          <w:sz w:val="28"/>
          <w:szCs w:val="28"/>
          <w:rtl w:val="true"/>
          <w:lang w:bidi="fa-IR"/>
        </w:rPr>
        <w:t>.</w:t>
      </w:r>
      <w:r>
        <w:rPr>
          <w:rStyle w:val="FootnoteAnchor"/>
          <w:rtl w:val="true"/>
        </w:rPr>
        <w:footnoteReference w:id="65"/>
      </w:r>
    </w:p>
    <w:p>
      <w:pPr>
        <w:pStyle w:val="BookText"/>
        <w:rPr/>
      </w:pPr>
      <w:r>
        <w:rPr>
          <w:rFonts w:ascii="IRNazanin" w:hAnsi="IRNazanin" w:eastAsia="IRNazanin"/>
          <w:color w:val="111111"/>
          <w:sz w:val="28"/>
          <w:sz w:val="28"/>
          <w:szCs w:val="28"/>
          <w:rtl w:val="true"/>
          <w:lang w:bidi="fa-IR"/>
        </w:rPr>
        <w:t xml:space="preserve">مجموعه آثار،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451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نمونۀ دیگر، روش سهل تستری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283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صوفی برجستۀ بصره و پیرو محقق سنت‌گرا محمد بن سوار بصری و مرید صوفی ابوالفیض تابان ابراهیم مصری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از نظر محتوا و سبک شبیه به زبان و بیان حقائق التفسیر سلمی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 وی که در آن اندیشۀ زهد و تقوا و جدال با نفس حاکم است، دربارۀ برخی سور و آیات قرآن این روش مشاهده شده است؛ مثلاً در تفسیر آیۀ</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جَنّاتِ عَدْنٍ الَّتی وَعَدَ الرَّحْمنُ عِبادَهُ بِالْغَیْبِ إنَّهُ کانَ وَعْدُهُ مَأْتِیّاً</w:t>
      </w:r>
      <w:r>
        <w:rPr>
          <w:rFonts w:eastAsia="Amiri" w:cs="Amiri" w:ascii="Amiri" w:hAnsi="Amiri"/>
          <w:color w:val="111111"/>
          <w:sz w:val="28"/>
          <w:szCs w:val="28"/>
          <w:rtl w:val="true"/>
          <w:lang w:bidi="ar-SA"/>
        </w:rPr>
        <w:t>»</w:t>
      </w:r>
      <w:r>
        <w:rPr>
          <w:rStyle w:val="FootnoteAnchor"/>
          <w:rtl w:val="true"/>
        </w:rPr>
        <w:footnoteReference w:id="66"/>
      </w:r>
      <w:r>
        <w:rPr>
          <w:rFonts w:ascii="IRNazanin" w:hAnsi="IRNazanin" w:eastAsia="IRNazanin"/>
          <w:color w:val="111111"/>
          <w:sz w:val="28"/>
          <w:sz w:val="28"/>
          <w:szCs w:val="28"/>
          <w:rtl w:val="true"/>
          <w:lang w:bidi="fa-IR"/>
        </w:rPr>
        <w:t xml:space="preserve">در آغاز می‌گوید مراد از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معاینۀ حق، یعنی نزدیک شدن است به گونه‌ای که خدا خودش را بین مؤمن و دیگران نزدیک می‌سازد، تا جایی که بندۀ خدا قلب خود را نزدیک حق و مشهود در غیب حق 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می‌گوید در بهشت بندگانی هستند که اگر لحظه ای از حق محجوب شوند، استغاثۀ آنان بلند می‌شود؛ مانند استغاثۀ اهل آتش در جهنم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نمی‌بینید که کلیم‌اللّه چون نمی‌توانست بر ندیدن خدا بردباری کند، حلاوت مناجات خدا را هم درنمی‌یافت</w:t>
      </w:r>
      <w:r>
        <w:rPr>
          <w:rFonts w:eastAsia="IRNazanin" w:cs="IRNazanin"/>
          <w:color w:val="111111"/>
          <w:sz w:val="28"/>
          <w:szCs w:val="28"/>
          <w:rtl w:val="true"/>
          <w:lang w:bidi="fa-IR"/>
        </w:rPr>
        <w:t>.</w:t>
      </w:r>
      <w:r>
        <w:rPr>
          <w:rStyle w:val="FootnoteAnchor"/>
          <w:rtl w:val="true"/>
        </w:rPr>
        <w:footnoteReference w:id="67"/>
      </w:r>
    </w:p>
    <w:p>
      <w:pPr>
        <w:pStyle w:val="BookText"/>
        <w:rPr/>
      </w:pPr>
      <w:r>
        <w:rPr>
          <w:rFonts w:ascii="IRNazanin" w:hAnsi="IRNazanin" w:eastAsia="IRNazanin"/>
          <w:color w:val="111111"/>
          <w:sz w:val="28"/>
          <w:sz w:val="28"/>
          <w:szCs w:val="28"/>
          <w:rtl w:val="true"/>
          <w:lang w:bidi="fa-IR"/>
        </w:rPr>
        <w:t>این سبک دیگری است از روش تفسیر تربیتی که در آن استدلال نیست؛ نوعی ایمان‌خواهی به روش اقناعی با ادبیات مخصوص است</w:t>
      </w:r>
      <w:r>
        <w:rPr>
          <w:rFonts w:eastAsia="IRNazanin" w:cs="IRNazanin"/>
          <w:color w:val="111111"/>
          <w:sz w:val="28"/>
          <w:szCs w:val="28"/>
          <w:rtl w:val="true"/>
          <w:lang w:bidi="fa-IR"/>
        </w:rPr>
        <w:t>.</w:t>
      </w:r>
    </w:p>
    <w:p>
      <w:pPr>
        <w:pStyle w:val="Heading4"/>
        <w:numPr>
          <w:ilvl w:val="3"/>
          <w:numId w:val="1"/>
        </w:numPr>
        <w:rPr/>
      </w:pPr>
      <w:bookmarkStart w:id="126" w:name="__RefHeading___Toc39692_1878427129"/>
      <w:bookmarkStart w:id="127" w:name="_Toc48"/>
      <w:bookmarkEnd w:id="126"/>
      <w:r>
        <w:rPr/>
        <w:t>3</w:t>
      </w:r>
      <w:r>
        <w:rPr>
          <w:rtl w:val="true"/>
        </w:rPr>
        <w:t xml:space="preserve">. </w:t>
      </w:r>
      <w:r>
        <w:rPr>
          <w:rtl w:val="true"/>
        </w:rPr>
        <w:t>روش تشویقی و تبشیری</w:t>
      </w:r>
      <w:bookmarkEnd w:id="127"/>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روش تشویقی در گرایش تربیتی، که بیشتر در ادبیات تفاسیر اجتماعی و عرفانی نمود داشته، بدین شکل است که مفسر گاه از منقولات از بهشت و نعمات آن برای تشویق مخاطب سخن می‌گوید، و ثواب و رضوان خدا را یادآوری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نمونۀ این گرایش را در تفاسیر پراکندۀ امام خمینی که متصف به این گرایش است، می‌توان</w:t>
      </w:r>
    </w:p>
    <w:p>
      <w:pPr>
        <w:pStyle w:val="BookText"/>
        <w:rPr/>
      </w:pPr>
      <w:r>
        <w:rPr>
          <w:rFonts w:ascii="IRNazanin" w:hAnsi="IRNazanin" w:eastAsia="IRNazanin"/>
          <w:color w:val="111111"/>
          <w:sz w:val="28"/>
          <w:sz w:val="28"/>
          <w:szCs w:val="28"/>
          <w:rtl w:val="true"/>
          <w:lang w:bidi="fa-IR"/>
        </w:rPr>
        <w:t>مشاهده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ایشان در زمینۀ اهمیت خواندن قرآن تعبیرهای گوناگون به کار برده، که یکی از آن‌ها استناد به اقوال اهل بیت برای تشویق و تحریص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یکی از وصایای رسول اکرم صلی الله علیه و آله، وصیت به تلاوت قرآن است و آنچه از اهل بیت عصمت علیهم السلام در خصوص آن وارد شده، در این اوراق نگنجد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روایاتی را ذکر و سپس دربارۀ درجات قاریان و ثواب قرائت نکاتی بیان می‌کند؛ مانند این سخن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اخبار کثیره، قضیۀ تمثل قرآن به صورت نیکویی و شفاعت نمودن آن از اهل خود و قرائت‌کنندگان وارد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حدیث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مؤمنی که قرائت قرآن کند در حال جوانی، داخل شود قرآن بر گوشت و خون او، و او را خداوند با سفرای کرام نیکوکار قرار دهد و قرآن پناه اوست در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مطالب دیگری در زمینۀ آثار معنوی قرائت و تأثیر آن در قلب قاری بیان، و آن‌ها را تفسیر و تحلیل می‌کند</w:t>
      </w:r>
      <w:r>
        <w:rPr>
          <w:rFonts w:eastAsia="IRNazanin" w:cs="IRNazanin"/>
          <w:color w:val="111111"/>
          <w:sz w:val="28"/>
          <w:szCs w:val="28"/>
          <w:rtl w:val="true"/>
          <w:lang w:bidi="fa-IR"/>
        </w:rPr>
        <w:t>.</w:t>
      </w:r>
      <w:r>
        <w:rPr>
          <w:rStyle w:val="FootnoteAnchor"/>
          <w:rtl w:val="true"/>
        </w:rPr>
        <w:footnoteReference w:id="6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چهل حدیث، ص </w:t>
      </w:r>
      <w:r>
        <w:rPr>
          <w:rFonts w:eastAsia="IRNazanin" w:cs="IRNazanin"/>
          <w:color w:val="111111"/>
          <w:sz w:val="28"/>
          <w:szCs w:val="28"/>
          <w:lang w:bidi="fa-IR"/>
        </w:rPr>
        <w:t>497</w:t>
      </w:r>
      <w:r>
        <w:rPr>
          <w:rFonts w:eastAsia="IRNazanin" w:cs="IRNazanin"/>
          <w:color w:val="111111"/>
          <w:sz w:val="28"/>
          <w:szCs w:val="28"/>
          <w:rtl w:val="true"/>
          <w:lang w:bidi="fa-IR"/>
        </w:rPr>
        <w:t>-</w:t>
      </w:r>
      <w:r>
        <w:rPr>
          <w:rFonts w:eastAsia="IRNazanin" w:cs="IRNazanin"/>
          <w:color w:val="111111"/>
          <w:sz w:val="28"/>
          <w:szCs w:val="28"/>
          <w:lang w:bidi="fa-IR"/>
        </w:rPr>
        <w:t>499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نکات جالب توجه، اشاره به تجسم و عینیت یافتن قرآن در وجود اشخاصی است که به‌درستی حامل قرآن باشند؛ کسانی که صورت قرآن در قلب آنان نقش بسته، به گونه‌ای که باطن ذاتشان عینیت کلام الهی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افراد دارای درجاتی هستند، و هر کوشش و تلاشی برای فهم و عمل به قرآن موجب می‌شود که لیاقت و استعدادشان آمادۀ پذیرش مراتب بالاتری شود، تا جایی که باطن ذات شخص، همۀ حقیقت کلام جامع الهی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صورت فردی که تجسم قرآن شد، خودِ او قرآن ناطق می‌شود، قرآن جامع و فرقان قاطع می‌گردد، مانند علی بن ابی طالب علیه السلام که سراپا تحقق به آیات الهی و نشانه‌های بزرگ خداوند و قرآن تام و تمام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برای تحقق هرچه بیشترِ دعا، عبادت و قرائت قرآن، دستور رسیده که آن‌ها تکرار شود تا جایی که باطن ذات شخص به صورت عبادت و قرآن درآید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توضیح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خود را عادت به قرائتِ آیات و اسمای الهیه از کتاب تکوین و تدوین الهی داد، کم‌کم قلب او صورت ذکری</w:t>
      </w:r>
    </w:p>
    <w:p>
      <w:pPr>
        <w:pStyle w:val="BookText"/>
        <w:rPr/>
      </w:pPr>
      <w:r>
        <w:rPr>
          <w:rFonts w:ascii="IRNazanin" w:hAnsi="IRNazanin" w:eastAsia="IRNazanin"/>
          <w:color w:val="111111"/>
          <w:sz w:val="28"/>
          <w:sz w:val="28"/>
          <w:szCs w:val="28"/>
          <w:rtl w:val="true"/>
          <w:lang w:bidi="fa-IR"/>
        </w:rPr>
        <w:t>و آیه‌ای به خود گیرد و باطن ذات، محقق به ذکراللّه و اسم‌اللّه و آیت‌اللّه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مقام ذکر از مقامات عالیۀ بزرگی است که به حوصلۀ بیان و به حیطۀ تقریر و تحریر برنیاید، و کفایت کند برای اهل معرفت و جذبۀ الهیه و اصحاب محبت و عشق، آیۀ شریفۀ الهیه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فَاذْکُرُونِی أَذْکُرْکُمْ</w:t>
      </w:r>
      <w:r>
        <w:rPr>
          <w:rFonts w:eastAsia="IRNazanin" w:cs="IRNazanin"/>
          <w:color w:val="111111"/>
          <w:sz w:val="28"/>
          <w:szCs w:val="28"/>
          <w:rtl w:val="true"/>
          <w:lang w:bidi="fa-IR"/>
        </w:rPr>
        <w:t>»</w:t>
      </w:r>
      <w:r>
        <w:rPr>
          <w:rStyle w:val="FootnoteAnchor"/>
          <w:rtl w:val="true"/>
        </w:rPr>
        <w:footnoteReference w:id="69"/>
      </w:r>
    </w:p>
    <w:p>
      <w:pPr>
        <w:pStyle w:val="BookText"/>
        <w:rPr/>
      </w:pPr>
      <w:r>
        <w:rPr>
          <w:rFonts w:ascii="IRNazanin" w:hAnsi="IRNazanin" w:eastAsia="IRNazanin"/>
          <w:color w:val="111111"/>
          <w:sz w:val="28"/>
          <w:sz w:val="28"/>
          <w:szCs w:val="28"/>
          <w:rtl w:val="true"/>
          <w:lang w:bidi="fa-IR"/>
        </w:rPr>
        <w:t xml:space="preserve">بقره، آیۀ </w:t>
      </w:r>
      <w:r>
        <w:rPr>
          <w:rFonts w:eastAsia="IRNazanin" w:cs="IRNazanin"/>
          <w:color w:val="111111"/>
          <w:sz w:val="28"/>
          <w:szCs w:val="28"/>
          <w:lang w:bidi="fa-IR"/>
        </w:rPr>
        <w:t>152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نمونۀ دیگر همین روش، در تشویق به تدبر در آیات است که ایشان با روش تشویقی به موضوع قرائت و دعا در کتاب شرح چهل حدیث و آداب الصلاة می‌پردازد و با تعبیرهای گوناگون سخن می‌گوید و اهمیت آن را شرح می‌دهد</w:t>
      </w:r>
      <w:r>
        <w:rPr>
          <w:rFonts w:eastAsia="IRNazanin" w:cs="IRNazanin"/>
          <w:color w:val="111111"/>
          <w:sz w:val="28"/>
          <w:szCs w:val="28"/>
          <w:rtl w:val="true"/>
          <w:lang w:bidi="fa-IR"/>
        </w:rPr>
        <w:t>.</w:t>
      </w:r>
      <w:r>
        <w:rPr>
          <w:rStyle w:val="FootnoteAnchor"/>
          <w:rtl w:val="true"/>
        </w:rPr>
        <w:footnoteReference w:id="70"/>
      </w:r>
      <w:r>
        <w:rPr>
          <w:rFonts w:ascii="IRNazanin" w:hAnsi="IRNazanin" w:eastAsia="IRNazanin"/>
          <w:color w:val="111111"/>
          <w:sz w:val="28"/>
          <w:sz w:val="28"/>
          <w:szCs w:val="28"/>
          <w:rtl w:val="true"/>
          <w:lang w:bidi="fa-IR"/>
        </w:rPr>
        <w:t>حتی در جایی، از خواندن قرآن برای خواص مادی و شفای بیماری‌های جسمی، انتقاد می‌کند و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قرآن شریف، تنها شفای بیماری‌های جسمانی نباید طلب کرد، بلکه عمدۀ مقصد را شفای امراض روحانی که مقصد قرآن است قرار 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کریم برای امراض جسمانی نازل نشده؛ گرچه شفای امراض جسمانی نیز حاصل می‌گردد</w:t>
      </w:r>
      <w:r>
        <w:rPr>
          <w:rFonts w:eastAsia="IRNazanin" w:cs="IRNazanin"/>
          <w:color w:val="111111"/>
          <w:sz w:val="28"/>
          <w:szCs w:val="28"/>
          <w:rtl w:val="true"/>
          <w:lang w:bidi="fa-IR"/>
        </w:rPr>
        <w:t>».</w:t>
      </w:r>
      <w:r>
        <w:rPr>
          <w:rStyle w:val="FootnoteAnchor"/>
          <w:rtl w:val="true"/>
        </w:rPr>
        <w:footnoteReference w:id="71"/>
      </w:r>
    </w:p>
    <w:p>
      <w:pPr>
        <w:pStyle w:val="BookText"/>
        <w:rPr/>
      </w:pPr>
      <w:r>
        <w:rPr>
          <w:rFonts w:ascii="IRNazanin" w:hAnsi="IRNazanin" w:eastAsia="IRNazanin"/>
          <w:color w:val="111111"/>
          <w:sz w:val="28"/>
          <w:sz w:val="28"/>
          <w:szCs w:val="28"/>
          <w:rtl w:val="true"/>
          <w:lang w:bidi="fa-IR"/>
        </w:rPr>
        <w:t>این شیوۀ زبانی در برخی تفاسیر معاصر دیده می‌شود؛ مثل بحث قرائت قرآن، که مفسر برای بسترسازی و آماده کردن دل برای تلاوت قرآن از آن استفاده می‌کند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به دست آوردن طهارت باطن، هر چند پیش از حضور قلب و اخلاص در قرائت، و حتی پیش از گفتن استعاذه مطرح است، رسیدن به این مرحله هنگامی ممکن می‌شود که دورانی از تجربه‌های قرائت سپری شود و شخص به اهمیت پاک‌سازی باطن پی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 پاک، مانند خانۀ تمیز و زیبا برای پذیرایی از میهمان محبوب و گران‌قدر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 و حساسیتِ بستر قرائت قرآن آنگاه مشخص می‌شود که مشکلات و وسوسه‌های شیطانی و حواس‌پرتی بر ذهن و خاطر انسان غلبه کند و انسان بفهمد باید برگردد و از آغاز به پالایش بپردازد و مواد دورریختنی</w:t>
      </w:r>
    </w:p>
    <w:p>
      <w:pPr>
        <w:pStyle w:val="BookText"/>
        <w:rPr/>
      </w:pPr>
      <w:r>
        <w:rPr>
          <w:rFonts w:ascii="IRNazanin" w:hAnsi="IRNazanin" w:eastAsia="IRNazanin"/>
          <w:color w:val="111111"/>
          <w:sz w:val="28"/>
          <w:sz w:val="28"/>
          <w:szCs w:val="28"/>
          <w:rtl w:val="true"/>
          <w:lang w:bidi="fa-IR"/>
        </w:rPr>
        <w:t>را مشخص کند و آن‌ها را از ذهن و زبان خود بیرون بریزد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دل را از اغیار پالایش دهد، و ناپاکی‌های معنوی را از خانۀ دل دور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غیبت، ریا، اذیت و آزار، نمونه‌هایی از این گناهان است که رنجش خاطر می‌آورد و مانع طهارت باطن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پاک کردن این نازیبایی‌ها، نوبت به آرایش دل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آرایش دل، از پاک‌سازی دشوارتر است؛ چون باید خانۀ دل را با زیبایی و ظرافت نورانی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در اهمیت تطهیر دل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تو دارای قلبی روشن به انوار الهی و روحی پرتوگرفته از شعاع‌های روحانی باشی و روغن قلبت روشن گردد، هر چند بدون تماس با شعلۀ تعلیمات خارجی روشن شده باشد و آن نور باطنی را که پیش پایت را نورانی می‌کند به قدر کافی داشته باشی، بی‌گمان سِرّ کتاب الهی برای تو آشکار خواهد شد، مشروط بر اینکه طهارتی را که در تماس با کتاب الهی لازم است، داشته باشی و حقیقت کلمۀ الهی و غایت تکلم حق تعالی را در آیینۀ مثل اعلا و آیت کبرا خواهی شناخت</w:t>
      </w:r>
      <w:r>
        <w:rPr>
          <w:rFonts w:eastAsia="IRNazanin" w:cs="IRNazanin"/>
          <w:color w:val="111111"/>
          <w:sz w:val="28"/>
          <w:szCs w:val="28"/>
          <w:rtl w:val="true"/>
          <w:lang w:bidi="fa-IR"/>
        </w:rPr>
        <w:t>.</w:t>
      </w:r>
      <w:r>
        <w:rPr>
          <w:rStyle w:val="FootnoteAnchor"/>
          <w:rtl w:val="true"/>
        </w:rPr>
        <w:footnoteReference w:id="72"/>
      </w:r>
    </w:p>
    <w:p>
      <w:pPr>
        <w:pStyle w:val="BookText"/>
        <w:rPr/>
      </w:pPr>
      <w:r>
        <w:rPr>
          <w:rFonts w:ascii="IRNazanin" w:hAnsi="IRNazanin" w:eastAsia="IRNazanin"/>
          <w:color w:val="111111"/>
          <w:sz w:val="28"/>
          <w:sz w:val="28"/>
          <w:szCs w:val="28"/>
          <w:rtl w:val="true"/>
          <w:lang w:bidi="fa-IR"/>
        </w:rPr>
        <w:t xml:space="preserve">شرح دعای سحر، ص </w:t>
      </w:r>
      <w:r>
        <w:rPr>
          <w:rFonts w:eastAsia="IRNazanin" w:cs="IRNazanin"/>
          <w:color w:val="111111"/>
          <w:sz w:val="28"/>
          <w:szCs w:val="28"/>
          <w:lang w:bidi="fa-IR"/>
        </w:rPr>
        <w:t>56</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این مطالب را در جای دیگری از شرح دعای سحر بیان می‌کند و شرط بهره‌برداری را پاک شدن از پلیدی‌ها و آلودگی‌های عالم طبیعت و شستشو در چشمه‌های صاف و زلال معنویت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مطالب در اکثر نوشته‌های عرفانی امام منعکس است؛ هر چند تعبیرها متفاوت است و در برخی مطالب، افزوده‌هایی وجود دارد؛ به طور مثال در آنجا که سخن از تجلی قرآن به میان می‌آید، به آثار این طهارت اشاره می‌کند و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شیرین‌ترین چیزی که پس از کندن درخت ملعون عالم طبیعت، از شجرۀ مبارکه در بهشت فردوس می‌چشد، گشایش سینۀ او برای ارواح معانی و بطون آن و سرّ حقایق و مکنون آن می‌باشد</w:t>
      </w:r>
      <w:r>
        <w:rPr>
          <w:rFonts w:eastAsia="IRNazanin" w:cs="IRNazanin"/>
          <w:color w:val="111111"/>
          <w:sz w:val="28"/>
          <w:szCs w:val="28"/>
          <w:rtl w:val="true"/>
          <w:lang w:bidi="fa-IR"/>
        </w:rPr>
        <w:t>».</w:t>
      </w:r>
      <w:r>
        <w:rPr>
          <w:rStyle w:val="FootnoteAnchor"/>
          <w:rtl w:val="true"/>
        </w:rPr>
        <w:footnoteReference w:id="73"/>
      </w:r>
      <w:r>
        <w:rPr>
          <w:rFonts w:ascii="IRNazanin" w:hAnsi="IRNazanin" w:eastAsia="IRNazanin"/>
          <w:color w:val="111111"/>
          <w:sz w:val="28"/>
          <w:sz w:val="28"/>
          <w:szCs w:val="28"/>
          <w:rtl w:val="true"/>
          <w:lang w:bidi="fa-IR"/>
        </w:rPr>
        <w:t>امام خمینی در کتاب آداب الصلاة بدین گونه می‌نویسد که پس از تحصیل طهارت، نه تنها کلام او نورانی، بلکه خودش نور خواهد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قلبی نورانی و صافی از الواث و کدورات</w:t>
      </w:r>
      <w:bookmarkStart w:id="128" w:name="pg14517_146188"/>
    </w:p>
    <w:p>
      <w:pPr>
        <w:pStyle w:val="BookText"/>
        <w:rPr/>
      </w:pPr>
      <w:bookmarkEnd w:id="128"/>
      <w:r>
        <w:rPr>
          <w:rFonts w:ascii="IRNazanin" w:hAnsi="IRNazanin" w:eastAsia="IRNazanin"/>
          <w:color w:val="111111"/>
          <w:sz w:val="28"/>
          <w:sz w:val="28"/>
          <w:szCs w:val="28"/>
          <w:rtl w:val="true"/>
          <w:lang w:bidi="fa-IR"/>
        </w:rPr>
        <w:t xml:space="preserve">عالم طبیعت شد، کلام او نیز نورانی، بلکه نور خواهد بود و همان نورانیت قلب، جلوه در کسوه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الفاظ می‌نماید؛ و اگر قلبی ظلمانی و مکدّر شد، فعل و قول او نیز ظلمانی و مکدّر شود</w:t>
      </w:r>
      <w:r>
        <w:rPr>
          <w:rFonts w:eastAsia="IRNazanin" w:cs="IRNazanin"/>
          <w:color w:val="111111"/>
          <w:sz w:val="28"/>
          <w:szCs w:val="28"/>
          <w:rtl w:val="true"/>
          <w:lang w:bidi="fa-IR"/>
        </w:rPr>
        <w:t>».</w:t>
      </w:r>
      <w:r>
        <w:rPr>
          <w:rStyle w:val="FootnoteAnchor"/>
          <w:rtl w:val="true"/>
        </w:rPr>
        <w:footnoteReference w:id="74"/>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آداب الصلاة، ص </w:t>
      </w:r>
      <w:r>
        <w:rPr>
          <w:rFonts w:eastAsia="Amiri" w:cs="Amiri" w:ascii="Amiri" w:hAnsi="Amiri"/>
          <w:color w:val="111111"/>
          <w:sz w:val="28"/>
          <w:szCs w:val="28"/>
          <w:lang w:bidi="ar-SA"/>
        </w:rPr>
        <w:t>308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همین دلیل امام با روش تشویق‌آمیز، در جایی دیگر بیان می‌کند که هرچه قلب پاک‌تر شود، نور قرآن بیشتر در دل می‌تابد و از قرائت بهرۀ بیشتری می‌برد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Heading4"/>
        <w:numPr>
          <w:ilvl w:val="3"/>
          <w:numId w:val="1"/>
        </w:numPr>
        <w:rPr/>
      </w:pPr>
      <w:bookmarkStart w:id="129" w:name="__RefHeading___Toc39694_1878427129"/>
      <w:bookmarkStart w:id="130" w:name="_Toc49"/>
      <w:bookmarkEnd w:id="129"/>
      <w:r>
        <w:rPr/>
        <w:t>4</w:t>
      </w:r>
      <w:r>
        <w:rPr>
          <w:rtl w:val="true"/>
        </w:rPr>
        <w:t xml:space="preserve">. </w:t>
      </w:r>
      <w:r>
        <w:rPr>
          <w:rtl w:val="true"/>
        </w:rPr>
        <w:t>روش انذاری و تحذیری</w:t>
      </w:r>
      <w:bookmarkEnd w:id="130"/>
    </w:p>
    <w:p>
      <w:pPr>
        <w:pStyle w:val="BookText"/>
        <w:rPr/>
      </w:pPr>
      <w:r>
        <w:rPr>
          <w:rFonts w:ascii="IRNazanin" w:hAnsi="IRNazanin" w:eastAsia="IRNazanin"/>
          <w:color w:val="111111"/>
          <w:sz w:val="28"/>
          <w:sz w:val="28"/>
          <w:szCs w:val="28"/>
          <w:rtl w:val="true"/>
          <w:lang w:bidi="fa-IR"/>
        </w:rPr>
        <w:t>این روش نیز رویکردی کارکردگرایانه دارد و مفسران تربیتی و به‌ویژه عارفان، با ترسیم مسائل معرفتی و عملی در پی ارائۀ این دسته از معارف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این روش انذاری توسط نقل است؛ مثل آنچه از دیگران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شبلی رضی الله عنه اللّه را بر زبان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لا اله الا اللّه نگفتی‌؟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اللّه دیگر ضدی باقی نمی‌ماند تا با لا اله الا نفی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فرمایش خداوند به اللّه همو مانعی است که از وصول به او مانع می‌شود، همان‌طور که این اسم، در شدیدترین حالت از رسیدن موصول به حقیقت ذات مانع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از اظهار اسمش بر آنان عاجز داشت تا بدان از عجز خود در درک ذاتش آگاه باشند</w:t>
      </w:r>
      <w:r>
        <w:rPr>
          <w:rFonts w:eastAsia="IRNazanin" w:cs="IRNazanin"/>
          <w:color w:val="111111"/>
          <w:sz w:val="28"/>
          <w:szCs w:val="28"/>
          <w:rtl w:val="true"/>
          <w:lang w:bidi="fa-IR"/>
        </w:rPr>
        <w:t>.</w:t>
      </w:r>
      <w:r>
        <w:rPr>
          <w:rStyle w:val="FootnoteAnchor"/>
          <w:rtl w:val="true"/>
        </w:rPr>
        <w:footnoteReference w:id="75"/>
      </w:r>
    </w:p>
    <w:p>
      <w:pPr>
        <w:pStyle w:val="BookText"/>
        <w:rPr/>
      </w:pPr>
      <w:r>
        <w:rPr>
          <w:rFonts w:ascii="IRNazanin" w:hAnsi="IRNazanin" w:eastAsia="IRNazanin"/>
          <w:color w:val="111111"/>
          <w:sz w:val="28"/>
          <w:sz w:val="28"/>
          <w:szCs w:val="28"/>
          <w:rtl w:val="true"/>
          <w:lang w:bidi="fa-IR"/>
        </w:rPr>
        <w:t>اما گاه شیوۀ بیان مسائل هولناک، مانند آیات قیامت و عذاب و برجسته کردن دشواری حساب در پس مرگ به مخاطب را به‌کار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نمونۀ این روش را در تفسیر ابوعبدالرحمن سلمی، صوفی، مورخ و محدث شافعی‌مذهب قرن چهارم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 مشاهده کرد که در قالب روایاتی از امام صادق علیه السلام و مقولاتی از شش صوفی بزرگ و معروف دیگر از جمله جنید، حلّاج، ابوالحسن نوری، واسطی، ابن‌عطا و سهل تستری، مسائل اخلاقی و تربیتی را به صورت انذاری بیان می‌کند</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معیار وی در گزینش این روایات، محتوای عرفانی و اشاریِ آن‌ها بوده است؛ چون</w:t>
      </w:r>
    </w:p>
    <w:p>
      <w:pPr>
        <w:pStyle w:val="BookText"/>
        <w:rPr/>
      </w:pPr>
      <w:r>
        <w:rPr>
          <w:rFonts w:ascii="IRNazanin" w:hAnsi="IRNazanin" w:eastAsia="IRNazanin"/>
          <w:color w:val="111111"/>
          <w:sz w:val="28"/>
          <w:sz w:val="28"/>
          <w:szCs w:val="28"/>
          <w:rtl w:val="true"/>
          <w:lang w:bidi="fa-IR"/>
        </w:rPr>
        <w:t xml:space="preserve">در این مکتب اصولی برای تربیت و اصلاح نفس مطرح شده است، مانند زهد یعنی بی‌میلی قلبی و روحی به دنیا یا همان زهد صوفیانه،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که در قرآن از آن به افضل عبادات تعبیر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لذکر اللّه اکبر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تهجد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آیاتی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ذاریات</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سجده</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فرقان</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اسرا</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مزمل</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اشاره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مفسر در جای‌جای تفسیر، از این اصول با روش انذاری سود می‌جوید؛ مثلاً در ذیل آیۀ</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 لَقَدْ عَلِمْتَ ما لَنا فی بَناتِکَ مِنْ حَقِّ وَ إنَّکَ لَتَعْلَمُ ما نُریدُ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جنید بغدادی نقل می‌کند با این مضمون از قول سری سقطی که گفت رب‌العزّه را خواب دیدم که به من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سری، مردم را آفریدم، سپس دنیا را آفریدم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نه‌دهم مردم به دنیا پرداختند و یک‌دهم آن‌ها با من باقی ماند؛ بعد بهشت را آفریدم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نه‌دهم بقیه به بهشت مشغول شدند، یک‌دهم دیگر با من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بلا را بر آنان مسلط کردم؛ نه‌دهم آنان از بلا گریختند، با من یک‌دهم باقی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باقی‌ماندگان گفتم شما دنیا را نخواستید، بهشت را نخواستید، از بلا هم نگریختید؟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خود می‌دانی که ما چه می‌خواهیم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شما چندان بلا مسلّط کنم که کوه‌ها نتوانند آن را حمل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مادام که تو این کنی، ما بر همه چیز راضی هستیم</w:t>
      </w:r>
      <w:r>
        <w:rPr>
          <w:rFonts w:eastAsia="IRNazanin" w:cs="IRNazanin"/>
          <w:color w:val="111111"/>
          <w:sz w:val="28"/>
          <w:szCs w:val="28"/>
          <w:rtl w:val="true"/>
          <w:lang w:bidi="fa-IR"/>
        </w:rPr>
        <w:t>.</w:t>
      </w:r>
      <w:r>
        <w:rPr>
          <w:rStyle w:val="FootnoteAnchor"/>
          <w:rtl w:val="true"/>
        </w:rPr>
        <w:footnoteReference w:id="76"/>
      </w:r>
    </w:p>
    <w:p>
      <w:pPr>
        <w:pStyle w:val="BookText"/>
        <w:rPr/>
      </w:pPr>
      <w:r>
        <w:rPr>
          <w:rFonts w:ascii="IRNazanin" w:hAnsi="IRNazanin" w:eastAsia="IRNazanin"/>
          <w:color w:val="111111"/>
          <w:sz w:val="28"/>
          <w:sz w:val="28"/>
          <w:szCs w:val="28"/>
          <w:rtl w:val="true"/>
          <w:lang w:bidi="fa-IR"/>
        </w:rPr>
        <w:t xml:space="preserve">حقائق التفسیر،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جالب این است که این روش در بسیاری از تفاسیر بعدی اثر گذاشته است؛ مثلاً قشیری در تفسیر لطائف الاشارات به روش سلمی و به مذاق صوفیه، گاه از همین سبک استفاده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به شیوۀ محدثین، همۀ روایات و کلمات و حکایات صوفیان را که گاه جنبۀ تحذیری دارد و هدف آن ارشاد و تربیت است، با سلسلۀ سند آورده است، یا نقلی‌آورده با این مضمون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یکی به نزدیک جنید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 می‌آیی‌؟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حج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کردی‌؟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از ابتدا که از خانه برفتی و از وطن رحلت کردی، از همۀ معاصی رحلت کردی‌؟ گفتا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 پس رحلت نکردی</w:t>
      </w:r>
      <w:r>
        <w:rPr>
          <w:rFonts w:eastAsia="IRNazanin" w:cs="IRNazanin"/>
          <w:color w:val="111111"/>
          <w:sz w:val="28"/>
          <w:szCs w:val="28"/>
          <w:rtl w:val="true"/>
          <w:lang w:bidi="fa-IR"/>
        </w:rPr>
        <w:t>...»</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bookmarkStart w:id="131" w:name="pg14517_146190"/>
    </w:p>
    <w:p>
      <w:pPr>
        <w:pStyle w:val="Heading4"/>
        <w:numPr>
          <w:ilvl w:val="3"/>
          <w:numId w:val="1"/>
        </w:numPr>
        <w:rPr/>
      </w:pPr>
      <w:bookmarkStart w:id="132" w:name="__RefHeading___Toc39696_1878427129"/>
      <w:bookmarkStart w:id="133" w:name="_Toc50"/>
      <w:bookmarkEnd w:id="131"/>
      <w:bookmarkEnd w:id="132"/>
      <w:r>
        <w:rPr/>
        <w:t>5</w:t>
      </w:r>
      <w:r>
        <w:rPr>
          <w:rtl w:val="true"/>
        </w:rPr>
        <w:t xml:space="preserve">. </w:t>
      </w:r>
      <w:r>
        <w:rPr>
          <w:rtl w:val="true"/>
        </w:rPr>
        <w:t>روش تحلیلی و توصیفی</w:t>
      </w:r>
      <w:bookmarkEnd w:id="133"/>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دشوارترینِ این گرایش همین روش است که در ادبیات دینی و تفسیری معاصر به کار گرفته می‌شود؛ زیرا از خصیصه‌های تفاسیر معاصر، بُعد اجتماعی است و در تفسیر اجتماعی، توجه به نکات تربیتی در اصلاح جامعه به‌ویژه در حوزۀ اخلاق و رعایت حقوق دیگران و اصلاح ساختار فرهنگی و رفتار اخلاقی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جامعۀ مسلمانان، از دروغ و فریب و نقض پیمان و نفاق رنج می‌برد، به آموزه‌هایی برمی‌گردد که دروغ و غیبت و فریب دادن را به شکل مصلحت‌آمیزی توجیه، و فرهنگ رواج آن را در خانواده و در مرحلۀ بعد در جامعه و حکومت گسترش می‌دهد و در نتیجه جامعه از هر جامعۀ غیردینی بدتر، و مبتلا به دروغ و دورویی و خُلف عهد و بی‌ثباتی امنیتی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تملق و چاپلوسی رواج می‌یابد، چون ظاهرگرایی و سخت‌گیری‌ها شروع می‌شود، تظاهر و نفاق، امری عادی در جامعۀ دینی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نمونۀ چنین جامعه‌ای در گذشته، بنی‌اسرائیل در فرار از مسئولیت و بهانه‌جویی‌های آنان مشاهده می‌شود و یادآوری قرآن برای درس تجربه از گذشته‌ها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مفسر تربیتی با روش تحلیلی در پی توجه دادن مخاطب به مباحث اخلاقی و تربیتی در شکل فردی و اجتماعی است؛ زیرا جامعه از فرد ساخته می‌شود و اگر صفات زشت در روح و روان او نهادینه شود، به جامعه و حکومت سرایت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تفسیر برخی آیات، این بیماری‌ها را می‌شناساند و در تفسیر به‌مناسبت‌ها به آن اشاره و سعی می‌کند اندیشۀ خواننده را به حقایقی از فضای موجود جامعه باز کند و برای روشن کردن حقایق قرآنی، هر بار از زاویه‌ای بدان‌ها بپردازد، آن‌ها را تحلیل می‌کند و آثار زیان‌بخش آن را نمایان می‌سازد، یا راستگویی را مثلاً در جامعه و خانواده توضیح می‌دهد و نور ایمان را بر آن پرتو افکند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نمونه، آیت‌اللّه طالقانی که به این روش بسیار پایبند است، در تفسیر آیات گاه از زاویۀ تاریخی و گاه کلامی و گاه از روش تحلیل مسائل اعتقادی یا بیان علوم تجربی، و گاه با ذکر احادیث اهل بیت علیهم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نمونه، قسمت اول از</w:t>
      </w:r>
      <w:bookmarkStart w:id="134" w:name="pg14517_146191"/>
    </w:p>
    <w:p>
      <w:pPr>
        <w:pStyle w:val="BookText"/>
        <w:rPr/>
      </w:pPr>
      <w:bookmarkEnd w:id="134"/>
      <w:r>
        <w:rPr>
          <w:rFonts w:ascii="IRNazanin" w:hAnsi="IRNazanin" w:eastAsia="IRNazanin"/>
          <w:color w:val="111111"/>
          <w:sz w:val="28"/>
          <w:sz w:val="28"/>
          <w:szCs w:val="28"/>
          <w:rtl w:val="true"/>
          <w:lang w:bidi="fa-IR"/>
        </w:rPr>
        <w:t xml:space="preserve">مجلد آخر، ص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 از منظر ادب و شعر بدان‌ها می‌نگرد</w:t>
      </w:r>
      <w:r>
        <w:rPr>
          <w:rFonts w:eastAsia="IRNazanin" w:cs="IRNazanin"/>
          <w:color w:val="111111"/>
          <w:sz w:val="28"/>
          <w:szCs w:val="28"/>
          <w:rtl w:val="true"/>
          <w:lang w:bidi="fa-IR"/>
        </w:rPr>
        <w:t>.</w:t>
      </w:r>
      <w:r>
        <w:rPr>
          <w:rStyle w:val="FootnoteAnchor"/>
          <w:rtl w:val="true"/>
        </w:rPr>
        <w:footnoteReference w:id="7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فراتر از علم و استناد می‌تواند برای خوانندگان دلنشین باشد، لحن اوست که از سوز و گدازی خاص و روحی سرشار از معنویت بیان می‌کند و توشه‌ای زندگی‌بخش‌تر به مشتاقان و عاشقان قرآن ارزانی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این گرایش با جهت‌گیری تربیتی و هدایتی، با روش تحلیل و توصیف برای خوانندۀ معاصر معنا و مفهوم دیگری پیدا می‌کند که ثمرۀ چهل سال تلاش و قرآن‌پژوهی است</w:t>
      </w:r>
      <w:r>
        <w:rPr>
          <w:rFonts w:eastAsia="IRNazanin" w:cs="IRNazanin"/>
          <w:color w:val="111111"/>
          <w:sz w:val="28"/>
          <w:szCs w:val="28"/>
          <w:rtl w:val="true"/>
          <w:lang w:bidi="fa-IR"/>
        </w:rPr>
        <w:t>.</w:t>
      </w:r>
    </w:p>
    <w:p>
      <w:pPr>
        <w:pStyle w:val="Heading3"/>
        <w:numPr>
          <w:ilvl w:val="2"/>
          <w:numId w:val="1"/>
        </w:numPr>
        <w:rPr/>
      </w:pPr>
      <w:bookmarkStart w:id="135" w:name="__RefHeading___Toc39698_1878427129"/>
      <w:bookmarkStart w:id="136" w:name="_Toc51"/>
      <w:bookmarkEnd w:id="135"/>
      <w:r>
        <w:rPr>
          <w:rtl w:val="true"/>
        </w:rPr>
        <w:t>جایگاه این روش ها در قرآن</w:t>
      </w:r>
      <w:bookmarkEnd w:id="136"/>
    </w:p>
    <w:p>
      <w:pPr>
        <w:pStyle w:val="BookText"/>
        <w:rPr/>
      </w:pPr>
      <w:r>
        <w:rPr>
          <w:rFonts w:ascii="IRNazanin" w:hAnsi="IRNazanin" w:eastAsia="IRNazanin"/>
          <w:color w:val="111111"/>
          <w:sz w:val="28"/>
          <w:sz w:val="28"/>
          <w:szCs w:val="28"/>
          <w:rtl w:val="true"/>
          <w:lang w:bidi="fa-IR"/>
        </w:rPr>
        <w:t>در قرآن همۀ این روش‌ها را می‌توان در بیان امور اخلاقی و تربیتی و استفاده از مسائل گوناگون در توجه مخاطب ملاحظه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بی‌گمان این قرآن بوده که زمینۀ تنوع روش‌ها را برای مهم‌ترین هدف خود برای مفسران فراهم ساخته و آنان در تجربه‌های طولانی خود در طی قرون و اعصار از آن بهره برده‌اند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نحله‌های کلامی و دانش مفسران، به این تنوع و توسعۀ معانی و روش‌ها دامن زده و نقش دانش، آموزش و شرایط فرهنگی و تاریخی و حتی جغرافیایی به آن کمک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نمی‌توان منکر این واقعیت شد که روش مفسران فراز و نشیب داشته، اما اصول کلی همۀ این شیوه‌ها در قرآن آمده و هر گروه می‌تواند بگوید که روش آنان برآمده از این کتاب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نمونۀ بیان خودِ قرآن را در روش‌های یادشده می‌توان نشان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روش استنادی و استدلالی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آنجا که مفسران، از روش استنادی برای امور تربیتی و اخلاقی استفاده کرده‌اند، به این دلیل بوده که در قرآن آیاتی که شکل استدلال دارد، بسیار است؛ برای نمونه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آیَةٌ لَهُمُ اْلأَرْضُ الْمَیْتَةُ أحْیَیْناها وَ أخْرَجْنا مِنْها حَبّاً فَمِنْهُ یَأْکُلُونَ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جَعَلْنا فیها جَنّاتٍ مِنْ نَخیلٍ وَ أعْنابٍ وَ فَجَّرْنا فیها مِنَ الْعُیُونِ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لِیَأْکُلُوا مِنْ ثَمَرِهِ وَ ما عَمِلَتْهُ أیْدیهِمْ أ فَلا یَشْکُرُونَ</w:t>
      </w:r>
      <w:r>
        <w:rPr>
          <w:rFonts w:eastAsia="Amiri" w:cs="Amiri" w:ascii="Amiri" w:hAnsi="Amiri"/>
          <w:color w:val="111111"/>
          <w:sz w:val="28"/>
          <w:szCs w:val="28"/>
          <w:rtl w:val="true"/>
          <w:lang w:bidi="ar-SA"/>
        </w:rPr>
        <w:t>»</w:t>
      </w:r>
      <w:r>
        <w:rPr>
          <w:rStyle w:val="FootnoteAnchor"/>
          <w:rtl w:val="true"/>
        </w:rPr>
        <w:footnoteReference w:id="79"/>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نشانۀ عبرتی است برایشان</w:t>
      </w:r>
    </w:p>
    <w:p>
      <w:pPr>
        <w:pStyle w:val="BookText"/>
        <w:rPr/>
      </w:pPr>
      <w:r>
        <w:rPr>
          <w:rFonts w:ascii="IRNazanin" w:hAnsi="IRNazanin" w:eastAsia="IRNazanin"/>
          <w:color w:val="111111"/>
          <w:sz w:val="28"/>
          <w:sz w:val="28"/>
          <w:szCs w:val="28"/>
          <w:rtl w:val="true"/>
          <w:lang w:bidi="fa-IR"/>
        </w:rPr>
        <w:t>زمین مرده که زنده‌اش ساختیم و از آن، دانه‌ای که از آن می‌خورند بیرون آوردیم؛ و در آن باغ‌هایی از نخل‌ها و تاک‌ها پدید آوردیم و چشمه‌ها روان ساختیم، تا از ثمرات آن و دسترنج خویش بخورند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سپاس نمی‌گویند؟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 نتیجه می‌گیرد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آنگاه که به ایشان گفته شود که از آنچه در پیش روی دارید یا پشت سر می‌گذارید، بترسید، شاید بر شما رحمت آرند و روی بگردانند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إذا قیلَ لَهُمُ اتَّقُوا ما بَیْنَ أیْدیکُمْ وَ ما خَلْفَکُمْ لَعَلَّکُمْ تُرْحَمُونَ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آیات شریفه، به این شیوه سخن از آفرینش زمین و خصلت‌های آن و باغات و نیز خصائصی که از آن‌ها به عمل می‌آید تا مخاطب متوجه شود که اگر در طبیعت و به نحوۀ تولید نباتات اشاره می‌شود و این‌ها را از آیات خداوند برمی‌شمارد تا بداند که سپاس‌گزار خدای متعال باشد و این سپاس برای ایجاد تقوا و اصلاح رفتار است که باید در آن تأمل و تدبر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 اقناعی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نیز همین‌گونه است که گاه به شیوۀ اقناع‌کننده مسائلی مطرح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می‌خواهد نشان دهد که انسان چگونه دارای مراتب و درجات است، و استغفار انسان جایگاه و معنایی متناسب با او دارد؛ مثلاً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فَقُلْتُ اسْتَغْفِرُوا رَبَّکُمْ إنَّهُ کانَ غَفّارًا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یُرْسِلِ السَّماءَ عَلَیْکُمْ مِدْرارًا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یُمْدِدْکُمْ بِأمْوالٍ وَ بَنینَ وَ یَجْعَلْ لَکُمْ جَنّاتٍ وَ یَجْعَلْ لَکُمْ أنْهارًا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لَکُمْ لا تَرْجُونَ لِلّهِ وَقارًا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خَلَقَکُمْ أطْوارًا</w:t>
      </w:r>
      <w:r>
        <w:rPr>
          <w:rFonts w:eastAsia="IRNazanin" w:cs="IRNazanin"/>
          <w:color w:val="111111"/>
          <w:sz w:val="28"/>
          <w:szCs w:val="28"/>
          <w:rtl w:val="true"/>
          <w:lang w:bidi="fa-IR"/>
        </w:rPr>
        <w:t>»</w:t>
      </w:r>
      <w:r>
        <w:rPr>
          <w:rStyle w:val="FootnoteAnchor"/>
          <w:rtl w:val="true"/>
        </w:rPr>
        <w:footnoteReference w:id="80"/>
      </w:r>
    </w:p>
    <w:p>
      <w:pPr>
        <w:pStyle w:val="BookText"/>
        <w:rPr/>
      </w:pPr>
      <w:r>
        <w:rPr>
          <w:rFonts w:ascii="IRNazanin" w:hAnsi="IRNazanin" w:eastAsia="IRNazanin"/>
          <w:color w:val="111111"/>
          <w:sz w:val="28"/>
          <w:sz w:val="28"/>
          <w:szCs w:val="28"/>
          <w:rtl w:val="true"/>
          <w:lang w:bidi="fa-IR"/>
        </w:rPr>
        <w:t xml:space="preserve">نوح، آیۀ </w:t>
      </w:r>
      <w:r>
        <w:rPr>
          <w:rFonts w:eastAsia="IRNazanin" w:cs="IRNazanin"/>
          <w:color w:val="111111"/>
          <w:sz w:val="28"/>
          <w:szCs w:val="28"/>
          <w:lang w:bidi="fa-IR"/>
        </w:rPr>
        <w:t>10</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نتیجه بگیرد که چون دارای احوال گوناگون است، پس باید در این احوال امیدوار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می‌شود که انسان گاه در حالی این‌گونه و در حالی آن‌گونه باشد و از فرصت‌ها استفاده کند، و دعا و عبادت را فراموش نکند، چون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ناشِئَةَ اللَّیْلِ هِیَ أشَدُّ وَطْئاً وَ أقْوَمُ قیلاً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لَکَ فی النَّهارِ سَبْحاً طَویلاً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اذْکُرِ اسْمَ رَبِّکَ وَ تَبَتَّلْ إلَیْهِ تَبْتیلاً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تفاوتی که میان این روش اقناعی با منقولات برخی اهل عرفان وجود دارد، در</w:t>
      </w:r>
    </w:p>
    <w:p>
      <w:pPr>
        <w:pStyle w:val="BookText"/>
        <w:rPr/>
      </w:pPr>
      <w:r>
        <w:rPr>
          <w:rFonts w:ascii="IRNazanin" w:hAnsi="IRNazanin" w:eastAsia="IRNazanin"/>
          <w:color w:val="111111"/>
          <w:sz w:val="28"/>
          <w:sz w:val="28"/>
          <w:szCs w:val="28"/>
          <w:rtl w:val="true"/>
          <w:lang w:bidi="fa-IR"/>
        </w:rPr>
        <w:t>این است که بیان قرآن متکی به وحی و تجربۀ نبوی و حجیت آن بر اساس مقدمات کلامیِ تثبیت‌شده است؛ اما خواب جنید بغدادی، گفتۀ شخصیِ بایزید بسطامی، کشف ابن‌عربی، شهودات و رؤیای فلان آیت‌اللّه از حیات برزخی، به‌تنهایی ارزش و اعتباری ندارد و برای دیگران حجت نیست، مگر اینکه به دستگاه وحی و عقل منطبق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 تشویقی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بارها از روش تشویقی استفاده کرده تا آن عمل صالح را تثبیت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بهشت یا فلاح و رستگاری یا رضوان الهی؛ برای نمونه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بَشِّرِ الَّذینَ آمَنُوا وَ عَمِلُوا الصّالِحاتِ أنَّ لَهُمْ جَنّاتٍ تَجْری مِنْ تَحْتِها اْلأَنْهارُ کُلَّما رُزِقُوا مِنْها مِنْ ثَمَرَةٍ رِزْقاً قالُوا هذا الَّذی رُزِقْنا مِنْ قَبْلُ وَ اتُوا بِهِ مُتَشابِهاً وَ لَهُمْ فیها أزْواجٌ مُطَهَّرَةٌ وَ هُمْ فیها خالِدُونَ</w:t>
      </w:r>
      <w:r>
        <w:rPr>
          <w:rFonts w:eastAsia="Amiri" w:cs="Amiri" w:ascii="Amiri" w:hAnsi="Amiri"/>
          <w:color w:val="111111"/>
          <w:sz w:val="28"/>
          <w:szCs w:val="28"/>
          <w:rtl w:val="true"/>
          <w:lang w:bidi="ar-SA"/>
        </w:rPr>
        <w:t>».</w:t>
      </w:r>
      <w:r>
        <w:rPr>
          <w:rStyle w:val="FootnoteAnchor"/>
          <w:rtl w:val="true"/>
        </w:rPr>
        <w:footnoteReference w:id="81"/>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بقره، آیۀ </w:t>
      </w:r>
      <w:r>
        <w:rPr>
          <w:rFonts w:eastAsia="IRNazanin" w:cs="IRNazanin"/>
          <w:color w:val="111111"/>
          <w:sz w:val="28"/>
          <w:szCs w:val="28"/>
          <w:lang w:bidi="fa-IR"/>
        </w:rPr>
        <w:t>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خدای سبحان در ضرورت و جدی گرفتن کار نماز جمعه فرمان اکید داده و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فَإِذا قُضِیَتِ الصَّلاةُ فَانْتَشِرُوا فِی الْأَرْضِ وَ ابْتَغُوا مِنْ فَضْلِ اللَّهِ وَ اذْکُرُوا اللَّهَ کَثیراً لَعَلَّکُمْ تُفْلِحُونَ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چون نماز گزارده شد،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پراکنده گردید و فضل خدا را جویا شوید و خدا را بسیار یاد کنید؛ باشد که رستگار شوید</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روش انذاری در آیات قرآن بسیار است، که جنبۀ کارکردی دارد و آیات آن برای این بیان شده که به مخاطب هشدار دهد و البته نمونه‌های آن بسیار است با کلمۀ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انذار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غیر آن؛ برای نمونه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أنْذَرْناکُمْ عَذاباً قَریباً یَوْمَ یَنْظُرُ الْمَرْءُ ما قَدَّمَتْ یَداهُ وَ یَقُولُ الْکافِرُ یا لَیْتَنی کُنْتُ تُراباً</w:t>
      </w:r>
      <w:r>
        <w:rPr>
          <w:rFonts w:eastAsia="Amiri" w:cs="Amiri" w:ascii="Amiri" w:hAnsi="Amiri"/>
          <w:color w:val="111111"/>
          <w:sz w:val="28"/>
          <w:szCs w:val="28"/>
          <w:rtl w:val="true"/>
          <w:lang w:bidi="ar-SA"/>
        </w:rPr>
        <w:t>»</w:t>
      </w:r>
      <w:r>
        <w:rPr>
          <w:rStyle w:val="FootnoteAnchor"/>
          <w:rtl w:val="true"/>
        </w:rPr>
        <w:footnoteReference w:id="82"/>
      </w:r>
      <w:r>
        <w:rPr>
          <w:rFonts w:ascii="IRNazanin" w:hAnsi="IRNazanin" w:eastAsia="IRNazanin"/>
          <w:color w:val="111111"/>
          <w:sz w:val="28"/>
          <w:sz w:val="28"/>
          <w:szCs w:val="28"/>
          <w:rtl w:val="true"/>
          <w:lang w:bidi="fa-IR"/>
        </w:rPr>
        <w:t>یا بخشی از آیات سورۀ یس که کارهای اقوامی را شرح می‌دهد که سرانجام، بیچاره و بدبخت شدند، به این دلیل است که مخاطب انذار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در این آیات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آیَةٌ لَهُمْ أنّا حَمَلْنا ذُرّیَّتَهُمْ فی الْفُلْکِ الْمَشْحُونِ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خَلَقْنا لَهُمْ مِنْ مِثْلِهِ ما یَرْکَبُونَ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نَشَأْ نُغْرِقْهُمْ فَلا صَریخَ لَهُمْ وَ لا هُمْ یُنْقَذُونَ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83"/>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عبرتی دیگر برای آن‌ها اینکه نیاکانشان را در آن کشتیِ انباشته‌شده، سوار کردیم و برایشان همانند کشتی چیزی آفریدیم که بر آن سوار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بخواهیم، همه را غرق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 این روش با استفاده از داستان‌های گذشتگان و ذکر آن افعال است؛ چنان‌که در سورۀ بقره در بیان افعال بنی‌اسرائیل، همۀ آن‌ها جنبۀ هشداری به مسلمین دارد؛ لذا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فَجَعَلْناها نَکالاً لِما بَیْنَ یَدَیْها وَ ما خَلْفَها وَ مَوْعِظَةً لِلْمُتَّقینَ</w:t>
      </w:r>
      <w:r>
        <w:rPr>
          <w:rFonts w:eastAsia="IRNazanin" w:cs="IRNazanin"/>
          <w:color w:val="111111"/>
          <w:sz w:val="28"/>
          <w:szCs w:val="28"/>
          <w:rtl w:val="true"/>
          <w:lang w:bidi="fa-IR"/>
        </w:rPr>
        <w:t>»</w:t>
      </w:r>
      <w:r>
        <w:rPr>
          <w:rStyle w:val="FootnoteAnchor"/>
          <w:rtl w:val="true"/>
        </w:rPr>
        <w:footnoteReference w:id="8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بقره، آیۀ </w:t>
      </w:r>
      <w:r>
        <w:rPr>
          <w:rFonts w:eastAsia="IRNazanin" w:cs="IRNazanin"/>
          <w:color w:val="111111"/>
          <w:sz w:val="28"/>
          <w:szCs w:val="28"/>
          <w:lang w:bidi="fa-IR"/>
        </w:rPr>
        <w:t>66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ما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عقوبت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برای حاضران،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نسل‌های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عبرتی، و برای پرهیزگاران پندی قرار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در سورۀ یس داستان پیامبرانی را نقل می‌کند که بر جمعیتی وارد شدند و به آنان دربارۀ کارهایشان هشدار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داستانی است که خداوند نقل می‌کند؛ به پیامبر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آنان داستان و مثال شهر انطاکیه را تعریف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مردمانش مسیحی یا کافر و نیز شرابخوار و قمارباز و آدم‌های بدکردار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دو نفر را فرستاد و بعضی نیز می‌گویند حضرت عیسی علیهم السلام دو نفر را فرستاد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بروید به این شهر و به این‌ها بگویید که این کارها را نکنند و از خدا بترسند</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دو نفر با هم راه افتادند و رفتند و به شهر انطاکیه رسیدند، ولی مردم، آن‌ها را تکذیب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قرآن کریم معلوم می‌شود برخورد اقوام هلاک‌شده چنین بوده است که مردم پس از انذار پیامبران، از پذیرش آن سر باز می‌زدند و پیامبران را شکنجه می‌کردند یا می‌کشتند؛ در نتیجه، عذاب دنیوی خداوند آن‌ها را فرا می‌گرفت و نابود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بلافاصله نتیجه می‌گیرد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ما أنْزَلْنا عَلی قَوْمِهِ مِنْ بَعْدِهِ مِنْ جُنْدٍ مِنَ السَّماءِ وَ ما کُنّا مُنْزِلینَ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کانَتْ إلاّ صَیْحَةً واحِدَةً فَإذا هُمْ خامِدُونَ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حَسْرَةً عَلَی الْعِبادِ ما یَأْتیهِمْ مِنْ رَسُولٍ إلاّ کانُوا بِهِ یَسْتَهْزِؤُنَ</w:t>
      </w:r>
      <w:r>
        <w:rPr>
          <w:rFonts w:eastAsia="IRNazanin" w:cs="IRNazanin"/>
          <w:color w:val="111111"/>
          <w:sz w:val="28"/>
          <w:szCs w:val="28"/>
          <w:rtl w:val="true"/>
          <w:lang w:bidi="fa-IR"/>
        </w:rPr>
        <w:t>»</w:t>
      </w:r>
      <w:r>
        <w:rPr>
          <w:rStyle w:val="FootnoteAnchor"/>
          <w:rtl w:val="true"/>
        </w:rPr>
        <w:footnoteReference w:id="85"/>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فروفرستنده نبودیم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w:t>
      </w:r>
    </w:p>
    <w:p>
      <w:pPr>
        <w:pStyle w:val="BookText"/>
        <w:rPr/>
      </w:pPr>
      <w:r>
        <w:rPr>
          <w:rFonts w:ascii="IRNazanin" w:hAnsi="IRNazanin" w:eastAsia="IRNazanin"/>
          <w:color w:val="111111"/>
          <w:sz w:val="28"/>
          <w:sz w:val="28"/>
          <w:szCs w:val="28"/>
          <w:rtl w:val="true"/>
          <w:lang w:bidi="fa-IR"/>
        </w:rPr>
        <w:t>یک بانگ سهمناک نبود که ناگاه همه بر جای خود سرد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دریغ بر این بندگان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پیامبری بر آن‌ها مبعوث نشد، مگر آنکه مسخره‌اش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 تحلیلی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این است که خودِ قرآن، گاه برای تثبیت مسئله‌ای به جای استدلال، تحلیل می‌کند؛ یعنی آیاتی وجود دارد که به این روش بیان می‌شود که نه از مقولۀ استدلال و برهان است، و نه از قبیل بشارت و انذار، بلکه به صورت شگفت‌انگیزی در پی بیان موضوع، ذکر نتایج و آثار آن خواستۀ اخلاقی و تربیتی است؛ مثل آنچه در این آیات برای ضرورت هدفداری در حیات و لزوم مواظبت بر اعمال بیان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الَّذی خَلَقَ الْمَوْتَ وَ الْحَیاةَ لِیَبْلُوَکُمْ أیُّکُمْ أحْسَنُ عَمَلاً وَ هُوَ الْعَزیزُ الْغَفُورُ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خَلَقَ سَبْعَ سَماواتٍ طِباقاً ما تَری فی خَلْقِ الرَّحْمنِ مِنْ تَفاوُتٍ فَارْجِعِ الْبَصَرَ هَلْ تَری مِنْ فُطُورٍ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ارْجِعِ الْبَصَرَ کَرَّتَیْنِ یَنْقَلِبْ إلَیْکَ الْبَصَرُ خاسِئاً وَ هُوَ حَسیرٌ</w:t>
      </w:r>
      <w:r>
        <w:rPr>
          <w:rFonts w:eastAsia="IRNazanin" w:cs="IRNazanin"/>
          <w:color w:val="111111"/>
          <w:sz w:val="28"/>
          <w:szCs w:val="28"/>
          <w:rtl w:val="true"/>
          <w:lang w:bidi="fa-IR"/>
        </w:rPr>
        <w:t>»</w:t>
      </w:r>
      <w:r>
        <w:rPr>
          <w:rStyle w:val="FootnoteAnchor"/>
          <w:rtl w:val="true"/>
        </w:rPr>
        <w:footnoteReference w:id="8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ملک، آیۀ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به این دلیل در مقام بیان هدف خلقت انسان، و نتیجه‌گیری از آن است، تا به موضوع آزمایش و ابتلا اشاره می‌کند که یکی از اهداف تربیتی است؛ چون انسان برای حیات خلق شده، نه برای 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مرگی، تولدی است در عالم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ازاین‌رو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معنای نیستی و نابودی، بلکه واقعیتی است چشیدنی که مقهور انسان است و همه آن را خواهند چشید تا به خدا رجوع کنند و از تعلقات هر عالمی مبرّا و به حیات عالم دیگر محلّی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حقیقت این‌گونه تحلیل می‌شود که خداوند در مقام بیان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نظام احسن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به این معنا که تدبیر الهی در سراسر جهان، زنجیروار به هم متصل است و موجودات به همدیگر مرتبطاند، یعنی نتایج و فواید حاصل از هر موجود، عاید موجود دیگری می‌شود و در فایده و نتیجه دادن خودش نیز نیازمند موجودات دیگر است</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نتیجۀ خاص خود را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برای انسان مرگ و زندگی را پدید آورد، بی‌فایده نیست و هدف آن است که شما را بیازماید که کدامتان نیکوکارترید، و اوست ارجمند آمرزنده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در آیه تحلیل می‌کند که در این جهان تفاوت نیست، منظور از نبودن تفاوت در جهان، این است که خداوند متعال اجزای هستی</w:t>
      </w:r>
    </w:p>
    <w:p>
      <w:pPr>
        <w:pStyle w:val="BookText"/>
        <w:rPr/>
      </w:pPr>
      <w:r>
        <w:rPr>
          <w:rFonts w:ascii="IRNazanin" w:hAnsi="IRNazanin" w:eastAsia="IRNazanin"/>
          <w:color w:val="111111"/>
          <w:sz w:val="28"/>
          <w:sz w:val="28"/>
          <w:szCs w:val="28"/>
          <w:rtl w:val="true"/>
          <w:lang w:bidi="fa-IR"/>
        </w:rPr>
        <w:t>را طوری آفریده که در عین تنوع در جنس، شکل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هر موجودی بتواند به آن هدف و مقصد و مقصودی که برای آن خلق شده برسد، و درعین‌حال مانع از به مقصد رسیدن دیگری نشود، یا باعث فوت و فاصله و دوری از آن صفتی نشود که برای رسیدنش به هدف نیازمند است</w:t>
      </w:r>
      <w:r>
        <w:rPr>
          <w:rFonts w:eastAsia="IRNazanin" w:cs="IRNazanin"/>
          <w:color w:val="111111"/>
          <w:sz w:val="28"/>
          <w:szCs w:val="28"/>
          <w:rtl w:val="true"/>
          <w:lang w:bidi="fa-IR"/>
        </w:rPr>
        <w:t>.</w:t>
      </w:r>
      <w:r>
        <w:rPr>
          <w:rStyle w:val="FootnoteAnchor"/>
          <w:rtl w:val="true"/>
        </w:rPr>
        <w:footnoteReference w:id="87"/>
      </w:r>
    </w:p>
    <w:p>
      <w:pPr>
        <w:pStyle w:val="BookText"/>
        <w:rPr/>
      </w:pPr>
      <w:r>
        <w:rPr>
          <w:rFonts w:ascii="IRNazanin" w:hAnsi="IRNazanin" w:eastAsia="IRNazanin"/>
          <w:color w:val="111111"/>
          <w:sz w:val="28"/>
          <w:sz w:val="28"/>
          <w:szCs w:val="28"/>
          <w:rtl w:val="true"/>
          <w:lang w:bidi="fa-IR"/>
        </w:rPr>
        <w:t xml:space="preserve">المیزان فی تفسیر القرآن، ج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587</w:t>
      </w:r>
      <w:r>
        <w:rPr>
          <w:rFonts w:eastAsia="IRNazanin" w:cs="IRNazanin"/>
          <w:color w:val="111111"/>
          <w:sz w:val="28"/>
          <w:szCs w:val="28"/>
          <w:rtl w:val="true"/>
          <w:lang w:bidi="fa-IR"/>
        </w:rPr>
        <w:t>-</w:t>
      </w:r>
      <w:r>
        <w:rPr>
          <w:rFonts w:eastAsia="IRNazanin" w:cs="IRNazanin"/>
          <w:color w:val="111111"/>
          <w:sz w:val="28"/>
          <w:szCs w:val="28"/>
          <w:lang w:bidi="fa-IR"/>
        </w:rPr>
        <w:t>588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چنین بیانی برای انسان که باید در حوزۀ بینش و اعتقاد، رفتار خود را اصلاح کند که از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جهان‌بینی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می‌شود، برای این نکتۀ اخلاقی است که انسان باید به اصلاح باورهای خود بپردازد؛ زیرا عقیده و بینش، در اصلاح انسان نقش بسیار بنیادین و اساسی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بسا انحراف جزیی در بینش و اعتقاد، عمل انسان را از اساس، باطلْ و اجر و کمال او را زایل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انسانی جز به قهقرا ره نمی‌پوید و از سعادت دنیا و آخرت محروم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که انجام اعمال نیک، نیازمند مجاهدۀ عملی است؛ اعتقاد به جهان‌بینی اسلامی و الهی، به گونه‌ای که ملکۀ انسان شده، در ذات او با ایمان صحیح عجین گردد، نیاز به مجاهدۀ مستمر فکری دارد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باید شبهات و براهین رفع آن‌ها را شناخته، و برای سکون و اطمینان قلب بر اعتقاد صحیح، تلاش بسیاری مبذول داشت؛ تا در مواضع اعتقادی و بینش فکری، قاطعیت حاصل شود و انسان از اهل تردید محسوب نشود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مُذَبْذَبینَ بَیْنَ ذلِکَ لا إلی هؤُلاءِ وَ لا إلی هؤُلاءِ وَ مَنْ یُضْلِلِ اللّهُ فَلَنْ تَجِدَ لَهُ سَبیلاً</w:t>
      </w:r>
      <w:r>
        <w:rPr>
          <w:rFonts w:eastAsia="Amiri" w:cs="Amiri" w:ascii="Amiri" w:hAnsi="Amiri"/>
          <w:color w:val="111111"/>
          <w:sz w:val="28"/>
          <w:szCs w:val="28"/>
          <w:rtl w:val="true"/>
          <w:lang w:bidi="ar-SA"/>
        </w:rPr>
        <w:t>».</w:t>
      </w:r>
      <w:r>
        <w:rPr>
          <w:rStyle w:val="FootnoteAnchor"/>
          <w:rtl w:val="true"/>
        </w:rPr>
        <w:footnoteReference w:id="88"/>
      </w:r>
      <w:r>
        <w:rPr>
          <w:rFonts w:ascii="IRNazanin" w:hAnsi="IRNazanin" w:eastAsia="IRNazanin"/>
          <w:color w:val="111111"/>
          <w:sz w:val="28"/>
          <w:sz w:val="28"/>
          <w:szCs w:val="28"/>
          <w:rtl w:val="true"/>
          <w:lang w:bidi="fa-IR"/>
        </w:rPr>
        <w:t>زیرا این حالت، حاصلی جز گمراهی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 عبادات و مجاهدات فکری بسی افزون‌تر از عبادات بدنی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درواقع این عقیده است که به اعمال بدنی عمق و غنا و ارزش می‌دهد و هر مقدار ضعف و نقصان در آن باشد، به همان نسبت از ارزش عمل کاسته می‌شود؛ زیرا عقیده، پایۀ اخلاق و عمل است</w:t>
      </w:r>
      <w:r>
        <w:rPr>
          <w:rFonts w:eastAsia="IRNazanin" w:cs="IRNazanin"/>
          <w:color w:val="111111"/>
          <w:sz w:val="28"/>
          <w:szCs w:val="28"/>
          <w:rtl w:val="true"/>
          <w:lang w:bidi="fa-IR"/>
        </w:rPr>
        <w:t>.</w:t>
      </w:r>
      <w:r>
        <w:rPr>
          <w:rStyle w:val="FootnoteAnchor"/>
          <w:rtl w:val="true"/>
        </w:rPr>
        <w:footnoteReference w:id="89"/>
      </w:r>
      <w:r>
        <w:rPr>
          <w:rFonts w:ascii="IRNazanin" w:hAnsi="IRNazanin" w:eastAsia="IRNazanin"/>
          <w:color w:val="111111"/>
          <w:sz w:val="28"/>
          <w:sz w:val="28"/>
          <w:szCs w:val="28"/>
          <w:rtl w:val="true"/>
          <w:lang w:bidi="fa-IR"/>
        </w:rPr>
        <w:t>بنابراین روش‌های مفسران اخلاق‌گرا برگرفته از خود قرآن و شیوه‌های تفسیر و بیان است</w:t>
      </w:r>
      <w:r>
        <w:rPr>
          <w:rFonts w:eastAsia="IRNazanin" w:cs="IRNazanin"/>
          <w:color w:val="111111"/>
          <w:sz w:val="28"/>
          <w:szCs w:val="28"/>
          <w:rtl w:val="true"/>
          <w:lang w:bidi="fa-IR"/>
        </w:rPr>
        <w:t>.</w:t>
      </w:r>
      <w:bookmarkStart w:id="137" w:name="pg14517_146197"/>
    </w:p>
    <w:p>
      <w:pPr>
        <w:pStyle w:val="BookText"/>
        <w:rPr/>
      </w:pPr>
      <w:bookmarkEnd w:id="137"/>
      <w:r>
        <w:rPr>
          <w:rFonts w:ascii="Amiri" w:hAnsi="Amiri" w:eastAsia="Amiri" w:cs="Amiri"/>
          <w:color w:val="111111"/>
          <w:sz w:val="28"/>
          <w:sz w:val="28"/>
          <w:szCs w:val="28"/>
          <w:rtl w:val="true"/>
          <w:lang w:bidi="ar-SA"/>
        </w:rPr>
        <w:t xml:space="preserve">اکنون با توجه به نکات یادشده، می‌توان دربارۀ روش مشکینی در تفسیر المبسوط و تفسیر سورۀ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 انداخت و دید که ایشان از همۀ این روش‌ها برای ارائۀ مباحث اخلاقی و تربیتی سود می‌جوید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نمونۀ این شیوۀ تحلیلی در تفسیر مبسوط دربارۀ خوف و تقوا بیان می‌شود که کلمۀ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فَاتَّقُوا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در آیۀ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جِئْتُکُمْ بِآیَةٍ مِنْ رَبِّکُمْ فَاتَّقُوا اللّهَ وَ أطیعُونِ</w:t>
      </w:r>
      <w:r>
        <w:rPr>
          <w:rFonts w:eastAsia="Amiri" w:cs="Amiri" w:ascii="Amiri" w:hAnsi="Amiri"/>
          <w:color w:val="111111"/>
          <w:sz w:val="28"/>
          <w:szCs w:val="28"/>
          <w:rtl w:val="true"/>
          <w:lang w:bidi="ar-SA"/>
        </w:rPr>
        <w:t>»</w:t>
      </w:r>
      <w:r>
        <w:rPr>
          <w:rStyle w:val="FootnoteAnchor"/>
          <w:rtl w:val="true"/>
        </w:rPr>
        <w:footnoteReference w:id="9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 عمران، آیۀ </w:t>
      </w:r>
      <w:r>
        <w:rPr>
          <w:rFonts w:eastAsia="IRNazanin" w:cs="IRNazanin"/>
          <w:color w:val="111111"/>
          <w:sz w:val="28"/>
          <w:szCs w:val="28"/>
          <w:lang w:bidi="fa-IR"/>
        </w:rPr>
        <w:t>50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 اولاً، به معنای خوب می‌گیرد، ثانیاً، مراد از آن را تحفّظ و خوف خاص معنا می‌کند، همان‌طورکه معنای لغوی آن دلالت دارد، و مراد از خوف خدا خوف از عدل اوست که جای ترس از آن وجود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تعالی لا یُخافُ إلاّ عَدلُه، و لا یُرجی إلاّ فَضلُه</w:t>
      </w:r>
      <w:r>
        <w:rPr>
          <w:rFonts w:eastAsia="IRNazanin" w:cs="IRNazanin"/>
          <w:color w:val="111111"/>
          <w:sz w:val="28"/>
          <w:szCs w:val="28"/>
          <w:rtl w:val="true"/>
          <w:lang w:bidi="fa-IR"/>
        </w:rPr>
        <w:t>».</w:t>
      </w:r>
    </w:p>
    <w:p>
      <w:pPr>
        <w:pStyle w:val="Heading3"/>
        <w:numPr>
          <w:ilvl w:val="2"/>
          <w:numId w:val="1"/>
        </w:numPr>
        <w:rPr/>
      </w:pPr>
      <w:bookmarkStart w:id="138" w:name="__RefHeading___Toc39700_1878427129"/>
      <w:bookmarkStart w:id="139" w:name="_Toc52"/>
      <w:bookmarkEnd w:id="138"/>
      <w:r>
        <w:rPr>
          <w:rtl w:val="true"/>
        </w:rPr>
        <w:t>جمع بندی و نتیجه گیری</w:t>
      </w:r>
      <w:bookmarkEnd w:id="139"/>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گفتیم گرایش تربیتی و اخلاقی در تفسیر، سابقۀ بسیار دارد و از گرایش‌های مهم و تأثیرگذار در دانش تفسیر قرآن کریم در دوره‌های گوناگون در قالب تفسیرهای عرفانی و اخلاقی و هدایتی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گرایش در میان مفسران، با روش‌های استنادی، استدلالی، تشویق، انذاری، اقناعی و تحلیلی صورت گرفته و گاه مفسران، از همۀ این روش‌ها برای استنباط و کشف معنا یا بیان آن برای مخاطب استفاده می‌کرده‌اند؛ هر چند که عارفانْ بیشتر از روش تبشیری، انذاری و اقناعی استفاده کرده‌اند، و برخی از آن‌ها شاهد و دلیل معتبر از آیات و روایات ندارد و ذوقیات و تذوقات همان عارف و صوفی و اهل کشف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مشکل در این تفاسیر، استفاده از برخی روش‌های تربیتی و امور غیرمستند و بعضاً تجربه‌های شخصی و غیر حجت برای دیگران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تفاسیر مشهور، از روش استنادی؛ و در دورۀ معاصر در تفاسیر اجتماعی از روش تحلیلی بهره گرفته‌اند و آیت‌اللّه مشکینی در تفسیر مبسوط کاملاً به روش حوزوی و با استناد به اخبار و احادیث و نیز به روش استنادی و نقل ادله در شکل مدرسی آن عمل می‌کند؛ چنان‌که در این تفسیر در کنار</w:t>
      </w:r>
      <w:bookmarkStart w:id="140" w:name="pg14517_146198"/>
    </w:p>
    <w:p>
      <w:pPr>
        <w:pStyle w:val="BookText"/>
        <w:rPr/>
      </w:pPr>
      <w:bookmarkEnd w:id="140"/>
      <w:r>
        <w:rPr>
          <w:rFonts w:ascii="IRNazanin" w:hAnsi="IRNazanin" w:eastAsia="IRNazanin"/>
          <w:color w:val="111111"/>
          <w:sz w:val="28"/>
          <w:sz w:val="28"/>
          <w:szCs w:val="28"/>
          <w:rtl w:val="true"/>
          <w:lang w:bidi="fa-IR"/>
        </w:rPr>
        <w:t>این گرایش، پاسخ به شبهات و اشکالات و طرح مسائل کلامی هم دیده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تفسیر سورۀ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گرایش اخلاقی، مسائل اجتماعی دیده می‌شود</w:t>
      </w:r>
      <w:r>
        <w:rPr>
          <w:rFonts w:eastAsia="IRNazanin" w:cs="IRNazanin"/>
          <w:color w:val="111111"/>
          <w:sz w:val="28"/>
          <w:szCs w:val="28"/>
          <w:rtl w:val="true"/>
          <w:lang w:bidi="fa-IR"/>
        </w:rPr>
        <w:t>.</w:t>
      </w:r>
    </w:p>
    <w:p>
      <w:pPr>
        <w:pStyle w:val="Heading3"/>
        <w:numPr>
          <w:ilvl w:val="2"/>
          <w:numId w:val="1"/>
        </w:numPr>
        <w:rPr/>
      </w:pPr>
      <w:bookmarkStart w:id="141" w:name="__RefHeading___Toc39702_1878427129"/>
      <w:bookmarkStart w:id="142" w:name="_Toc53"/>
      <w:bookmarkEnd w:id="141"/>
      <w:r>
        <w:rPr>
          <w:rtl w:val="true"/>
        </w:rPr>
        <w:t>کتاب نامه</w:t>
      </w:r>
      <w:bookmarkEnd w:id="14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آداب الصلاة، روح‌اللّه خمینی،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مؤسسۀ تنظیم و نشر آثار امام خمینی، </w:t>
      </w:r>
      <w:r>
        <w:rPr>
          <w:rFonts w:eastAsia="IRNazanin" w:cs="IRNazanin"/>
          <w:color w:val="111111"/>
          <w:sz w:val="28"/>
          <w:szCs w:val="28"/>
          <w:lang w:bidi="fa-IR"/>
        </w:rPr>
        <w:t>1373</w:t>
      </w:r>
      <w:r>
        <w:rPr>
          <w:rFonts w:ascii="IRNazanin" w:hAnsi="IRNazanin" w:eastAsia="IRNazanin"/>
          <w:color w:val="111111"/>
          <w:sz w:val="28"/>
          <w:sz w:val="28"/>
          <w:szCs w:val="28"/>
          <w:rtl w:val="true"/>
          <w:lang w:bidi="fa-IR"/>
        </w:rPr>
        <w:t>، ششم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الاصول من الکافی، محمد بن یعقوب کلینی، تحقیق علی‌اکبر غفاری، تهران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اسلامیه، افست، </w:t>
      </w:r>
      <w:r>
        <w:rPr>
          <w:rFonts w:eastAsia="IRNazanin" w:cs="IRNazanin"/>
          <w:color w:val="111111"/>
          <w:sz w:val="28"/>
          <w:szCs w:val="28"/>
          <w:lang w:bidi="fa-IR"/>
        </w:rPr>
        <w:t>1401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چهارم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التستری، سهل بن عبداللّه تستری، تعلیق و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باسل عیون السود،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دارالکتب العلمیة، </w:t>
      </w:r>
      <w:r>
        <w:rPr>
          <w:rFonts w:eastAsia="IRNazanin" w:cs="IRNazanin"/>
          <w:color w:val="111111"/>
          <w:sz w:val="28"/>
          <w:szCs w:val="28"/>
          <w:lang w:bidi="fa-IR"/>
        </w:rPr>
        <w:t>1423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المبسوط، علی مشکینی،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همایش آیت‌اللّه مشکینی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موضوعی قرآن کریم قرآن در قرآن، عبداللّه جوادی آملی،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حقائق التفسیر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 به تفسیر سلمی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ابوعبدالرحمن سلمی، بیروت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دارالکتب العلمیة، </w:t>
      </w:r>
      <w:r>
        <w:rPr>
          <w:rFonts w:eastAsia="IRNazanin" w:cs="IRNazanin"/>
          <w:color w:val="111111"/>
          <w:sz w:val="28"/>
          <w:szCs w:val="28"/>
          <w:lang w:bidi="fa-IR"/>
        </w:rPr>
        <w:t>1423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ده رساله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رسالۀ زاد السالک، ملا محسن فیض کاشانی، اصفهان</w:t>
      </w:r>
      <w:r>
        <w:rPr>
          <w:rFonts w:eastAsia="IRNazanin" w:cs="IRNazanin"/>
          <w:color w:val="111111"/>
          <w:sz w:val="28"/>
          <w:szCs w:val="28"/>
          <w:rtl w:val="true"/>
          <w:lang w:bidi="fa-IR"/>
        </w:rPr>
        <w:t xml:space="preserve">: </w:t>
      </w:r>
      <w:r>
        <w:rPr>
          <w:rFonts w:eastAsia="IRNazanin" w:cs="IRNazanin"/>
          <w:color w:val="111111"/>
          <w:sz w:val="28"/>
          <w:szCs w:val="28"/>
          <w:lang w:bidi="fa-IR"/>
        </w:rPr>
        <w:t>1371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 چهل حدیث، روح‌اللّه خمینی،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موسسۀ تنظیم و نشر آثار،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 سوم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 دعای سحر، روح‌اللّه خمینی،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تنظیم و نشر آثار امام 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عرائس البیان فی حقایق القرآن، روزبهان بقلی شیرازی، ترجمه و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بابایی، تفسیر سورۀ حمد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الکاشف فی تفسیر القرآن، محمد جواد مغنیه،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دارالملایین، </w:t>
      </w:r>
      <w:r>
        <w:rPr>
          <w:rFonts w:eastAsia="IRNazanin" w:cs="IRNazanin"/>
          <w:color w:val="111111"/>
          <w:sz w:val="28"/>
          <w:szCs w:val="28"/>
          <w:lang w:bidi="fa-IR"/>
        </w:rPr>
        <w:t>1968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معراج السعاده، ملا احمد نراقی، 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موسوی کلانتری دامغانی، تهران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المیزان فی تفسیر القرآن، سیدمحمدحسین طباطبایی، ترجمۀ موسوی همدانی،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اسلامی، جامعۀ مدرسین، </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المیزان فی تفسیر القرآن، سیدمحمدحسین طباطبایی،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موسسۀ اعلمی، </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سوم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نهج البلاغه، سید رضی، گردآوری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و 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صبحی صالح،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مؤسسۀ بعثت،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افست، </w:t>
      </w:r>
      <w:r>
        <w:rPr>
          <w:rFonts w:eastAsia="IRNazanin" w:cs="IRNazanin"/>
          <w:color w:val="111111"/>
          <w:sz w:val="28"/>
          <w:szCs w:val="28"/>
          <w:lang w:bidi="fa-IR"/>
        </w:rPr>
        <w:t>1356</w:t>
      </w:r>
      <w:r>
        <w:rPr>
          <w:rFonts w:eastAsia="IRNazanin" w:cs="IRNazanin"/>
          <w:color w:val="111111"/>
          <w:sz w:val="28"/>
          <w:szCs w:val="28"/>
          <w:rtl w:val="true"/>
          <w:lang w:bidi="fa-IR"/>
        </w:rPr>
        <w:t>.</w:t>
      </w:r>
      <w:bookmarkStart w:id="143" w:name="pg14517_146200"/>
    </w:p>
    <w:p>
      <w:pPr>
        <w:pStyle w:val="Heading2"/>
        <w:numPr>
          <w:ilvl w:val="1"/>
          <w:numId w:val="1"/>
        </w:numPr>
        <w:rPr/>
      </w:pPr>
      <w:bookmarkStart w:id="144" w:name="__RefHeading___Toc39704_1878427129"/>
      <w:bookmarkStart w:id="145" w:name="_Toc54"/>
      <w:bookmarkEnd w:id="143"/>
      <w:bookmarkEnd w:id="144"/>
      <w:r>
        <w:rPr>
          <w:rtl w:val="true"/>
        </w:rPr>
        <w:t>یادگار ماندگار</w:t>
      </w:r>
      <w:bookmarkEnd w:id="145"/>
    </w:p>
    <w:p>
      <w:pPr>
        <w:pStyle w:val="Heading3"/>
        <w:numPr>
          <w:ilvl w:val="2"/>
          <w:numId w:val="1"/>
        </w:numPr>
        <w:rPr/>
      </w:pPr>
      <w:bookmarkStart w:id="146" w:name="__RefHeading___Toc39706_1878427129"/>
      <w:bookmarkStart w:id="147" w:name="_Toc55"/>
      <w:bookmarkEnd w:id="146"/>
      <w:r>
        <w:rPr>
          <w:rtl w:val="true"/>
        </w:rPr>
        <w:t>اشاره</w:t>
      </w:r>
      <w:bookmarkEnd w:id="147"/>
    </w:p>
    <w:p>
      <w:pPr>
        <w:pStyle w:val="BookText"/>
        <w:rPr/>
      </w:pPr>
      <w:r>
        <w:rPr>
          <w:rFonts w:ascii="IRNazanin" w:hAnsi="IRNazanin" w:eastAsia="IRNazanin"/>
          <w:color w:val="111111"/>
          <w:sz w:val="28"/>
          <w:sz w:val="28"/>
          <w:szCs w:val="28"/>
          <w:rtl w:val="true"/>
          <w:lang w:bidi="fa-IR"/>
        </w:rPr>
        <w:t>نگاهی به کارنامۀ قرآنی آیت‌اللّه مشکینی</w:t>
      </w:r>
    </w:p>
    <w:p>
      <w:pPr>
        <w:pStyle w:val="BookText"/>
        <w:rPr/>
      </w:pPr>
      <w:r>
        <w:rPr>
          <w:rFonts w:ascii="IRNazanin" w:hAnsi="IRNazanin" w:eastAsia="IRNazanin"/>
          <w:color w:val="111111"/>
          <w:sz w:val="28"/>
          <w:sz w:val="28"/>
          <w:szCs w:val="28"/>
          <w:rtl w:val="true"/>
          <w:lang w:bidi="fa-IR"/>
        </w:rPr>
        <w:t>و ارزیابی مقایسه‌ای ترجمۀ فارسی ایشان از قرآن کریم</w:t>
      </w:r>
    </w:p>
    <w:p>
      <w:pPr>
        <w:pStyle w:val="BookText"/>
        <w:rPr/>
      </w:pPr>
      <w:r>
        <w:rPr>
          <w:rFonts w:ascii="IRNazanin" w:hAnsi="IRNazanin" w:eastAsia="IRNazanin"/>
          <w:color w:val="111111"/>
          <w:sz w:val="28"/>
          <w:sz w:val="28"/>
          <w:szCs w:val="28"/>
          <w:rtl w:val="true"/>
          <w:lang w:bidi="fa-IR"/>
        </w:rPr>
        <w:t>حسین علیزاده</w:t>
      </w:r>
      <w:r>
        <w:rPr>
          <w:rStyle w:val="FootnoteAnchor"/>
          <w:rtl w:val="true"/>
        </w:rPr>
        <w:footnoteReference w:id="91"/>
      </w:r>
    </w:p>
    <w:p>
      <w:pPr>
        <w:pStyle w:val="BookText"/>
        <w:rPr/>
      </w:pPr>
      <w:r>
        <w:rPr>
          <w:rFonts w:ascii="IRNazanin" w:hAnsi="IRNazanin" w:eastAsia="IRNazanin"/>
          <w:color w:val="111111"/>
          <w:sz w:val="28"/>
          <w:sz w:val="28"/>
          <w:szCs w:val="28"/>
          <w:rtl w:val="true"/>
          <w:lang w:bidi="fa-IR"/>
        </w:rPr>
        <w:t>قرآن پژوه و نویسنده</w:t>
      </w:r>
      <w:r>
        <w:rPr>
          <w:rFonts w:eastAsia="IRNazanin" w:cs="IRNazanin"/>
          <w:color w:val="111111"/>
          <w:sz w:val="28"/>
          <w:szCs w:val="28"/>
          <w:rtl w:val="true"/>
          <w:lang w:bidi="fa-IR"/>
        </w:rPr>
        <w:t>.</w:t>
      </w:r>
    </w:p>
    <w:p>
      <w:pPr>
        <w:pStyle w:val="Heading3"/>
        <w:numPr>
          <w:ilvl w:val="2"/>
          <w:numId w:val="1"/>
        </w:numPr>
        <w:rPr/>
      </w:pPr>
      <w:bookmarkStart w:id="148" w:name="__RefHeading___Toc39708_1878427129"/>
      <w:bookmarkStart w:id="149" w:name="_Toc56"/>
      <w:bookmarkEnd w:id="148"/>
      <w:r>
        <w:rPr>
          <w:rtl w:val="true"/>
        </w:rPr>
        <w:t>چکیده</w:t>
      </w:r>
      <w:bookmarkEnd w:id="149"/>
    </w:p>
    <w:p>
      <w:pPr>
        <w:pStyle w:val="BookText"/>
        <w:rPr/>
      </w:pPr>
      <w:r>
        <w:rPr>
          <w:rFonts w:ascii="IRNazanin" w:hAnsi="IRNazanin" w:eastAsia="IRNazanin"/>
          <w:color w:val="111111"/>
          <w:sz w:val="28"/>
          <w:sz w:val="28"/>
          <w:szCs w:val="28"/>
          <w:rtl w:val="true"/>
          <w:lang w:bidi="fa-IR"/>
        </w:rPr>
        <w:t>در این نوشتار، پس از اشاره‌ای کوتاه به زندگی و آثار آیت‌اللّه مشکینی، نگاهی اجمالی به کارنامۀ پربرگ قرآنی و آثار تفسیری ایشان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بیان ویژگی‌ها و روش ترجمۀ فارسی قرآن به قلم خود ایشان پرداخته شده و گزارشی از هشت ارزیابی و نقد آن ارائه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نویسنده برای تکمیل ارزیابی‌ها، به مقایسۀ اجمالی ترجمۀ ایشان با شش ترجمۀ قبل و بعد از آن، از جمله ترجمۀ رایج مرحوم الهی قمشه‌ای و آیت‌اللّه مکارم شیرازی پرداخته و سرانجام نتیجه گرفته است که این ترجمه اثری موفق و ممتاز و درمجموع، حرکتی رو به تعالی و مؤثر در سیر ترجمه‌های فارسی قرآن کریم بوده است، که هم از ترجمه‌های خوبِ پیش از خود تأثیر پذیرفته، و هم بر ترجمه‌های متعدد بعدی اثرگذار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نیز ترجمۀ چند سورۀ کوتاه قرآن به قلم مترجم، برای نمونه آورده شده است</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مشکینی، علی؛ کارنامۀ قرآنی، قرآن، ترجمه‌های فارسی، نقد، ارزیابی و مقایسه</w:t>
      </w:r>
      <w:r>
        <w:rPr>
          <w:rFonts w:eastAsia="IRNazanin" w:cs="IRNazanin"/>
          <w:color w:val="111111"/>
          <w:sz w:val="28"/>
          <w:szCs w:val="28"/>
          <w:rtl w:val="true"/>
          <w:lang w:bidi="fa-IR"/>
        </w:rPr>
        <w:t>.</w:t>
      </w:r>
      <w:bookmarkStart w:id="150" w:name="pg14517_146201"/>
    </w:p>
    <w:p>
      <w:pPr>
        <w:pStyle w:val="BookText"/>
        <w:rPr/>
      </w:pPr>
      <w:bookmarkEnd w:id="150"/>
      <w:r>
        <w:rPr>
          <w:rFonts w:ascii="IRNazanin" w:hAnsi="IRNazanin" w:eastAsia="IRNazanin"/>
          <w:color w:val="111111"/>
          <w:sz w:val="28"/>
          <w:sz w:val="28"/>
          <w:szCs w:val="28"/>
          <w:rtl w:val="true"/>
          <w:lang w:bidi="fa-IR"/>
        </w:rPr>
        <w:t>کلک مشکین تو دل‌هاست که آباد کند خاصه کز معنی آیات خدا یاد کند</w:t>
      </w:r>
    </w:p>
    <w:p>
      <w:pPr>
        <w:pStyle w:val="Heading3"/>
        <w:numPr>
          <w:ilvl w:val="2"/>
          <w:numId w:val="1"/>
        </w:numPr>
        <w:rPr/>
      </w:pPr>
      <w:bookmarkStart w:id="151" w:name="__RefHeading___Toc39710_1878427129"/>
      <w:bookmarkStart w:id="152" w:name="_Toc57"/>
      <w:bookmarkEnd w:id="151"/>
      <w:r>
        <w:rPr>
          <w:rtl w:val="true"/>
        </w:rPr>
        <w:t>اشاره ای به زندگی و آثار</w:t>
      </w:r>
      <w:bookmarkEnd w:id="152"/>
    </w:p>
    <w:p>
      <w:pPr>
        <w:pStyle w:val="BookText"/>
        <w:rPr/>
      </w:pPr>
      <w:r>
        <w:rPr>
          <w:rFonts w:ascii="IRNazanin" w:hAnsi="IRNazanin" w:eastAsia="IRNazanin"/>
          <w:color w:val="111111"/>
          <w:sz w:val="28"/>
          <w:sz w:val="28"/>
          <w:szCs w:val="28"/>
          <w:rtl w:val="true"/>
          <w:lang w:bidi="fa-IR"/>
        </w:rPr>
        <w:t xml:space="preserve">زندگی، شخصیت و آثار آیت‌اللّه میرزا علی‌اکبر فیض معروف به مشکینی </w:t>
      </w:r>
      <w:r>
        <w:rPr>
          <w:rFonts w:eastAsia="IRNazanin" w:cs="IRNazanin"/>
          <w:color w:val="111111"/>
          <w:sz w:val="28"/>
          <w:szCs w:val="28"/>
          <w:rtl w:val="true"/>
          <w:lang w:bidi="fa-IR"/>
        </w:rPr>
        <w:t>(</w:t>
      </w:r>
      <w:r>
        <w:rPr>
          <w:rFonts w:eastAsia="IRNazanin" w:cs="IRNazanin"/>
          <w:color w:val="111111"/>
          <w:sz w:val="28"/>
          <w:szCs w:val="28"/>
          <w:lang w:bidi="fa-IR"/>
        </w:rPr>
        <w:t>1300</w:t>
      </w:r>
      <w:r>
        <w:rPr>
          <w:rFonts w:eastAsia="IRNazanin" w:cs="IRNazanin"/>
          <w:color w:val="111111"/>
          <w:sz w:val="28"/>
          <w:szCs w:val="28"/>
          <w:rtl w:val="true"/>
          <w:lang w:bidi="fa-IR"/>
        </w:rPr>
        <w:t xml:space="preserve"> -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گستره و ابعاد گونه‌گونی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شاگردان مبرّز بزرگانی همچون آیت‌اللّه بروجردی قدس سره و امام خمینی رحمه الله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فقیهان مبارز و مدرّسان بنام حوزۀ علمیۀ قم گشت که بر اثر پیشگامی در مبارزه و فعالیت‌های سیاسی بر ضد رژیم پهلوی، از برجستگان نهضت و مدیران نظام اسلامی در ایران گردید تا آنجا که از همان آغاز عضو مجلس خبرگان قانون اساسی، رئیس مجلس خبرگان رهبری و نیز رئیس مجلس بازنگری قانون اساسی جمهوری اسلامی ایران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مجتهد مجاهد، مناصب مهم دیگری همچون عضویت ارشد جامعۀ مدرسین حوزۀ قم، و امامت جمعۀ قم پایتخت فقاهت شیعه، را نیز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گرچه عملاً در حد مراجع تقلید بود، ولی آگاهانه و از روی زیرکی مؤمنانه و زهدورزی، به ملزومات ظاهری آن تن درنداد و از آن کناره جست و نهایتاً از چاپ رسالۀ عملیه سرباز زد</w:t>
      </w:r>
      <w:r>
        <w:rPr>
          <w:rFonts w:eastAsia="IRNazanin" w:cs="IRNazanin"/>
          <w:color w:val="111111"/>
          <w:sz w:val="28"/>
          <w:szCs w:val="28"/>
          <w:rtl w:val="true"/>
          <w:lang w:bidi="fa-IR"/>
        </w:rPr>
        <w:t>!</w:t>
      </w:r>
      <w:r>
        <w:rPr>
          <w:rStyle w:val="FootnoteAnchor"/>
          <w:rtl w:val="true"/>
        </w:rPr>
        <w:footnoteReference w:id="92"/>
      </w:r>
    </w:p>
    <w:p>
      <w:pPr>
        <w:pStyle w:val="BookText"/>
        <w:rPr/>
      </w:pPr>
      <w:r>
        <w:rPr>
          <w:rFonts w:ascii="IRNazanin" w:hAnsi="IRNazanin" w:eastAsia="IRNazanin"/>
          <w:color w:val="111111"/>
          <w:sz w:val="28"/>
          <w:sz w:val="28"/>
          <w:szCs w:val="28"/>
          <w:rtl w:val="true"/>
          <w:lang w:bidi="fa-IR"/>
        </w:rPr>
        <w:t>برگرفته از گفتگو با دست‌اندرکاران چاپ رساله و به نقل از آیت‌اللّه محمدحسین ابراهیمی، شاگرد ایشان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آیة‌اللّه مشکینی از نگاه دیگران، مصاحبه با آیة‌اللّه ابراهیمی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جنبه‌ها و نیز بیان مواضع صریح سیاسی بود که از وی فقیهی سیاسی و اهل نظر در فقه دولت و حکومت ساخت و بر ابعاد وجودی مهم دیگر او سایه انداخت</w:t>
      </w:r>
      <w:r>
        <w:rPr>
          <w:rFonts w:eastAsia="IRNazanin" w:cs="IRNazanin"/>
          <w:color w:val="111111"/>
          <w:sz w:val="28"/>
          <w:szCs w:val="28"/>
          <w:rtl w:val="true"/>
          <w:lang w:bidi="fa-IR"/>
        </w:rPr>
        <w:t>.</w:t>
      </w:r>
      <w:r>
        <w:rPr>
          <w:rStyle w:val="FootnoteAnchor"/>
          <w:rtl w:val="true"/>
        </w:rPr>
        <w:footnoteReference w:id="93"/>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اغلب او را معلم اخلاق هم می‌شناختند، ولی این نیز هنوز همۀ شخصیت او</w:t>
      </w:r>
      <w:bookmarkStart w:id="153" w:name="pg14517_146202"/>
    </w:p>
    <w:p>
      <w:pPr>
        <w:pStyle w:val="BookText"/>
        <w:rPr/>
      </w:pPr>
      <w:bookmarkEnd w:id="153"/>
      <w:r>
        <w:rPr>
          <w:rFonts w:ascii="IRNazanin" w:hAnsi="IRNazanin" w:eastAsia="IRNazanin"/>
          <w:color w:val="111111"/>
          <w:sz w:val="28"/>
          <w:sz w:val="28"/>
          <w:szCs w:val="28"/>
          <w:rtl w:val="true"/>
          <w:lang w:bidi="fa-IR"/>
        </w:rPr>
        <w:t>را نشان نمی‌داد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فشرده بگویم که آیت‌اللّه مشکینی در طول نزدیک به شصت سال، بیشتر از سه طریق قلم، تدریس و سخنرانی، در تبلیغ و نشر بسیاری از معارف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قرآنی و روایی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کوشید و در این راه به جامعیتی شایان دست یافت و کارنامه‌ای پربار برجای نهاد و همین بُعد علمی و به‌ویژه قرآنی است که ماندگاری و اهمیت ویژه‌ای دارد و شایان توجه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آقای مشکینی در طول زندگی‌ای پربار حدود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اثر مکتوب به چاپ رسید و چندین جلد آثار متنوع دیگر به صورت دست‌نوشته از وی باقی ماند که اغلب در دست تنظیم و آماده‌سازی برای چاپ است و شاید جمعاً به حدود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یا عنوان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نوشتار ما فقط به بُعدی از شخصیت و آثار وی می‌پردازیم که تاکنون دربارۀ آن کمتر سخن گفته شده و تا حد بسیاری مورد غفلت قرار گرفته است، حال آنکه خواهیم دید شاید کیفیت و کمیت آن از ابعاد دیگر مهم‌تر باشد، و آن بُعد قرآنی و تفسیری مکتوبات ایشان است</w:t>
      </w:r>
      <w:r>
        <w:rPr>
          <w:rFonts w:eastAsia="IRNazanin" w:cs="IRNazanin"/>
          <w:color w:val="111111"/>
          <w:sz w:val="28"/>
          <w:szCs w:val="28"/>
          <w:rtl w:val="true"/>
          <w:lang w:bidi="fa-IR"/>
        </w:rPr>
        <w:t>.</w:t>
      </w:r>
    </w:p>
    <w:p>
      <w:pPr>
        <w:pStyle w:val="Heading3"/>
        <w:numPr>
          <w:ilvl w:val="2"/>
          <w:numId w:val="1"/>
        </w:numPr>
        <w:rPr/>
      </w:pPr>
      <w:bookmarkStart w:id="154" w:name="__RefHeading___Toc39712_1878427129"/>
      <w:bookmarkStart w:id="155" w:name="_Toc58"/>
      <w:bookmarkEnd w:id="154"/>
      <w:r>
        <w:rPr>
          <w:rtl w:val="true"/>
        </w:rPr>
        <w:t>کارنامۀ ممتاز قرآن پژوهی</w:t>
      </w:r>
      <w:bookmarkEnd w:id="155"/>
    </w:p>
    <w:p>
      <w:pPr>
        <w:pStyle w:val="BookText"/>
        <w:rPr/>
      </w:pPr>
      <w:r>
        <w:rPr>
          <w:rFonts w:ascii="IRNazanin" w:hAnsi="IRNazanin" w:eastAsia="IRNazanin"/>
          <w:color w:val="111111"/>
          <w:sz w:val="28"/>
          <w:sz w:val="28"/>
          <w:szCs w:val="28"/>
          <w:rtl w:val="true"/>
          <w:lang w:bidi="fa-IR"/>
        </w:rPr>
        <w:t>به نظر می‌رسد که آیت‌اللّه مشکینی را به شهادت آثار قرآنی‌اش باید قرآن‌پژوهی ممتاز و مفسر و مترجمی گران‌قدر نامید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پرداختن به کلیۀ آثار و خدمات قرآنی ایشان نیز مجال وسیع‌تری می‌طلبد و ما در اینجا پس از نگاهی اجمالی به کارنامۀ قرآنی وی، بیشتر بر ترجمۀ فارسی ایشان از قرآن کریم متمرکز می‌شویم و نکاتی را دربارۀ آن مطرح می‌کنیم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 فارسی قرآن 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اثر که در سال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برای نخستین‌بار منتشر شد، تاکنون بارها و به صورت‌های گوناگون تجدید چاپ شده و جالب اینکه به گفتۀ مسئول چاپ و نشر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طول یک دهه، ده‌ها بار در قطع‌های رحلی، وزیری، رقعی و جیبی، جمعاً نزدیک به نیم میلیون نسخه چاپ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این ترجمه از آخرین آثار ایشان، و می‌توان گفت به‌نوعی حاوی چکیدۀ دیدگاه‌های قرآنی و تفسیری آن مرحوم است، در ادامۀ این نوشتار به‌تفصیل دربارۀ</w:t>
      </w:r>
    </w:p>
    <w:p>
      <w:pPr>
        <w:pStyle w:val="BookText"/>
        <w:rPr/>
      </w:pPr>
      <w:r>
        <w:rPr>
          <w:rFonts w:ascii="IRNazanin" w:hAnsi="IRNazanin" w:eastAsia="IRNazanin"/>
          <w:color w:val="111111"/>
          <w:sz w:val="28"/>
          <w:sz w:val="28"/>
          <w:szCs w:val="28"/>
          <w:rtl w:val="true"/>
          <w:lang w:bidi="fa-IR"/>
        </w:rPr>
        <w:t>آن سخن خواهیم گفت و چون تاکنون ارزیابی جامع و مفصل از آن کمتر انجام شده، به آن می‌پردازیم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دورۀ کامل این اثر که مفصل‌ترین نوشتۀ ایشان است، هشت جلد است که جلد اول آن در سال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پس از درگذشت مؤلف، با ویرایش آقای حسین استادولی از سوی انتشارات الهادی در </w:t>
      </w:r>
      <w:r>
        <w:rPr>
          <w:rFonts w:eastAsia="IRNazanin" w:cs="IRNazanin"/>
          <w:color w:val="111111"/>
          <w:sz w:val="28"/>
          <w:szCs w:val="28"/>
          <w:lang w:bidi="fa-IR"/>
        </w:rPr>
        <w:t>552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صفحۀ قطع وزیری منتشر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مجلد شامل تفسیر سوره‌های حمد، بقره و آل عمران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گفتۀ ویراستار، مرحوم مؤلف موفق به نگارش تفسیر تا جزء بیست قرآن شده بودند که حاصل آن جمعاً پنج جلد می‌شود، اما ده جزء آخر قرآن را در سه مجلد دیگر، آیت‌اللّه استادی گویا به همان شیوۀ مؤلف مرقوم داشته‌اند، که در آستانۀ چاپ و انتشار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جلد اول تفسیر، متأسفانه بدون مقدمۀ مفسّر است، اما مقدمه‌ای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ویراستار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گفتۀ ویراستار و نزدیکان وی، اندیشۀ نگارش این تفسیر از سال‌ها پیش، یعنی از زمان اقدام به ترجمۀ قرآن کریم و حتی پیش‌تر، در ذهن ایشان بوده است، چنان‌که نوید آن را هم در مؤخرۀ ترجمۀ خود داده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بدین‌گونه ایشان که از آغازْ اهل انس و تحقیق در باب قرآن بود، در سال‌های آخر عمر تقریباً یکسره سر بر آستان قرآن کریم نهاد و نگارش‌های قرآنی را محور اصلی همت خود قرار داد تا آنکه به دیدار حق شتافت و گویی با خود می‌گفت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عاقبت سوی یار برگشتم شکرِ حق کامکار برگشتم</w:t>
      </w:r>
    </w:p>
    <w:p>
      <w:pPr>
        <w:pStyle w:val="BookText"/>
        <w:rPr/>
      </w:pPr>
      <w:r>
        <w:rPr>
          <w:rFonts w:ascii="IRNazanin" w:hAnsi="IRNazanin" w:eastAsia="IRNazanin"/>
          <w:color w:val="111111"/>
          <w:sz w:val="28"/>
          <w:sz w:val="28"/>
          <w:szCs w:val="28"/>
          <w:rtl w:val="true"/>
          <w:lang w:bidi="fa-IR"/>
        </w:rPr>
        <w:t>در نگارش تفسیر روان، قصد ایشان نگارش تفسیری آسان با توجّه به مخاطبان جوان بوده است و تفسیری که مختصر و مفید باشد و نه مفصل و تخصصی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ازآن‌روی که فرهنگیان و برخی از فاضلان و طلاب جوان را نیز مخاطب خود می‌دانست، اندکی از نکات لغوی، صرفی و نحوی آیات را نیز مورد توجه قرار داده و برای فهم برخی از آیات، به اعراب و نحوۀ ترکیب آیات نیز پرداخته است</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تفسیر درحقیقت گسترش‌یافتۀ ترجمۀ قرآن از سوی ایشان است که آن‌هم گونه‌ای ترجمۀ تفسیری محسوب می‌شود و خواهیم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شیوۀ ایشان این است که نخست یک یا چند آیۀ مربوط به هم را نقل کرده و سپس به ترجمۀ مفردات مهم و آنگاه ترجمۀ خود آیه پرداخته و سپس تفسیری فشرده را مطرح کرده و گاه در حد ضرورت به نقل روایات و بیان شأن نزول مربوط به آیات نیز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آوردن وجوه محتمل یک آیه در کنار هم، و گاه نقد برداشت‌های دیگران و توجه به مصادیق روز و مسائل اجتماعی و سیاسی نیز از دیگر ویژگی‌های این تفسیر است که درمجموع نشانه‌های دقت، ذوق، تعهد همراه با نکته‌سنجی‌های ادبی، اعتقادی، اخلاقی و فقهی این اثر است و به آن حلاوتی بخشیده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تفصیل سخن دراین‌باره مجالی درخور می‌طلبد که کاش روزی دست دهد، به‌ویژه پس از انتشار مجموعۀ کامل آن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مبسوط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کتاب که گویا قرار بوده است در مجلداتی چند عرضه شود، تاکنون فقط یک جلد عربی به عنوان جلد چهارم التفسیر المبسوط توسط چاپخانۀ علمیه در سال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شده است که شامل تفسیر تفصیلی و تخصصی آیات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آل عمران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باقی‌ماندۀ این تفسیر، در ادامۀ این مقال افزوده‌ای خواهد آمد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سورۀ صاد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که عنوان فرعی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درسی از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نخستین‌بار در سال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سوی نشر یاسر عرضه شد و سپس از دهۀ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 به بعد از سوی دفتر انتشارات اسلامی وابسته به جامعۀ مدرسین حوزۀ علمیۀ قم، چاپ و منتشر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نگارش‌یافتۀ سلسله جلسات تفسیری مؤلف در سال‌های پیش از انقلاب در زنجان، و روش آن شبیه تفسیر مبسوط است و شامل مباحث متنوع اعتقادی، اخلاقی و اجتماعی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اثر نیز تا آنجا که می‌دانیم، هنوز معرفی مناسبی صورت نگرفته است و حتی فهرست تفصیلی درستی هم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نظریة التطور یا التطور فی القرآن که اصل عربی آن در سال </w:t>
      </w:r>
      <w:r>
        <w:rPr>
          <w:rFonts w:eastAsia="IRNazanin" w:cs="IRNazanin"/>
          <w:color w:val="111111"/>
          <w:sz w:val="28"/>
          <w:szCs w:val="28"/>
          <w:lang w:bidi="fa-IR"/>
        </w:rPr>
        <w:t>1397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چاپ شده و سپس ترجمۀ فارسی آن با عنوان تکامل در قرآن به قلم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حسینی‌نژاد از سوی</w:t>
      </w:r>
      <w:bookmarkStart w:id="156" w:name="pg14517_146205"/>
    </w:p>
    <w:p>
      <w:pPr>
        <w:pStyle w:val="BookText"/>
        <w:rPr/>
      </w:pPr>
      <w:bookmarkEnd w:id="156"/>
      <w:r>
        <w:rPr>
          <w:rFonts w:ascii="IRNazanin" w:hAnsi="IRNazanin" w:eastAsia="IRNazanin"/>
          <w:color w:val="111111"/>
          <w:sz w:val="28"/>
          <w:sz w:val="28"/>
          <w:szCs w:val="28"/>
          <w:rtl w:val="true"/>
          <w:lang w:bidi="fa-IR"/>
        </w:rPr>
        <w:t>دفتر نشر فرهنگ اسلامی مکرر چاپ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مختصر هشتاد صفحه‌ای از مصادیق مفید و موفق تفسیر موضوعی است؛ چرا که در آن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آیۀ قرآن در پنج دسته آورده شده و حول موضوع تکامل زیستی انسان و حیوانات و نقد نظریۀ داروین، مورد بحث و تحلیل قرار گرفته و در آن از روایات متعددی نیز بهره گرفته شده است که درمجموع و در نوع خود بدیع و کم‌نظیر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این‌ها، برخی دیگر از آثار چاپ‌شدۀ آیت‌اللّه مشکینی همچون مسلکنا که با عنوان راه ما ترجمه نیز شده است، ازدواج در اسلام، امر به معروف و نهی از منکر و قضا و شهادات، در کنار استفادۀ وسیع از روایات، از آیات مربوط نیز بهره گرفته‌اند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سورۀ لقمان یکی دیگر از آثار تفسیری مؤلف است که طی مقالاتی در چند شمارۀ مجلۀ پاسدار اسلام عرضه شده است و تفسیر مبسوط سورۀ بقره که دست‌نویس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تفسیر سوره‌های دیگری همچون نساء و مائده را هم در ضمن دروس تفسیری ایشان یافته‌اند که حاوی تفسیر گسترده و تحلیلی است و گویا قرار است که از سوی شاگردان و وارثان ایشان همراه با برخی دیگر از تفاسیر چاپ‌شده و دست‌نویس‌ها به عنوان مجلد دوم تفسیر مبسوط منتشر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آثار قرآنی یادشده که چاپ شده‌اند، صدها صفحه از آثار خطی و دست‌نویس ایشان نیز موجود است که شامل موارد ذیل است</w:t>
      </w:r>
      <w:r>
        <w:rPr>
          <w:rFonts w:eastAsia="IRNazanin" w:cs="IRNazanin"/>
          <w:color w:val="111111"/>
          <w:sz w:val="28"/>
          <w:szCs w:val="28"/>
          <w:rtl w:val="true"/>
          <w:lang w:bidi="fa-IR"/>
        </w:rPr>
        <w:t>:</w:t>
      </w:r>
    </w:p>
    <w:p>
      <w:pPr>
        <w:pStyle w:val="Heading3"/>
        <w:numPr>
          <w:ilvl w:val="2"/>
          <w:numId w:val="1"/>
        </w:numPr>
        <w:rPr/>
      </w:pPr>
      <w:bookmarkStart w:id="157" w:name="__RefHeading___Toc39714_1878427129"/>
      <w:bookmarkStart w:id="158" w:name="_Toc59"/>
      <w:bookmarkEnd w:id="157"/>
      <w:r>
        <w:rPr>
          <w:rtl w:val="true"/>
        </w:rPr>
        <w:t>دست نوشته های قرآنی</w:t>
      </w:r>
      <w:bookmarkEnd w:id="158"/>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آیات مشکله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پیداست که نگارش چنین اثری، کار هر قرآن‌پژوه متعارفی نیست، بلکه از مفسری خُبره برمی‌آید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قاموس القرآن که گویا چندان مفصل نیست و یا ناتمام مانده و از قرار اطلاع، برخی شاگردان یا وارثان در صدد آماده‌سازی آن برای چاپ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دائرة‌المعارف القرآنیة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کتاب، به علت خطی بودن، اطلاعات چندانی در دسترس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آیات الاحکام و به‌ویژه بحث‌هایی در آیات قرآنی مربوط به نماز که حتی به</w:t>
      </w:r>
      <w:bookmarkStart w:id="159" w:name="pg14517_146206"/>
    </w:p>
    <w:p>
      <w:pPr>
        <w:pStyle w:val="BookText"/>
        <w:rPr/>
      </w:pPr>
      <w:bookmarkEnd w:id="159"/>
      <w:r>
        <w:rPr>
          <w:rFonts w:ascii="IRNazanin" w:hAnsi="IRNazanin" w:eastAsia="IRNazanin"/>
          <w:color w:val="111111"/>
          <w:sz w:val="28"/>
          <w:sz w:val="28"/>
          <w:szCs w:val="28"/>
          <w:rtl w:val="true"/>
          <w:lang w:bidi="fa-IR"/>
        </w:rPr>
        <w:t>صورت جدا از آیات الاحکام و فقه قرآن نیز در نوع خود کتابی ارجمند است و از قرار اطلاع، موارد اخیر با عنوان رسایل قرآنی در دو جلد منتشر خواهد شد</w:t>
      </w:r>
      <w:r>
        <w:rPr>
          <w:rFonts w:eastAsia="IRNazanin" w:cs="IRNazanin"/>
          <w:color w:val="111111"/>
          <w:sz w:val="28"/>
          <w:szCs w:val="28"/>
          <w:rtl w:val="true"/>
          <w:lang w:bidi="fa-IR"/>
        </w:rPr>
        <w:t>.</w:t>
      </w:r>
      <w:r>
        <w:rPr>
          <w:rStyle w:val="FootnoteAnchor"/>
          <w:rtl w:val="true"/>
        </w:rPr>
        <w:footnoteReference w:id="9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آیت‌اللّه‌العظمی مشکینی از نگاه دیگران، درآمد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این‌هاست نمونه‌هایی از آثار کارنامۀ قرآنی فقیه و مدرّس و مربّی‌ای ممتاز، در کنار دروس و جلسات تفسیری و خطبه‌ها و سخنرانی‌های حاوی نکات قرآنی در طی سالیان و سپس چاپ و نشر قرآن‌هایی نفیس از سوی نشر الهادی، وابسته به دفتر ایشان که با قیمت تمام‌شده و اغلب ارزان، به عنوان یادگار ماندگار و باقیات صالحات، زینت‌بخش کتابخانه‌ها و روشنگر ذهن‌ها و دل‌ها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تلک آثارنا تدل علینا فانظروا بعدنا الی الآثار؛ و عجیب است که از هیچ‌یک از این تعداد آثار قرآنی که بعضاً سال‌ها پیش چاپ شده، در دانشنامۀ قرآن‌پژوهی که به کوشش استاد بهاءالدین خرمشاهی در دو جلد مفصل منتشر شده، هیچ ذکری نشده و حال آنکه گاه دربارۀ آثار کم‌اهمیت‌تر، در آن مطالبی یافت می‌شود</w:t>
      </w:r>
      <w:r>
        <w:rPr>
          <w:rFonts w:eastAsia="IRNazanin" w:cs="IRNazanin"/>
          <w:color w:val="111111"/>
          <w:sz w:val="28"/>
          <w:szCs w:val="28"/>
          <w:rtl w:val="true"/>
          <w:lang w:bidi="fa-IR"/>
        </w:rPr>
        <w:t>!</w:t>
      </w:r>
    </w:p>
    <w:p>
      <w:pPr>
        <w:pStyle w:val="Heading3"/>
        <w:numPr>
          <w:ilvl w:val="2"/>
          <w:numId w:val="1"/>
        </w:numPr>
        <w:rPr/>
      </w:pPr>
      <w:bookmarkStart w:id="160" w:name="__RefHeading___Toc39716_1878427129"/>
      <w:bookmarkStart w:id="161" w:name="_Toc60"/>
      <w:bookmarkEnd w:id="160"/>
      <w:r>
        <w:rPr>
          <w:rtl w:val="true"/>
        </w:rPr>
        <w:t>غفلت از بُعد قرآنی آثار مرحوم مشکینی</w:t>
      </w:r>
      <w:bookmarkEnd w:id="161"/>
    </w:p>
    <w:p>
      <w:pPr>
        <w:pStyle w:val="BookText"/>
        <w:rPr/>
      </w:pPr>
      <w:r>
        <w:rPr>
          <w:rFonts w:ascii="IRNazanin" w:hAnsi="IRNazanin" w:eastAsia="IRNazanin"/>
          <w:color w:val="111111"/>
          <w:sz w:val="28"/>
          <w:sz w:val="28"/>
          <w:szCs w:val="28"/>
          <w:rtl w:val="true"/>
          <w:lang w:bidi="fa-IR"/>
        </w:rPr>
        <w:t>اصولاً چنان‌که گفتیم، شخصیت قرآنی و تفسیری مرحوم مشکینی مورد غفلت بوده و متأسفانه تحت‌الشعاع جنبه‌های دیگر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ما در این نوشتار، مناسب دیدیم که به بُعد قرآنی آثار ایشان و یکی از اهم آن‌ها، یعنی ترجمۀ تفسیری قرآن به قلم ایشان بپردازیم</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به‌هرحال آیت‌اللّه مشکینی با چنان پیشینۀ علمی، فرهنگی و قرآنی و پس از کسب تجربه‌های معرفتی در طی ده‌ها سال، در مقطع پایانی عمر باز بر سر سفرۀ الهی قرآن نشست و با وجود ترجمه‌های بسیار از قرآن، به نگارش ترجمه‌ای دیگر همت گماشت که برای بیان روش و ویژگی‌های آن بهتر است ابتدا توضیحات خودشان را در مؤخرۀ ترجمه ببینیم و سپس به گزارش دیدگاه‌های ارزیابان آن بپردازیم</w:t>
      </w:r>
      <w:r>
        <w:rPr>
          <w:rFonts w:eastAsia="IRNazanin" w:cs="IRNazanin"/>
          <w:color w:val="111111"/>
          <w:sz w:val="28"/>
          <w:szCs w:val="28"/>
          <w:rtl w:val="true"/>
          <w:lang w:bidi="fa-IR"/>
        </w:rPr>
        <w:t>.</w:t>
      </w:r>
      <w:bookmarkStart w:id="162" w:name="pg14517_146207"/>
    </w:p>
    <w:p>
      <w:pPr>
        <w:pStyle w:val="Heading3"/>
        <w:numPr>
          <w:ilvl w:val="2"/>
          <w:numId w:val="1"/>
        </w:numPr>
        <w:rPr/>
      </w:pPr>
      <w:bookmarkStart w:id="163" w:name="__RefHeading___Toc39718_1878427129"/>
      <w:bookmarkStart w:id="164" w:name="_Toc61"/>
      <w:bookmarkEnd w:id="162"/>
      <w:bookmarkEnd w:id="163"/>
      <w:r>
        <w:rPr>
          <w:rtl w:val="true"/>
        </w:rPr>
        <w:t>مؤخرۀ مترجم و روش ترجمۀ ایشان</w:t>
      </w:r>
      <w:bookmarkEnd w:id="164"/>
    </w:p>
    <w:p>
      <w:pPr>
        <w:pStyle w:val="BookText"/>
        <w:rPr/>
      </w:pPr>
      <w:r>
        <w:rPr>
          <w:rFonts w:ascii="IRNazanin" w:hAnsi="IRNazanin" w:eastAsia="IRNazanin"/>
          <w:color w:val="111111"/>
          <w:sz w:val="28"/>
          <w:sz w:val="28"/>
          <w:szCs w:val="28"/>
          <w:rtl w:val="true"/>
          <w:lang w:bidi="fa-IR"/>
        </w:rPr>
        <w:t xml:space="preserve">ایشان نخست دربارۀ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ضرورت ترجمۀ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نوشته‌اند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ترجمۀ قرآن کریم از پاک‌ترین و مقدس‌ترین راه‌های خدمت به آستان قرآن و دین اسلام است؛ زیرا معانی نهفته در قرآن کریم حقایقی است ارزنده که بدون پوشش زبان خویش نمی‌شناسند و این مترجم است که با توانایی و دقت و فکر سلیم و قابلیت خویش، راه آشنایی با معارف قرآنی را به روی تشنگان آن می‌گشاید و آنان را از آبشخوار قرآنی سیراب می‌سازد، و چه خدمتی از این ارزنده‌تر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همین بیان به دست می‌آید که ترجمۀ قرآن کریم بر هر که توانایی و شایستگی لازم آن را داشته باشد، واجب کفایی و بلکه واجب عینی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مشکینی سپس برای مترجم قرآن، شش شرطِ حداقلی به این شرح برشمرده‌اند</w:t>
      </w:r>
      <w:r>
        <w:rPr>
          <w:rFonts w:eastAsia="IRNazanin" w:cs="IRNazanin"/>
          <w:color w:val="111111"/>
          <w:sz w:val="28"/>
          <w:szCs w:val="28"/>
          <w:rtl w:val="true"/>
          <w:lang w:bidi="fa-IR"/>
        </w:rPr>
        <w:t>:</w:t>
      </w:r>
    </w:p>
    <w:p>
      <w:pPr>
        <w:pStyle w:val="Heading3"/>
        <w:numPr>
          <w:ilvl w:val="2"/>
          <w:numId w:val="1"/>
        </w:numPr>
        <w:rPr/>
      </w:pPr>
      <w:bookmarkStart w:id="165" w:name="__RefHeading___Toc39720_1878427129"/>
      <w:bookmarkStart w:id="166" w:name="_Toc62"/>
      <w:bookmarkEnd w:id="165"/>
      <w:r>
        <w:rPr>
          <w:rtl w:val="true"/>
        </w:rPr>
        <w:t>شرایط مترجم قرآن</w:t>
      </w:r>
      <w:bookmarkEnd w:id="16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اطلاع وسیع و لازم از ادبیات زبان عربی که زبان مبدأست؛ یعنی لغت، صرف و نحو، معانی و بیان و بدیع و سایر علوم ادبی آن زبان؛</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اطلاع وسیع و لازم از زبان مقصد و تسلط لازم بر ادبیات آن زبان؛</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آگاهی از معانی و مفاهیم آیات و سوره‌ها به گونه‌ای که معنا و مراد آیه را در حدود برخی از تفاسیر بداند؛ زیرا صِرف برگرداندن لغتی به لغت دیگر، با عدم توجه به مقصود کافی نیست، بلکه سبب خطا و اشتباه می‌گردد؛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بهره‌مندی قابل توجهی از علم فقه و احکام شرعی؛ زیرا قریب به پانصد آیه از آیات، دربارۀ احکام فرعی شرعی است و نکاتی نیز در آیه‌های دیگر موجود است که مورد استفاده در فقه قرار می‌گیرد؛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آشنایی تا حد وسیعی به اخبار و احادیث اهل بیت علیهم السلام که در شرح و تفسیر، اطلاق و تقیید و تعمیم و تخصیص آیات الهی وارد شده؛ چه آن‌که آنان خاندان وحی‌اند و اهل خانه آشناترند به امور خانه تا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طبق ادلّۀ</w:t>
      </w:r>
      <w:bookmarkStart w:id="167" w:name="pg14517_146208"/>
    </w:p>
    <w:p>
      <w:pPr>
        <w:pStyle w:val="BookText"/>
        <w:rPr/>
      </w:pPr>
      <w:bookmarkEnd w:id="167"/>
      <w:r>
        <w:rPr>
          <w:rFonts w:ascii="IRNazanin" w:hAnsi="IRNazanin" w:eastAsia="IRNazanin"/>
          <w:color w:val="111111"/>
          <w:sz w:val="28"/>
          <w:sz w:val="28"/>
          <w:szCs w:val="28"/>
          <w:rtl w:val="true"/>
          <w:lang w:bidi="fa-IR"/>
        </w:rPr>
        <w:t xml:space="preserve">قطعی، روایات صحیح و معتبری که از معصومین علیهم السلام صادر شده صلاحیت تخصیص عمومات کتاب و تقیید مطلقات و توضیح مبهمات و تبیین متشابهات آن را دارند، و تمسّک به ظواهر آیات در مقابل اخبار معتبره و بی‌اعتنایی به آن اخبار، امری است باطل و مبنی بر طرح و کنار نهادن حجیت گفتار اهل بیت علیهم السلام، در صورتی که طبق آیۀ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آتاکُمُ الرَّسُولُ فَخُذُوهُ وَما نَهاکُمْ عَنْهُ فَانْتَهُوا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حشر،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اخذ به گفتار پیامبر و آنان که جانشینان برحق اویند واجب است، و حداقل مفاد حدیث ثقلین حجّیت قول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در عمل به کتاب خدا، عِدل آن را نیز منظور داشت و جمع بین‌الدلیلین نمود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لوازم موفقیت مترجم، تأمل در ترجمه‌های انجام‌شده توسط دیگر مترجمان محترم است؛ زیرا بسا هست که در فکر برخی از آنان، ترجمه و توضیحی نسبت به کلمه و آیه‌ای آمده که بسیار متین و مورد غفلت دیگران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برای مترجمی که خود استعداد ترجمه دارد مانعی در استفاده از تعابیر دیگران نیست و باید از تجربه‌های آنان استفاده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آیت‌اللّه مشکینی به معرفی ترجمۀ خود و بیان مزایای آن پرداخته است که ما آن را بدین‌گونه و فهرست‌وار می‌آوریم</w:t>
      </w:r>
      <w:r>
        <w:rPr>
          <w:rFonts w:eastAsia="IRNazanin" w:cs="IRNazanin"/>
          <w:color w:val="111111"/>
          <w:sz w:val="28"/>
          <w:szCs w:val="28"/>
          <w:rtl w:val="true"/>
          <w:lang w:bidi="fa-IR"/>
        </w:rPr>
        <w:t>:</w:t>
      </w:r>
    </w:p>
    <w:p>
      <w:pPr>
        <w:pStyle w:val="Heading3"/>
        <w:numPr>
          <w:ilvl w:val="2"/>
          <w:numId w:val="1"/>
        </w:numPr>
        <w:rPr/>
      </w:pPr>
      <w:bookmarkStart w:id="168" w:name="__RefHeading___Toc39722_1878427129"/>
      <w:bookmarkStart w:id="169" w:name="_Toc63"/>
      <w:bookmarkEnd w:id="168"/>
      <w:r>
        <w:rPr>
          <w:rtl w:val="true"/>
        </w:rPr>
        <w:t>برخی مزایای این ترجمه</w:t>
      </w:r>
      <w:bookmarkEnd w:id="16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چند سال پیش به توفیق خدای بزرگ، به فکر افتادیم که قرآن کریم را به طرز خوب و مطلوبی به چاپ رسانده و حداکثر به قیمت تمام‌شده در اختیار علاقه‌مندان قرار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نیاز به ترجمه‌ای مناسب و متین و دارای شرایط مربوطه پیدا کردیم، ولی به ترجمۀ مورد نظر دست نیافتیم</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بدین سبب برآن شدیم که به توفیق حضرت حق، خودْ ترجمه‌ای و سپس تفسیری متناسب روز بنگاریم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توکل به فرستندۀ این کتاب کریم و توسل به مقام والای آورندۀ آن، کار را شروع کردیم و پیش‌نویس ترجمه در مدت هفده ماه و با تجدید نظر در مدتی قریب به سه سال پایان یافت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برای ویراستاری این ترجمه، متصدی طبع آن، ما را به سوی نعمت غیرمترقبه‌ای هدایت نمود؛ یعنی فاضل کم‌نظیر در فنّ خویش، عالمی مشمول عنایت ازلی، جناب آقای حسین استادولی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ایّده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معرفی کرد و ما ایشان را مردی بزرگوار و بصیر در ادبیات عرب و علوم قرآنی یافتیم و این نعمت بزرگ را شکر کردیم؛ ایشان نیز این زحمت عظیم را پذیرفتند و ویراستاری این اثر را به‌سرعت و دفن انجام دادند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بی‌شک مدعی آن نیستیم که این ترجمه از حیث فنّ برگردان بی‌عیب و اشکال است، لکن می‌توان گفت که صدها نکتۀ ادبی، تاریخی، اعتقادی، فقهی، اخلاقی، و تمثیلی در آن به کار رفته که در ترجمه‌های دیگر نیست و البته به گونه‌ای است که عنوان ترجمه تغییر نیافته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نیز باید اشاره کنیم که چون قرآن مجید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حمّالُ ذو وجوه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یعنی بسیاری از کلمات یا جملات و آیاتش تاب تحمّل چند معنا را دارد و ظاهراً آنچه در اخبار آمده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دارای چند بطن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همین تعدد و کثرت معانی است؛ از این جهت در این ترجمه گاهی در ترجمۀ یک کلمه یا یک آیه، چند معنا دیده می‌شود و این همان معانیِ احتمالی است، لکن در صورت متضاد بودن معانی، معنای دوم یا سوم با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صورت متضاد نبودن آن‌ها با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نکتۀ دیگر آنکه مطلب اضافه‌شده، چه به عنوان جملات تکمیلی و چه به عنوان شرح، همه یکدست در پرانتز آورده شده و خوانندگان گرامی و هوشمند، خود موارد مذکور را از یکدیگر تشخیص خواهند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باید خاطرنشان کرد که ویژگی چهارم، یکی از اختصاصات و تمایزات این ترجمه است و ویژگی دوم نیز نشان می‌دهد که مرحوم آقای مشکینی برخلاف بسیاری از نویسندگان و مترجمان، تا کجا متوجه اهمیت و ارزش کار یک ویراستار مجرّب بوده‌اند و این است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لم یشکر المخلوق لم یشکر الخالق</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دیگر اینکه نکات نقل‌شده از مؤخره، خود به طور خلاصه نشانگر ویژگی‌های</w:t>
      </w:r>
      <w:bookmarkStart w:id="170" w:name="pg14517_146210"/>
    </w:p>
    <w:p>
      <w:pPr>
        <w:pStyle w:val="BookText"/>
        <w:rPr/>
      </w:pPr>
      <w:bookmarkEnd w:id="170"/>
      <w:r>
        <w:rPr>
          <w:rFonts w:ascii="IRNazanin" w:hAnsi="IRNazanin" w:eastAsia="IRNazanin"/>
          <w:color w:val="111111"/>
          <w:sz w:val="28"/>
          <w:sz w:val="28"/>
          <w:szCs w:val="28"/>
          <w:rtl w:val="true"/>
          <w:lang w:bidi="fa-IR"/>
        </w:rPr>
        <w:t>اصلی ترجمه و دیدگاه‌های کلی قرآن‌پژوهانۀ ایشان است و طبق نظر ارزیابانی که خواهد آمد، آن را در ترجمه به‌خوبی یا عمدتاً رعایت کرده‌اند</w:t>
      </w:r>
      <w:r>
        <w:rPr>
          <w:rFonts w:eastAsia="IRNazanin" w:cs="IRNazanin"/>
          <w:color w:val="111111"/>
          <w:sz w:val="28"/>
          <w:szCs w:val="28"/>
          <w:rtl w:val="true"/>
          <w:lang w:bidi="fa-IR"/>
        </w:rPr>
        <w:t>.</w:t>
      </w:r>
    </w:p>
    <w:p>
      <w:pPr>
        <w:pStyle w:val="Heading3"/>
        <w:numPr>
          <w:ilvl w:val="2"/>
          <w:numId w:val="1"/>
        </w:numPr>
        <w:rPr/>
      </w:pPr>
      <w:bookmarkStart w:id="171" w:name="__RefHeading___Toc39724_1878427129"/>
      <w:bookmarkStart w:id="172" w:name="_Toc64"/>
      <w:bookmarkEnd w:id="171"/>
      <w:r>
        <w:rPr>
          <w:rtl w:val="true"/>
        </w:rPr>
        <w:t>زیر ذرّه بین نقدها و ارزیابی ها</w:t>
      </w:r>
      <w:bookmarkEnd w:id="172"/>
    </w:p>
    <w:p>
      <w:pPr>
        <w:pStyle w:val="BookText"/>
        <w:rPr/>
      </w:pPr>
      <w:r>
        <w:rPr>
          <w:rFonts w:ascii="IRNazanin" w:hAnsi="IRNazanin" w:eastAsia="IRNazanin"/>
          <w:color w:val="111111"/>
          <w:sz w:val="28"/>
          <w:sz w:val="28"/>
          <w:szCs w:val="28"/>
          <w:rtl w:val="true"/>
          <w:lang w:bidi="fa-IR"/>
        </w:rPr>
        <w:t>تا پیش از این نوشتار، دست‌کم شش ارزیابی مختصر و یک نقد و ارزیابی مفصل دربارۀ ترجمۀ قرآن آیت‌اللّه مشکینی نگاشته شده که در مجموع از همۀ آن‌ها هم موفق بیرون آمده است و اکنون گزارش اجمالی آن ارزیابی‌ها را به ترتیب می‌آوریم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نخستین اظهار نظر که بیشتر جنبۀ معرفی اثر و بیان برخی از ویژگی‌های آن را دارد، یادداشتی یک‌صفحه‌ای است که به فاصلۀ اندکی پس از انتشار چاپ اول این ترجمه در شمارۀ دهم نشریۀ قرآنی ترجمان وحی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زمستان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شد و نام نویسندۀ آن نیز ذکر 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فصلنامۀ ترجمان وحی از سوی مرکز ترجمۀ قرآن مجید به زبان‌های خارجی، ارائه می‌شود و معمولاً دربارۀ ترجمه‌های جدید قرآن اطلاع‌رسانی می‌کند و عکس‌العمل‌های به‌موقع و کارشناسانه نشان می‌دهد؛ چنان‌که در همین مرکزْ مشخصات اغلب ترجمه‌های موجود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هر زبانی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فرمی شناسنامه‌ای و دارای پرسشنامه ثبت و نگهداری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ارزیابی یادداشت مذکور، ترجمۀ آیت‌اللّه مشکینی ترجمه‌ای روان و تفسیری دانسته شده است که مترجم در آن می‌کوشد همۀ اضافات و توضیحات تفسیری خود را از متن جدا کند و درون کمانک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پرانتز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نویسندۀ یادداشت به ذکر یکی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نمونه به‌ویژه دربارۀ شرح و تفسیر حروف مقطعه پرداخته و افزوده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همچنین مترجم گاه اقوال مختلف تفسیری را درون پرانتز با حروف عطف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کنار هم می‌آورد</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ارزیاب مزبور، بار دیگر در پایان نوشته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نثر ترجمه بسیار روان و خوش‌خوان است و مترجم به منظور استفادۀ عام‌تر خوانندگان، از به کار بردن الفاظ و عبارات ادبی پرهیز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در ایضاح آیات فقهی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آیات‌الاحکام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مسائل کلامی و عبارات متشابه قرآن کوشش فراوان می‌کند</w:t>
      </w:r>
      <w:r>
        <w:rPr>
          <w:rFonts w:eastAsia="IRNazanin" w:cs="IRNazanin"/>
          <w:color w:val="111111"/>
          <w:sz w:val="28"/>
          <w:szCs w:val="28"/>
          <w:rtl w:val="true"/>
          <w:lang w:bidi="fa-IR"/>
        </w:rPr>
        <w:t>...».</w:t>
      </w:r>
      <w:bookmarkStart w:id="173" w:name="pg14517_146211"/>
    </w:p>
    <w:p>
      <w:pPr>
        <w:pStyle w:val="Heading3"/>
        <w:numPr>
          <w:ilvl w:val="2"/>
          <w:numId w:val="1"/>
        </w:numPr>
        <w:rPr/>
      </w:pPr>
      <w:bookmarkStart w:id="174" w:name="__RefHeading___Toc39726_1878427129"/>
      <w:bookmarkStart w:id="175" w:name="_Toc65"/>
      <w:bookmarkEnd w:id="173"/>
      <w:bookmarkEnd w:id="174"/>
      <w:r>
        <w:rPr>
          <w:rtl w:val="true"/>
        </w:rPr>
        <w:t>ارزیابی مرکز ترجمۀ قرآن مجید</w:t>
      </w:r>
      <w:bookmarkEnd w:id="175"/>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ارزیابی دوم که در اصل به صورت دست‌نویس است و چاپ نشده، اظهار نظر یکی از قرآن‌پژوهان همان مرکز یادشده، جناب حجت‌الاسلام محمدرضا انصاری است و ما خلاصه‌ای از آن را از کتاب بررسی ترجمه‌های امروزین فارسی قرآن کریم از استاد بهاءالدین خرمشاهی نقل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آقای انصاری که کارشناس و ارزیاب بسیاری از ترجمه‌های مرکز ترجمه‌ها بوده‌اند، در پاسخ به پرسش‌نامۀ مذکور به سوابق علمی و تفسیری مترجم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آیت‌اللّه مشکینی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کرده و دربارۀ روش ترجمۀ ایشان نوشته‌اند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ترجمه با نثری مطابق با قواعد دستور زبان فارسی، همراه با توضیحات نسبتاً فراوانی نگارش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توضیحاتی که بر متن ترجمه افزوده شده، کلاً در میان دو پرانتز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این نکته لازم است که نثر ترجمه، صددرصد ادبی نیست و در مواردی از آن، عبارات ترجمه دارای تعقید است که طبعاً ویرایشی دقیق و همه‌جانبه را می‌طلبد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آقای انصاری در پاسخ به پرسش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نقاط قوّت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ترجمه را دارای نقاط قوّت چندی دانسته و در اشاره به سه مورد اصلی آن چنین نوشته است</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روانی و خوش‌خوانی عبارات 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افزودن توضیحات لازم و آشکار ساختن مفردات و جملاتی که در آیه مقدّر است، که در فهم مراد آیات تأثیر بسزایی دارد؛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تفکیک نسبتاً دقیق افزوده‌ها از متن ترجمه به وسیلۀ پرانتز</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به ذکر نمونه‌هایی از لغزش‌ها، افتادگی‌ها و تعقید در برخی عبارات و عدم تفکیک همه‌جانبۀ توضیحات از متن ترجمه پرداخته و باز در پاسخ به آخرین سؤال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ارزیابی نهایی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چنین مرقوم داشته‌اند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باید گفت که ترجمۀ مزبور، ترجمه‌ای است متین که از دقّت بالایی برخوردار است و به دلیل آمدن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توضیحات لازم، قابل استفاده برای کسانی است که می‌خواهند معنی آیات قرآن را درک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در بعضی موارد، درضمن توضیحات، اصطلاحات یا تعبیرات خاصی به کار رفته که شاید برای عموم قابل فهم نباشد، ولی در مجموع این ترجمه</w:t>
      </w:r>
      <w:bookmarkStart w:id="176" w:name="pg14517_146212"/>
    </w:p>
    <w:p>
      <w:pPr>
        <w:pStyle w:val="BookText"/>
        <w:rPr/>
      </w:pPr>
      <w:bookmarkEnd w:id="176"/>
      <w:r>
        <w:rPr>
          <w:rFonts w:ascii="IRNazanin" w:hAnsi="IRNazanin" w:eastAsia="IRNazanin"/>
          <w:color w:val="111111"/>
          <w:sz w:val="28"/>
          <w:sz w:val="28"/>
          <w:szCs w:val="28"/>
          <w:rtl w:val="true"/>
          <w:lang w:bidi="fa-IR"/>
        </w:rPr>
        <w:t>می‌تواند در حدّی وسیع مورد استفاده 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قرآن‌پژوه محترم و ارزیاب مذکور، سرانجام در پایان ارزیابی نهایی به نکته‌ای مهم و قابل ذکر توجه کرده و پیشنهاد مفیدی ارائه کرده‌اند که چنین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نظر می‌رسد اگر این ترجمه با توضیحات عالمانه و ارزشمندی که دربردارد، به صورت دقیق‌تر و عمیق‌تر ویرایش شود و کاستی‌ها و نارسایی‌های محدود آن جبران گردد، ترجمه‌ای مطلوب خواهد شد و شهرت ترجمۀ مرحوم الهی قمشه‌ای را کسب خواهد کرد</w:t>
      </w:r>
      <w:r>
        <w:rPr>
          <w:rFonts w:eastAsia="IRNazanin" w:cs="IRNazanin"/>
          <w:color w:val="111111"/>
          <w:sz w:val="28"/>
          <w:szCs w:val="28"/>
          <w:rtl w:val="true"/>
          <w:lang w:bidi="fa-IR"/>
        </w:rPr>
        <w:t>»</w:t>
      </w:r>
      <w:r>
        <w:rPr>
          <w:rStyle w:val="FootnoteAnchor"/>
          <w:rtl w:val="true"/>
        </w:rPr>
        <w:footnoteReference w:id="95"/>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شناس‌نامۀ اجمالی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ترجمۀ قرآن آیت‌اللّه مشکینی، محمدرضا انصاری، آرشیو مخطوط کتابخانه و مرکز مدارک علمی مرکز ترجمۀ قرآن مجید به زبان‌های خارجی، مورّخ </w:t>
      </w:r>
      <w:r>
        <w:rPr>
          <w:rFonts w:eastAsia="IRNazanin" w:cs="IRNazanin"/>
          <w:color w:val="111111"/>
          <w:sz w:val="28"/>
          <w:szCs w:val="28"/>
          <w:lang w:bidi="fa-IR"/>
        </w:rPr>
        <w:t>1380/10/4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بررسی ترجمه‌های امروزین فارسی قرآن کریم به قلم استاد بهاءالدین خرمشاهی، مؤسسۀ فرهنگی ترجمان وحی، چاپ اول، تابستان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288</w:t>
      </w:r>
      <w:r>
        <w:rPr>
          <w:rFonts w:eastAsia="IRNazanin" w:cs="IRNazanin"/>
          <w:color w:val="111111"/>
          <w:sz w:val="28"/>
          <w:szCs w:val="28"/>
          <w:rtl w:val="true"/>
          <w:lang w:bidi="fa-IR"/>
        </w:rPr>
        <w:t>-</w:t>
      </w:r>
      <w:r>
        <w:rPr>
          <w:rFonts w:eastAsia="IRNazanin" w:cs="IRNazanin"/>
          <w:color w:val="111111"/>
          <w:sz w:val="28"/>
          <w:szCs w:val="28"/>
          <w:lang w:bidi="fa-IR"/>
        </w:rPr>
        <w:t>289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آنجا که در ادامۀ این نوشتار به مقایسۀ ترجمۀ مرحوم آیت‌اللّه مشکینی، حداقل با شش ترجمۀ مشابه آن از جمله و به‌ویژه ترجمۀ مرحوم الهی قمشه‌ای خواهیم پرداخت، دوبارۀ به نکتۀ مذکور و پیشنهاد یادشده بازخواهیم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اینکه به نظر می‌رسد و از برخی قراین پیداست که دو ارزیابی مختصری که گذشت، از یک نفر است؛ چرا که محتوا و حتی نثر و نحوۀ نگرش آن بسیار با هم مشابهت و همسانی دارد و از همان مرکز پژوهشی یادشده که بیشتر در قم فعالیت می‌کند، صدور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نکته نشان می‌دهد که متأسفانه هنوز به ترجمۀ مورد بحث، چنان‌که باید پرداخته نشده و آن‌گونه که درخور آن باشد، به طور تفصیلی معرفی و شناسایی نشده است</w:t>
      </w:r>
      <w:r>
        <w:rPr>
          <w:rFonts w:eastAsia="IRNazanin" w:cs="IRNazanin"/>
          <w:color w:val="111111"/>
          <w:sz w:val="28"/>
          <w:szCs w:val="28"/>
          <w:rtl w:val="true"/>
          <w:lang w:bidi="fa-IR"/>
        </w:rPr>
        <w:t>.</w:t>
      </w:r>
    </w:p>
    <w:p>
      <w:pPr>
        <w:pStyle w:val="Heading3"/>
        <w:numPr>
          <w:ilvl w:val="2"/>
          <w:numId w:val="1"/>
        </w:numPr>
        <w:rPr/>
      </w:pPr>
      <w:bookmarkStart w:id="177" w:name="__RefHeading___Toc39728_1878427129"/>
      <w:bookmarkStart w:id="178" w:name="_Toc66"/>
      <w:bookmarkEnd w:id="177"/>
      <w:r>
        <w:rPr>
          <w:rtl w:val="true"/>
        </w:rPr>
        <w:t>نقد مفصل استاد خرمشاهی</w:t>
      </w:r>
      <w:bookmarkEnd w:id="178"/>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تنها ارزیاب و قرآن‌پژوهی که به صورت گسترده‌تر به این ترجمه پرداخته و آن را در مقاله‌ای نسبتاً بلند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صفحۀ وزیری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و بررسی کرده است، استاد بهاءالدین خرمشاهی است که تاکنون ده‌ها ترجمۀ قرآن را نقد و ارزیابی کرده و چند</w:t>
      </w:r>
    </w:p>
    <w:p>
      <w:pPr>
        <w:pStyle w:val="BookText"/>
        <w:rPr/>
      </w:pPr>
      <w:r>
        <w:rPr>
          <w:rFonts w:ascii="IRNazanin" w:hAnsi="IRNazanin" w:eastAsia="IRNazanin"/>
          <w:color w:val="111111"/>
          <w:sz w:val="28"/>
          <w:sz w:val="28"/>
          <w:szCs w:val="28"/>
          <w:rtl w:val="true"/>
          <w:lang w:bidi="fa-IR"/>
        </w:rPr>
        <w:t>مورد را ویرایش کرده‌اند و ما اکنون خلاصه‌ای از ارزیابی ایشان را در اینجا می‌آوریم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خرمشاهی در آغاز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نگارندۀ این سطور با کلیات نقد و نظر اجمالی همکار گران‌قدر قرآن‌پژوه در مرکز ترجمۀ قرآن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شناس‌نامۀ اجمالی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شده موافقت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چهرۀ کلی و ساختار این ترجمه مجموعاً مقبول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ترجمه‌ای است با استفادۀ بسیار از مواد تفسیری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بسیار در مقایسه با مترجمانی که به افزودۀ تفسیری اذعان دارند و در ترجمۀ خود از آن استفاده کرده‌اند، اما میزان این استفاده حداقلی است؛ فی‌المثل نظیر ترجمۀ شادروان زین‌العابدین رهنما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شادروان سید جلال‌الدین مجتبوی، آیت‌اللّه ناصر مکارم شیرازی، آیت‌اللّه صادقی تهرانی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استفادۀ آیت‌اللّه مشکینی از افزوده‌های تفسیری، بسیار بیشتر از حدّ متعارف و معتدلی است که نامبردگان بالا در ترجمه‌هایشان به‌کار برده‌اند و قابل مقایسه با مواد تفسیری فراوان در ترجمه‌های شادروانان استاد مهدی الهی قمشه‌ای، استاد علی‌نقی فیض‌الاسلام و ترجمۀ تفسیری استاد دکتر مصطفی خرّم‌دل است</w:t>
      </w:r>
      <w:r>
        <w:rPr>
          <w:rFonts w:eastAsia="IRNazanin" w:cs="IRNazanin"/>
          <w:color w:val="111111"/>
          <w:sz w:val="28"/>
          <w:szCs w:val="28"/>
          <w:rtl w:val="true"/>
          <w:lang w:bidi="fa-IR"/>
        </w:rPr>
        <w:t>....</w:t>
      </w:r>
      <w:r>
        <w:rPr>
          <w:rStyle w:val="FootnoteAnchor"/>
          <w:rtl w:val="true"/>
        </w:rPr>
        <w:footnoteReference w:id="9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بررسی ترجمه‌های امروزین فارسی قرآن کریم، ص </w:t>
      </w:r>
      <w:r>
        <w:rPr>
          <w:rFonts w:eastAsia="IRNazanin" w:cs="IRNazanin"/>
          <w:color w:val="111111"/>
          <w:sz w:val="28"/>
          <w:szCs w:val="28"/>
          <w:lang w:bidi="fa-IR"/>
        </w:rPr>
        <w:t>290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خرمشاهی در ادامه به پانزده مورد از لغزش‌ها، ترک اولی‌ها، سایر ویژگی‌های سلیقه‌ای یا قوّت‌ها و بعضاً ضعف‌های ترجمه پرداخته که اغلب قابل‌توجه و مفید و مغتنم است و درخور آنکه پس از قبول وارثان محترم و ویراستار ترجمه، در چاپ‌ها و احیاناً ویرایش بعدی این ترجمه، اعمال شود و سپس در پایان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مرقوم داشته‌اند</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ترجمۀ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آیت‌اللّه مشکینی از قرآن کریم، ترجمه‌ای موفق است و مهم‌ترین توفیق آن در مفهوم بودن و رسایی است، اما شیوایی و زیبایی نثر فارسی آن، در حد معیار و مطلوب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نگارندۀ این سطور صمیمانه آرزو دارد که این ترجمه با دو سه نوبت ویرایش به مرتبۀ ترجمه‌ای ماندگار ارتقا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نثر ترجمه هم نیازمند بهسازی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 عهدۀ جامعۀ علمی</w:t>
      </w:r>
      <w:bookmarkStart w:id="179" w:name="pg14517_146214"/>
    </w:p>
    <w:p>
      <w:pPr>
        <w:pStyle w:val="BookText"/>
        <w:rPr/>
      </w:pPr>
      <w:bookmarkEnd w:id="179"/>
      <w:r>
        <w:rPr>
          <w:rFonts w:ascii="IRNazanin" w:hAnsi="IRNazanin" w:eastAsia="IRNazanin"/>
          <w:color w:val="111111"/>
          <w:sz w:val="28"/>
          <w:sz w:val="28"/>
          <w:szCs w:val="28"/>
          <w:rtl w:val="true"/>
          <w:lang w:bidi="fa-IR"/>
        </w:rPr>
        <w:t xml:space="preserve">و قرآن‌پژوهی کشور است که به هر نوع مصلحت و ممکن است، در ویراستن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حتماً چندبارۀ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ترجمه‌های مفهوم و عالمانه اقدام کند؛ چرا که همه برزیگران همدگریم</w:t>
      </w:r>
      <w:r>
        <w:rPr>
          <w:rFonts w:eastAsia="IRNazanin" w:cs="IRNazanin"/>
          <w:color w:val="111111"/>
          <w:sz w:val="28"/>
          <w:szCs w:val="28"/>
          <w:rtl w:val="true"/>
          <w:lang w:bidi="fa-IR"/>
        </w:rPr>
        <w:t>»</w:t>
      </w:r>
      <w:r>
        <w:rPr>
          <w:rStyle w:val="FootnoteAnchor"/>
          <w:rtl w:val="true"/>
        </w:rPr>
        <w:footnoteReference w:id="9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303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80" w:name="__RefHeading___Toc39730_1878427129"/>
      <w:bookmarkStart w:id="181" w:name="_Toc67"/>
      <w:bookmarkEnd w:id="180"/>
      <w:r>
        <w:rPr>
          <w:rtl w:val="true"/>
        </w:rPr>
        <w:t>نظر آیت اللّه استادی</w:t>
      </w:r>
      <w:bookmarkEnd w:id="181"/>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آیت‌اللّه رضا استادی که گویا افزون بر دوستی و همکاری، شاگرد آیت‌اللّه مشکینی هم بوده‌اند، در ارزیابی ترجمۀ ایشان چنین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کارهای بسیار خوب ایشان، ترجمۀ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پنجاه سال پیش، ترجمه‌های خوبی، مثل ترجمۀ الهی قمشه‌ای انجام شد که هنوز هم ادامه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در طول این چهل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پنجاه سال، حدود پنجاه ترجمۀ قرآن نوشته شده، و مرتب هم سعی کرده‌اند که ترجمه گویاتر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ترجمه‌ها رو به تکامل است، و از هر کدام انتقادهایی شده، که بعضی از انتقادها را جواب داده یا رفع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ترجمۀ آیت‌اللّه مشکینی که در اختیار فضلا قرار گرفت، ویژگی‌ای دارد که تا آنجا که من اطلاع دارم، سابقه نداشته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آقای استادی به بیان برخی ویژگی‌ها و از جمله روش ایشان پرداخته و گفته‌اند</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روش ترجمۀ ایشان این است که گاهی 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تا ترجمه از آیه می‌نویسد؛ یعنی وقتی در تفسیر، سه قول مطرح است و سه قول هم می‌تواند در عرض هم باشد، و نمی‌شود هیچ کدام را بر دیگری ترجیح داد، ظاهراً نظر ایشان این بوده که چه مانعی دارد بگوییم خداوند متعال، هر سه را اراده کرده است‌؟ در بسیاری از آیات قرآن مجید، ایشان همۀ معانی‌ای که در تفاسیر است، در ترجمه در نظر گرفته‌اند؛ مثلاً اگر شما ترجمۀ الهی قمشه‌ای را بخوانید، برداشتی از آیه کرده، بعد که به تفسیر مراجعه کنید،</w:t>
      </w:r>
      <w:bookmarkStart w:id="182" w:name="pg14517_146215"/>
    </w:p>
    <w:p>
      <w:pPr>
        <w:pStyle w:val="BookText"/>
        <w:rPr/>
      </w:pPr>
      <w:bookmarkEnd w:id="182"/>
      <w:r>
        <w:rPr>
          <w:rFonts w:ascii="IRNazanin" w:hAnsi="IRNazanin" w:eastAsia="IRNazanin"/>
          <w:color w:val="111111"/>
          <w:sz w:val="28"/>
          <w:sz w:val="28"/>
          <w:szCs w:val="28"/>
          <w:rtl w:val="true"/>
          <w:lang w:bidi="fa-IR"/>
        </w:rPr>
        <w:t>می‌بینید برداشت دیگری هم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من، این یک امتیاز بسیار بزرگ برای ترجمه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نظر آقای استادی، امتیاز دیگر ترجمۀ آقای مشکینی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گاهی چند قول تفسیری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می‌گوید یا این معنی یا آن معنی و یا آن یکی؛ یعنی یک معنی را انتخاب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ترجمه‌های دیگر، معمولاً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معنی را ذکر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من این کاملاً استثنایی است، و در هیچ‌کدام از ترجمه‌ها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امتیازاتی است که می‌تواند انسان را تا حدی، از مراجعه به تفسیر هم بی‌نیاز کند</w:t>
      </w:r>
      <w:r>
        <w:rPr>
          <w:rFonts w:eastAsia="IRNazanin" w:cs="IRNazanin"/>
          <w:color w:val="111111"/>
          <w:sz w:val="28"/>
          <w:szCs w:val="28"/>
          <w:rtl w:val="true"/>
          <w:lang w:bidi="fa-IR"/>
        </w:rPr>
        <w:t>».</w:t>
      </w:r>
      <w:r>
        <w:rPr>
          <w:rStyle w:val="FootnoteAnchor"/>
          <w:rtl w:val="true"/>
        </w:rPr>
        <w:footnoteReference w:id="9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آیت‌اللّه مشکینی از نگاه دیگران، ص </w:t>
      </w:r>
      <w:r>
        <w:rPr>
          <w:rFonts w:eastAsia="IRNazanin" w:cs="IRNazanin"/>
          <w:color w:val="111111"/>
          <w:sz w:val="28"/>
          <w:szCs w:val="28"/>
          <w:lang w:bidi="fa-IR"/>
        </w:rPr>
        <w:t>98</w:t>
      </w:r>
      <w:r>
        <w:rPr>
          <w:rFonts w:eastAsia="IRNazanin" w:cs="IRNazanin"/>
          <w:color w:val="111111"/>
          <w:sz w:val="28"/>
          <w:szCs w:val="28"/>
          <w:rtl w:val="true"/>
          <w:lang w:bidi="fa-IR"/>
        </w:rPr>
        <w:t>-</w:t>
      </w:r>
      <w:r>
        <w:rPr>
          <w:rFonts w:eastAsia="IRNazanin" w:cs="IRNazanin"/>
          <w:color w:val="111111"/>
          <w:sz w:val="28"/>
          <w:szCs w:val="28"/>
          <w:lang w:bidi="fa-IR"/>
        </w:rPr>
        <w:t>99</w:t>
      </w:r>
      <w:r>
        <w:rPr>
          <w:rFonts w:eastAsia="IRNazanin" w:cs="IRNazanin"/>
          <w:color w:val="111111"/>
          <w:sz w:val="28"/>
          <w:szCs w:val="28"/>
          <w:rtl w:val="true"/>
          <w:lang w:bidi="fa-IR"/>
        </w:rPr>
        <w:t>.</w:t>
      </w:r>
    </w:p>
    <w:p>
      <w:pPr>
        <w:pStyle w:val="Heading3"/>
        <w:numPr>
          <w:ilvl w:val="2"/>
          <w:numId w:val="1"/>
        </w:numPr>
        <w:rPr/>
      </w:pPr>
      <w:bookmarkStart w:id="183" w:name="__RefHeading___Toc39732_1878427129"/>
      <w:bookmarkStart w:id="184" w:name="_Toc68"/>
      <w:bookmarkEnd w:id="183"/>
      <w:r>
        <w:rPr>
          <w:rtl w:val="true"/>
        </w:rPr>
        <w:t>نظر دکتر حداد عادل</w:t>
      </w:r>
      <w:bookmarkEnd w:id="184"/>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آقای دکتر حداد عادل، افزون بر آثار و ترجمه‌های دیگر، صاحب یکی از ترجمه‌های روان و شیوای امروزین قرآن کریم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گفت‌وگویی دربارۀ ترجمۀ آیت‌اللّه مشکینی چنین گفته‌اند</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خصوصیت دیگر آیت‌اللّه مشکینی که نظر مرا به خودش جلب کرده، دقت ایشان در ترجمۀ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نُه سالی که مشغول کار ترجمۀ قرآن بودم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دهۀ هشتاد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شش سال ترجمه و سه سال ویرایش آن طول کشید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مدت ترجمۀ آیت‌اللّه مشکینی از جمله ترجمه‌هایی بود که روی میز من گشوده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به ترجمۀ ایشان برای من از نظر فهم معنی آیات، خیلی مفید بود و دقتی که ایشان در ترجمه داشتند، تحسین‌برانگیز بود و بنده وقتی در معنی آیه‌ای شک داشتم یا در تفاسیر با اختلاف‌نظر مواجه می‌شدم، یکی از ترجمه‌هایی را که حتماً به آن مراجعه می‌کردم، ترجمۀ آیت‌اللّه مشکینی بود و برای بنده مغتنم بود که فقیهی در هشتادسالگی، با آن احاطه‌ای که بر ادبیات عرب و آشنایی با معارف اسلامی داد، قرآن را ترجمه کرده باشد</w:t>
      </w:r>
      <w:r>
        <w:rPr>
          <w:rFonts w:eastAsia="IRNazanin" w:cs="IRNazanin"/>
          <w:color w:val="111111"/>
          <w:sz w:val="28"/>
          <w:szCs w:val="28"/>
          <w:rtl w:val="true"/>
          <w:lang w:bidi="fa-IR"/>
        </w:rPr>
        <w:t>.</w:t>
      </w:r>
      <w:r>
        <w:rPr>
          <w:rStyle w:val="FootnoteAnchor"/>
          <w:rtl w:val="true"/>
        </w:rPr>
        <w:footnoteReference w:id="99"/>
      </w:r>
      <w:bookmarkStart w:id="185" w:name="pg14517_146216"/>
    </w:p>
    <w:p>
      <w:pPr>
        <w:pStyle w:val="Heading3"/>
        <w:numPr>
          <w:ilvl w:val="2"/>
          <w:numId w:val="1"/>
        </w:numPr>
        <w:rPr/>
      </w:pPr>
      <w:bookmarkStart w:id="186" w:name="__RefHeading___Toc39734_1878427129"/>
      <w:bookmarkStart w:id="187" w:name="_Toc69"/>
      <w:bookmarkEnd w:id="185"/>
      <w:bookmarkEnd w:id="186"/>
      <w:r>
        <w:rPr>
          <w:rtl w:val="true"/>
        </w:rPr>
        <w:t>نظر هیئت داوران کتاب سال</w:t>
      </w:r>
      <w:bookmarkEnd w:id="187"/>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ارزیابی دیگر، ارزیابی هیئت داوران بخش ترجمه‌های قرآن دبیرخانۀ کتاب سال جمهوری اسلامی ایران از ترجمه‌های پس از انقلاب تا پایان سال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شمسی است که نتایج آن در دهۀ فجر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 شد و بر مبنای آن، ترجمۀ آیت‌اللّه مشکینی در میان بیش از سی ترجمه، یکی از شش ترجمۀ ممتاز دانسته شده و پس از ترجمۀ مرحوم دکتر سید جلال‌الدین مجتبوی و ترجمۀ مرحوم دکتر فولادوند و استاد خرمشاهی، در کنار ترجمۀ آیت‌اللّه مکارم شیرازی قرار گرفت و از آن رسماً تقدیر به عمل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هیئت داوران آن جشنوارۀ سالیانه و جهانی موسوم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سال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افزون بر این بنده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نگارندۀ این سطور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استادان قرآن‌پژوهی همچون حجت‌الاسلام محمدعلی کوشا، حجت‌الاسلام یعقوب جعفری و آقای مرتضی کریمی‌نیا هم حضور داشتند که اغلب به ترجمۀ مورد بحث نزدیک به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امتیاز از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امتیاز را داده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گفتنی است که شیوۀ کار ارزیابی این بود که نظر هریک از داوران به طور جداگانه، در دو صفحه و ده بند همراه با جزءجزء امتیازات هر بند و ذکر دلیل و نمونه در فرم‌هایی مخصوص با ذکر دلایل ثبت شده و سپس در جلسات حضوری مورد بحث قرار گرفته که حاصل آن در آرشیو دبیرخانۀ کتاب سال موجود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 نمونه از ارزیابی‌های هیئت داوران که گویای نظر جناب آقای کوشاست، چنین است که ایشان به ترجمۀ مورد نظر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امتیاز از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این دلایل داده‌اند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ترجمه هر چند مایل به تفسیر است، اما عمدتاً در تطبیق و انطباق آن با متن دقت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ترجمه‌ای است روان که استفاده از آن برای همگان آسان و زودیاب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لغزش‌های ترجمه نسبت به بسیاری دیگر از ترجمه‌ها اندک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چون بخشی از مزایای ترجمه مدیون تلاش‌های ویراستار است، مترجم محترم، در مؤخرۀ خود حق ایشان را ادا کرده است</w:t>
      </w:r>
      <w:r>
        <w:rPr>
          <w:rFonts w:eastAsia="IRNazanin" w:cs="IRNazanin"/>
          <w:color w:val="111111"/>
          <w:sz w:val="28"/>
          <w:szCs w:val="28"/>
          <w:rtl w:val="true"/>
          <w:lang w:bidi="fa-IR"/>
        </w:rPr>
        <w:t>....</w:t>
      </w:r>
      <w:r>
        <w:rPr>
          <w:rStyle w:val="FootnoteAnchor"/>
          <w:rtl w:val="true"/>
        </w:rPr>
        <w:footnoteReference w:id="100"/>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 ارزیابی در آرشیو دبیرخانۀ کتاب سال و گفتگو با ارزیاب</w:t>
      </w:r>
      <w:r>
        <w:rPr>
          <w:rFonts w:eastAsia="IRNazanin" w:cs="IRNazanin"/>
          <w:color w:val="111111"/>
          <w:sz w:val="28"/>
          <w:szCs w:val="28"/>
          <w:rtl w:val="true"/>
          <w:lang w:bidi="fa-IR"/>
        </w:rPr>
        <w:t>.</w:t>
      </w:r>
      <w:bookmarkStart w:id="188" w:name="pg14517_146217"/>
    </w:p>
    <w:p>
      <w:pPr>
        <w:pStyle w:val="Heading3"/>
        <w:numPr>
          <w:ilvl w:val="2"/>
          <w:numId w:val="1"/>
        </w:numPr>
        <w:rPr/>
      </w:pPr>
      <w:bookmarkStart w:id="189" w:name="__RefHeading___Toc39736_1878427129"/>
      <w:bookmarkStart w:id="190" w:name="_Toc70"/>
      <w:bookmarkEnd w:id="188"/>
      <w:bookmarkEnd w:id="189"/>
      <w:r>
        <w:rPr>
          <w:rtl w:val="true"/>
        </w:rPr>
        <w:t>نظر ویراستار</w:t>
      </w:r>
      <w:bookmarkEnd w:id="190"/>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اما ارزیابی ویراستارِ ترجمه، آقای حسین استادولی، مشابه آیت‌اللّه استادی است و به طور خلاصه چنین است که در گفت‌وگویی آن را بیان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یک ویژگی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چند معنی از یک آیه را در خود متن ذکر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هم دقت کافی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ترجمه‌ای نیست که آدم ادعا کند که بی‌غلط باشد، چون گاهی از چشم انسان درمی‌رود؛ هم از چشم مترجم و هم از چشم مصحح و ویراستار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به قول استاد بزرگ ما، مرحوم آقای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غفاری، که می‌گفتند در بعضی کتاب‌ها باید غلطهای آن را پیدا کرد و در بعضی کتاب‌های دیگر درست‌های آن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ترجمه این‌گونه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گشت و غلط آن را پیدا کرد، وگرنه اصل بر دقت و صحت و درستی است</w:t>
      </w:r>
      <w:r>
        <w:rPr>
          <w:rFonts w:eastAsia="IRNazanin" w:cs="IRNazanin"/>
          <w:color w:val="111111"/>
          <w:sz w:val="28"/>
          <w:szCs w:val="28"/>
          <w:rtl w:val="true"/>
          <w:lang w:bidi="fa-IR"/>
        </w:rPr>
        <w:t>.</w:t>
      </w:r>
      <w:r>
        <w:rPr>
          <w:rStyle w:val="FootnoteAnchor"/>
          <w:rtl w:val="true"/>
        </w:rPr>
        <w:footnoteReference w:id="101"/>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ویژه‌نامۀ روزنامۀ جوان، مرداد </w:t>
      </w:r>
      <w:r>
        <w:rPr>
          <w:rFonts w:eastAsia="IRNazanin" w:cs="IRNazanin"/>
          <w:color w:val="111111"/>
          <w:sz w:val="28"/>
          <w:szCs w:val="28"/>
          <w:lang w:bidi="fa-IR"/>
        </w:rPr>
        <w:t>91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ایشان همچنین در ادامه و تکمیل ارزیابی خود در گفت‌وگویی با نگارندۀ این سطور اظهار داشت که در مجموع حدود ده جلسۀ طولانی با آن استاد و مترجم فقید در تهران و قم داشته‌اند که دربارۀ بسیاری از آیات و ویرایش ترجمۀ آن بحث و هماهنگی می‌کرده‌اند و سرانجام اینکه ویراستار محترم بر اساس فرم ارزیابی دارای ده بند مذکور، امتیاز این ترجمه را قبل از ویرایش حدود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پس از ویرایش خود، بیش از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امتیاز می‌داند و این‌ها همه البته امتیاز بالایی است که نصیب کمتر مترجمی، آن‌هم در متنی همچون قرآن کریم می‌شود؛ کتاب بزرگی که تاکنون ترجمه‌های بسیار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جالب اینکه مترجم، زبان مادری‌اش فارسی نبوده، اما هم در مقام سخنرانی و هم در نوشتن، برخلاف بسیاری از هم‌نسلان و هم‌سلکان خود فارسی را بسیار روان و سلیس و شیرین به کار می‌برد و همیشه مخاطبان بسیاری داشت که اغلب از فاضلان بودند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ادامۀ هفت ارزیابی پیشین که به‌اجمال ذکر کردیم، نظر راقم این سطور که</w:t>
      </w:r>
      <w:bookmarkStart w:id="191" w:name="pg14517_146218"/>
    </w:p>
    <w:p>
      <w:pPr>
        <w:pStyle w:val="BookText"/>
        <w:rPr/>
      </w:pPr>
      <w:bookmarkEnd w:id="191"/>
      <w:r>
        <w:rPr>
          <w:rFonts w:ascii="IRNazanin" w:hAnsi="IRNazanin" w:eastAsia="IRNazanin"/>
          <w:color w:val="111111"/>
          <w:sz w:val="28"/>
          <w:sz w:val="28"/>
          <w:szCs w:val="28"/>
          <w:rtl w:val="true"/>
          <w:lang w:bidi="fa-IR"/>
        </w:rPr>
        <w:t>تاکنون چند نقد بر برخی ترجمه‌های قرآن، شفاهاً و کتباً ارائه کرده و در ارزیابی ترجمه‌های کتاب سال قرآنی نیز همکاری داشته‌ام، این است که پس از بررسی چندین جزء ترجمۀ مزبور، بر همۀ ارزیابی‌های پیشین صحّه گذاشته و ترجمۀ ایشان را اغلب مورد رجوع و استفادۀ مکرر قرار داده‌ام و به جمعی از علاقه‌مندان نیز توصیه کرده‌ام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خلاصه و چنان‌که از همین مقاله نیز پیداست، ترجمۀ پرفایدۀ مرحوم آیت‌اللّه مشکینی را باید یکی از افتخارات و توفیقات ایشان شمرد و وجود برخی اشکالات جزیی یا ویرایشی، از اهمیت، دقت و فواید آن نمی‌کاهد</w:t>
      </w:r>
      <w:r>
        <w:rPr>
          <w:rFonts w:eastAsia="IRNazanin" w:cs="IRNazanin"/>
          <w:color w:val="111111"/>
          <w:sz w:val="28"/>
          <w:szCs w:val="28"/>
          <w:rtl w:val="true"/>
          <w:lang w:bidi="fa-IR"/>
        </w:rPr>
        <w:t>.</w:t>
      </w:r>
    </w:p>
    <w:p>
      <w:pPr>
        <w:pStyle w:val="Heading3"/>
        <w:numPr>
          <w:ilvl w:val="2"/>
          <w:numId w:val="1"/>
        </w:numPr>
        <w:rPr/>
      </w:pPr>
      <w:bookmarkStart w:id="192" w:name="__RefHeading___Toc39738_1878427129"/>
      <w:bookmarkStart w:id="193" w:name="_Toc71"/>
      <w:bookmarkEnd w:id="192"/>
      <w:r>
        <w:rPr>
          <w:rtl w:val="true"/>
        </w:rPr>
        <w:t>مقایسه با ترجمه های قبل و بعد</w:t>
      </w:r>
      <w:bookmarkEnd w:id="193"/>
    </w:p>
    <w:p>
      <w:pPr>
        <w:pStyle w:val="BookText"/>
        <w:rPr/>
      </w:pPr>
      <w:r>
        <w:rPr>
          <w:rFonts w:ascii="IRNazanin" w:hAnsi="IRNazanin" w:eastAsia="IRNazanin"/>
          <w:color w:val="111111"/>
          <w:sz w:val="28"/>
          <w:sz w:val="28"/>
          <w:szCs w:val="28"/>
          <w:rtl w:val="true"/>
          <w:lang w:bidi="fa-IR"/>
        </w:rPr>
        <w:t>اکنون برای آنکه ارزیابی‌ها کامل‌تر و دقیق‌تر شود، خوب است چنین اثری با آثار مشابه پیشین مقایسه شود تا ببینیم که احیاناً از آن‌ها چه اثری پذیرفته و یا چه گام تازه‌ای در مقایسه با آنان برداشته است؛ چنان‌که افزون بر اثرپذیری از پیشینیان، می‌توان به اثر گذاردن آن بر آثار مشابه بعدی نیز توجه کرد و از این طریق اوصاف دقیق‌تر و وزن حقیقی آن را بیشتر معلوم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اینجا فقط به مقایسه‌ای اجمالی با شش ترجمه که سه مورد آن نسبتاً همانند و نزدیک به روش آیت‌اللّه مشکینی بوده، و همگی آن‌ها سال‌ها قبل از ترجمۀ ایشان منتشر شده می‌پردازیم و سه مورد هم از ترجمه‌های پس از ایشان است که به آن‌ها اشاره‌ای می‌کنیم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ترجمۀ مرحوم الهی قمشه‌ای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ترجمه که در میان علمای معاصر حوزوی، از پیشگامان ترجمۀ روان همراه با توضیحات تفسیری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پرانتز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مسلّماً از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الفضل للمتقدم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راهگشا بوده و بر اغلب ترجمه‌های بعدی از جمله ترجمۀ آیت‌اللّه مشکینی مؤثر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ترجمه به دلایلی بسیارْ رایج شده، ولی با همۀ اهمیت و شأن والای مترجم آن، اغلاط و سهوهای فراوان دارد و متأسفانه چندان دقیق نیست و تاکنون بر آن چند نقد مفصل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نقد از مرحوم ابوالقاسم پاینده است که خود ترجمۀ دقیق‌تری از قرآن را انجام داد و منتشر کرد</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دکتر احمد احمدی و دکتر سید عبدالوهاب طالقانی نیز بر آن نقد نوشته‌اند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دکتر احمد احمدی از جمله نوشته‌اند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ترجمۀ این نیکمردِ دانشمند، خطاهایی دارد که ترجمه را نیازمند اصلاحی چشمگیر می‌سازد</w:t>
      </w:r>
      <w:r>
        <w:rPr>
          <w:rFonts w:eastAsia="IRNazanin" w:cs="IRNazanin"/>
          <w:color w:val="111111"/>
          <w:sz w:val="28"/>
          <w:szCs w:val="28"/>
          <w:rtl w:val="true"/>
          <w:lang w:bidi="fa-IR"/>
        </w:rPr>
        <w:t>»</w:t>
      </w:r>
      <w:r>
        <w:rPr>
          <w:rStyle w:val="FootnoteAnchor"/>
          <w:rtl w:val="true"/>
        </w:rPr>
        <w:footnoteReference w:id="10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ترجمه‌های امروزین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همان، ص </w:t>
      </w:r>
      <w:r>
        <w:rPr>
          <w:rFonts w:eastAsia="IRNazanin" w:cs="IRNazanin"/>
          <w:color w:val="111111"/>
          <w:sz w:val="28"/>
          <w:szCs w:val="28"/>
          <w:lang w:bidi="fa-IR"/>
        </w:rPr>
        <w:t>61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مفصل‌ترین نقد را استاد خرمشاهی نوشته است که در نزدیک به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صفحۀ قطع وزیری منتشر شده است و حاوی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نکتۀ انتقادی دربارۀ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 اول آن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آقای حسین استادولی نیز نقدی بر آن ترجمه نوشت که در فصلنامۀ قرآنی بینات چاپ شد</w:t>
      </w:r>
      <w:r>
        <w:rPr>
          <w:rFonts w:eastAsia="IRNazanin" w:cs="IRNazanin"/>
          <w:color w:val="111111"/>
          <w:sz w:val="28"/>
          <w:szCs w:val="28"/>
          <w:rtl w:val="true"/>
          <w:lang w:bidi="fa-IR"/>
        </w:rPr>
        <w:t>.</w:t>
      </w:r>
      <w:r>
        <w:rPr>
          <w:rStyle w:val="FootnoteAnchor"/>
          <w:rtl w:val="true"/>
        </w:rPr>
        <w:footnoteReference w:id="103"/>
      </w:r>
      <w:r>
        <w:rPr>
          <w:rFonts w:ascii="IRNazanin" w:hAnsi="IRNazanin" w:eastAsia="IRNazanin"/>
          <w:color w:val="111111"/>
          <w:sz w:val="28"/>
          <w:sz w:val="28"/>
          <w:szCs w:val="28"/>
          <w:rtl w:val="true"/>
          <w:lang w:bidi="fa-IR"/>
        </w:rPr>
        <w:t>ایشان که بعداً ترجمۀ مرحوم الهی قمشه‌ای را با ویرایش و اصلاحات خود نیز چاپ کرد، در کنار سه ویژگی مثبت، هفت ویژگی منفی برای این ترجمه برشمرده که کوشیده است در ویرایش خود، آن‌ها را تا حدودی برطرف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مسئلۀ اشکالات این ترجمۀ مشهور، تا آنجا بالا گرفت که فرزند آن مرحوم، دکتر حسین الهی قمشه‌ای، نیز به ویرایش دیگری از آن همت گماشت و آن را منتشر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حجت‌الاسلام محمدحسین ابراهیمی، یکی از شاگردان آیت‌اللّه مشکینی، در گفت‌گویی که با وی داشتیم و قرار است دبیرخانۀ بزرگداشت وی چاپ کند، اظهار داشت که ابتدا قرار بود از همین ترجمۀ رایج الهی قمشه‌ای در قرآنی که مؤسسۀ آیت‌اللّه مشکینی چاپ می‌کرد، استفاده شود و وقتی با برخی اشکالات آن برخورد کردند، قرار شد یکی از فضلای حوزه آن را اصلاح کند و چون نتیجه مطلوب نبود، خود تصمیم به ترجمه‌ای مستقل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ترجمۀ مرحوم مشکینی که ویراستار آن همان منتقد و ویراستار ترجمۀ الهی قمشه‌ای است، عمدتاً از آن اشکالات پرهیز شده و از این نظر چند گام رو به جلو برداشته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ترجمۀ مرحوم فیض‌الاسلام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مترجم دانشمند این ترجمه، همان است که ترجمۀ نهج‌البلاغه وی شهرت دارد و مکرر به چاپ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افزون بر آن و بر</w:t>
      </w:r>
    </w:p>
    <w:p>
      <w:pPr>
        <w:pStyle w:val="BookText"/>
        <w:rPr/>
      </w:pPr>
      <w:r>
        <w:rPr>
          <w:rFonts w:ascii="IRNazanin" w:hAnsi="IRNazanin" w:eastAsia="IRNazanin"/>
          <w:color w:val="111111"/>
          <w:sz w:val="28"/>
          <w:sz w:val="28"/>
          <w:szCs w:val="28"/>
          <w:rtl w:val="true"/>
          <w:lang w:bidi="fa-IR"/>
        </w:rPr>
        <w:t xml:space="preserve">همان شیوۀ همراه با توضیحات تفسیری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پرانتز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صحیفه سجادیه را نیز ترجمه و شرح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این ترجمه هم نقدهایی نوشته‌اند، از جمله آقای محمدرضا انصاری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ضمن شمردن برخی از قوّت‌ها،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برخی موارد محتوای پرانتزها بسیار طولانی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گاه در حد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شکل ترجمه را دگرگون ساخته است، به گونه‌ای که دست یافتن به اصل ترجمه بسیار مشکل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ترجمه با صرف‌نظر از توضیحات، دارای نثری نسبتاً روان می‌باشد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کیفیت چندان برای عموم قابل استفاده نیست؛ هرچند برای محققان و خواص قابل بهره‌برداری باشد</w:t>
      </w:r>
      <w:r>
        <w:rPr>
          <w:rStyle w:val="FootnoteAnchor"/>
          <w:rtl w:val="true"/>
        </w:rPr>
        <w:footnoteReference w:id="10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ترجمه‌های امروزین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100</w:t>
      </w:r>
      <w:r>
        <w:rPr>
          <w:rFonts w:eastAsia="IRNazanin" w:cs="IRNazanin"/>
          <w:color w:val="111111"/>
          <w:sz w:val="28"/>
          <w:szCs w:val="28"/>
          <w:rtl w:val="true"/>
          <w:lang w:bidi="fa-IR"/>
        </w:rPr>
        <w:t>-</w:t>
      </w:r>
      <w:r>
        <w:rPr>
          <w:rFonts w:eastAsia="IRNazanin" w:cs="IRNazanin"/>
          <w:color w:val="111111"/>
          <w:sz w:val="28"/>
          <w:szCs w:val="28"/>
          <w:lang w:bidi="fa-IR"/>
        </w:rPr>
        <w:t>101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خرمشاهی نیز دراین‌باره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دیگر از مشکلات یا آفات این ترجمه به نثر آن مربوط است که بسیار پراطناب است و چشمگیرترین ویژگی آن عطف مترادفین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در نثر معیار امروز ناروا و به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ضد ارزش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به‌شدت از دقت زبانی و حتی بیانی ترجمه می‌کاهد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مقایسۀ این دو ترجمه باید عرض کرد ترجمۀ مرحوم قمشه‌ای خوش‌انشاتر و خوشخوان‌تر است، ولی ترجمۀ شادروان فیض‌الاسلام بسیار دقیق‌تر و علمی‌تر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عیب مشترک این دو ترجمه هم در این است که حتی در بخش‌های مربوط به ترجمه هم چه بسیار مطالب تفسیری بدون استفاده از پرانتز آورده‌اند</w:t>
      </w:r>
      <w:r>
        <w:rPr>
          <w:rFonts w:eastAsia="IRNazanin" w:cs="IRNazanin"/>
          <w:color w:val="111111"/>
          <w:sz w:val="28"/>
          <w:szCs w:val="28"/>
          <w:rtl w:val="true"/>
          <w:lang w:bidi="fa-IR"/>
        </w:rPr>
        <w:t>.</w:t>
      </w:r>
      <w:r>
        <w:rPr>
          <w:rStyle w:val="FootnoteAnchor"/>
          <w:rtl w:val="true"/>
        </w:rPr>
        <w:footnoteReference w:id="105"/>
      </w:r>
    </w:p>
    <w:p>
      <w:pPr>
        <w:pStyle w:val="BookText"/>
        <w:rPr/>
      </w:pPr>
      <w:r>
        <w:rPr>
          <w:rFonts w:ascii="IRNazanin" w:hAnsi="IRNazanin" w:eastAsia="IRNazanin"/>
          <w:color w:val="111111"/>
          <w:sz w:val="28"/>
          <w:sz w:val="28"/>
          <w:szCs w:val="28"/>
          <w:rtl w:val="true"/>
          <w:lang w:bidi="fa-IR"/>
        </w:rPr>
        <w:t>این مشکلی است که تا حد بسیار بالایی در ترجمۀ آیت‌اللّه مشکینی به آن توجه گردیده و حل شده است و نظری اجمالی در آن، مؤید نظر ارزیاب یادشده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 آیت‌اللّه مکارم شیرازی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ترجمه که در کنار ترجمۀ آیت‌اللّه مشکینی در سال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ردیف ترجمه‌های قابل تقدیر داوران جشنوارۀ کتاب سال قرار</w:t>
      </w:r>
    </w:p>
    <w:p>
      <w:pPr>
        <w:pStyle w:val="BookText"/>
        <w:rPr/>
      </w:pPr>
      <w:r>
        <w:rPr>
          <w:rFonts w:ascii="IRNazanin" w:hAnsi="IRNazanin" w:eastAsia="IRNazanin"/>
          <w:color w:val="111111"/>
          <w:sz w:val="28"/>
          <w:sz w:val="28"/>
          <w:szCs w:val="28"/>
          <w:rtl w:val="true"/>
          <w:lang w:bidi="fa-IR"/>
        </w:rPr>
        <w:t>گرفت، دارای امتیازات متعددی است و همچون دو ترجمۀ پیشین و ترجمۀ مورد بحث، دارای پرانتزهای تفسیری نیز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اینکه هر سه ترجمۀ مذکور همچون ترجمۀ آقای مشکینی به دلیل حوزوی بودن و آشنایی با روایات، به میزان فراوانی از احادیث تفسیری نیز استفاده کرده‌اند و این‌هم امتیاز دیگر آن‌هاست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این‌همه، به دلایلی ترجمۀ حاضر، از ترجمۀ آیت‌اللّه مکارم نیز دست‌کم یک گام جلوتر است و این طبیعی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اینکه چند سال پس از آن و پس از تفسیر نمونه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آیت‌اللّه مکارم و همکاران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پدید آمده و قاعدتاً از مطالب آن‌ها و برخی تجربه‌هایشان استفاده شده؛ دوم اینکه از ویرایش دقیق و نسبتاً سخت‌گیرانۀ آقای استادولی برخوردار بوده و خودْ نیز به ویرایش اهمیت لازم را داده و حق آن را ادا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گفتنی است که ترجمۀ آیت‌اللّه مکارم نیز مورد نقد دقیقی از سوی یکی از داوران و قرآن‌پژوهان یادشده، یعنی آقای مرتضی کریمی‌نیا قرار گرفت که در شماره‌های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فصلنامۀ بینات در سال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هرچند پاسخی از سوی یکی از شاگردان آیت‌اللّه به آن نقد در شمارۀ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بینات همان سال داده شد، اما به گفتۀ بهاءالدین خرمشاهی، کافی نبود و بیشتر لحن خطابی و جدلی داشت</w:t>
      </w:r>
      <w:r>
        <w:rPr>
          <w:rFonts w:eastAsia="IRNazanin" w:cs="IRNazanin"/>
          <w:color w:val="111111"/>
          <w:sz w:val="28"/>
          <w:szCs w:val="28"/>
          <w:rtl w:val="true"/>
          <w:lang w:bidi="fa-IR"/>
        </w:rPr>
        <w:t>.</w:t>
      </w:r>
      <w:r>
        <w:rPr>
          <w:rStyle w:val="FootnoteAnchor"/>
          <w:rtl w:val="true"/>
        </w:rPr>
        <w:footnoteReference w:id="10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ترجمه‌های امروزین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بنده نیز در گفت‌وگویی که با آقای کریمی‌نیا و محمدعلی کوشا درخصوص مقایسۀ ترجمۀ آیت‌اللّه مکارم و آیت‌اللّه مشکینی داشتم، ایشان ترجمۀ آقای مشکینی را ویراسته‌تر و دقیق‌تر و منطبق‌تر دانستند، اگرچه اذعان داشتند که قلم ترجمۀ آقای مکارم روان‌تر و به فارسی معیار نزدیک‌تر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پرانتزهای توضیحی و تفسیری و اشتمال بر اقوال و احتمالات معنایی در ترجمۀ آیت‌اللّه مشکینی بیشتر است، و نیاز به تفسیر جداگانه را کمتر می‌کند</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سه نمونه از ترجمه‌های بعد از آن عبارت‌اند از</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ترجمۀ دکتر غلامعلی حداد عادل که حُسن اثرگذاری و میزان تأثیرپذیری و استفاده از ترجمۀ مورد بحث،</w:t>
      </w:r>
      <w:bookmarkStart w:id="194" w:name="pg14517_146222"/>
    </w:p>
    <w:p>
      <w:pPr>
        <w:pStyle w:val="BookText"/>
        <w:rPr/>
      </w:pPr>
      <w:bookmarkEnd w:id="194"/>
      <w:r>
        <w:rPr>
          <w:rFonts w:ascii="IRNazanin" w:hAnsi="IRNazanin" w:eastAsia="IRNazanin"/>
          <w:color w:val="111111"/>
          <w:sz w:val="28"/>
          <w:sz w:val="28"/>
          <w:szCs w:val="28"/>
          <w:rtl w:val="true"/>
          <w:lang w:bidi="fa-IR"/>
        </w:rPr>
        <w:t>در ترجمۀ آقای حداد عادل، پیش‌تر از قول خود ایشان آورده شد و نیازی به تطویل نیست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ترجمۀ حسین استادولی که در سال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کنار ترجمۀ دکتر موسوی گرمارودی کتاب سال شد و چون ویراستار ترجمۀ مورد بحث بوده‌اند، خود نیز معترف‌اند و بدیهی است که از آن بسیار بهره‌مند بوده‌اند، چنان‌که روش تقریباً همسانی نیز در گرایش به ترجمۀ تفسیری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روایی داشته‌اند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نمونۀ دیگر، ترجمۀ آقای محمدحسن ابراهیمی، مسئول دارالتفسیر قرآن، و یکی از محققان و مدرسان حوزوی و از شاگردان آیت‌اللّه مشکینی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دارای تألیفات متعدد قرآنی و دینی و مشغول نگارش تفسیر مفصلی نیز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ترجمۀ ایشان حدود شش سال طول کشیده و تاکنون دوبار از سوی نشر تأمین چاپ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ابراهیمی تحت تأثیر استادش به ترجمه‌ای دیگر پرداخت و روشی مشابه آیت‌اللّه مشکینی داشت و به استفادۀ فراوان از ترجمۀ ایشان اذعان دارد و خود نیز شاهد آن بوده و در چندین جزء با ایشان همکاری ویرایشی داشته‌ام</w:t>
      </w:r>
      <w:r>
        <w:rPr>
          <w:rFonts w:eastAsia="IRNazanin" w:cs="IRNazanin"/>
          <w:color w:val="111111"/>
          <w:sz w:val="28"/>
          <w:szCs w:val="28"/>
          <w:rtl w:val="true"/>
          <w:lang w:bidi="fa-IR"/>
        </w:rPr>
        <w:t>.</w:t>
      </w:r>
    </w:p>
    <w:p>
      <w:pPr>
        <w:pStyle w:val="Heading3"/>
        <w:numPr>
          <w:ilvl w:val="2"/>
          <w:numId w:val="1"/>
        </w:numPr>
        <w:rPr/>
      </w:pPr>
      <w:bookmarkStart w:id="195" w:name="__RefHeading___Toc39740_1878427129"/>
      <w:bookmarkStart w:id="196" w:name="_Toc72"/>
      <w:bookmarkEnd w:id="195"/>
      <w:r>
        <w:rPr>
          <w:rtl w:val="true"/>
        </w:rPr>
        <w:t>نمونه ها</w:t>
      </w:r>
      <w:bookmarkEnd w:id="196"/>
    </w:p>
    <w:p>
      <w:pPr>
        <w:pStyle w:val="BookText"/>
        <w:rPr/>
      </w:pPr>
      <w:r>
        <w:rPr>
          <w:rFonts w:ascii="IRNazanin" w:hAnsi="IRNazanin" w:eastAsia="IRNazanin"/>
          <w:color w:val="111111"/>
          <w:sz w:val="28"/>
          <w:sz w:val="28"/>
          <w:szCs w:val="28"/>
          <w:rtl w:val="true"/>
          <w:lang w:bidi="fa-IR"/>
        </w:rPr>
        <w:t>این مقایسۀ اجمالی با چند ترجمۀ قبل و بعد از ترجمۀ مورد بحث، نشان می‌دهد که مترجم فقید با پذیرفتن حسن تأثیر از ترجمه‌های گذشته و احتراز از لغزش‌های آنان، بر ترجمه‌های موفق بعدی هم مؤثر بوده و بدین ترتیب در این مسیر ارزشمند گام‌هایی رو به تعالی در پیشبرد نشر معانی و آموزه‌های قرآن برداشته‌اند و حق داشته‌اند که بگویند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حاصل عمر نثار ره یاری کردم شادم از زندگی خویش که کاری کردم</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پایان، برای تبرک و مقایسۀ دقیق‌تر، نمونه‌ای از ترجمۀ صفحه اول و آخر قرآن کریم را که خود شامل چهار سورۀ حمد، اخلاص و معوذتین است، عیناً می‌آوریم و گفتنی است که دقت در همین نمونه‌های کوتاه، نشانگر روش ترجمۀ تفسیری و فشرده و سهل‌الوصول مترجم است که تا حد بسیاری، همچون خلاصة التفاسیر، اغلب خواننده را از رجوع به تفاسیر بی‌نیاز می‌کند و مزایای دیگری که در متن گفته شده و پیداست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نام خداوند بخشندۀ مهربان</w:t>
      </w:r>
    </w:p>
    <w:p>
      <w:pPr>
        <w:pStyle w:val="BookText"/>
        <w:rPr/>
      </w:pPr>
      <w:r>
        <w:rPr>
          <w:rFonts w:ascii="IRNazanin" w:hAnsi="IRNazanin" w:eastAsia="IRNazanin"/>
          <w:color w:val="111111"/>
          <w:sz w:val="28"/>
          <w:sz w:val="28"/>
          <w:szCs w:val="28"/>
          <w:rtl w:val="true"/>
          <w:lang w:bidi="fa-IR"/>
        </w:rPr>
        <w:t>سورۀ حمد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سپاس و ستایش از آنِ خداست که مدبّر و ولیّ امر و پرورش‌دهندۀ جهان‌هاست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 فرشتگان، آدمیان، پریان، حیوان‌ها و جمادات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خدای رحمت‌گر مهربان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رحمت و مهر عامّ در دنیا برای همه، و خاصّ در آخرت برای مؤمن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مالک و فرمانروای روز جزا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تو را می‌پرستیم و تنها از تو یاری می‌جوییم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ما را به راه راست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عقاید و علوم و اخلاق و 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هدایت 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 آن ثابت‌قدم بدار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راه کسانی که به آن‌ها نعمت دادی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همانند انبیا و پیروان راستین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که نه مورد خشمِ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گرفته‌اند و نه گمراه‌اند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نام خداوند بخشندۀ مهربان</w:t>
      </w:r>
    </w:p>
    <w:p>
      <w:pPr>
        <w:pStyle w:val="BookText"/>
        <w:rPr/>
      </w:pPr>
      <w:r>
        <w:rPr>
          <w:rFonts w:ascii="IRNazanin" w:hAnsi="IRNazanin" w:eastAsia="IRNazanin"/>
          <w:color w:val="111111"/>
          <w:sz w:val="28"/>
          <w:sz w:val="28"/>
          <w:szCs w:val="28"/>
          <w:rtl w:val="true"/>
          <w:lang w:bidi="fa-IR"/>
        </w:rPr>
        <w:t>سورۀ اخلاص</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آن است که خداوند یکتاست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خداوندی است بزرگوار و قبلۀ حاجات، و ذاتی است بسیطالحقیقه، غیرمرکب و بی‌نیاز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نه کسی را زاده و نه از کسی زاده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محال است صفت پدر و فرزند پیدا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هیچ‌گاه احدی همتای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الوهیت و خالقیت و ربوبیت و عبودیت و طاعت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نام خداوند بخشندۀ مهربان</w:t>
      </w:r>
    </w:p>
    <w:p>
      <w:pPr>
        <w:pStyle w:val="BookText"/>
        <w:rPr/>
      </w:pPr>
      <w:r>
        <w:rPr>
          <w:rFonts w:ascii="IRNazanin" w:hAnsi="IRNazanin" w:eastAsia="IRNazanin"/>
          <w:color w:val="111111"/>
          <w:sz w:val="28"/>
          <w:sz w:val="28"/>
          <w:szCs w:val="28"/>
          <w:rtl w:val="true"/>
          <w:lang w:bidi="fa-IR"/>
        </w:rPr>
        <w:t>سورۀ فلق</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می‌برم به پروردگارِ سپیده‌دَم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زمین شکافته‌شده به بیرون آمدن</w:t>
      </w:r>
      <w:bookmarkStart w:id="197" w:name="pg14517_146224"/>
    </w:p>
    <w:p>
      <w:pPr>
        <w:pStyle w:val="BookText"/>
        <w:rPr/>
      </w:pPr>
      <w:bookmarkEnd w:id="197"/>
      <w:r>
        <w:rPr>
          <w:rFonts w:ascii="IRNazanin" w:hAnsi="IRNazanin" w:eastAsia="IRNazanin"/>
          <w:color w:val="111111"/>
          <w:sz w:val="28"/>
          <w:sz w:val="28"/>
          <w:szCs w:val="28"/>
          <w:rtl w:val="true"/>
          <w:lang w:bidi="fa-IR"/>
        </w:rPr>
        <w:t>چشمه‌سارها و گیاهان، و ارحام مفتوح به تولد اولاد، و قبور شکافته‌شده برای برانگیختن مردگان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شر آنچه آفریده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آنچه دارای شر است مانند شیاطین و اجنّۀ خبیثه و شرور مادی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از شر هر شب تاریک آنگاه که درآید و فراگیرد، و از هر موجود شروری که هجوم آورد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از شر زنان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جادوگر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دمنده در گره‌ها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از شر هر حسود آنگاه که حسد خود را به کار بندد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نام خداوند بخشندۀ مهربان</w:t>
      </w:r>
    </w:p>
    <w:p>
      <w:pPr>
        <w:pStyle w:val="BookText"/>
        <w:rPr/>
      </w:pPr>
      <w:r>
        <w:rPr>
          <w:rFonts w:ascii="IRNazanin" w:hAnsi="IRNazanin" w:eastAsia="IRNazanin"/>
          <w:color w:val="111111"/>
          <w:sz w:val="28"/>
          <w:sz w:val="28"/>
          <w:szCs w:val="28"/>
          <w:rtl w:val="true"/>
          <w:lang w:bidi="fa-IR"/>
        </w:rPr>
        <w:t>سورۀ ناس</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پناه می‌برم به پروردگار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مربّی آن‌ها از ابتداء تکوّن تا انتهای مراحل تربیت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 سلطان و حاکم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 معبود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شر وسوسه‌گر پنهانی، آن عقب‌روندۀ عودکننده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 که در سینه‌های مردم وسوسه می‌کند؛</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 از جن باشد و چه از انس</w:t>
      </w:r>
      <w:r>
        <w:rPr>
          <w:rFonts w:eastAsia="IRNazanin" w:cs="IRNazanin"/>
          <w:color w:val="111111"/>
          <w:sz w:val="28"/>
          <w:szCs w:val="28"/>
          <w:rtl w:val="true"/>
          <w:lang w:bidi="fa-IR"/>
        </w:rPr>
        <w:t>.</w:t>
      </w:r>
    </w:p>
    <w:p>
      <w:pPr>
        <w:pStyle w:val="Heading3"/>
        <w:numPr>
          <w:ilvl w:val="2"/>
          <w:numId w:val="1"/>
        </w:numPr>
        <w:rPr/>
      </w:pPr>
      <w:bookmarkStart w:id="198" w:name="__RefHeading___Toc39742_1878427129"/>
      <w:bookmarkStart w:id="199" w:name="_Toc73"/>
      <w:bookmarkEnd w:id="198"/>
      <w:r>
        <w:rPr>
          <w:rtl w:val="true"/>
        </w:rPr>
        <w:t>کتاب نامه</w:t>
      </w:r>
      <w:bookmarkEnd w:id="19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آیت‌اللّه مشکینی از نگاه دیگران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یادنامۀ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انتشارات الهادی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بررسی ترجمه‌های امروزین فارسی قرآن کریم به قلم استاد بهاءالدین خرمشاهی، مؤسسۀ فرهنگی ترجمان وحی، چاپ اول، </w:t>
      </w:r>
      <w:r>
        <w:rPr>
          <w:rFonts w:eastAsia="IRNazanin" w:cs="IRNazanin"/>
          <w:color w:val="111111"/>
          <w:sz w:val="28"/>
          <w:szCs w:val="28"/>
          <w:lang w:bidi="fa-IR"/>
        </w:rPr>
        <w:t>1388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بینات، سال دوم، زمستان </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 xml:space="preserve">، شمارۀ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شناس‌نامۀ اجمالی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ترجمۀ قرآن آیت‌اللّه مشکینی، محمدرضا انصاری،</w:t>
      </w:r>
    </w:p>
    <w:p>
      <w:pPr>
        <w:pStyle w:val="BookText"/>
        <w:rPr/>
      </w:pPr>
      <w:r>
        <w:rPr>
          <w:rFonts w:ascii="IRNazanin" w:hAnsi="IRNazanin" w:eastAsia="IRNazanin"/>
          <w:color w:val="111111"/>
          <w:sz w:val="28"/>
          <w:sz w:val="28"/>
          <w:szCs w:val="28"/>
          <w:rtl w:val="true"/>
          <w:lang w:bidi="fa-IR"/>
        </w:rPr>
        <w:t xml:space="preserve">آرشیو مخطوط کتابخانه و مرکز مدارک علمی مرکز ترجمۀ قرآن مجید به زبان‌های خارجی، مورّخ </w:t>
      </w:r>
      <w:r>
        <w:rPr>
          <w:rFonts w:eastAsia="IRNazanin" w:cs="IRNazanin"/>
          <w:color w:val="111111"/>
          <w:sz w:val="28"/>
          <w:szCs w:val="28"/>
          <w:lang w:bidi="fa-IR"/>
        </w:rPr>
        <w:t>1380/10/4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روزنامۀ جوان، ویژه‌نامۀ سالگرد رحلت آیت‌اللّه مشکینی، مرداد </w:t>
      </w:r>
      <w:r>
        <w:rPr>
          <w:rFonts w:eastAsia="IRNazanin" w:cs="IRNazanin"/>
          <w:color w:val="111111"/>
          <w:sz w:val="28"/>
          <w:szCs w:val="28"/>
          <w:lang w:bidi="fa-IR"/>
        </w:rPr>
        <w:t>1391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دانشنامه قرآن و قرآن پژوهی، بهاالدین خرمشاهی،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دوستان ناهید، </w:t>
      </w:r>
      <w:r>
        <w:rPr>
          <w:rFonts w:eastAsia="IRNazanin" w:cs="IRNazanin"/>
          <w:color w:val="111111"/>
          <w:sz w:val="28"/>
          <w:szCs w:val="28"/>
          <w:lang w:bidi="fa-IR"/>
        </w:rPr>
        <w:t>1377</w:t>
      </w:r>
      <w:r>
        <w:rPr>
          <w:rFonts w:eastAsia="IRNazanin" w:cs="IRNazanin"/>
          <w:color w:val="111111"/>
          <w:sz w:val="28"/>
          <w:szCs w:val="28"/>
          <w:rtl w:val="true"/>
          <w:lang w:bidi="fa-IR"/>
        </w:rPr>
        <w:t>.</w:t>
      </w:r>
      <w:bookmarkStart w:id="200" w:name="pg14517_146226"/>
    </w:p>
    <w:p>
      <w:pPr>
        <w:pStyle w:val="Heading2"/>
        <w:numPr>
          <w:ilvl w:val="1"/>
          <w:numId w:val="1"/>
        </w:numPr>
        <w:rPr/>
      </w:pPr>
      <w:bookmarkStart w:id="201" w:name="__RefHeading___Toc39744_1878427129"/>
      <w:bookmarkStart w:id="202" w:name="_Toc74"/>
      <w:bookmarkEnd w:id="200"/>
      <w:bookmarkEnd w:id="201"/>
      <w:r>
        <w:rPr>
          <w:rtl w:val="true"/>
        </w:rPr>
        <w:t>بررسی ترجمۀ قرآن کریم</w:t>
      </w:r>
      <w:bookmarkEnd w:id="202"/>
    </w:p>
    <w:p>
      <w:pPr>
        <w:pStyle w:val="Heading3"/>
        <w:numPr>
          <w:ilvl w:val="2"/>
          <w:numId w:val="1"/>
        </w:numPr>
        <w:rPr/>
      </w:pPr>
      <w:bookmarkStart w:id="203" w:name="__RefHeading___Toc39746_1878427129"/>
      <w:bookmarkStart w:id="204" w:name="_Toc75"/>
      <w:bookmarkEnd w:id="203"/>
      <w:r>
        <w:rPr>
          <w:rtl w:val="true"/>
        </w:rPr>
        <w:t>اشاره</w:t>
      </w:r>
      <w:bookmarkEnd w:id="204"/>
    </w:p>
    <w:p>
      <w:pPr>
        <w:pStyle w:val="BookText"/>
        <w:rPr/>
      </w:pPr>
      <w:r>
        <w:rPr>
          <w:rFonts w:ascii="IRNazanin" w:hAnsi="IRNazanin" w:eastAsia="IRNazanin"/>
          <w:color w:val="111111"/>
          <w:sz w:val="28"/>
          <w:sz w:val="28"/>
          <w:szCs w:val="28"/>
          <w:rtl w:val="true"/>
          <w:lang w:bidi="fa-IR"/>
        </w:rPr>
        <w:t>ابراهیم نخعی</w:t>
      </w:r>
      <w:r>
        <w:rPr>
          <w:rStyle w:val="FootnoteAnchor"/>
          <w:rtl w:val="true"/>
        </w:rPr>
        <w:footnoteReference w:id="107"/>
      </w:r>
    </w:p>
    <w:p>
      <w:pPr>
        <w:pStyle w:val="BookText"/>
        <w:rPr/>
      </w:pPr>
      <w:r>
        <w:rPr>
          <w:rFonts w:ascii="IRNazanin" w:hAnsi="IRNazanin" w:eastAsia="IRNazanin"/>
          <w:color w:val="111111"/>
          <w:sz w:val="28"/>
          <w:sz w:val="28"/>
          <w:szCs w:val="28"/>
          <w:rtl w:val="true"/>
          <w:lang w:bidi="fa-IR"/>
        </w:rPr>
        <w:t>دانشجوی دکتری علوم قرآن و معارف حدیث در دانشگاه آزاد اسلامی واحد علوم تحقیقات</w:t>
      </w:r>
      <w:r>
        <w:rPr>
          <w:rFonts w:eastAsia="IRNazanin" w:cs="IRNazanin"/>
          <w:color w:val="111111"/>
          <w:sz w:val="28"/>
          <w:szCs w:val="28"/>
          <w:rtl w:val="true"/>
          <w:lang w:bidi="fa-IR"/>
        </w:rPr>
        <w:t>.</w:t>
      </w:r>
    </w:p>
    <w:p>
      <w:pPr>
        <w:pStyle w:val="Heading3"/>
        <w:numPr>
          <w:ilvl w:val="2"/>
          <w:numId w:val="1"/>
        </w:numPr>
        <w:rPr/>
      </w:pPr>
      <w:bookmarkStart w:id="205" w:name="__RefHeading___Toc39748_1878427129"/>
      <w:bookmarkStart w:id="206" w:name="_Toc76"/>
      <w:bookmarkEnd w:id="205"/>
      <w:r>
        <w:rPr>
          <w:rtl w:val="true"/>
        </w:rPr>
        <w:t>چکیده</w:t>
      </w:r>
      <w:bookmarkEnd w:id="206"/>
    </w:p>
    <w:p>
      <w:pPr>
        <w:pStyle w:val="BookText"/>
        <w:rPr/>
      </w:pPr>
      <w:r>
        <w:rPr>
          <w:rFonts w:ascii="IRNazanin" w:hAnsi="IRNazanin" w:eastAsia="IRNazanin"/>
          <w:color w:val="111111"/>
          <w:sz w:val="28"/>
          <w:sz w:val="28"/>
          <w:szCs w:val="28"/>
          <w:rtl w:val="true"/>
          <w:lang w:bidi="fa-IR"/>
        </w:rPr>
        <w:t>در عصر حاضر، ترجمۀ علمی و دقیق قرآن کریم یکی از مهم‌ترین شیوه‌های فهم معانی آیات در قالب کمترین عبارات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براین اساس، قرآن‌پژوهان زیادی به این کار همّت گماشته‌اند که آیت‌اللّه مشکینی قدس سره یکی از آن بزرگان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مقاله، مزایا و کاستی‌های ترجمۀ ایشان در مقایسه با سایر ترجمه‌ها بررسی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اصول ترجمه، علی مشکینی</w:t>
      </w:r>
      <w:r>
        <w:rPr>
          <w:rFonts w:eastAsia="IRNazanin" w:cs="IRNazanin"/>
          <w:color w:val="111111"/>
          <w:sz w:val="28"/>
          <w:szCs w:val="28"/>
          <w:rtl w:val="true"/>
          <w:lang w:bidi="fa-IR"/>
        </w:rPr>
        <w:t>.</w:t>
      </w:r>
    </w:p>
    <w:p>
      <w:pPr>
        <w:pStyle w:val="Heading3"/>
        <w:numPr>
          <w:ilvl w:val="2"/>
          <w:numId w:val="1"/>
        </w:numPr>
        <w:rPr/>
      </w:pPr>
      <w:bookmarkStart w:id="207" w:name="__RefHeading___Toc39750_1878427129"/>
      <w:bookmarkStart w:id="208" w:name="_Toc77"/>
      <w:bookmarkEnd w:id="207"/>
      <w:r>
        <w:rPr>
          <w:rtl w:val="true"/>
        </w:rPr>
        <w:t>درآمد</w:t>
      </w:r>
      <w:bookmarkEnd w:id="208"/>
    </w:p>
    <w:p>
      <w:pPr>
        <w:pStyle w:val="BookText"/>
        <w:rPr/>
      </w:pPr>
      <w:r>
        <w:rPr>
          <w:rFonts w:ascii="IRNazanin" w:hAnsi="IRNazanin" w:eastAsia="IRNazanin"/>
          <w:color w:val="111111"/>
          <w:sz w:val="28"/>
          <w:sz w:val="28"/>
          <w:szCs w:val="28"/>
          <w:rtl w:val="true"/>
          <w:lang w:bidi="fa-IR"/>
        </w:rPr>
        <w:t>تاکنون ترجمه‌های زیادی برای قرآن کریم انجام شده است، اما آثار اندکی توانسته‌اند جایگاه خود را در میان سایر ترجمه‌ها حفظ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عوامل بسیاری در این مسئله نقش دارند که در بخشی از مقاله، به صورت مفصل بیان خواهند شد</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ترجمه‌های قرآن کریم به چهار صورت لفظ به لفظ، فنّی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برابر با زبان مقصد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آزاد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تفسیری انجام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دوره‌های پیشین، ترجمۀ قرآن کریم بیشتر به صورت لفظ به لفظ بوده است که به ترجمۀ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تحت‌اللفظی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ویژگی‌های این نوع ترجمه، پایبندی به متن و نصّ قرآن کریم و</w:t>
      </w:r>
    </w:p>
    <w:p>
      <w:pPr>
        <w:pStyle w:val="BookText"/>
        <w:rPr/>
      </w:pPr>
      <w:r>
        <w:rPr>
          <w:rFonts w:ascii="IRNazanin" w:hAnsi="IRNazanin" w:eastAsia="IRNazanin"/>
          <w:color w:val="111111"/>
          <w:sz w:val="28"/>
          <w:sz w:val="28"/>
          <w:szCs w:val="28"/>
          <w:rtl w:val="true"/>
          <w:lang w:bidi="fa-IR"/>
        </w:rPr>
        <w:t>امانت‌داری در برابر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ضعف‌های بسیاری نیز دارد؛ از جمله اینکه جملات و عبارات در این ترجمه، سلیس و روان، و در برخی موارد قابل فهم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ترجمه‌ها معمولاً اشکالات بسیاری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ترجمۀ استاد الهی قمشه‌ای از نوع ترجمۀ لفظ به لفظ است که به سبب ویژگی‌های برجستۀ دیگر، یکی از ماندگارترین ترجمه‌ها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گره برخی آیات مشکل را باز، و آن‌ها را قابل فهم و راه را برای دیگران هموار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سایر مترجمان از ترجمۀ آن بزرگوار بسیار بهره برده‌اند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ترجمۀ فنّی، واحد ترجمه جمله است بدین صورت که با توجه به ترکیب نحوی جمله‌ها در زبان مبدأ و مقصد، ترجمه شکل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 گفت که این نوع ترجمه بهترین روش ترجمۀ متون به‌ویژه متون مقدس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ترجمۀ آیت‌اللّه علی مشکینی نیز بدین صورت بوده، در برخی قسمت‌ها به صورت ترجمۀ تفسیری و آزاد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شایان ذکر است در ترجمه‌های تفسیری و آزاد، دست مترجم بازتر است؛ ازاین‌رو این ترجمه‌ها با توضیحات و قلم‌گردانی‌های فراوان همراه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 گفت که تفاوت ترجمه‌های تفسیری و آزاد با دیگر ترجمه‌ها در این است که مترجمان پایبندی زیادی به متن قرآن نداشته، سعی در تبیین جنبه‌های معنایی آیات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مقدمه‌ای کوتاه دربارۀ انواع ترجمه‌ها، بیان سه اصل باارزش در ترجمۀ متون دینی لازم می‌آید که عبارت‌اند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شیوایی، امانتداری و زیبایی نوشتار</w:t>
      </w:r>
      <w:r>
        <w:rPr>
          <w:rFonts w:eastAsia="IRNazanin" w:cs="IRNazanin"/>
          <w:color w:val="111111"/>
          <w:sz w:val="28"/>
          <w:szCs w:val="28"/>
          <w:rtl w:val="true"/>
          <w:lang w:bidi="fa-IR"/>
        </w:rPr>
        <w:t>.</w:t>
      </w:r>
      <w:r>
        <w:rPr>
          <w:rStyle w:val="FootnoteAnchor"/>
          <w:rtl w:val="true"/>
        </w:rPr>
        <w:footnoteReference w:id="108"/>
      </w:r>
    </w:p>
    <w:p>
      <w:pPr>
        <w:pStyle w:val="BookText"/>
        <w:rPr/>
      </w:pPr>
      <w:r>
        <w:rPr>
          <w:rFonts w:ascii="IRNazanin" w:hAnsi="IRNazanin" w:eastAsia="IRNazanin"/>
          <w:color w:val="111111"/>
          <w:sz w:val="28"/>
          <w:sz w:val="28"/>
          <w:szCs w:val="28"/>
          <w:rtl w:val="true"/>
          <w:lang w:bidi="fa-IR"/>
        </w:rPr>
        <w:t xml:space="preserve">مقدمۀ ترجمۀ قرآن موسوی گرمارودی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مقالۀ بهاءالدین خرمشاهی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شیوایی، همان روشنی، شفافیت و فصاحت کلام است که سلاست و سلامت ساختاری نوشته را در پی دارد</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امانتداری، همان پایبندی به متن است که موجب انطباق ترجمه و متن می‌شود</w:t>
      </w:r>
      <w:r>
        <w:rPr>
          <w:rFonts w:eastAsia="IRNazanin" w:cs="IRNazanin"/>
          <w:color w:val="111111"/>
          <w:sz w:val="28"/>
          <w:szCs w:val="28"/>
          <w:rtl w:val="true"/>
          <w:lang w:bidi="fa-IR"/>
        </w:rPr>
        <w:t>.</w:t>
      </w:r>
      <w:bookmarkStart w:id="209" w:name="pg14517_146228"/>
    </w:p>
    <w:p>
      <w:pPr>
        <w:pStyle w:val="BookText"/>
        <w:rPr/>
      </w:pPr>
      <w:bookmarkEnd w:id="209"/>
      <w:r>
        <w:rPr>
          <w:rFonts w:ascii="IRNazanin" w:hAnsi="IRNazanin" w:eastAsia="IRNazanin"/>
          <w:color w:val="111111"/>
          <w:sz w:val="28"/>
          <w:sz w:val="28"/>
          <w:szCs w:val="28"/>
          <w:rtl w:val="true"/>
          <w:lang w:bidi="fa-IR"/>
        </w:rPr>
        <w:t>زیبایی نوشتار، استفاده از اسلوبی زیبا و کلماتی دلنشین، معمول و خوش‌نقش در بیان مراد خداوند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هرگاه ترجمه‌ای، سه اصل مذکور را رعایت کرده باشد، به‌حتم دارای ارزش و اعتبار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نکات پیش‌گفته، ترجمۀ آیت‌اللّه مشکینی، علمی و دقیق است؛ زیرا ایشان هم به زبان مبدأ، و هم به زبان مقصد آشنایی کامل داشته و در مباحث بلاغت و ادبیات عرب و اصول، تبحّر و تعمّق کافی داشته‌اند و بسیاری از روش‌های صحیح ترجمه را به کار برده‌اند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ترجمۀ ایشان ارزشمند است و بایستی، بیش از پیش کانون توجّه و استقبال قرآن‌پژوهان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مقاله ابتدا به ویژگی‌های این ترجمه، با ذکر مثال و شاهد می‌پردازد و در ادامه به برخی از نقدهای محتمل، اشاره‌ای خواهد داشت</w:t>
      </w:r>
      <w:r>
        <w:rPr>
          <w:rFonts w:eastAsia="IRNazanin" w:cs="IRNazanin"/>
          <w:color w:val="111111"/>
          <w:sz w:val="28"/>
          <w:szCs w:val="28"/>
          <w:rtl w:val="true"/>
          <w:lang w:bidi="fa-IR"/>
        </w:rPr>
        <w:t>.</w:t>
      </w:r>
    </w:p>
    <w:p>
      <w:pPr>
        <w:pStyle w:val="Heading3"/>
        <w:numPr>
          <w:ilvl w:val="2"/>
          <w:numId w:val="1"/>
        </w:numPr>
        <w:rPr/>
      </w:pPr>
      <w:bookmarkStart w:id="210" w:name="__RefHeading___Toc39752_1878427129"/>
      <w:bookmarkStart w:id="211" w:name="_Toc78"/>
      <w:bookmarkEnd w:id="210"/>
      <w:r>
        <w:rPr>
          <w:rtl w:val="true"/>
        </w:rPr>
        <w:t>مزایا</w:t>
      </w:r>
      <w:bookmarkEnd w:id="21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مهم‌ترین ویژگی‌های این ترجمه، سلیس و روان و همه‌فهم‌بودن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ترجمه سعی شده که با عبارات و کلماتی دقیق، هماهنگ و مناسب، متنی شیوا و آسان ارائه شود؛ همانند این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أدْخَلْناهُ فی رَحْمَتِنا إنَّهُ مِنَ الصّالِحینَ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که به این صورت ترجمه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او را در رحمت خویش وارد کردیم؛ چرا که او از شایستگان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ترجمه، از بهترین و روان‌ترین ترجمه‌های این آیه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از نکات برجستۀ این ترجمه، رعایت حداکثریِ معنای ادات تأکید و حصر در ترجمه است؛ مثال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هَذا لَهُوَ الفُوز العَظیم</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r>
        <w:rPr>
          <w:rFonts w:ascii="IRNazanin" w:hAnsi="IRNazanin" w:eastAsia="IRNazanin"/>
          <w:color w:val="111111"/>
          <w:sz w:val="28"/>
          <w:sz w:val="28"/>
          <w:szCs w:val="28"/>
          <w:rtl w:val="true"/>
          <w:lang w:bidi="fa-IR"/>
        </w:rPr>
        <w:t>که این‌گونه ترجمه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یقیناً که این همان کامیابی و رستگاری بزرگ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توجه به افعال معلوم و مجهول و نحوۀ ترجمۀ آن‌ها یکی از دیگر امتیازات این ترجمه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انبیاء، آیۀ </w:t>
      </w:r>
      <w:r>
        <w:rPr>
          <w:rFonts w:eastAsia="IRNazanin" w:cs="IRNazanin"/>
          <w:color w:val="111111"/>
          <w:sz w:val="28"/>
          <w:szCs w:val="28"/>
          <w:lang w:bidi="fa-IR"/>
        </w:rPr>
        <w:t>75</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صافات، آیۀ </w:t>
      </w:r>
      <w:r>
        <w:rPr>
          <w:rFonts w:eastAsia="IRNazanin" w:cs="IRNazanin"/>
          <w:color w:val="111111"/>
          <w:sz w:val="28"/>
          <w:szCs w:val="28"/>
          <w:lang w:bidi="fa-IR"/>
        </w:rPr>
        <w:t>60</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یَحْزُنُهُمُ الْفَزَعُ اْلأَکْبَرُ وَ تَتَلَقّاهُمُ الْمَلائِکَةُ هذا یَوْمُکُمُ الَّذی کُنْتُمْ تُوعَدُونَ</w:t>
      </w:r>
      <w:r>
        <w:rPr>
          <w:rFonts w:eastAsia="Amiri" w:cs="Amiri" w:ascii="Amiri" w:hAnsi="Amiri"/>
          <w:color w:val="111111"/>
          <w:sz w:val="28"/>
          <w:szCs w:val="28"/>
          <w:rtl w:val="true"/>
          <w:lang w:bidi="ar-SA"/>
        </w:rPr>
        <w:t>»</w:t>
      </w:r>
      <w:r>
        <w:rPr>
          <w:rStyle w:val="FootnoteAnchor"/>
          <w:rtl w:val="true"/>
        </w:rPr>
        <w:footnoteReference w:id="10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انبیاء، آیۀ </w:t>
      </w:r>
      <w:r>
        <w:rPr>
          <w:rFonts w:eastAsia="IRNazanin" w:cs="IRNazanin"/>
          <w:color w:val="111111"/>
          <w:sz w:val="28"/>
          <w:szCs w:val="28"/>
          <w:lang w:bidi="fa-IR"/>
        </w:rPr>
        <w:t>103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در ترجمه این‌گونه آورده‌اند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 وحشت بزرگ، آنان را غمگین نمی‌کند و فرشتگان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تبریک و تهنیت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استقبالشان می‌آیند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همان روز شماست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وعده داده می‌شدید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جملاتی که به صورت مفعول مطلق هستند، در این ترجمه به‌خوبی منعکس شده‌اند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عَرَضْنا جَهَنَّمَ یَوْمَئِذٍ لِلْکافِرینَ عَرْضاً</w:t>
      </w:r>
      <w:r>
        <w:rPr>
          <w:rFonts w:eastAsia="Amiri" w:cs="Amiri" w:ascii="Amiri" w:hAnsi="Amiri"/>
          <w:color w:val="111111"/>
          <w:sz w:val="28"/>
          <w:szCs w:val="28"/>
          <w:rtl w:val="true"/>
          <w:lang w:bidi="ar-SA"/>
        </w:rPr>
        <w:t>»</w:t>
      </w:r>
      <w:r>
        <w:rPr>
          <w:rStyle w:val="FootnoteAnchor"/>
          <w:rtl w:val="true"/>
        </w:rPr>
        <w:footnoteReference w:id="110"/>
      </w:r>
      <w:r>
        <w:rPr>
          <w:rFonts w:ascii="IRNazanin" w:hAnsi="IRNazanin" w:eastAsia="IRNazanin"/>
          <w:color w:val="111111"/>
          <w:sz w:val="28"/>
          <w:sz w:val="28"/>
          <w:szCs w:val="28"/>
          <w:rtl w:val="true"/>
          <w:lang w:bidi="fa-IR"/>
        </w:rPr>
        <w:t>که در ترجمه آورده‌اند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جهنم را در آن روز بر کافران به طور آشکار و وحشت‌زا عرضه بداریم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امتیازات دیگر این ترجمه، رعایت زمان افعال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مثال آیۀ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مؤمنون این‌گونه ترجمه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سَیَقُولُونَ لِلّهِ قُلْ فَأنّی تُسْحَرُونَ</w:t>
      </w:r>
      <w:r>
        <w:rPr>
          <w:rFonts w:eastAsia="IRNazanin" w:cs="IRNazanin"/>
          <w:color w:val="111111"/>
          <w:sz w:val="28"/>
          <w:szCs w:val="28"/>
          <w:rtl w:val="true"/>
          <w:lang w:bidi="fa-IR"/>
        </w:rPr>
        <w:t>»</w:t>
      </w:r>
      <w:r>
        <w:rPr>
          <w:rStyle w:val="FootnoteAnchor"/>
          <w:rtl w:val="true"/>
        </w:rPr>
        <w:footnoteReference w:id="111"/>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خواهند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چگونه و از کجا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برابر این حقایق روشن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جادو می‌شوید؟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سعی شده که همۀ کلمات و حروف مانند فاء، 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ترجمۀ انعکاس پیدا کنند؛ مثال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فَاتَّقُوا اللّهَ وَ أطیعُونِ</w:t>
      </w:r>
      <w:r>
        <w:rPr>
          <w:rFonts w:eastAsia="IRNazanin" w:cs="IRNazanin"/>
          <w:color w:val="111111"/>
          <w:sz w:val="28"/>
          <w:szCs w:val="28"/>
          <w:rtl w:val="true"/>
          <w:lang w:bidi="fa-IR"/>
        </w:rPr>
        <w:t xml:space="preserve">» </w:t>
      </w:r>
      <w:r>
        <w:rPr>
          <w:rStyle w:val="FootnoteAnchor"/>
          <w:rtl w:val="true"/>
        </w:rPr>
        <w:footnoteReference w:id="11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خدا پروا کنید و مرا فرمان برید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امتیازات دیگر، می‌توان به آوردن تفسیر آیه، به صورت موجز، در ضمن ترجمۀ برخی از آیات اشاره کرد؛ همانند این آیات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عَبَسَ وَ تَوَلّی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جاءَهُ اْلأَعْمی</w:t>
      </w:r>
      <w:r>
        <w:rPr>
          <w:rFonts w:eastAsia="IRNazanin" w:cs="IRNazanin"/>
          <w:color w:val="111111"/>
          <w:sz w:val="28"/>
          <w:szCs w:val="28"/>
          <w:rtl w:val="true"/>
          <w:lang w:bidi="fa-IR"/>
        </w:rPr>
        <w:t>»</w:t>
      </w:r>
      <w:r>
        <w:rPr>
          <w:rStyle w:val="FootnoteAnchor"/>
          <w:rtl w:val="true"/>
        </w:rPr>
        <w:footnoteReference w:id="113"/>
      </w:r>
      <w:r>
        <w:rPr>
          <w:rFonts w:ascii="IRNazanin" w:hAnsi="IRNazanin" w:eastAsia="IRNazanin"/>
          <w:color w:val="111111"/>
          <w:sz w:val="28"/>
          <w:sz w:val="28"/>
          <w:szCs w:val="28"/>
          <w:rtl w:val="true"/>
          <w:lang w:bidi="fa-IR"/>
        </w:rPr>
        <w:t>که به این صورت ترجمه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صورت در هم کشید و روی گردانید بدان جهت که آن نابینا نزد او 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 برخورد مردی ثروتمند است در محضر پیامبر، یا نابینایی که برای پذیرش اسلام آمده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ویژگی‌های دیگر ترجمۀ ایشان، توضیحات و عباراتی در پرانتز است که موجب فهم بیشتر و روان‌تر آیات می‌گردد؛ همانند این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یا أهْلَ الْکِتابِ هَلْ تَنْقِمُونَ مِنّا إلاّ أنْ آمَنّا بِاللّهِ وَ ما انْزِلَ إلَیْنا وَ ما انْزِلَ مِنْ قَبْلُ وَ أنَّ أکْثَرَکُمْ فاسِقُونَ</w:t>
      </w:r>
      <w:r>
        <w:rPr>
          <w:rFonts w:eastAsia="IRNazanin" w:cs="IRNazanin"/>
          <w:color w:val="111111"/>
          <w:sz w:val="28"/>
          <w:szCs w:val="28"/>
          <w:rtl w:val="true"/>
          <w:lang w:bidi="fa-IR"/>
        </w:rPr>
        <w:t>»</w:t>
      </w:r>
      <w:r>
        <w:rPr>
          <w:rStyle w:val="FootnoteAnchor"/>
          <w:rtl w:val="true"/>
        </w:rPr>
        <w:footnoteReference w:id="114"/>
      </w:r>
      <w:bookmarkStart w:id="212" w:name="pg14517_146230"/>
    </w:p>
    <w:p>
      <w:pPr>
        <w:pStyle w:val="BookText"/>
        <w:rPr/>
      </w:pPr>
      <w:bookmarkEnd w:id="21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اهل کتاب، آیا بر ما جز این را عیب می‌گیرید که ما به خدا و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جانب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ما فرود آمده و آنچه پیش از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پیامبران گذشته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فرود آمده ایمان آورده‌ایم و اینکه بیشترِ شما نافرمانید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آیه مانند آن است که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جز این را عیب می‌گیری که من ثروتمندم و تو فقیری، یا من عالمم و تو جاهلی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ترجمۀ صحیح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ترجمه را ممتاز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شود که اگر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مواردی جانشین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باید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شود،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بخشنده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اینجا اسم خداوند است، نه صفتی برای اللّه؛ و اگر به عنوان صفت باشد، در این صورت به رحمتِ بی‌اندازۀ خداوند اشاره می‌کند که در این ترجمه به‌خوبی رعایت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ترجمۀ آیۀ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سورۀ مریم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یَوْمَ نَحْشُرُ الْمُتَّقینَ إلَی الرَّحْمنِ وَفْدًا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یاد آر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که پرهیزکاران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صحرای محشر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صورت سوارگانی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ناقه‌های 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خدای رحمان گرد می‌آوریم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یکی دیگر از برجستگی‌های این ترجمه، ترجمۀ همۀ کلمات و عدم افتادگی برخی عبارات در ترجمه است که متأسفانه برخی از دیگر ترجمه‌ها به این اشتباهات گرفتارند؛ برای مثال، آیۀ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مؤمنون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فَلَمْ یَدَّبَّرُوا الْقَوْلَ أمْ جاءَهُمْ ما لَمْ یَأْتِ آباءَهُمُ اْلأَوَّلینَ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ترجمه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آیا در این گفتار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تدبّر و تفکّر نکردند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چه کلام اعجازی خارج از توان بشری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یا آنکه بر آن‌ها چیزی آمده که بر نیاکان آن‌ها نیامده است‌؟</w:t>
      </w:r>
      <w:r>
        <w:rPr>
          <w:rFonts w:eastAsia="IRNazanin" w:cs="IRNazanin"/>
          <w:color w:val="111111"/>
          <w:sz w:val="28"/>
          <w:szCs w:val="28"/>
          <w:rtl w:val="true"/>
          <w:lang w:bidi="fa-IR"/>
        </w:rPr>
        <w:t>».</w:t>
      </w:r>
    </w:p>
    <w:p>
      <w:pPr>
        <w:pStyle w:val="Heading3"/>
        <w:numPr>
          <w:ilvl w:val="2"/>
          <w:numId w:val="1"/>
        </w:numPr>
        <w:rPr/>
      </w:pPr>
      <w:bookmarkStart w:id="213" w:name="__RefHeading___Toc39754_1878427129"/>
      <w:bookmarkStart w:id="214" w:name="_Toc79"/>
      <w:bookmarkEnd w:id="213"/>
      <w:r>
        <w:rPr>
          <w:rtl w:val="true"/>
        </w:rPr>
        <w:t>کاستی ها</w:t>
      </w:r>
      <w:bookmarkEnd w:id="21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استفاده از واژگان عربی به جای فارسی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از ترجمۀ آیات قرآن، استفادۀ بهینه از کلمات فارسی برای بیان مفهوم متن و نصّ قرآن است؛ لذا بایستی سعی شود تا حد امکان از کلمات و اصطلاحات عربی خودداری، و کلمات فارسی را جایگزین آن‌ها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ترجمه احیاناً برخی کلمات نامأنوس در فارسی به</w:t>
      </w:r>
    </w:p>
    <w:p>
      <w:pPr>
        <w:pStyle w:val="BookText"/>
        <w:rPr/>
      </w:pPr>
      <w:r>
        <w:rPr>
          <w:rFonts w:ascii="IRNazanin" w:hAnsi="IRNazanin" w:eastAsia="IRNazanin"/>
          <w:color w:val="111111"/>
          <w:sz w:val="28"/>
          <w:sz w:val="28"/>
          <w:szCs w:val="28"/>
          <w:rtl w:val="true"/>
          <w:lang w:bidi="fa-IR"/>
        </w:rPr>
        <w:t>چشم می‌خورد؛ برای مثال در ترجمۀ این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لَمْ تَرَ کَیْفَ فَعَلَ رَبُّکَ بِأَصْحابِ الْفیلِ</w:t>
      </w:r>
      <w:r>
        <w:rPr>
          <w:rFonts w:eastAsia="IRNazanin" w:cs="IRNazanin"/>
          <w:color w:val="111111"/>
          <w:sz w:val="28"/>
          <w:szCs w:val="28"/>
          <w:rtl w:val="true"/>
          <w:lang w:bidi="fa-IR"/>
        </w:rPr>
        <w:t>»</w:t>
      </w:r>
      <w:r>
        <w:rPr>
          <w:rStyle w:val="FootnoteAnchor"/>
          <w:rtl w:val="true"/>
        </w:rPr>
        <w:footnoteReference w:id="11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فیل، آیۀ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چشم 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ندیدی و ندانستی که پروردگار تو با اصحاب فیل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سپاه ابرهه که برای تخریب خانۀ خدا آمده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رفتار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فیل‌سواران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فیل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بهتر است، که در برخی ترجمه‌های قرآن این نکته به‌خوبی رعایت شده است</w:t>
      </w:r>
      <w:r>
        <w:rPr>
          <w:rFonts w:eastAsia="IRNazanin" w:cs="IRNazanin"/>
          <w:color w:val="111111"/>
          <w:sz w:val="28"/>
          <w:szCs w:val="28"/>
          <w:rtl w:val="true"/>
          <w:lang w:bidi="fa-IR"/>
        </w:rPr>
        <w:t>.</w:t>
      </w:r>
      <w:r>
        <w:rPr>
          <w:rStyle w:val="FootnoteAnchor"/>
          <w:rtl w:val="true"/>
        </w:rPr>
        <w:footnoteReference w:id="116"/>
      </w:r>
    </w:p>
    <w:p>
      <w:pPr>
        <w:pStyle w:val="BookText"/>
        <w:rPr/>
      </w:pPr>
      <w:r>
        <w:rPr>
          <w:rFonts w:ascii="IRNazanin" w:hAnsi="IRNazanin" w:eastAsia="IRNazanin"/>
          <w:color w:val="111111"/>
          <w:sz w:val="28"/>
          <w:sz w:val="28"/>
          <w:szCs w:val="28"/>
          <w:rtl w:val="true"/>
          <w:lang w:bidi="fa-IR"/>
        </w:rPr>
        <w:t>در نمونۀ دیگر، این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فَأصْحابُ الْمَیْمَنَةِ ما أصْحابُ الْمَیْمَنَةِ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أصْحابُ الْمَشْئَمَةِ ما أصْحابُ الْمَشْئَمَةِ</w:t>
      </w:r>
      <w:r>
        <w:rPr>
          <w:rFonts w:eastAsia="IRNazanin" w:cs="IRNazanin"/>
          <w:color w:val="111111"/>
          <w:sz w:val="28"/>
          <w:szCs w:val="28"/>
          <w:rtl w:val="true"/>
          <w:lang w:bidi="fa-IR"/>
        </w:rPr>
        <w:t>»</w:t>
      </w:r>
      <w:r>
        <w:rPr>
          <w:rStyle w:val="FootnoteAnchor"/>
          <w:rtl w:val="true"/>
        </w:rPr>
        <w:footnoteReference w:id="117"/>
      </w:r>
      <w:r>
        <w:rPr>
          <w:rFonts w:ascii="IRNazanin" w:hAnsi="IRNazanin" w:eastAsia="IRNazanin"/>
          <w:color w:val="111111"/>
          <w:sz w:val="28"/>
          <w:sz w:val="28"/>
          <w:szCs w:val="28"/>
          <w:rtl w:val="true"/>
          <w:lang w:bidi="fa-IR"/>
        </w:rPr>
        <w:t>این‌گونه ترجمه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اصحاب یمین چه هستند اصحاب یمین‌؟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گویی تجسم یمن و سعادت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اصحاب شمال چه هستند اصحاب شمال‌؟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گویی تبلور شومی و شقاوت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شایسته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شمال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یمین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معادل‌سازی فارسی شوند؛ مانند این کلمات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خجستگان، سعادتمندان و نیکبختان برای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یمین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شومان، بدبختان، شقاوتمندان، نگون‌بختان برای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شمال</w:t>
      </w:r>
      <w:r>
        <w:rPr>
          <w:rFonts w:eastAsia="IRNazanin" w:cs="IRNazanin"/>
          <w:color w:val="111111"/>
          <w:sz w:val="28"/>
          <w:szCs w:val="28"/>
          <w:rtl w:val="true"/>
          <w:lang w:bidi="fa-IR"/>
        </w:rPr>
        <w:t>».</w:t>
      </w:r>
      <w:r>
        <w:rPr>
          <w:rStyle w:val="FootnoteAnchor"/>
          <w:rtl w:val="true"/>
        </w:rPr>
        <w:footnoteReference w:id="118"/>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عدم ترجمۀ صحیح 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دربارۀ ترجمۀ آیۀ شریفۀ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بسیار است و به این نکته بسنده می‌کنیم که ترجمه‌های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نام خداوند بخشندۀ مهربان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نام خداوند بخشندۀ بخشایشگر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مانند این‌ها نمی‌توانند صائب باشند؛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عربی به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رئوف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نزدیک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بخشایشگر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با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غفور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متناسب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می‌توان گفت هیچ‌یک از کلمات و اصطلاحات فوق، رحمت شاملۀ الهی را نمی‌رساند و کلمات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ریشۀ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سرچشمه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به نظر نگارنده، ترجمۀ این آیه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نام خداوند رحمت‌گستر</w:t>
      </w:r>
    </w:p>
    <w:p>
      <w:pPr>
        <w:pStyle w:val="BookText"/>
        <w:rPr/>
      </w:pPr>
      <w:r>
        <w:rPr>
          <w:rFonts w:ascii="IRNazanin" w:hAnsi="IRNazanin" w:eastAsia="IRNazanin"/>
          <w:color w:val="111111"/>
          <w:sz w:val="28"/>
          <w:sz w:val="28"/>
          <w:szCs w:val="28"/>
          <w:rtl w:val="true"/>
          <w:lang w:bidi="fa-IR"/>
        </w:rPr>
        <w:t>رحمت‌گر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نزدیک‌تر به مراد خداوند است و ترجمۀ آیت‌اللّه مشکینی از این نقد مستثنی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بهتر است دربارۀ ترجمۀ کلمات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تأمل بیشتری صورت گیرد؛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خاص خداوند است و لذا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ترجمۀ آن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معبود است و هم دربارۀ خدا به کار می‌رود، و هم سایر موجودات و بت‌ها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نبایستی هر دو به معنای معبود یا هر دو به معنای خدا ترجمه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هرگاه هردو به یک معنا گرفته شود؛ ضعفی برای ترجمه شمرده می‌شود؛ مثلاً در ترجمۀ آیۀ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إِلَهکمُْ إِلَهٌ وَاحِدٌ لَّاإِلَهَ إِلَّا هُوَ الرَّحْمَنُ الرَّحِیمُ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این‌گونه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خدای شما خدایی یگانه است؛ جز او خدایی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مستحق پرستش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که بخشنده و مهربان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 جای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می‌رفت بهتر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مترجم بایستی در ترجمه، روش یکسانی را در همۀ آیات در پیش گیرد و این‌گونه نباشد که در برخی آیات به صورت لفظ به لفظ و در برخی به صورت جمله به جمله و در برخی به صورت آزاد و تفسیری، عمل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ترجمۀ آیت‌اللّه مشکینی، گاه کلمات اضافی در متن دیده می‌شود و همچنین توضیحات زیاد از حد، که در این صورت ترجمه از حالت جمله به جمله خارج شده، به ترجمۀ تفسیری می‌گرود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ترجمۀ این آیه دقت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لِلّهِ الشَّفاعَةُ جَمیعاً لَهُ مُلْکُ السَّماواتِ وَ اْلأَرْضِ ثُمَّ إلَیْهِ تُرْجَعُونَ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شفاعت و وساطت تماماً از آنِ خداوند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وساطت‌های‌تکوینی میان علت و معلول‌ها در دنیا، و چه شفاعت‌های عالم آخرت؛ 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ملکیت حقیقی و مالکیت آسمان‌ها و زمین از آنِ اوست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ملاک آنکه آفرینش و حفظ و تدبیر و فانی کردن همه به دست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همۀ شما به سوی او بازگردانده می‌شوید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نمونه، توضیحاتِ بیش از حد، ترجمه را از حالت جمله به جمله خارج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بقره، آیۀ </w:t>
      </w:r>
      <w:r>
        <w:rPr>
          <w:rFonts w:eastAsia="IRNazanin" w:cs="IRNazanin"/>
          <w:color w:val="111111"/>
          <w:sz w:val="28"/>
          <w:szCs w:val="28"/>
          <w:lang w:bidi="fa-IR"/>
        </w:rPr>
        <w:t>163</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زمر، آیۀ </w:t>
      </w:r>
      <w:r>
        <w:rPr>
          <w:rFonts w:eastAsia="IRNazanin" w:cs="IRNazanin"/>
          <w:color w:val="111111"/>
          <w:sz w:val="28"/>
          <w:szCs w:val="28"/>
          <w:lang w:bidi="fa-IR"/>
        </w:rPr>
        <w:t>44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بسیاری از موارد، توضیحات و قلم‌گردانی‌ها در داخل پرانتز قرار نمی‌گیرند و لذا با جمله‌ها و عبارات ترجمه خلط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با اندکی تأمل در ترجمۀ این آیه روشن می‌گردد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إذا قیلَ لَهُمُ ارْکَعُوا لا یَرْکَعُونَ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چون به آن‌ها گفته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برابر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رکوع و اطاعت و خضوع کنید، رکوع و خضوع نمی‌کنند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ترجمۀ دقیق نبایستی از مترادف‌های پی‌درپی استفاده کرد؛ چون در ترجمۀ صحیح، بهترین مترادف را می‌آوریم، نه همۀ مترادف‌ها را، و این روش در ترجمۀ آیت‌اللّه مشکینی به‌وفور یافت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لِلْمُتَّقینَ مَفازًا</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برای پرهیزکاران رستگاری و کامیابی و جایگاه نجات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عدم ترجمه‌های یکسان در آیات مشابه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این مطلب دربارۀ ترجمۀ جملات مشابه در قرآن ضروری به نظر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کریم، برخی جملات و عبارات به صورت مکرر آمده است که بهتر است همۀ این عبارات مشابه، به صورت ثابت و به یک شکل ترجمه شوند؛ مگر اینکه جایگاه جمله در کل آیه و متن، ترجمۀ دیگری را ایجاب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اگر این نکته رعایت نشود، موجب کاهش دقت و اعتبار ترجمه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نمونه‌ای از جملات مشابه را می‌آوریم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حاقَ بِهِمْ ما کانُوا بِهِ یَسْتَهْزِؤُنَ</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r>
        <w:rPr>
          <w:rFonts w:ascii="IRNazanin" w:hAnsi="IRNazanin" w:eastAsia="IRNazanin"/>
          <w:color w:val="111111"/>
          <w:sz w:val="28"/>
          <w:sz w:val="28"/>
          <w:szCs w:val="28"/>
          <w:rtl w:val="true"/>
          <w:lang w:bidi="fa-IR"/>
        </w:rPr>
        <w:t>که مجموعاً شش بار در قرآن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است سایر آیات که مکرراً نازل شده‌اند که به جهت اختصار، آن‌ها را نمی‌آوریم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ترجمۀ آیت‌اللّه مشکینی، ترجمۀ آیۀ فوق این‌گونه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آنچه به آن استهزا می‌کردند، آن‌ها را فرا خواهد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آنچه مسخره‌اش می‌کردند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وعدۀ 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فرا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آنچه 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استهزا می‌کردند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سختی‌های قیامت و عذاب‌های گوناگون جهنم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آن‌ها فرود آمده، احاطه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مرسلات، آیۀ </w:t>
      </w:r>
      <w:r>
        <w:rPr>
          <w:rFonts w:eastAsia="IRNazanin" w:cs="IRNazanin"/>
          <w:color w:val="111111"/>
          <w:sz w:val="28"/>
          <w:szCs w:val="28"/>
          <w:lang w:bidi="fa-IR"/>
        </w:rPr>
        <w:t>48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نبأ، آیۀ </w:t>
      </w:r>
      <w:r>
        <w:rPr>
          <w:rFonts w:eastAsia="IRNazanin" w:cs="IRNazanin"/>
          <w:color w:val="111111"/>
          <w:sz w:val="28"/>
          <w:szCs w:val="28"/>
          <w:lang w:bidi="fa-IR"/>
        </w:rPr>
        <w:t>31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هود، آیۀ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هود، آیۀ </w:t>
      </w:r>
      <w:r>
        <w:rPr>
          <w:rFonts w:eastAsia="IRNazanin" w:cs="IRNazanin"/>
          <w:color w:val="111111"/>
          <w:sz w:val="28"/>
          <w:szCs w:val="28"/>
          <w:lang w:bidi="fa-IR"/>
        </w:rPr>
        <w:t>8</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نحل، آیۀ </w:t>
      </w:r>
      <w:r>
        <w:rPr>
          <w:rFonts w:eastAsia="IRNazanin" w:cs="IRNazanin"/>
          <w:color w:val="111111"/>
          <w:sz w:val="28"/>
          <w:szCs w:val="28"/>
          <w:lang w:bidi="fa-IR"/>
        </w:rPr>
        <w:t>34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خواهد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1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زمر، آیۀ </w:t>
      </w:r>
      <w:r>
        <w:rPr>
          <w:rFonts w:eastAsia="IRNazanin" w:cs="IRNazanin"/>
          <w:color w:val="111111"/>
          <w:sz w:val="28"/>
          <w:szCs w:val="28"/>
          <w:lang w:bidi="fa-IR"/>
        </w:rPr>
        <w:t>48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بدان استهزا می‌کردند، بر آن‌ها وارد شد و آنان را فرا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آنچه که بدان استهزا می‌کردند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عذاب‌های گوناگون آنجا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فرا می‌گیرد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بدان استهزا می‌کردند، آن‌ها را از همه سو فرا گرفت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این معانی با یکدیگر تفاوت داشته، یکسان نیستند و بهتر می‌بود که همسان ترجمه 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دیگر کاستی‌ها، ترجمۀ حروف مقطعه در ابتدای سوره‌ها به صورت تفسیری است؛ یعنی به صورت مقطعه ذکر شده و سپس یکی از تفسیرهای مشهور دربارۀ این حروف را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ابتدای سورۀ مریم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کهیعص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 ها، یا، عین، صاد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کفایت‌کننده، هدایتگر، ولیّ امر، عالم و صادق‌الوعد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حروف رمزهایی میان خدا و رسول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تفسیر، سلیقه‌ای بوده، از نظر محققین علوم قرآنی، علمی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برخی آیات تعلیلی است؛ چون پیوندگاه جملۀ قبل و بعد از خود است و چرایی جملۀ بعد از خود را بیان می‌کند؛ پس اگر به صورت تعلیلی ترجمه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تأکیدی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مواقع، نکتۀ مزبور در این ترجمه رعایت نمی‌شود؛ مانند این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أیْنَ ما تَکُونُوا یَأْتِ بِکُمُ اللّهُ جَمیعاً إنَّ اللّهَ عَلی کُلِّ شَیْءٍ قَدیرٌ</w:t>
      </w:r>
      <w:r>
        <w:rPr>
          <w:rFonts w:eastAsia="IRNazanin" w:cs="IRNazanin"/>
          <w:color w:val="111111"/>
          <w:sz w:val="28"/>
          <w:szCs w:val="28"/>
          <w:rtl w:val="true"/>
          <w:lang w:bidi="fa-IR"/>
        </w:rPr>
        <w:t>»</w:t>
      </w:r>
      <w:r>
        <w:rPr>
          <w:rStyle w:val="FootnoteAnchor"/>
          <w:rtl w:val="true"/>
        </w:rPr>
        <w:footnoteReference w:id="120"/>
      </w:r>
      <w:r>
        <w:rPr>
          <w:rFonts w:ascii="IRNazanin" w:hAnsi="IRNazanin" w:eastAsia="IRNazanin"/>
          <w:color w:val="111111"/>
          <w:sz w:val="28"/>
          <w:sz w:val="28"/>
          <w:szCs w:val="28"/>
          <w:rtl w:val="true"/>
          <w:lang w:bidi="fa-IR"/>
        </w:rPr>
        <w:t>که این‌گونه ترجمه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جا که باشید، خداوند همۀ شما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صحنۀ محشر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خواهد 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جزای عمل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بر همه چیز تواناست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ترجمه اگر 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می‌آمد بهتر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نکره در سیاق نهی افادۀ عموم می‌کند و رعایت این نکته در ترجمۀ قرآن کریم ضروری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ترجمۀ آیت‌اللّه مشکینی این قاعده دربارۀ برخی آیات</w:t>
      </w:r>
    </w:p>
    <w:p>
      <w:pPr>
        <w:pStyle w:val="BookText"/>
        <w:rPr/>
      </w:pPr>
      <w:r>
        <w:rPr>
          <w:rFonts w:ascii="IRNazanin" w:hAnsi="IRNazanin" w:eastAsia="IRNazanin"/>
          <w:color w:val="111111"/>
          <w:sz w:val="28"/>
          <w:sz w:val="28"/>
          <w:szCs w:val="28"/>
          <w:rtl w:val="true"/>
          <w:lang w:bidi="fa-IR"/>
        </w:rPr>
        <w:t>رعایت شده و در برخی نادیده گرفته شده است؛ برای مثال، به آیات زیر توجه کنید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هذا لَهُوَ الْقَصَصُ الْحَقُّ وَ ما مِنْ إلهٍ إلاَّ اللّهُ وَ إنَّ اللّهَ لَهُوَ الْعَزیزُ الْحَکیمُ</w:t>
      </w:r>
      <w:r>
        <w:rPr>
          <w:rFonts w:eastAsia="Amiri" w:cs="Amiri" w:ascii="Amiri" w:hAnsi="Amiri"/>
          <w:color w:val="111111"/>
          <w:sz w:val="28"/>
          <w:szCs w:val="28"/>
          <w:rtl w:val="true"/>
          <w:lang w:bidi="ar-SA"/>
        </w:rPr>
        <w:t>»</w:t>
      </w:r>
      <w:r>
        <w:rPr>
          <w:rStyle w:val="FootnoteAnchor"/>
          <w:rtl w:val="true"/>
        </w:rPr>
        <w:footnoteReference w:id="121"/>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بقره، آیۀ </w:t>
      </w:r>
      <w:r>
        <w:rPr>
          <w:rFonts w:eastAsia="IRNazanin" w:cs="IRNazanin"/>
          <w:color w:val="111111"/>
          <w:sz w:val="28"/>
          <w:szCs w:val="28"/>
          <w:lang w:bidi="fa-IR"/>
        </w:rPr>
        <w:t>62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بی‌تردید همین است داستان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مسیح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جز خداوند معبودی نیست، و البته خداست که مقتدر و حکیم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لَیْسَ لِوَقْعَتِها کاذِبَةٌ</w:t>
      </w:r>
      <w:r>
        <w:rPr>
          <w:rFonts w:eastAsia="Amiri" w:cs="Amiri" w:ascii="Amiri" w:hAnsi="Amiri"/>
          <w:color w:val="111111"/>
          <w:sz w:val="28"/>
          <w:szCs w:val="28"/>
          <w:rtl w:val="true"/>
          <w:lang w:bidi="ar-SA"/>
        </w:rPr>
        <w:t>»</w:t>
      </w:r>
      <w:r>
        <w:rPr>
          <w:rStyle w:val="FootnoteAnchor"/>
          <w:rtl w:val="true"/>
        </w:rPr>
        <w:footnoteReference w:id="122"/>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در واقع شدن آن دروغی نیست، و سزا نیست کسی آن را دروغ شمارد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بهتر بود این‌گونه ترجمه 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جز خداوند هیچ معبود دیگری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واقع شدن آن هیچ دروغی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گاه برخی کلمات برای تأکید در جمله ظاهر می‌شوند؛ لذا هنگام ترجمه بایستی دقت شود که بار تأکیدی آن‌ها لحاظ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اُولئِکَ عَلی هُدًی مِنْ رَبِّهِمْ وَ اولئِکَ هُمُ الْمُفْلِحُونَ</w:t>
      </w:r>
      <w:r>
        <w:rPr>
          <w:rFonts w:eastAsia="IRNazanin" w:cs="IRNazanin"/>
          <w:color w:val="111111"/>
          <w:sz w:val="28"/>
          <w:szCs w:val="28"/>
          <w:rtl w:val="true"/>
          <w:lang w:bidi="fa-IR"/>
        </w:rPr>
        <w:t>»</w:t>
      </w:r>
      <w:r>
        <w:rPr>
          <w:rStyle w:val="FootnoteAnchor"/>
          <w:rtl w:val="true"/>
        </w:rPr>
        <w:footnoteReference w:id="123"/>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آن‌ها هستند که بر هدایتی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فطری و عقلی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سوی خدایشان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از هدایت تشریعی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دارند و آن‌هایند که رستگارند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قرآن آن‌ها را به کمالات ورای این امور، هدایت می‌کند و در کسانی که منکر این امورند، تأثیری نمی‌گذارد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ترجمه به این صورت صحیح‌تر به‌نظر می‌رسد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آن‌ها قطعاً که رستگارند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یکی از دیگرنقدها این است که احیاناً برای آیۀ واحد، چند معنا در کنار هم آورده می‌شود و دقیق‌تر این است که بگوییم برای جملۀ واحد، چند ترجمۀ ناهمگون ذکر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بود که بنابر تفاسیر، بهترین ترجمه انتخاب می‌شد</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مثال، در آیۀ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ص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إذْ عُرِضَ عَلَیْهِ بِالْعَشِیِّ الصّافِناتُ الْجِیادُ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إنّی أحْبَبْتُ حُبَّ الْخَیْرِ عَنْ ذِکْرِ رَبّی حَتّی تَوارَتْ بِالْحِجابِ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این‌گونه معنا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به یاد آر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در پایان روز، اسبان نجیب و تندرو بر او عرضه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دوستی اسبان جهاد را از سر یاد پروردگارم دارم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سرگرم تماشا</w:t>
      </w:r>
    </w:p>
    <w:p>
      <w:pPr>
        <w:pStyle w:val="BookText"/>
        <w:rPr/>
      </w:pP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آن‌ها از نظر غایب شدند یا خورشید غروب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 مشغول تماشای اسب‌ها گردید تا وقت وردش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من دوستی اسبان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ناآگاه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یاد پروردگارم ترجیح دادم تا خورشید در حجاب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من ترک اولی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باید توجه داشت که در ترجمۀ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توارت بالحجاب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یکی از این معانی صحیح است، و دیگری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تفسیر المیزان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حَتّی تَوارَتْ بِالْحِجابِ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الضمیر علی ما قالوا للشمس و المراد بتواریها بالحجاب غروبها و استتارها تحت حجاب الأفق، و یؤیّد هذا المعنی ذکر العشیّ فی الآیة السابقة إذ لو لا ذلک لم یکن غرض ظاهر یترتّب علی ذکر العشیّ</w:t>
      </w:r>
      <w:r>
        <w:rPr>
          <w:rFonts w:eastAsia="IRNazanin" w:cs="IRNazanin"/>
          <w:color w:val="111111"/>
          <w:sz w:val="28"/>
          <w:szCs w:val="28"/>
          <w:rtl w:val="true"/>
          <w:lang w:bidi="fa-IR"/>
        </w:rPr>
        <w:t>».</w:t>
      </w:r>
      <w:r>
        <w:rPr>
          <w:rStyle w:val="FootnoteAnchor"/>
          <w:rtl w:val="true"/>
        </w:rPr>
        <w:footnoteReference w:id="12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المیزان فی تفسیر القرآن، ج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204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بیان خداوند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حَتّی تَوارَتْ بِالْحِجابِ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براساس آنچه که مفسران گفته‌اند ضمیر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خورشید بر می‌گردد و مراد آیه از تواری خورشید در حجاب، غروب آن و استتار آن در پس پردۀ افق است و این معنی را ذکر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آیۀ قبل تأیید می‌نماید و اگر تفسیر این‌گونه نمی‌بود، غرضی برای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آیۀ قبل نمی‌ماند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طباطبایی در تفسیرش فقط یکی از این‌ها را پذیرفته و دیگری را رد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این آیه دربارۀ غروب خورشید است، نه غیبت اسب‌ها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آیۀ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غاشیه این‌گونه ترجمه شده که جای تأمل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تَسْمَعُ فیها لاغِیَةً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هرگز در آنجا سخنی لغو و بیهوده نمی‌شنوی و نمی‌شنوند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دو معنا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تسمع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نمی‌تواند صحیح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 المیزان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 لا تَسمَعُ تِلکَ الوُجُوهُ فِی الجَنَّةِ کَلِمَةً ساقِطَةً لا فائِدَةَ فِیها</w:t>
      </w:r>
      <w:r>
        <w:rPr>
          <w:rFonts w:eastAsia="IRNazanin" w:cs="IRNazanin"/>
          <w:color w:val="111111"/>
          <w:sz w:val="28"/>
          <w:szCs w:val="28"/>
          <w:rtl w:val="true"/>
          <w:lang w:bidi="fa-IR"/>
        </w:rPr>
        <w:t>»</w:t>
      </w:r>
      <w:r>
        <w:rPr>
          <w:rStyle w:val="FootnoteAnchor"/>
          <w:rtl w:val="true"/>
        </w:rPr>
        <w:footnoteReference w:id="125"/>
      </w:r>
      <w:r>
        <w:rPr>
          <w:rFonts w:ascii="IRNazanin" w:hAnsi="IRNazanin" w:eastAsia="IRNazanin"/>
          <w:color w:val="111111"/>
          <w:sz w:val="28"/>
          <w:sz w:val="28"/>
          <w:szCs w:val="28"/>
          <w:rtl w:val="true"/>
          <w:lang w:bidi="fa-IR"/>
        </w:rPr>
        <w:t xml:space="preserve">که مؤید این مطلب است که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برمی‌گردد به دلیل سیاق و روال آیات این قسمت سوره؛ و فعل غایب است، نه مخاطب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برخی موارد ترجمۀ بعضی آیات گنگ بوده، روان و سلیس نیست، به گونه‌ای که خواننده را دچار اشتباه می‌سازد؛ مثال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اسْلُکْ یَدَکَ فی جَیْبِکَ تَخْرُجْ بَیْضاءَ</w:t>
      </w:r>
    </w:p>
    <w:p>
      <w:pPr>
        <w:pStyle w:val="BookText"/>
        <w:rPr/>
      </w:pPr>
      <w:r>
        <w:rPr>
          <w:rFonts w:ascii="Amiri" w:hAnsi="Amiri" w:eastAsia="Amiri" w:cs="Amiri"/>
          <w:color w:val="111111"/>
          <w:sz w:val="28"/>
          <w:sz w:val="28"/>
          <w:szCs w:val="28"/>
          <w:rtl w:val="true"/>
          <w:lang w:bidi="ar-SA"/>
        </w:rPr>
        <w:t>مِنْ غَیْرِ سُوءٍ وَ اضْمُمْ إلَیْکَ جَناحَکَ مِنَ الرَّهْبِ</w:t>
      </w:r>
      <w:r>
        <w:rPr>
          <w:rFonts w:eastAsia="Amiri" w:cs="Amiri" w:ascii="Amiri" w:hAnsi="Amiri"/>
          <w:color w:val="111111"/>
          <w:sz w:val="28"/>
          <w:szCs w:val="28"/>
          <w:rtl w:val="true"/>
          <w:lang w:bidi="ar-SA"/>
        </w:rPr>
        <w:t>»</w:t>
      </w:r>
      <w:r>
        <w:rPr>
          <w:rStyle w:val="FootnoteAnchor"/>
          <w:rtl w:val="true"/>
        </w:rPr>
        <w:footnoteReference w:id="12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قصص، آیۀ </w:t>
      </w:r>
      <w:r>
        <w:rPr>
          <w:rFonts w:eastAsia="IRNazanin" w:cs="IRNazanin"/>
          <w:color w:val="111111"/>
          <w:sz w:val="28"/>
          <w:szCs w:val="28"/>
          <w:lang w:bidi="fa-IR"/>
        </w:rPr>
        <w:t>32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دست خود را در گریبان خود کن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بیرون آوری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سفید و درخشنده، بی‌عیب و نقص بیرون آید و از جهت هر هراسی، دست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دست‌ها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 خود بچسبان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زایل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است آیۀ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کهف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لَهُ مُوسی هَلْ أتَّبِعُکَ عَلی أنْ تُعَلِّمَنی مِمّا عُلِّمْتَ رُشْدًا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موسی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اجازه می‌دهی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پیروی کنم به این هدف که از آنچه از علوم راهنمای واقع، تعلیم شده‌ای به من بیاموزی‌؟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ترجمۀ برخی حروف، باید از قابلیت‌های زبان مبدأ و زبان مقصد بهره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نباشد که عین حروف در زبان عربی، در ترجمه لحاظ شود و همه را منعکس کنیم؛ زیرا ممکن است استعمال آن حروف در زبان فارسی جایز نباشد، یا با حروف دیگری از حروف فارسی، نزدیکی معنایی بیشتری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فی‌المثل در ترجمۀ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مترجمان همۀ واوها را ترجمه کرده، معادل آن را واو فارسی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واو در زبان عربی ممکن است استینافیه باشد که در زبان فارسی بسیار کم وارد می‌شود و شاید بتوان گفت که اصلاً در فارسی واو استینافیه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است واو زائده که در زبان عربی، برای زیبایی و تأثیرگذاری معنوی بر مخاطب است و نبایستی در فارسی ترجمه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آیۀ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انعام گواه این مطلب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کَذلِکَ نُری إبْراهیمَ مَلَکُوتَ السَّماواتِ وَ اْلأَرْضِ وَ لِیَکُونَ مِنَ الْمُوقِنینَ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این‌گونه ترجمه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همان‌گونه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ابراهیم گمراهی پدر و قومش را می‌آموختیم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ابراهیم، مالکیت و ربوبیت تامّۀ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آسمان‌ها و زمین را نشان می‌دادیم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آنکه دانا و توانا در استدلال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آنکه از باورکنندگان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آیۀ فوق، بهتر است واو ترجمه نشود</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واو ممکن است به صورت زائده نیز استفاده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مغنی الادیب این‌گونه</w:t>
      </w:r>
    </w:p>
    <w:p>
      <w:pPr>
        <w:pStyle w:val="BookText"/>
        <w:rPr/>
      </w:pP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اقسام مختلف واو در زبان عربی به پانزده تا می‌رسد؛ از جمله واو عاطفه، استیناف و زائد و حالیه</w:t>
      </w:r>
      <w:r>
        <w:rPr>
          <w:rFonts w:eastAsia="IRNazanin" w:cs="IRNazanin"/>
          <w:color w:val="111111"/>
          <w:sz w:val="28"/>
          <w:szCs w:val="28"/>
          <w:rtl w:val="true"/>
          <w:lang w:bidi="fa-IR"/>
        </w:rPr>
        <w:t>...».</w:t>
      </w:r>
      <w:r>
        <w:rPr>
          <w:rStyle w:val="FootnoteAnchor"/>
          <w:rtl w:val="true"/>
        </w:rPr>
        <w:footnoteReference w:id="127"/>
      </w:r>
    </w:p>
    <w:p>
      <w:pPr>
        <w:pStyle w:val="BookText"/>
        <w:rPr/>
      </w:pPr>
      <w:r>
        <w:rPr>
          <w:rFonts w:ascii="IRNazanin" w:hAnsi="IRNazanin" w:eastAsia="IRNazanin"/>
          <w:color w:val="111111"/>
          <w:sz w:val="28"/>
          <w:sz w:val="28"/>
          <w:szCs w:val="28"/>
          <w:rtl w:val="true"/>
          <w:lang w:bidi="fa-IR"/>
        </w:rPr>
        <w:t xml:space="preserve">مغنی الادیب،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272</w:t>
      </w:r>
      <w:r>
        <w:rPr>
          <w:rFonts w:eastAsia="IRNazanin" w:cs="IRNazanin"/>
          <w:color w:val="111111"/>
          <w:sz w:val="28"/>
          <w:szCs w:val="28"/>
          <w:rtl w:val="true"/>
          <w:lang w:bidi="fa-IR"/>
        </w:rPr>
        <w:t>-</w:t>
      </w:r>
      <w:r>
        <w:rPr>
          <w:rFonts w:eastAsia="IRNazanin" w:cs="IRNazanin"/>
          <w:color w:val="111111"/>
          <w:sz w:val="28"/>
          <w:szCs w:val="28"/>
          <w:lang w:bidi="fa-IR"/>
        </w:rPr>
        <w:t>282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است دربارۀ ترجمۀ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اقسام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زائده است که در آیۀ ذیل زائده است و در ترجمۀ آیت‌اللّه مشکینی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 أنا خَیْرٌ مِنْ هذا الَّذی هُوَ مَهینٌ وَ لا یَکادُ یُبینُ</w:t>
      </w:r>
      <w:r>
        <w:rPr>
          <w:rFonts w:eastAsia="IRNazanin" w:cs="IRNazanin"/>
          <w:color w:val="111111"/>
          <w:sz w:val="28"/>
          <w:szCs w:val="28"/>
          <w:rtl w:val="true"/>
          <w:lang w:bidi="fa-IR"/>
        </w:rPr>
        <w:t>»</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r>
        <w:rPr>
          <w:rStyle w:val="FootnoteAnchor"/>
          <w:rtl w:val="true"/>
        </w:rPr>
        <w:footnoteReference w:id="129"/>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بلکه من از این کسی که خودْ پست و زبون است و نمی‌تواند سخن به‌روشنی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لکنت زبان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گاه دیده می‌شود که در ترجمۀ اسم فاعل و اسم مفعول تفاوتی دیده نمی‌شود؛ در صورتی که حتماً دارای اختلاف مفهومی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مثال کلمات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مسومین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مسومه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 آیۀ ذیل محل بحث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بَلی إنْ تَصْبِرُوا وَ تَتَّقُوا وَ یَأْتُوکُمْ مِنْ فَوْرِهِمْ هذا یُمْدِدْکُمْ رَبُّکُمْ بِخَمْسَةِ آلافٍ مِنَ الْمَلائِکَةِ مُسَوِّمینَ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اگر صبر کنید و پروا پیشه کنید و آن‌ها به همین فوریت و جوش و خروش به شما روی آورند، پروردگارتان شما را با پنج هزار از فرشتگان نشاندار یاری می‌کند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مُسَوَّمَةً عِنْدَ رَبِّکَ لِلْمُسْرِفینَ</w:t>
      </w:r>
      <w:r>
        <w:rPr>
          <w:rFonts w:eastAsia="Amiri" w:cs="Amiri" w:ascii="Amiri" w:hAnsi="Amiri"/>
          <w:color w:val="111111"/>
          <w:sz w:val="28"/>
          <w:szCs w:val="28"/>
          <w:rtl w:val="true"/>
          <w:lang w:bidi="ar-SA"/>
        </w:rPr>
        <w:t xml:space="preserve">» </w:t>
      </w:r>
      <w:r>
        <w:rPr>
          <w:rStyle w:val="FootnoteAnchor"/>
          <w:rtl w:val="true"/>
        </w:rPr>
        <w:footnoteReference w:id="13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در نزد پروردگارت برای آن اسرافکاران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ظالمان متجاوز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نشاندار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آیۀ قبل،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شایان ذکر است که مترجم قرآن بایستی همۀ قواعد ترجمه را رعایت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این نکات و قواعد مهم در فن ترجمه، پایبندی به قرائت عاصم یا هر قرائت دیگر است و نمی‌توان در ترجمۀ قرآن، همۀ این قرائات را لحاظ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قرآن مدنظر آیت‌اللّه مشکینی به قرائت حفص از عاصم است، رعایت جنبۀ فاعلی و مفعولی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ضروری به نظر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جنبۀ فاعلی این کلمه را در نظر بگیریم، در این صورت ملائکۀ الهی به عنوان تعلیم‌دهندگان مؤمنین یا مرکب‌های آن‌ها</w:t>
      </w:r>
    </w:p>
    <w:p>
      <w:pPr>
        <w:pStyle w:val="BookText"/>
        <w:rPr/>
      </w:pPr>
      <w:r>
        <w:rPr>
          <w:rFonts w:ascii="IRNazanin" w:hAnsi="IRNazanin" w:eastAsia="IRNazanin"/>
          <w:color w:val="111111"/>
          <w:sz w:val="28"/>
          <w:sz w:val="28"/>
          <w:szCs w:val="28"/>
          <w:rtl w:val="true"/>
          <w:lang w:bidi="fa-IR"/>
        </w:rPr>
        <w:t>بودند؛ و اگر جنبۀ مفعولی آن را در نظر بگیریم، در این صورت خود ملائکه دارای نشان مخصوصی برای خود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 روح المعانی نیز بدین‌گونه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مُسَوِّمِینَ من التسویم و هو إظهار علامة الشیء، و المراد معلمین أنفسهم أو خیلهم و أنت تعلم أنه لا مانع من أن یکونوا معلمین أنفسهم و خیولهم أیضا و ذا علی قراءة ابن کثیرو أبی عمرو و عاصم مُسَوِّمِینَ بکسر الواو، و أما علی قراءة الباقین مُسَوَّمِینَ بفتح الواو علی أنه اسم مفعول</w:t>
      </w:r>
      <w:r>
        <w:rPr>
          <w:rFonts w:eastAsia="IRNazanin" w:cs="IRNazanin"/>
          <w:color w:val="111111"/>
          <w:sz w:val="28"/>
          <w:szCs w:val="28"/>
          <w:rtl w:val="true"/>
          <w:lang w:bidi="fa-IR"/>
        </w:rPr>
        <w:t>».</w:t>
      </w:r>
      <w:r>
        <w:rPr>
          <w:rStyle w:val="FootnoteAnchor"/>
          <w:rtl w:val="true"/>
        </w:rPr>
        <w:footnoteReference w:id="131"/>
      </w:r>
    </w:p>
    <w:p>
      <w:pPr>
        <w:pStyle w:val="BookText"/>
        <w:rPr/>
      </w:pPr>
      <w:r>
        <w:rPr>
          <w:rFonts w:ascii="IRNazanin" w:hAnsi="IRNazanin" w:eastAsia="IRNazanin"/>
          <w:color w:val="111111"/>
          <w:sz w:val="28"/>
          <w:sz w:val="28"/>
          <w:szCs w:val="28"/>
          <w:rtl w:val="true"/>
          <w:lang w:bidi="fa-IR"/>
        </w:rPr>
        <w:t xml:space="preserve">روح المعانی فی تفسیر القرآن العظیم،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262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ترجمۀ برخی واژه‌ها، معانی نزدیک آن واژه ذکر شده، نه معنای خود واژه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یَسْتَهْزِیُ بِهِمْ وَ یَمُدُّهُمْ فی طُغْیانِهِمْ یَعْمَهُونَ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 هم آن‌ها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مسخره خواهد کرد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طغیانشان که کورکورانه در آن به سر می‌برند مهلت می‌دهد و تقویت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ریشۀ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مسوِّمین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آشکار کردن علامت چیزی است، و مراد از آن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تعلیم‌دهندگانِ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مؤمنین و مرکب‌های آن‌ها و می‌دانید که هیچ مانعی ندارد که فرشتگان تعلیم دهندگان مؤمنین و مرکب‌های آن‌ها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 خود دارای نشان‌های زرد، سرخ، سفید و سیاه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براساس قرائت ابن‌کثیر و ابی‌عمرو و عاصم،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مسومین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کسر واو است؛ اما براساس قرائت سایر قرّا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مسومین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سبب اسم مفعول بودن، به فتح واو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 هم آن‌ها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مسخره خواهد کرد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طغیانشان که کورکورانه در آن به سر می‌برند، مهلت می‌دهد و تقویت می‌کند</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باید توجه داشت که دو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یعمهون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معنایی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لسان العرب این‌گونه آمده است</w:t>
      </w:r>
      <w:r>
        <w:rPr>
          <w:rFonts w:eastAsia="IRNazanin" w:cs="IRNazanin"/>
          <w:color w:val="111111"/>
          <w:sz w:val="28"/>
          <w:szCs w:val="28"/>
          <w:rtl w:val="true"/>
          <w:lang w:bidi="fa-IR"/>
        </w:rPr>
        <w:t xml:space="preserve">: </w:t>
      </w:r>
      <w:r>
        <w:rPr>
          <w:rStyle w:val="FootnoteAnchor"/>
          <w:rtl w:val="true"/>
        </w:rPr>
        <w:footnoteReference w:id="13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التَّحَیُّر و التَّرَدد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تحیر و سرگردانی را می‌رساند، نه کوری و عَمی را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 برخی آیات، علامات تنکیر و تعریف به‌درستی ترجمه نشده است؛ مثلاً تفاوت معنایی دو جملۀ ذیل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سَمِیعٌ عَلِیمٌ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 شنوای داناست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السَمِیعُ العَلِیمُ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شنوا و داناست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لذا بهتر است این نکته در ترجمۀ آیات رعایت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ترجمۀ آیت‌اللّه مشکینی، مغفول مانده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بَدَّلَهُ بَعْدَ ما سَمِعَهُ فَإنَّما إثْمُهُ عَلَی الَّذینَ یُبَدِّلُونَهُ إنَّ اللّهَ سَمیعٌ عَلیمٌ</w:t>
      </w:r>
      <w:r>
        <w:rPr>
          <w:rFonts w:eastAsia="Amiri" w:cs="Amiri" w:ascii="Amiri" w:hAnsi="Amiri"/>
          <w:color w:val="111111"/>
          <w:sz w:val="28"/>
          <w:szCs w:val="28"/>
          <w:rtl w:val="true"/>
          <w:lang w:bidi="ar-SA"/>
        </w:rPr>
        <w:t>»</w:t>
      </w:r>
      <w:r>
        <w:rPr>
          <w:rStyle w:val="FootnoteAnchor"/>
          <w:rtl w:val="true"/>
        </w:rPr>
        <w:footnoteReference w:id="13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بقره، آیۀ </w:t>
      </w:r>
      <w:r>
        <w:rPr>
          <w:rFonts w:eastAsia="IRNazanin" w:cs="IRNazanin"/>
          <w:color w:val="111111"/>
          <w:sz w:val="28"/>
          <w:szCs w:val="28"/>
          <w:lang w:bidi="fa-IR"/>
        </w:rPr>
        <w:t>181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هر کس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پس از شنیدنش تبدیل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 کند یا تغییر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این نیست که گناهش بر کسانی است که آن را تغییر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به‌یقین خداوند شنوا و داناست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 این نکته در برخی آیات رعایت شده است؛ فی‌المثل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آمَنُوا بِمِثْلِ ما آمَنْتُمْ بِهِ فَقَدِ اهْتَدَوْا وَ إنْ تَوَلَّوْا فَإنَّما هُمْ فی شِقاقٍ فَسَیَکْفیکَهُمُ اللّهُ وَ هُوَ السَّمیعُ الْعَلیمُ</w:t>
      </w:r>
      <w:r>
        <w:rPr>
          <w:rFonts w:eastAsia="Amiri" w:cs="Amiri" w:ascii="Amiri" w:hAnsi="Amiri"/>
          <w:color w:val="111111"/>
          <w:sz w:val="28"/>
          <w:szCs w:val="28"/>
          <w:rtl w:val="true"/>
          <w:lang w:bidi="ar-SA"/>
        </w:rPr>
        <w:t>»</w:t>
      </w:r>
      <w:r>
        <w:rPr>
          <w:rStyle w:val="FootnoteAnchor"/>
          <w:rtl w:val="true"/>
        </w:rPr>
        <w:footnoteReference w:id="134"/>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اگر آن‌ها هم به آنچه شما بدان ایمان آورده‌اید ایمان آوردند، مسلماً هدایت یافته‌اند، و اگر روی گرداندند جز این نیست که آن‌ها در مقام مخالفت و دشمنی هستند؛ پس به‌زودی خداوند شر آن‌ها را از تو دفع خواهد نمود و اوست شنوا و دانا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احیاناً برخی آیات به‌درستی ترجمه نشده‌اند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ترجمۀ آیۀ ذیل این‌گونه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لِکُلِّ وِجْهَةٌ هُوَ مُوَلّیها فَاسْتَبِقُوا الْخَیْراتِ أیْنَ ما تَکُونُوا یَأْتِ بِکُمُ اللّهُ جَمیعاً إنَّ اللّهَ عَلی کُلِّ شَیْءٍ قَدیرٌ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برای هر گروهی قبله‌ای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سوی می‌گردانند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 به بیت‌المقدس، نصاری به مشرق، مسلمین به کعبه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نزاع نکنید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کارهای خیر سبقت جویید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جا که باشید، خداوند همۀ شما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صحنۀ محشر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خواهد 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جزای عمل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بر همه چیز تواناست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نکته روشن است که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خداوند برمی‌گردد، نه گروه مردم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تفسیر کشاف آمده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لِکُلٍّ مِن أهلِ الأدیانِ المُختَلِفَةِ جِهَةٌ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 قِراءَةِ أُبَیِّ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لِکُلٍّ قِبلَةٌ وَهوَ مُوَلِّیها وجهه، فحذف أحد المفعولین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قیل هو للَّه تعالی، أی اللَّه مولیها إیاه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بیانگر این است که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آیۀ فوق، خداوند است</w:t>
      </w:r>
      <w:r>
        <w:rPr>
          <w:rFonts w:eastAsia="IRNazanin" w:cs="IRNazanin"/>
          <w:color w:val="111111"/>
          <w:sz w:val="28"/>
          <w:szCs w:val="28"/>
          <w:rtl w:val="true"/>
          <w:lang w:bidi="fa-IR"/>
        </w:rPr>
        <w:t>.</w:t>
      </w:r>
      <w:r>
        <w:rPr>
          <w:rStyle w:val="FootnoteAnchor"/>
          <w:rtl w:val="true"/>
        </w:rPr>
        <w:footnoteReference w:id="135"/>
      </w:r>
    </w:p>
    <w:p>
      <w:pPr>
        <w:pStyle w:val="BookText"/>
        <w:rPr/>
      </w:pPr>
      <w:r>
        <w:rPr>
          <w:rFonts w:ascii="IRNazanin" w:hAnsi="IRNazanin" w:eastAsia="IRNazanin"/>
          <w:color w:val="111111"/>
          <w:sz w:val="28"/>
          <w:sz w:val="28"/>
          <w:szCs w:val="28"/>
          <w:rtl w:val="true"/>
          <w:lang w:bidi="fa-IR"/>
        </w:rPr>
        <w:t xml:space="preserve">الکشاف عن حقائق غوامض التنزیل،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205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هرکدام از اهل ادیان مختلف جهت یا قبله‌ای است؛ و در قرائت ابی آمده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هر شخص قبله‌ای است و اوست که قبله و وجهه را تعیین کرده است؛ پس یکی از دو مفعول حذف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گفته شده است که منظور از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خداوند تعیین می‌کند آن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تفسیر نمونه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آیه درحقیقت پاسخی به قوم یهود است که دیدیم سروصدای زیادی پیرامون موضوع تغییر قبله به راه انداخته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گروه و طایفه‌ای قبله‌ای دارد که خداوند آن را تعیین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لِکُلٍّ وِجْهَةٌ هُوَ مُوَلِّیها</w:t>
      </w:r>
      <w:r>
        <w:rPr>
          <w:rFonts w:eastAsia="IRNazanin" w:cs="IRNazanin"/>
          <w:color w:val="111111"/>
          <w:sz w:val="28"/>
          <w:szCs w:val="28"/>
          <w:rtl w:val="true"/>
          <w:lang w:bidi="fa-IR"/>
        </w:rPr>
        <w:t>»».</w:t>
      </w:r>
      <w:r>
        <w:rPr>
          <w:rStyle w:val="FootnoteAnchor"/>
          <w:rtl w:val="true"/>
        </w:rPr>
        <w:footnoteReference w:id="136"/>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برخی واژگان و حروف عربی به سبب مشابهت ظاهری، با واژگان زبان فارسی اشتباه گرفته می‌شوند؛ برای نمونه می‌توان به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أصْبَحَ الَّذینَ تَمَنَّوْا مَکانَهُ بِاْلأَمْسِ یَقُولُونَ وَیْکَأنَّ اللّهَ یَبْسُطُ الرِّزْقَ لِمَنْ یَشاءُ مِنْ عِبادِهِ وَ یَقْدِرُ لَوْ لا أنْ مَنَّ اللّهُ عَلَیْنا لَخَسَفَ بِنا وَیْکَأنَّهُ لا یُفْلِحُ الْکافِرُونَ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در ترجمۀ آیت‌اللّه مشکینی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کسانی که دیروز آرزوی جایگاه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مالی و مقامی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می‌کردند، چنان شدند که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وای، گویی خداست که روزی را برای هر کس از بندگانش که بخواهد گسترش می‌دهد و تنگ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نه این بود که خدا بر ما منّت نهاد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را مثل قارون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نیز به زمین فرو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وای، گویی کافران رستگار نمی‌شوند</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این واژه به معنای فوق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نحوی المغنی الادیب این‌گونه معنی</w:t>
      </w:r>
      <w:bookmarkStart w:id="215" w:name="pg14517_146242"/>
    </w:p>
    <w:p>
      <w:pPr>
        <w:pStyle w:val="BookText"/>
        <w:rPr/>
      </w:pPr>
      <w:bookmarkEnd w:id="215"/>
      <w:r>
        <w:rPr>
          <w:rFonts w:ascii="Amiri" w:hAnsi="Amiri" w:eastAsia="Amiri" w:cs="Amiri"/>
          <w:color w:val="111111"/>
          <w:sz w:val="28"/>
          <w:sz w:val="28"/>
          <w:szCs w:val="28"/>
          <w:rtl w:val="true"/>
          <w:lang w:bidi="ar-SA"/>
        </w:rPr>
        <w:t>شده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المعنی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أعجَبُ لاَِنّ اللّه</w:t>
      </w:r>
      <w:r>
        <w:rPr>
          <w:rFonts w:eastAsia="Amiri" w:cs="Amiri" w:ascii="Amiri" w:hAnsi="Amiri"/>
          <w:color w:val="111111"/>
          <w:sz w:val="28"/>
          <w:szCs w:val="28"/>
          <w:rtl w:val="true"/>
          <w:lang w:bidi="ar-SA"/>
        </w:rPr>
        <w:t>».</w:t>
      </w:r>
      <w:r>
        <w:rPr>
          <w:rStyle w:val="FootnoteAnchor"/>
          <w:rtl w:val="true"/>
        </w:rPr>
        <w:footnoteReference w:id="13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المغنی الادیب،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تعجب می‌کنم به خاطر اینکه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بهتر است در ترجمه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شگفتا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عجب که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آورده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مترجمان آن را به صورت‌های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وای، وه، ای وای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و برخی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آوخ</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و برخی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وای بر ما، ای وای ما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و برخی دیگر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وای بر تو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ترجمه کرده‌اند، که صحیح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با توجه به مطالب گفته‌شده، بهتر بود به جای القای حسرت و ندامت، شگفتی و اعجابِ امر، نمود می‌یافت</w:t>
      </w:r>
      <w:r>
        <w:rPr>
          <w:rFonts w:eastAsia="IRNazanin" w:cs="IRNazanin"/>
          <w:color w:val="111111"/>
          <w:sz w:val="28"/>
          <w:szCs w:val="28"/>
          <w:rtl w:val="true"/>
          <w:lang w:bidi="fa-IR"/>
        </w:rPr>
        <w:t>.</w:t>
      </w:r>
    </w:p>
    <w:p>
      <w:pPr>
        <w:pStyle w:val="Heading3"/>
        <w:numPr>
          <w:ilvl w:val="2"/>
          <w:numId w:val="1"/>
        </w:numPr>
        <w:rPr/>
      </w:pPr>
      <w:bookmarkStart w:id="216" w:name="__RefHeading___Toc39756_1878427129"/>
      <w:bookmarkStart w:id="217" w:name="_Toc80"/>
      <w:bookmarkEnd w:id="216"/>
      <w:r>
        <w:rPr>
          <w:rtl w:val="true"/>
        </w:rPr>
        <w:t>نتیجه</w:t>
      </w:r>
      <w:bookmarkEnd w:id="217"/>
    </w:p>
    <w:p>
      <w:pPr>
        <w:pStyle w:val="BookText"/>
        <w:rPr/>
      </w:pPr>
      <w:r>
        <w:rPr>
          <w:rFonts w:ascii="IRNazanin" w:hAnsi="IRNazanin" w:eastAsia="IRNazanin"/>
          <w:color w:val="111111"/>
          <w:sz w:val="28"/>
          <w:sz w:val="28"/>
          <w:szCs w:val="28"/>
          <w:rtl w:val="true"/>
          <w:lang w:bidi="fa-IR"/>
        </w:rPr>
        <w:t>در پایان می‌توان این‌گونه جمع‌بندی کرد که ترجمۀ آیت‌اللّه مشکینی از قرآن کریم یکی از ترجمه‌های موفق و ماندگار است به دلیل رعایت بسیاری از نکات دقیق علمی، فنّی و بلاغی که کمتر کسی همۀ این جوانب را در نظر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نباید نادیده گرفت که در برخی آیات، اصول ترجمۀ جمله به جمله رعایت نشده و به ترجمۀ آزاد و تفسیری سوق پیدا کرده است یا اینکه در برخی از آیات، کلمات و عباراتی آمده است که محل تأمل جدی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مجموع می‌توان گفت این ترجمه با توجه به ویژگی روان و ساده بودن، قابل استفاده برای عموم مردم در سطوح گوناگون علمی است</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امید است این تحقیق در جهت تقویت و تعمیق ترجمه‌پژوهی، مورد عنایت و توجه ویژۀ اهل علم و دانش قرار گیرد</w:t>
      </w:r>
      <w:r>
        <w:rPr>
          <w:rFonts w:eastAsia="IRNazanin" w:cs="IRNazanin"/>
          <w:color w:val="111111"/>
          <w:sz w:val="28"/>
          <w:szCs w:val="28"/>
          <w:rtl w:val="true"/>
          <w:lang w:bidi="fa-IR"/>
        </w:rPr>
        <w:t>.</w:t>
      </w:r>
      <w:bookmarkStart w:id="218" w:name="pg14517_146243"/>
    </w:p>
    <w:p>
      <w:pPr>
        <w:pStyle w:val="Heading3"/>
        <w:numPr>
          <w:ilvl w:val="2"/>
          <w:numId w:val="1"/>
        </w:numPr>
        <w:rPr/>
      </w:pPr>
      <w:bookmarkStart w:id="219" w:name="__RefHeading___Toc39758_1878427129"/>
      <w:bookmarkStart w:id="220" w:name="_Toc81"/>
      <w:bookmarkEnd w:id="218"/>
      <w:bookmarkEnd w:id="219"/>
      <w:r>
        <w:rPr>
          <w:rtl w:val="true"/>
        </w:rPr>
        <w:t>کتاب نامه</w:t>
      </w:r>
      <w:bookmarkEnd w:id="22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 و تفسیر قرآن عظیم، سید علی‌نقی فیض‌الاسلام،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ترجمۀ قرآن، جلال الدین فارسی،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انجام کتاب، </w:t>
      </w:r>
      <w:r>
        <w:rPr>
          <w:rFonts w:eastAsia="IRNazanin" w:cs="IRNazanin"/>
          <w:color w:val="111111"/>
          <w:sz w:val="28"/>
          <w:szCs w:val="28"/>
          <w:lang w:bidi="fa-IR"/>
        </w:rPr>
        <w:t>1369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ترجمۀ قرآن، سید جلال‌الدین مجتبوی،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حکمت، </w:t>
      </w:r>
      <w:r>
        <w:rPr>
          <w:rFonts w:eastAsia="IRNazanin" w:cs="IRNazanin"/>
          <w:color w:val="111111"/>
          <w:sz w:val="28"/>
          <w:szCs w:val="28"/>
          <w:lang w:bidi="fa-IR"/>
        </w:rPr>
        <w:t>1371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ترجمۀ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گلی از بوستان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سید مهدی حجتی،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بخشایش،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 ششم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ترجمۀ قرآن، شاه ولی اللّه دهلوی، 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ملک فهد لطباعة المصحف الشریف،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ترجمۀ قرآن، عباس مصباح‌زاده،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سازمان انتشارات بدرقۀ جاویدان،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ترجمۀ قرآن، عبد المجید صادق نوبری،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سازمان چاپ و انتشارات اقبال، </w:t>
      </w:r>
      <w:r>
        <w:rPr>
          <w:rFonts w:eastAsia="IRNazanin" w:cs="IRNazanin"/>
          <w:color w:val="111111"/>
          <w:sz w:val="28"/>
          <w:szCs w:val="28"/>
          <w:lang w:bidi="fa-IR"/>
        </w:rPr>
        <w:t>1396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ترجمۀ قرآن، علی‌اکبر طاهری قزوینی،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قلم،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ترجمۀ قرآن، علی مشکینی،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الهادی،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 دوم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ترجمۀ قرآن، گرمارودی،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قدیانی،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 دوم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ترجمۀ قرآن، محمدکاظم معزی،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اسوه، </w:t>
      </w:r>
      <w:r>
        <w:rPr>
          <w:rFonts w:eastAsia="IRNazanin" w:cs="IRNazanin"/>
          <w:color w:val="111111"/>
          <w:sz w:val="28"/>
          <w:szCs w:val="28"/>
          <w:lang w:bidi="fa-IR"/>
        </w:rPr>
        <w:t>1372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ترجمۀ قرآن، محمد مهدی فولادوند،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القرآن الکریم،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ترجمۀ قرآن، محمود یاسری،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بنیاد فرهنگی 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ترجمۀ قرآن، مسعود انصاری خوشابر،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و پژوهش فرزان روز،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ترجمۀ قرآن، ناصر مکارم شیرازی،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القرآن الکریم، </w:t>
      </w:r>
      <w:r>
        <w:rPr>
          <w:rFonts w:eastAsia="IRNazanin" w:cs="IRNazanin"/>
          <w:color w:val="111111"/>
          <w:sz w:val="28"/>
          <w:szCs w:val="28"/>
          <w:lang w:bidi="fa-IR"/>
        </w:rPr>
        <w:t>1373</w:t>
      </w:r>
      <w:r>
        <w:rPr>
          <w:rFonts w:ascii="IRNazanin" w:hAnsi="IRNazanin" w:eastAsia="IRNazanin"/>
          <w:color w:val="111111"/>
          <w:sz w:val="28"/>
          <w:sz w:val="28"/>
          <w:szCs w:val="28"/>
          <w:rtl w:val="true"/>
          <w:lang w:bidi="fa-IR"/>
        </w:rPr>
        <w:t>، دوم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تفسیر روان جاوید، محمّد ثقفی تهرانی،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برهان ترجمۀ قرآن، </w:t>
      </w:r>
      <w:r>
        <w:rPr>
          <w:rFonts w:eastAsia="IRNazanin" w:cs="IRNazanin"/>
          <w:color w:val="111111"/>
          <w:sz w:val="28"/>
          <w:szCs w:val="28"/>
          <w:lang w:bidi="fa-IR"/>
        </w:rPr>
        <w:t>1398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روشن، حسن مصطفوی،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نشر کتاب،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عاملی، ابراهیم عاملی،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صدوق، </w:t>
      </w:r>
      <w:r>
        <w:rPr>
          <w:rFonts w:eastAsia="IRNazanin" w:cs="IRNazanin"/>
          <w:color w:val="111111"/>
          <w:sz w:val="28"/>
          <w:szCs w:val="28"/>
          <w:lang w:bidi="fa-IR"/>
        </w:rPr>
        <w:t>1360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نمونه، ناصر مکارم شیرازی، تهران؛ دارالکتب الاسلامیه، </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نور، محسن قرائتی، یازدهم،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فرهنگی درس‌هایی از قرآن، </w:t>
      </w:r>
      <w:r>
        <w:rPr>
          <w:rFonts w:eastAsia="IRNazanin" w:cs="IRNazanin"/>
          <w:color w:val="111111"/>
          <w:sz w:val="28"/>
          <w:szCs w:val="28"/>
          <w:lang w:bidi="fa-IR"/>
        </w:rPr>
        <w:t>1383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روح المعانی فی تفسیر القرآن العظیم، سید محمود آلوسی،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دارالکتب العلمیه،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روض الجنان و روح الجنان فی تفسیر القرآن، حسین بن علی ابوالفتوح رازی، 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بنیاد پژوهش‌های اسلامی آستان قدس رضوی،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الکشاف عن حقائق غوامض التنزیل، محمود زمخشری،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الکتاب العربی،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سوم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لسان العرب، محمد بن مکرم ابن منظور،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صادر،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سوم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مغنی الادیب، ابن هشام،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ادباء،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 چهارم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المیزان فی تفسیر القرآن، سید محمد حسین طباطبایی،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انتشارات اسلامی جامعۀ مدرسین حوزۀ علمیۀ قم،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پنجم</w:t>
      </w:r>
      <w:r>
        <w:rPr>
          <w:rFonts w:eastAsia="IRNazanin" w:cs="IRNazanin"/>
          <w:color w:val="111111"/>
          <w:sz w:val="28"/>
          <w:szCs w:val="28"/>
          <w:rtl w:val="true"/>
          <w:lang w:bidi="fa-IR"/>
        </w:rPr>
        <w:t>.</w:t>
      </w:r>
      <w:bookmarkStart w:id="221" w:name="pg14517_146246"/>
    </w:p>
    <w:p>
      <w:pPr>
        <w:pStyle w:val="Heading2"/>
        <w:numPr>
          <w:ilvl w:val="1"/>
          <w:numId w:val="1"/>
        </w:numPr>
        <w:rPr/>
      </w:pPr>
      <w:bookmarkStart w:id="222" w:name="__RefHeading___Toc39760_1878427129"/>
      <w:bookmarkStart w:id="223" w:name="_Toc82"/>
      <w:bookmarkEnd w:id="221"/>
      <w:bookmarkEnd w:id="222"/>
      <w:r>
        <w:rPr>
          <w:rtl w:val="true"/>
        </w:rPr>
        <w:t xml:space="preserve">سبک شناسی آثار همسو با </w:t>
      </w:r>
      <w:r>
        <w:rPr>
          <w:rtl w:val="true"/>
        </w:rPr>
        <w:t>«</w:t>
      </w:r>
      <w:r>
        <w:rPr>
          <w:rtl w:val="true"/>
        </w:rPr>
        <w:t>المواعظ العددیه</w:t>
      </w:r>
      <w:r>
        <w:rPr>
          <w:rtl w:val="true"/>
        </w:rPr>
        <w:t>»</w:t>
      </w:r>
      <w:bookmarkEnd w:id="223"/>
    </w:p>
    <w:p>
      <w:pPr>
        <w:pStyle w:val="Heading3"/>
        <w:numPr>
          <w:ilvl w:val="2"/>
          <w:numId w:val="1"/>
        </w:numPr>
        <w:rPr/>
      </w:pPr>
      <w:bookmarkStart w:id="224" w:name="__RefHeading___Toc39762_1878427129"/>
      <w:bookmarkStart w:id="225" w:name="_Toc83"/>
      <w:bookmarkEnd w:id="224"/>
      <w:r>
        <w:rPr>
          <w:rtl w:val="true"/>
        </w:rPr>
        <w:t>اشاره</w:t>
      </w:r>
      <w:bookmarkEnd w:id="225"/>
    </w:p>
    <w:p>
      <w:pPr>
        <w:pStyle w:val="BookText"/>
        <w:rPr/>
      </w:pPr>
      <w:r>
        <w:rPr>
          <w:rFonts w:ascii="IRNazanin" w:hAnsi="IRNazanin" w:eastAsia="IRNazanin"/>
          <w:color w:val="111111"/>
          <w:sz w:val="28"/>
          <w:sz w:val="28"/>
          <w:szCs w:val="28"/>
          <w:rtl w:val="true"/>
          <w:lang w:bidi="fa-IR"/>
        </w:rPr>
        <w:t>مهدی غلامعلی</w:t>
      </w:r>
      <w:r>
        <w:rPr>
          <w:rStyle w:val="FootnoteAnchor"/>
          <w:rtl w:val="true"/>
        </w:rPr>
        <w:footnoteReference w:id="138"/>
      </w:r>
    </w:p>
    <w:p>
      <w:pPr>
        <w:pStyle w:val="BookText"/>
        <w:rPr/>
      </w:pPr>
      <w:r>
        <w:rPr>
          <w:rFonts w:ascii="IRNazanin" w:hAnsi="IRNazanin" w:eastAsia="IRNazanin"/>
          <w:color w:val="111111"/>
          <w:sz w:val="28"/>
          <w:sz w:val="28"/>
          <w:szCs w:val="28"/>
          <w:rtl w:val="true"/>
          <w:lang w:bidi="fa-IR"/>
        </w:rPr>
        <w:t>عضو هیئت علمی دانشگاه قرآن و حدیث</w:t>
      </w:r>
      <w:r>
        <w:rPr>
          <w:rFonts w:eastAsia="IRNazanin" w:cs="IRNazanin"/>
          <w:color w:val="111111"/>
          <w:sz w:val="28"/>
          <w:szCs w:val="28"/>
          <w:rtl w:val="true"/>
          <w:lang w:bidi="fa-IR"/>
        </w:rPr>
        <w:t>.</w:t>
      </w:r>
    </w:p>
    <w:p>
      <w:pPr>
        <w:pStyle w:val="Heading3"/>
        <w:numPr>
          <w:ilvl w:val="2"/>
          <w:numId w:val="1"/>
        </w:numPr>
        <w:rPr/>
      </w:pPr>
      <w:bookmarkStart w:id="226" w:name="__RefHeading___Toc39764_1878427129"/>
      <w:bookmarkStart w:id="227" w:name="_Toc84"/>
      <w:bookmarkEnd w:id="226"/>
      <w:r>
        <w:rPr>
          <w:rtl w:val="true"/>
        </w:rPr>
        <w:t>چکیده</w:t>
      </w:r>
      <w:bookmarkEnd w:id="227"/>
    </w:p>
    <w:p>
      <w:pPr>
        <w:pStyle w:val="BookText"/>
        <w:rPr/>
      </w:pPr>
      <w:r>
        <w:rPr>
          <w:rFonts w:ascii="IRNazanin" w:hAnsi="IRNazanin" w:eastAsia="IRNazanin"/>
          <w:color w:val="111111"/>
          <w:sz w:val="28"/>
          <w:sz w:val="28"/>
          <w:szCs w:val="28"/>
          <w:rtl w:val="true"/>
          <w:lang w:bidi="fa-IR"/>
        </w:rPr>
        <w:t>گونه‌های مختلف نگارش‌های حدیثی، در شیعه و سنی، از همان آغاز نگارش‌ها تا کنون وجود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این گونه‌ها کتاب‌هایی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احادیث عددی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گردآورده‌اند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مقاله، از این گونۀ نگارشی به عنوان سبکی ویژه یاد شده و ضمن بیان پیشینه، ضرورت و اهداف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سبک احادیث عددی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هفت اثری که در شیعه بدین شیوه نگاشته شده‌اند معرفی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می‌رسد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خالد برقی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نخستین کسی است که به این سبک، کتاب الاشکال و القرائن را نگاشته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آیت‌اللّه مشکینی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آخرین فردی است که از این سبک نگارشی در کتاب المواعظ العددیه پیروی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سبک، سبک‌شناسی کتب حدیثی، احادیث عددی، المواعظ العددیة</w:t>
      </w:r>
      <w:r>
        <w:rPr>
          <w:rFonts w:eastAsia="IRNazanin" w:cs="IRNazanin"/>
          <w:color w:val="111111"/>
          <w:sz w:val="28"/>
          <w:szCs w:val="28"/>
          <w:rtl w:val="true"/>
          <w:lang w:bidi="fa-IR"/>
        </w:rPr>
        <w:t>.</w:t>
      </w:r>
    </w:p>
    <w:p>
      <w:pPr>
        <w:pStyle w:val="Heading3"/>
        <w:numPr>
          <w:ilvl w:val="2"/>
          <w:numId w:val="1"/>
        </w:numPr>
        <w:rPr/>
      </w:pPr>
      <w:bookmarkStart w:id="228" w:name="__RefHeading___Toc39766_1878427129"/>
      <w:bookmarkStart w:id="229" w:name="_Toc85"/>
      <w:bookmarkEnd w:id="228"/>
      <w:r>
        <w:rPr>
          <w:rtl w:val="true"/>
        </w:rPr>
        <w:t>درآمد</w:t>
      </w:r>
      <w:bookmarkEnd w:id="229"/>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نخستین آثار حدیثی، بدون هیچ نظام ویژه‌ای در نوشت‌افزارها و یا دفترچه‌های یادداشت راویان نگاشته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گذشت زمان، ساختارهای کتاب‌های حدیثی</w:t>
      </w:r>
      <w:bookmarkStart w:id="230" w:name="pg14517_146247"/>
    </w:p>
    <w:p>
      <w:pPr>
        <w:pStyle w:val="BookText"/>
        <w:rPr/>
      </w:pPr>
      <w:bookmarkEnd w:id="230"/>
      <w:r>
        <w:rPr>
          <w:rFonts w:ascii="IRNazanin" w:hAnsi="IRNazanin" w:eastAsia="IRNazanin"/>
          <w:color w:val="111111"/>
          <w:sz w:val="28"/>
          <w:sz w:val="28"/>
          <w:szCs w:val="28"/>
          <w:rtl w:val="true"/>
          <w:lang w:bidi="fa-IR"/>
        </w:rPr>
        <w:t>دگرگون شد و هر از چندگاه، ساختاری جدید در ارائۀ احادیث سامان می‌یافت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ساختارها همان قالب‌های از پیش تعیین‌شدۀ مؤلفان و مصنفان در چینش احادیث هنگام ارائۀ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علوم حدیث از این قالب‌ها و ساختارها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می‌شود وبه دانشی که به بررسی این گونه‌های نگارشی می‌پردازد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سبک‌شناسی کتب حدیثی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 گونه که در برگردان فارسی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عباراتی نظیر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گداختن چیزی پس از ریختن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3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لغت‌نامه، ج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13412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ذوب کردن، شکل دادن، آراستن، شیوۀ نیک دادن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شیوه، طرز، قاعده و اسلوب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روبه‌رو می‌شویم، باید بدانیم که در نگارش‌های حدیثی نیز با چنین فرایندی روبه‌رو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دیگر، اگر سبک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شیوۀ مشخصی که در انجام گرفتن کاری یا ساخته شدن چیزی به کار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تعریف کنیم، در خَلق یک اثر روایی نیز مؤلف همین فعالیت را انجام می‌دهد؛ چنان‌که مؤلفان کتاب‌های حدیثی، گاه با تکیه به اندیشۀ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قالب و پیکره‌ای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پی می‌افکنند و سپس احادیث را در آن پیکره گنجانده، به خوانندگان ارائه می‌دهند؛ و گاه مؤلفان پیرو قالبی هستند که دیگران آن را پیش‌تر پی نهاده‌اند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Heading3"/>
        <w:numPr>
          <w:ilvl w:val="2"/>
          <w:numId w:val="1"/>
        </w:numPr>
        <w:rPr/>
      </w:pPr>
      <w:bookmarkStart w:id="231" w:name="__RefHeading___Toc39768_1878427129"/>
      <w:bookmarkStart w:id="232" w:name="_Toc86"/>
      <w:bookmarkEnd w:id="231"/>
      <w:r>
        <w:rPr>
          <w:rtl w:val="true"/>
        </w:rPr>
        <w:t>سبک احادیث عددی</w:t>
      </w:r>
      <w:bookmarkEnd w:id="232"/>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میان سبک‌های نگارشی، برخی بسیار مشهور و پرطرفدار هستند و آثار بسیاری در آن سبک‌ها تألیف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نمونه،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مسندنگاری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معجم‌نویسی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اربعین‌نگاری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این‌گونه سبک‌ها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برخی از سبک‌ها به دلایل گوناگونی، کمتر از استقبال نویسندگان برخوردار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چرایی عدم استقبال و بررسی‌های موشکافانه در هر سبک نگارشی کاری است که در دانش سبک‌شناسی بدان پرداخته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سبک‌های رایج و البته کم‌طرفدار، سبک کتاب‌های حدیثی است که تنها به گردآوری احادیث عددی پرداخته‌اند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پاره‌ای از روایات، از اعداد استفاده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معصومان علیهم السلام برای تفهیم بهتر مقصود خویش به مخاطبان، از عدد بهره جسته‌اند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این‌گونه روایات، آنان آموزه‌های خویش را دسته‌بندی کرده و در ذیل دسته‌های شمرده‌شده، به مخاطب منتقل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شیوه در آسان‌سازی فهم و یادگیری، بسیار مؤثر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نیز استادان و سخنرانان زبردست برای انتقال بهتر و سریع‌تر مباحث خویش به دسته‌بندی گفتار خویش روی 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کتاب‌های حدیثی شیعه، کتاب خصال و کتاب مواعظ العددیه به همین شیوه تألیف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گونۀ نگارشی، مؤلف نخست روایاتی که در آن اعداد مشابه به کار رفته را در یک باب گرد هم آورده، سپس باب‌ها را از عدد کوچک‌تر تنظیم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الواحد، باب الثانی، باب الثالث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باب خصال یگانه، باب منش‌های دوگانه، باب منش‌های سه گانه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آنگاه در هر باب برپایۀ ذوق و سلیقۀ خویش روایاتی را که آن عدد در آن‌ها به کار رفته ارائه و تنظیم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نخستین روایت از باب سوم کتاب خصال را مرور می‌کنیم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باب الثلاثة؛</w:t>
      </w:r>
    </w:p>
    <w:p>
      <w:pPr>
        <w:pStyle w:val="BookText"/>
        <w:rPr/>
      </w:pPr>
      <w:r>
        <w:rPr>
          <w:rFonts w:ascii="IRNazanin" w:hAnsi="IRNazanin" w:eastAsia="IRNazanin"/>
          <w:color w:val="111111"/>
          <w:sz w:val="28"/>
          <w:sz w:val="28"/>
          <w:szCs w:val="28"/>
          <w:rtl w:val="true"/>
          <w:lang w:bidi="fa-IR"/>
        </w:rPr>
        <w:t>ثلاثة یدخلهم اللّه الجنة بغیر حساب و ثلاثة یدخلهم اللّه النار بغیر حساب</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حَدَّثَنَا أَبِی رضی الله عنه قَالَ حَدَّثَنَا عَبْدُ اللَّهِ بْنُ جَعْفَرٍ الْحِمْیَرِیُّ عَنْ إِبْرَاهِیمَ بْنِ مَهْزِیَارَ عَنْ أَخِیهِ عَلِیِّ بْنِ مَهْزِیَارَ عَنْ فَضَالَةَ بْنِ أَیُّوبَ عَنْ سُلَیْمَانَ بْنِ دُرُسْتَوَیْهِ عَنْ عَجْلَانَ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یُدْخِلُهُمُ اللَّهُ الْجَنَّةَ بِغَیْرِ حِسَابٍ وَ ثَلَاثَةٌ یُدْخِلُهُمُ اللَّهُ النَّارَ بِغَیْرِ حِسَابٍ فَأَمَّا الَّذِینَ یُدْخِلُهُمُ اللَّهُ الْجَنَّةَ بِغَیْرِ حِسَابٍ فَإِمَامٌ عَادِلٌ وَ تَاجِرٌ صَدُوقٌ وَ شَیْخٌ أَفْنَی عُمُرَهُ فِی طَاعَةِ اللَّهِ عَزَّ وَ جَلَّ وَ أَمَّا الثَّلَاثَةُ الَّذِینَ یُدْخِلُهُمُ اللَّهُ النَّارَ بِغَیْرِ حِسَابٍ فَإِمَامٌ جَائِرٌ وَ تَاجِرٌ کَذُوبٌ وَ شَیْخٌ زَانٍ</w:t>
      </w:r>
      <w:r>
        <w:rPr>
          <w:rFonts w:eastAsia="Amiri" w:cs="Amiri" w:ascii="Amiri" w:hAnsi="Amiri"/>
          <w:color w:val="111111"/>
          <w:sz w:val="28"/>
          <w:szCs w:val="28"/>
          <w:rtl w:val="true"/>
          <w:lang w:bidi="ar-SA"/>
        </w:rPr>
        <w:t>.</w:t>
      </w:r>
      <w:bookmarkStart w:id="233" w:name="pg14517_146249"/>
    </w:p>
    <w:p>
      <w:pPr>
        <w:pStyle w:val="BookText"/>
        <w:rPr/>
      </w:pPr>
      <w:bookmarkEnd w:id="233"/>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34" w:name="__RefHeading___Toc39770_1878427129"/>
      <w:bookmarkStart w:id="235" w:name="_Toc87"/>
      <w:bookmarkEnd w:id="234"/>
      <w:r>
        <w:rPr>
          <w:rtl w:val="true"/>
        </w:rPr>
        <w:t>باب منش های سه گانه</w:t>
      </w:r>
      <w:bookmarkEnd w:id="235"/>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سه کس را بی‌حساب به بهشت وارد می‌کند و سه کس را بی‌حساب به دوزخ می‌افکند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سه گروه از مردم را بدون هیچ حساب و کتابی به بهشت می‌برد و سه گروه را نیز بدون هیچ حساب و کتابی به دوزخ می‌افکند؛ اما آنان را که بی‌حساب به بهشت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پیشوای دادگر و بازرگان راستگوی و پیری که زندگی خود را در بندگی خدای بزرگ گذرانیده؛ و اما آنان که بی‌حساب به دوزخ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پیشوای ستمکار و بازرگان دروغ‌پیشه و پیر زنا کار است</w:t>
      </w:r>
      <w:r>
        <w:rPr>
          <w:rFonts w:eastAsia="IRNazanin" w:cs="IRNazanin"/>
          <w:color w:val="111111"/>
          <w:sz w:val="28"/>
          <w:szCs w:val="28"/>
          <w:rtl w:val="true"/>
          <w:lang w:bidi="fa-IR"/>
        </w:rPr>
        <w:t>.</w:t>
      </w:r>
      <w:r>
        <w:rPr>
          <w:rStyle w:val="FootnoteAnchor"/>
          <w:rtl w:val="true"/>
        </w:rPr>
        <w:footnoteReference w:id="140"/>
      </w:r>
    </w:p>
    <w:p>
      <w:pPr>
        <w:pStyle w:val="BookText"/>
        <w:rPr/>
      </w:pPr>
      <w:r>
        <w:rPr>
          <w:rFonts w:ascii="IRNazanin" w:hAnsi="IRNazanin" w:eastAsia="IRNazanin"/>
          <w:color w:val="111111"/>
          <w:sz w:val="28"/>
          <w:sz w:val="28"/>
          <w:szCs w:val="28"/>
          <w:rtl w:val="true"/>
          <w:lang w:bidi="fa-IR"/>
        </w:rPr>
        <w:t xml:space="preserve">الخصال، ص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همان‌گونه که ملاحظه شد، در این روایت عدد سه به کار رفته و ازاین‌رو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الثلاثه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باب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تقدم این حدیث بر ده‌ها حدیث دیگر نیز بیشتر سلیقه‌ای است و از منطق ویژه‌ای تبعیت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صدوق ضرورت نمی‌بیند که حتماً روایت اول در هر باب به توحید مربوط باشد و یا از پیامبر خدا صلی الله علیه و آله گزارش شده باشد؛ حال آنکه کراجکی در معدن الجواهر هر باب خود را با روایات عددی پیامبر صلی الله علیه و آله آغاز می‌کند و سپس روایات امامان دیگر، و سرانجام نیز هر باب سخنی از حکما را زینت‌بخش ابواب عددی کتاب خود قرار می‌دهد</w:t>
      </w:r>
      <w:r>
        <w:rPr>
          <w:rFonts w:eastAsia="IRNazanin" w:cs="IRNazanin"/>
          <w:color w:val="111111"/>
          <w:sz w:val="28"/>
          <w:szCs w:val="28"/>
          <w:rtl w:val="true"/>
          <w:lang w:bidi="fa-IR"/>
        </w:rPr>
        <w:t>.</w:t>
      </w:r>
    </w:p>
    <w:p>
      <w:pPr>
        <w:pStyle w:val="Heading3"/>
        <w:numPr>
          <w:ilvl w:val="2"/>
          <w:numId w:val="1"/>
        </w:numPr>
        <w:rPr/>
      </w:pPr>
      <w:bookmarkStart w:id="236" w:name="__RefHeading___Toc39772_1878427129"/>
      <w:bookmarkStart w:id="237" w:name="_Toc88"/>
      <w:bookmarkEnd w:id="236"/>
      <w:r>
        <w:rPr>
          <w:rtl w:val="true"/>
        </w:rPr>
        <w:t>ضرورت و اهداف</w:t>
      </w:r>
      <w:bookmarkEnd w:id="237"/>
    </w:p>
    <w:p>
      <w:pPr>
        <w:pStyle w:val="BookText"/>
        <w:rPr/>
      </w:pPr>
      <w:r>
        <w:rPr>
          <w:rFonts w:ascii="IRNazanin" w:hAnsi="IRNazanin" w:eastAsia="IRNazanin"/>
          <w:color w:val="111111"/>
          <w:sz w:val="28"/>
          <w:sz w:val="28"/>
          <w:szCs w:val="28"/>
          <w:rtl w:val="true"/>
          <w:lang w:bidi="fa-IR"/>
        </w:rPr>
        <w:t>سخنرانان همواره در پی آن‌اند که مخاطبان، سخن ایشان را به طور کامل دنبال کنند تا بدین‌سان، حق مطلب ادا شود و زحمت ایشان ضایع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جلب توجه شنوندگان به مفاد سخنرانی، از مهم‌ترین دغدغه‌های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سخنرانان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گوینده، برای بیان نکته‌های مهم، باید از شیوه‌های گوناگون بهره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شیوه‌های مناسب،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 عددی مباحث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به گونه‌ای که کلّ مباحث را پس از</w:t>
      </w:r>
      <w:bookmarkStart w:id="238" w:name="pg14517_146250"/>
    </w:p>
    <w:p>
      <w:pPr>
        <w:pStyle w:val="BookText"/>
        <w:rPr/>
      </w:pPr>
      <w:bookmarkEnd w:id="238"/>
      <w:r>
        <w:rPr>
          <w:rFonts w:ascii="IRNazanin" w:hAnsi="IRNazanin" w:eastAsia="IRNazanin"/>
          <w:color w:val="111111"/>
          <w:sz w:val="28"/>
          <w:sz w:val="28"/>
          <w:szCs w:val="28"/>
          <w:rtl w:val="true"/>
          <w:lang w:bidi="fa-IR"/>
        </w:rPr>
        <w:t>دسته‌بندی، در قالب چند نکته تنظیم و اعلام می‌دارد و نخست عناوین نکات را بیان می‌کند و آن‌گاه، توضیح مطالب را پی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شنونده با دقت، شمارِ نکته‌ها و مطالب را دنبال می‌کند و محدودۀ آغاز و پایان بحث برایش روشن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بخشی از سخنان معصومان علیهم السلام نیز بدین شکل سامان یافته است و به نظر می‌رسد که کتاب‌های احادیث عددی برای نیل به همین هدف،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روایات عددی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گرد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همین دلایل، بزرگانی نظیر شیخ صدوق و کراجکی را برآن داشته تا این‌گونه تألیفات را دارای منافع علمی گسترده بدانند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وجدت فی تصنیفه نفعا کثیرا لطالب العلم، والراغب فی الخیر فتقربت إلی اللّه جل اسمه بتصنیف هذا الکتاب، طالبا لثوابه، و راغبا فی الفوز برحمته، و أرجو أن لا یخیبنی فیما أملته و رجوته منه بتطوله ومنه، إنه علی کل شیء قدیر؛</w:t>
      </w:r>
    </w:p>
    <w:p>
      <w:pPr>
        <w:pStyle w:val="BookText"/>
        <w:rPr/>
      </w:pPr>
      <w:r>
        <w:rPr>
          <w:rFonts w:ascii="IRNazanin" w:hAnsi="IRNazanin" w:eastAsia="IRNazanin"/>
          <w:color w:val="111111"/>
          <w:sz w:val="28"/>
          <w:sz w:val="28"/>
          <w:szCs w:val="28"/>
          <w:rtl w:val="true"/>
          <w:lang w:bidi="fa-IR"/>
        </w:rPr>
        <w:t>و با توجه به اینکه نگارش کتابی چنین، از برای دانشجویان و نیک‌خواهان بسی سودمند است، من این کتاب را تصنیف کردم و بدین وسیله به پیشگاه خداوند جل اسمه تقرب جسته، در طلب پاداشی از اویم و خواهان نائل آمدن به رحمتش و امیدوارم که با کرمش منتی بر من نهاده، مأیوسم نفرماید که او بر هر چیز تواناست</w:t>
      </w:r>
      <w:r>
        <w:rPr>
          <w:rFonts w:eastAsia="IRNazanin" w:cs="IRNazanin"/>
          <w:color w:val="111111"/>
          <w:sz w:val="28"/>
          <w:szCs w:val="28"/>
          <w:rtl w:val="true"/>
          <w:lang w:bidi="fa-IR"/>
        </w:rPr>
        <w:t>.</w:t>
      </w:r>
      <w:r>
        <w:rPr>
          <w:rStyle w:val="FootnoteAnchor"/>
          <w:rtl w:val="true"/>
        </w:rPr>
        <w:footnoteReference w:id="141"/>
      </w:r>
    </w:p>
    <w:p>
      <w:pPr>
        <w:pStyle w:val="BookText"/>
        <w:rPr/>
      </w:pPr>
      <w:r>
        <w:rPr>
          <w:rFonts w:ascii="IRNazanin" w:hAnsi="IRNazanin" w:eastAsia="IRNazanin"/>
          <w:color w:val="111111"/>
          <w:sz w:val="28"/>
          <w:sz w:val="28"/>
          <w:szCs w:val="28"/>
          <w:rtl w:val="true"/>
          <w:lang w:bidi="fa-IR"/>
        </w:rPr>
        <w:t xml:space="preserve">الخصال، ص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3"/>
        <w:numPr>
          <w:ilvl w:val="2"/>
          <w:numId w:val="1"/>
        </w:numPr>
        <w:rPr/>
      </w:pPr>
      <w:bookmarkStart w:id="239" w:name="__RefHeading___Toc39774_1878427129"/>
      <w:bookmarkStart w:id="240" w:name="_Toc89"/>
      <w:bookmarkEnd w:id="239"/>
      <w:r>
        <w:rPr>
          <w:rtl w:val="true"/>
        </w:rPr>
        <w:t>پیشینه</w:t>
      </w:r>
      <w:bookmarkEnd w:id="240"/>
    </w:p>
    <w:p>
      <w:pPr>
        <w:pStyle w:val="BookText"/>
        <w:rPr/>
      </w:pPr>
      <w:r>
        <w:rPr>
          <w:rFonts w:ascii="IRNazanin" w:hAnsi="IRNazanin" w:eastAsia="IRNazanin"/>
          <w:color w:val="111111"/>
          <w:sz w:val="28"/>
          <w:sz w:val="28"/>
          <w:szCs w:val="28"/>
          <w:rtl w:val="true"/>
          <w:lang w:bidi="fa-IR"/>
        </w:rPr>
        <w:t>به‌خوبی روشن نیست نخستین کسی که به این شیوه کتاب نگاشته است، چه کسی بوده است؛ چه اینکه این شیوه‌ای است کاملاً ذوقی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صدوق که بزرگ‌ترین اثر را در این سبک نگاشته است، در ابتدای کتاب الخصال می‌نویسد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بعد فإنی وجدت مشایخی وأسلافی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رحمة اللّه علیهم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صنفوا فی فنون العلم کتبا وأغفلوا عن تصنیف کتاب یشتمل علی الاعداد والخصال المحمودة، و المذمومة؛</w:t>
      </w:r>
    </w:p>
    <w:p>
      <w:pPr>
        <w:pStyle w:val="BookText"/>
        <w:rPr/>
      </w:pPr>
      <w:r>
        <w:rPr>
          <w:rFonts w:ascii="IRNazanin" w:hAnsi="IRNazanin" w:eastAsia="IRNazanin"/>
          <w:color w:val="111111"/>
          <w:sz w:val="28"/>
          <w:sz w:val="28"/>
          <w:szCs w:val="28"/>
          <w:rtl w:val="true"/>
          <w:lang w:bidi="fa-IR"/>
        </w:rPr>
        <w:t xml:space="preserve">اما بعد، با توجه به اینکه اساتید و پیشینیانم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ایشان را بیامرزد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دررشته‌های علمی کتاب‌هایی نگاشته‌اند، ولی از نگارش کتابی که شامل اعداد و شمارش کردارهای نیک و بد باشد غفلت داشته‌اند</w:t>
      </w:r>
      <w:r>
        <w:rPr>
          <w:rFonts w:eastAsia="IRNazanin" w:cs="IRNazanin"/>
          <w:color w:val="111111"/>
          <w:sz w:val="28"/>
          <w:szCs w:val="28"/>
          <w:rtl w:val="true"/>
          <w:lang w:bidi="fa-IR"/>
        </w:rPr>
        <w:t>.</w:t>
      </w:r>
      <w:r>
        <w:rPr>
          <w:rStyle w:val="FootnoteAnchor"/>
          <w:rtl w:val="true"/>
        </w:rPr>
        <w:footnoteReference w:id="142"/>
      </w:r>
    </w:p>
    <w:p>
      <w:pPr>
        <w:pStyle w:val="BookText"/>
        <w:rPr/>
      </w:pP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اگرچه شیخ صدوق در مقدمۀ کتابش مدعی شده که پیش از او کتابی به شیوۀ خصال تدوین نشده است، اما حقیقت آن است که پیش از او أحمد بن محمد بن خالد برقی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جامع خویش، المحاسن، نخستین کتابش را کتاب الاشکال و القرائن نام نهاده و در آن روایات عددی را گرد آورده</w:t>
      </w:r>
      <w:r>
        <w:rPr>
          <w:rStyle w:val="FootnoteAnchor"/>
          <w:rtl w:val="true"/>
        </w:rPr>
        <w:footnoteReference w:id="143"/>
      </w:r>
      <w:r>
        <w:rPr>
          <w:rFonts w:ascii="IRNazanin" w:hAnsi="IRNazanin" w:eastAsia="IRNazanin"/>
          <w:color w:val="111111"/>
          <w:sz w:val="28"/>
          <w:sz w:val="28"/>
          <w:szCs w:val="28"/>
          <w:rtl w:val="true"/>
          <w:lang w:bidi="fa-IR"/>
        </w:rPr>
        <w:t>و دقیقاً به همین شیوۀ خصال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به نظر می‌رسد که صدوق به‌طور کلی متأثر از آثار برقی بوده است؛ چه اینکه برقی یک قرن پیش از صدوق در کتاب معروف و جامع محاسن، کتاب‌هایی را با عناوین کتاب ثواب الأعمال، کتاب عقاب الأعمال، کتاب العلل و کتاب الاشکال و القرائن نگاشته که بعدها صدوق همین آثار را به صورت مفصل و گسترده پی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نکتۀ حائز اهمیت که موجب تصدیق ادعای صدوق می‌شود آن است که صدوق بسیار فراتر و گسترده‌تر این کتاب‌ها را تدوین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نمونه، برقی در کتاب القرائن فقط چهل روایت در پانزده صفحه آورده و این روایات را ذیل عناوین هشت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تایی‌ها تا ده‌تایی‌ها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 و حال آنکه عملکرد صدوق در خصال به مراتب چشمگیر و غیر قابل مقایسه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صدوق در خصال سی برابر برقی در الاشکال و القرائن روایت آورده و تعداد صفحات کتابش </w:t>
      </w:r>
      <w:r>
        <w:rPr>
          <w:rFonts w:eastAsia="IRNazanin" w:cs="IRNazanin"/>
          <w:color w:val="111111"/>
          <w:sz w:val="28"/>
          <w:szCs w:val="28"/>
          <w:lang w:bidi="fa-IR"/>
        </w:rPr>
        <w:t>652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و ابواب آن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آنچه گذشت، نمی‌توان صدوق را مبتکر سبک روایات عددی دانست، اما این سبک تنها با شیخ صدوق و کتاب خصالش مشهور شده است</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شاید این کلام اغراق نباشد که بگوییم هر کس پس از صدوق از این شیوه پیروی کرده، مقلد او در کتاب الخصال است</w:t>
      </w:r>
      <w:r>
        <w:rPr>
          <w:rFonts w:eastAsia="IRNazanin" w:cs="IRNazanin"/>
          <w:color w:val="111111"/>
          <w:sz w:val="28"/>
          <w:szCs w:val="28"/>
          <w:rtl w:val="true"/>
          <w:lang w:bidi="fa-IR"/>
        </w:rPr>
        <w:t>.</w:t>
      </w:r>
      <w:bookmarkStart w:id="241" w:name="pg14517_146252"/>
    </w:p>
    <w:p>
      <w:pPr>
        <w:pStyle w:val="BookText"/>
        <w:rPr/>
      </w:pPr>
      <w:bookmarkEnd w:id="241"/>
      <w:r>
        <w:rPr>
          <w:rFonts w:ascii="IRNazanin" w:hAnsi="IRNazanin" w:eastAsia="IRNazanin"/>
          <w:color w:val="111111"/>
          <w:sz w:val="28"/>
          <w:sz w:val="28"/>
          <w:szCs w:val="28"/>
          <w:rtl w:val="true"/>
          <w:lang w:bidi="fa-IR"/>
        </w:rPr>
        <w:t>در پایان این بخش یادکرد یک نکته ضروری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نام‌گذاری برقی برای کتاب خویش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الاشکال و القرائن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گمانه پدید آمد که چه بسا این واژگان برای کتاب‌های احادیث عددی در سده‌های نخست هجری متداول بوده است؛ ازاین‌رو منابع کتاب‌شناسی شیعه و سنی را با کمک نرم‌افزارهای حدیثی مورد کاوش قرار دادیم و تنها یک مورد یافت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القرائن، اثر أبو زید سعید بن أوس خزرجی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14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ایضاح المکنون،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322</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376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با توجه به رزومۀ ابو زید نحوی، بسیار بعید است که این کتاب، اثری روایی و به سبک روایات عددی بوده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احتمال قوی، این کتاب در دانش ادبیات و نحو تألیف شده است؛ چون ابو زید خزرجی انصاری، دانشمندی نحوی بود و جملۀ آثارش نیز در لغت و یا نحو است و هیچ کتاب حدیثی نیز در کارنامۀ او به چشم نمی‌خورد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Heading3"/>
        <w:numPr>
          <w:ilvl w:val="2"/>
          <w:numId w:val="1"/>
        </w:numPr>
        <w:rPr/>
      </w:pPr>
      <w:bookmarkStart w:id="242" w:name="__RefHeading___Toc39776_1878427129"/>
      <w:bookmarkStart w:id="243" w:name="_Toc90"/>
      <w:bookmarkEnd w:id="242"/>
      <w:r>
        <w:rPr>
          <w:rtl w:val="true"/>
        </w:rPr>
        <w:t>کتاب هایی به سبک احادیث عددی</w:t>
      </w:r>
      <w:bookmarkEnd w:id="243"/>
    </w:p>
    <w:p>
      <w:pPr>
        <w:pStyle w:val="BookText"/>
        <w:rPr/>
      </w:pPr>
      <w:r>
        <w:rPr>
          <w:rFonts w:ascii="IRNazanin" w:hAnsi="IRNazanin" w:eastAsia="IRNazanin"/>
          <w:color w:val="111111"/>
          <w:sz w:val="28"/>
          <w:sz w:val="28"/>
          <w:szCs w:val="28"/>
          <w:rtl w:val="true"/>
          <w:lang w:bidi="fa-IR"/>
        </w:rPr>
        <w:t>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الاشکال و القرائن، احمد بن محمد بن خالد البرقی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کتاب کوچک، نخستین کتاب از مجموعۀ کتاب‌هایی است که در کتاب المحاسن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گفتنی است که از مهم‌ترین جوامع حدیثی قبل از کتب اربعه، کتاب المحاسن برقی و کتاب النوادر احمد بن محمد بن عیسی الاشعری است</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جامعیت این کتاب، در نگاه دقیق شیخ طوسی، روشن و هویداست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او در ضمن بیان عناوین نگارش‌های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ابن‌عُقده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کتاب الآداب اشاره می‌کند؛ چراکه همان ویژگی جامعیت محاسن را داراست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له کتابُ الآداب، و هو کتابٌ کبیرٌ یشتمِلُ علی کتبٍ کثیرةٍ مثلُ کتابِ المَحاسِن؛ کتاب الآداب اثر اوست و آن کتابی بزرگ، همانند کتاب محاسن است که دربردارندۀ مجموعه‌ای از کتاب‌ها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ابواب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145"/>
      </w:r>
    </w:p>
    <w:p>
      <w:pPr>
        <w:pStyle w:val="BookText"/>
        <w:rPr/>
      </w:pPr>
      <w:r>
        <w:rPr>
          <w:rFonts w:ascii="IRNazanin" w:hAnsi="IRNazanin" w:eastAsia="IRNazanin"/>
          <w:color w:val="111111"/>
          <w:sz w:val="28"/>
          <w:sz w:val="28"/>
          <w:szCs w:val="28"/>
          <w:rtl w:val="true"/>
          <w:lang w:bidi="fa-IR"/>
        </w:rPr>
        <w:t>کتاب المحاسن در دوران غیبت صغری تألیف شده و شامل بیش از هفتاد کتاب کوچک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نزدیکی تاریخ تألیف این اثر با دوران حضور، سبب اعتبار ویژۀ آن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بسیاری از روایات این کتاب در آثار محمدون ثلاث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کلینی، شیخ صدوق و شیخ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برقی روایات را در کتاب الاشکال و القرائن، در یازده باب تنظیم کرده است که ابواب یک تا هشت آن روایات عددی از باب الثلاثة تا باب العشرة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نهم کتاب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 قول الخیر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باب دهم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وصایا 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باب یازدهم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وصایا اهل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مجموع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در این کتاب گزارش شده است که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آن مربوط به احادیث عددی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روایات با سند متصل برقی تا معصوم است و کمتر روایتی مرسل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تنظیم و ترتیب ویژه‌ای در روایات به چشم نمی‌خورد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نمونه‌ای از روایات این کتاب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عَنْهُ عَمَّنْ ذَکَرَهُ قَالَ 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الْخَیْرُ کُلُّهُ فِی ثَلَاثِ خِصَالٍ فِی النَّظَرِ وَ السُّکُوتِ وَ الْکَلَامِ فَکُلُّ نَظَرٍ لَیْسَ فِیهِ اعْتِبَارٌ فَهُوَ سَهْوٌ وَ کُلُّ سُکُوتٍ لَیْسَ فِیهِ فِکْرَةٌ فَهُوَ غَفْلَةٌ وَ کُلُّ کَلَامٍ لَیْسَ فِیهِ ذِکْرٌ فَهُوَ لَغْوٌ فَطُوبَی لِمَنْ کَانَ نَظَرُهُ اعْتِبَاراً وَ سُکُوتُهُ فِکْرَةً وَ کَلَامُهُ ذِکْراً وَ بَکَی عَلَی خَطِیئَتِهِ وَ آمَنَ النَّاسَ شَرَّهُ؛</w:t>
      </w:r>
    </w:p>
    <w:p>
      <w:pPr>
        <w:pStyle w:val="BookText"/>
        <w:rPr/>
      </w:pP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کلی خیر و خوبی در سه خصلت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کردن، سکوت نمودن، و سخن گفتن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نگاه‌کردنی که در آن عبرت نباشد، سهو و اشتباه است؛ و هر سکوتی که در آن فکر و اندیشه نباشد، غفلت است؛ و هر سخن‌گفتنی که در آن ذکر خدا نباشد آن لغو و بیهوده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خوشا به حال کسی که نظرش عبرت، سکوتش فکر و سخنش ذکر باشد و بر گناهش بگرید و مردم از شرش در امان باشند</w:t>
      </w:r>
      <w:r>
        <w:rPr>
          <w:rFonts w:eastAsia="IRNazanin" w:cs="IRNazanin"/>
          <w:color w:val="111111"/>
          <w:sz w:val="28"/>
          <w:szCs w:val="28"/>
          <w:rtl w:val="true"/>
          <w:lang w:bidi="fa-IR"/>
        </w:rPr>
        <w:t>.</w:t>
      </w:r>
      <w:r>
        <w:rPr>
          <w:rStyle w:val="FootnoteAnchor"/>
          <w:rtl w:val="true"/>
        </w:rPr>
        <w:footnoteReference w:id="146"/>
      </w:r>
    </w:p>
    <w:p>
      <w:pPr>
        <w:pStyle w:val="BookText"/>
        <w:rPr/>
      </w:pPr>
      <w:r>
        <w:rPr>
          <w:rFonts w:ascii="IRNazanin" w:hAnsi="IRNazanin" w:eastAsia="IRNazanin"/>
          <w:color w:val="111111"/>
          <w:sz w:val="28"/>
          <w:sz w:val="28"/>
          <w:szCs w:val="28"/>
          <w:rtl w:val="true"/>
          <w:lang w:bidi="fa-IR"/>
        </w:rPr>
        <w:t xml:space="preserve">المحاسن،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الخصال، محمد بن علی بن الحسین معروف به شیخ 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خصال از کتاب‌های مشهور شیعه است که از دیرباز کانون توجه دانشمندان و</w:t>
      </w:r>
    </w:p>
    <w:p>
      <w:pPr>
        <w:pStyle w:val="BookText"/>
        <w:rPr/>
      </w:pPr>
      <w:r>
        <w:rPr>
          <w:rFonts w:ascii="IRNazanin" w:hAnsi="IRNazanin" w:eastAsia="IRNazanin"/>
          <w:color w:val="111111"/>
          <w:sz w:val="28"/>
          <w:sz w:val="28"/>
          <w:szCs w:val="28"/>
          <w:rtl w:val="true"/>
          <w:lang w:bidi="fa-IR"/>
        </w:rPr>
        <w:t>عموم شیعیان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گزینش احادیث زیبا و ابتکار در سبک تألیف، سبب شده که این کتاب همواره نظر خوانندگان را به خود معطوف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در مقدمۀ کتاب به نام آن تصریح نکرده است، ولی در بیان انگیزۀ نگارشْ عبارتی بیان داشته که سبب شد این کتاب به خصال شهره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صنفوا فی فنون العلم کتبا وأغفلوا عن تصنیف کتاب یشتمل علی الاعداد والخصال المحمودة، و المذمومة</w:t>
      </w:r>
      <w:r>
        <w:rPr>
          <w:rFonts w:eastAsia="IRNazanin" w:cs="IRNazanin"/>
          <w:color w:val="111111"/>
          <w:sz w:val="28"/>
          <w:szCs w:val="28"/>
          <w:rtl w:val="true"/>
          <w:lang w:bidi="fa-IR"/>
        </w:rPr>
        <w:t>».</w:t>
      </w:r>
      <w:r>
        <w:rPr>
          <w:rStyle w:val="FootnoteAnchor"/>
          <w:rtl w:val="true"/>
        </w:rPr>
        <w:footnoteReference w:id="14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الخصال، ص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کتاب نیز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تم کتاب الخصال بحمد اللّه و توفیقه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صدوق در تألیفات بعدی‌اش مانند التوحید،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عیون أخبار الرضا علیه السلام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من لا یحضره الفقیه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از این کتاب با عنوان الخصال یاد کرده است؛ بنابراین نام کتاب را مؤلف، خود برای کتابش برگزیده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کتب فهرست و رجال نیز نام این کتاب را الخصال گفته‌اند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صدوق کتاب را با مقدمه‌ای کوتاه شروع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مقدمه تنها شهادت به وحدانیت خدا، نبوت پیامبر و امامت ائمه و انگیزۀ نگارش وی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ابواب کتاب خصال به ترتیب اعداد، از عدد یک شروع و تا باب صد، و بیش از صد ادامه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نوزده باب نخست،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الواحد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باب خصلت‌های یگانه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ابواب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التسعة عشر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باب خصلت‌های نوزده‌گانه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ترتیب اعداد تنظیم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ابواب، بدنۀ اصلی کتاب را شکل داده و بیشترین صفحات و روایات خصال در همین نوزده باب نخست گرد آمده است</w:t>
      </w:r>
      <w:r>
        <w:rPr>
          <w:rFonts w:eastAsia="IRNazanin" w:cs="IRNazanin"/>
          <w:color w:val="111111"/>
          <w:sz w:val="28"/>
          <w:szCs w:val="28"/>
          <w:rtl w:val="true"/>
          <w:lang w:bidi="fa-IR"/>
        </w:rPr>
        <w:t>.</w:t>
      </w:r>
      <w:r>
        <w:rPr>
          <w:rStyle w:val="FootnoteAnchor"/>
          <w:rtl w:val="true"/>
        </w:rPr>
        <w:footnoteReference w:id="148"/>
      </w:r>
      <w:r>
        <w:rPr>
          <w:rFonts w:ascii="IRNazanin" w:hAnsi="IRNazanin" w:eastAsia="IRNazanin"/>
          <w:color w:val="111111"/>
          <w:sz w:val="28"/>
          <w:sz w:val="28"/>
          <w:szCs w:val="28"/>
          <w:rtl w:val="true"/>
          <w:lang w:bidi="fa-IR"/>
        </w:rPr>
        <w:t>از آنجا که ذیل تمام اعداد، افزون بر بیست روایت در دست نیست، صدوق ابواب بعد از بیست را در هفت باب این‌گونه</w:t>
      </w:r>
    </w:p>
    <w:p>
      <w:pPr>
        <w:pStyle w:val="BookText"/>
        <w:rPr/>
      </w:pPr>
      <w:r>
        <w:rPr>
          <w:rFonts w:ascii="IRNazanin" w:hAnsi="IRNazanin" w:eastAsia="IRNazanin"/>
          <w:color w:val="111111"/>
          <w:sz w:val="28"/>
          <w:sz w:val="28"/>
          <w:szCs w:val="28"/>
          <w:rtl w:val="true"/>
          <w:lang w:bidi="fa-IR"/>
        </w:rPr>
        <w:t>نام‌بردار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ابواب العشرین وما فوقه، ابواب الثلاثین و مافوقه، ابواب الخمسین وما فوقه، ابواب السبعین وما فوقه، ابواب الثمانین وما فوقه، باب الواحد الی المائه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ابواب المائه وما فوقه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باب دارای ریزموضوعات متعددی است؛ برای نمونه در باب الاثنین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خصلت‌های دوگانه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ریزموضوعاتی نظیر الناس اثنان عالم و متعلم، فی الشیعة خصلتان، للصائم فرحتان، بیعان مکروهان، الاخوان صنفان، منهومان لایشبعان، اثنان اهلکا الناس، لاحسد الا فی اثنین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باب الثلاثه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خصلت‌های سه‌گانه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ریزموضوعاتی نظیر ثلاثة یدخلهم اللّه الجنه بغیر حساب، ثلاثه مجالستهم تمیت القلب، اصول الکفر ثلاثة، الهدیة علی ثلاثه وجوه، احب الاعمال الی اللّه ثلاثة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مشاهده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نخستین روایت خصال، سؤال فردی اعرابی دربارۀ وحدانیت و یگانگی خدا از امام علی علیه السلام است که در بحبوحۀ نبرد جمل رخ داده و اعتراض اطرافیان را نیز برانگیخته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آخرین روایت کتاب نیز تفسیری از امام باقر علیه السلام است که گویای خلقت یک میلیون جهان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روایات خصال با سند متصل مؤلف از معصومان گزارش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این روایات از طریق راویان شیعی است و بخشی دیگر را شیخ صدوق از مشایخ سنی خود گزارش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به‌ندرت نکاتی از مؤلف در ذیل برخی روایات دیده می‌شود</w:t>
      </w:r>
      <w:r>
        <w:rPr>
          <w:rFonts w:eastAsia="IRNazanin" w:cs="IRNazanin"/>
          <w:color w:val="111111"/>
          <w:sz w:val="28"/>
          <w:szCs w:val="28"/>
          <w:rtl w:val="true"/>
          <w:lang w:bidi="fa-IR"/>
        </w:rPr>
        <w:t>.</w:t>
      </w:r>
      <w:r>
        <w:rPr>
          <w:rStyle w:val="FootnoteAnchor"/>
          <w:rtl w:val="true"/>
        </w:rPr>
        <w:footnoteReference w:id="149"/>
      </w:r>
    </w:p>
    <w:p>
      <w:pPr>
        <w:pStyle w:val="BookText"/>
        <w:rPr/>
      </w:pP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الخصال، ص </w:t>
      </w:r>
      <w:r>
        <w:rPr>
          <w:rFonts w:eastAsia="IRNazanin" w:cs="IRNazanin"/>
          <w:color w:val="111111"/>
          <w:sz w:val="28"/>
          <w:szCs w:val="28"/>
          <w:lang w:bidi="fa-IR"/>
        </w:rPr>
        <w:t>610</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از روایات مهم و مشهور این کتاب عبارت‌اند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رَفع </w:t>
      </w:r>
      <w:r>
        <w:rPr>
          <w:rStyle w:val="FootnoteAnchor"/>
          <w:rtl w:val="true"/>
        </w:rPr>
        <w:footnoteReference w:id="15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برداشته شدن تکلیف نُه چیز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حدیث دوازده خلیفه و امام بعد از نبی،</w:t>
      </w:r>
      <w:r>
        <w:rPr>
          <w:rStyle w:val="FootnoteAnchor"/>
          <w:rtl w:val="true"/>
        </w:rPr>
        <w:footnoteReference w:id="151"/>
      </w:r>
      <w:r>
        <w:rPr>
          <w:rFonts w:ascii="IRNazanin" w:hAnsi="IRNazanin" w:eastAsia="IRNazanin"/>
          <w:color w:val="111111"/>
          <w:sz w:val="28"/>
          <w:sz w:val="28"/>
          <w:szCs w:val="28"/>
          <w:rtl w:val="true"/>
          <w:lang w:bidi="fa-IR"/>
        </w:rPr>
        <w:t>حدیث سی علامت امامان،</w:t>
      </w:r>
      <w:r>
        <w:rPr>
          <w:rStyle w:val="FootnoteAnchor"/>
          <w:rtl w:val="true"/>
        </w:rPr>
        <w:footnoteReference w:id="152"/>
      </w:r>
      <w:r>
        <w:rPr>
          <w:rFonts w:ascii="IRNazanin" w:hAnsi="IRNazanin" w:eastAsia="IRNazanin"/>
          <w:color w:val="111111"/>
          <w:sz w:val="28"/>
          <w:sz w:val="28"/>
          <w:szCs w:val="28"/>
          <w:rtl w:val="true"/>
          <w:lang w:bidi="fa-IR"/>
        </w:rPr>
        <w:t>حدیث ثواب حفظ چهل حدیث و بیان چهل حدیث از پیامبر برای امام</w:t>
      </w:r>
    </w:p>
    <w:p>
      <w:pPr>
        <w:pStyle w:val="BookText"/>
        <w:rPr/>
      </w:pPr>
      <w:r>
        <w:rPr>
          <w:rFonts w:ascii="IRNazanin" w:hAnsi="IRNazanin" w:eastAsia="IRNazanin"/>
          <w:color w:val="111111"/>
          <w:sz w:val="28"/>
          <w:sz w:val="28"/>
          <w:szCs w:val="28"/>
          <w:rtl w:val="true"/>
          <w:lang w:bidi="fa-IR"/>
        </w:rPr>
        <w:t>علی علیه السلام،</w:t>
      </w:r>
      <w:r>
        <w:rPr>
          <w:rStyle w:val="FootnoteAnchor"/>
          <w:rtl w:val="true"/>
        </w:rPr>
        <w:footnoteReference w:id="15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541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 رسالۀ حقوق</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امام سجاد علیه السلام بیان پنجاه حق از حقوق طرفین، حدیث هفتاد منقبت اختصاصی امام علی علیه السلام،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حدیث اربعمائه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بیان چهارصد حدیث توسط امام علی علیه السلام برای یارانشان در یک جلسه و حدیث تعلیم هزار باب علم به امام علی 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کتاب حاضر شامل </w:t>
      </w:r>
      <w:r>
        <w:rPr>
          <w:rFonts w:eastAsia="IRNazanin" w:cs="IRNazanin"/>
          <w:color w:val="111111"/>
          <w:sz w:val="28"/>
          <w:szCs w:val="28"/>
          <w:lang w:bidi="fa-IR"/>
        </w:rPr>
        <w:t>1255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است که در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تنظیم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گوناگونی موضوعات و کوتاهی احادیث کتاب خصال با وجود حجم کم، سبب شده که این اثر به دائرة‌المعارف بزرگی از معارف اسلامی تبدیل شود و در شمار مجموعه‌های نفیس روایات اهل بیت رسول خدا صلی الله علیه و آله به حساب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نمونه‌ای از باب خصلت‌های پنج گانۀ خصال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یُعرف الإمامُ بأربعِ خصالٍ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أَبِی رضی الله عنه قَالَ حَدَّثَنَا مُحَمَّدُ بْنُ یَحْیَی الْعَطَّارُ عَنْ مُحَمَّدِ بْنِ أَحْمَدَ عَنْ مُحَمَّدِ بْنِ الْوَلِیدِ عَنْ حَمَّادِ بْنِ عُثْمَانَ عَنِ الْحَارِثِ بْنِ الْمُغِیرَةِ النَّصْرِیِّ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لِأَبِی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 یُعْرَفُ صَاحِبُ هَذَا الْأَمْرِ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بِالسَّکِینَةِ وَ الْوَقَارِ وَ الْعِلْمِ وَ الْوَصِیَّةِ؛</w:t>
      </w:r>
      <w:r>
        <w:rPr>
          <w:rStyle w:val="FootnoteAnchor"/>
          <w:rtl w:val="true"/>
        </w:rPr>
        <w:footnoteReference w:id="154"/>
      </w:r>
    </w:p>
    <w:p>
      <w:pPr>
        <w:pStyle w:val="BookText"/>
        <w:rPr/>
      </w:pPr>
      <w:r>
        <w:rPr>
          <w:rFonts w:ascii="IRNazanin" w:hAnsi="IRNazanin" w:eastAsia="IRNazanin"/>
          <w:color w:val="111111"/>
          <w:sz w:val="28"/>
          <w:sz w:val="28"/>
          <w:szCs w:val="28"/>
          <w:rtl w:val="true"/>
          <w:lang w:bidi="fa-IR"/>
        </w:rPr>
        <w:t>امام با چهار نشانه شناخته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حارث بن مغیره نصری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این امر با چه علامتی شناخته می‌شود؟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آرامش و وقار و علم و وصیت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امام قبلی به امامت او وصیت کرده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معدن الجواهر، ابو الفتح محمد بن علی کراجکی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ابوالفتح کراجکی از دانشمندان خوش‌نام سدۀ پنجم است که افتخار شاگردی شیخ مفید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سید مرتضی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ابو یعلی سلار بن عبد العزیز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داشته و سفرهای متعددی جهت تحصیل یا تدریس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کتاب‌های بسیاری نگاشته که متأسفانه غالب آن‌ها به ما نرسیده و تنها چند اثر از او به یادگار مانده که معدن الجواهر و ریاضة الخواطر یکی از آن‌هاست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شهر آشوب در شمار آثار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کراجکی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کتاب اخبار الاحاد یاد کرده</w:t>
      </w:r>
      <w:r>
        <w:rPr>
          <w:rStyle w:val="FootnoteAnchor"/>
          <w:rtl w:val="true"/>
        </w:rPr>
        <w:footnoteReference w:id="15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معالم العلماء، ص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تعجب است که رازی از او با جلالت یاد کرده است ولی در یادکرد آثار او بسیارکوتاهی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منتجب الدین، ص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355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که به احتمال قوی همین کتاب است؛ چه اینکه عنوان باب اول کتاب معدن الجواهر،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ما جاء فی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به اخبار آحاد پرداخته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کتاب معدن الجواهر دارای ده باب است که باب اول در بیان خصالی است که دارای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است و باب دوم خصلت‌های دو گانه را بیان داشته، به همین منوال تا باب دهم که خصلت‌های ده‌گانه در آن بیان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 آغازگر هر باب روایتی نبوی است و سپس مواعظ و روایات دیگر ائمه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آنکه روایات معصومان پایان می‌یابد، نویسنده سخنان عددی حکماء و علماء را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مجموع این کتاب </w:t>
      </w:r>
      <w:r>
        <w:rPr>
          <w:rFonts w:eastAsia="IRNazanin" w:cs="IRNazanin"/>
          <w:color w:val="111111"/>
          <w:sz w:val="28"/>
          <w:szCs w:val="28"/>
          <w:lang w:bidi="fa-IR"/>
        </w:rPr>
        <w:t>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مطلب است که شامل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و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بیشتر روایات نقل‌شده در کتاب از پیامبر خداست که شمار آن‌ها به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عباس قمی این کتاب را با عنوان نزهة النواظر فی ترجمة معدن الجواهر به فارسی ترجمه کرده است</w:t>
      </w:r>
      <w:r>
        <w:rPr>
          <w:rFonts w:eastAsia="IRNazanin" w:cs="IRNazanin"/>
          <w:color w:val="111111"/>
          <w:sz w:val="28"/>
          <w:szCs w:val="28"/>
          <w:rtl w:val="true"/>
          <w:lang w:bidi="fa-IR"/>
        </w:rPr>
        <w:t>.</w:t>
      </w:r>
      <w:r>
        <w:rPr>
          <w:rStyle w:val="FootnoteAnchor"/>
          <w:rtl w:val="true"/>
        </w:rPr>
        <w:footnoteReference w:id="156"/>
      </w:r>
      <w:r>
        <w:rPr>
          <w:rFonts w:ascii="IRNazanin" w:hAnsi="IRNazanin" w:eastAsia="IRNazanin"/>
          <w:color w:val="111111"/>
          <w:sz w:val="28"/>
          <w:sz w:val="28"/>
          <w:szCs w:val="28"/>
          <w:rtl w:val="true"/>
          <w:lang w:bidi="fa-IR"/>
        </w:rPr>
        <w:t>برای نمونه یک روایت که مانند دیگر روایات کتاب مرسل است، از کتاب معدن الجواهر از بخش خصلت‌های پنج‌گانه و همچنین کلامی از علما را از پایان بخش خصلت‌های شش‌گانۀ این کتاب همراه با ترجمۀ مرحوم محدث قمی یادآور می‌شویم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گفتنی است روایت از پیامبر خدا صلی الله علیه و آله است</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لَاتَجْلِسُوا إِلَّا عِنْدَ مَنْ یَدْعُوکُمْ مِنْ خَمْسٍ إِلَی خَمْسٍ مِنَ الشَّکِّ إِلَی</w:t>
      </w:r>
    </w:p>
    <w:p>
      <w:pPr>
        <w:pStyle w:val="BookText"/>
        <w:rPr/>
      </w:pPr>
      <w:r>
        <w:rPr>
          <w:rFonts w:ascii="Amiri" w:hAnsi="Amiri" w:eastAsia="Amiri" w:cs="Amiri"/>
          <w:color w:val="111111"/>
          <w:sz w:val="28"/>
          <w:sz w:val="28"/>
          <w:szCs w:val="28"/>
          <w:rtl w:val="true"/>
          <w:lang w:bidi="ar-SA"/>
        </w:rPr>
        <w:t>الْیَقِینِ وَ مِنَ الْکِبْرِ إِلَی التَّوَاضُعِ وَ مِنَ الْعَدَاوَةِ إِلَی النَّصِیحَةِ وَ مِنَ الرِّیَاءِ إِلَی الْإِخْلَاصِ وَ مِنَ الرَّغْبَةِ إِلَی الزُّهْدِ؛</w:t>
      </w:r>
      <w:r>
        <w:rPr>
          <w:rStyle w:val="FootnoteAnchor"/>
          <w:rtl w:val="true"/>
        </w:rPr>
        <w:footnoteReference w:id="157"/>
      </w:r>
    </w:p>
    <w:p>
      <w:pPr>
        <w:pStyle w:val="BookText"/>
        <w:rPr/>
      </w:pPr>
      <w:r>
        <w:rPr>
          <w:rFonts w:ascii="IRNazanin" w:hAnsi="IRNazanin" w:eastAsia="IRNazanin"/>
          <w:color w:val="111111"/>
          <w:sz w:val="28"/>
          <w:sz w:val="28"/>
          <w:szCs w:val="28"/>
          <w:rtl w:val="true"/>
          <w:lang w:bidi="fa-IR"/>
        </w:rPr>
        <w:t xml:space="preserve">معدن الجواهر، ص </w:t>
      </w:r>
      <w:r>
        <w:rPr>
          <w:rFonts w:eastAsia="IRNazanin" w:cs="IRNazanin"/>
          <w:color w:val="111111"/>
          <w:sz w:val="28"/>
          <w:szCs w:val="28"/>
          <w:lang w:bidi="fa-IR"/>
        </w:rPr>
        <w:t>49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فرمود ننشینید نزد کسی مگر آنکه شما را بخواند از پنج چیز به پنج 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شک به یقین، از کبر و سرکشی به فروتنی، از دشمنی به دوستی، از ریاکاری به اخلاص، از رغبت در دنیا به زهد در دنیا</w:t>
      </w:r>
      <w:r>
        <w:rPr>
          <w:rFonts w:eastAsia="IRNazanin" w:cs="IRNazanin"/>
          <w:color w:val="111111"/>
          <w:sz w:val="28"/>
          <w:szCs w:val="28"/>
          <w:rtl w:val="true"/>
          <w:lang w:bidi="fa-IR"/>
        </w:rPr>
        <w:t>.</w:t>
      </w:r>
      <w:r>
        <w:rPr>
          <w:rStyle w:val="FootnoteAnchor"/>
          <w:rtl w:val="true"/>
        </w:rPr>
        <w:footnoteReference w:id="158"/>
      </w:r>
    </w:p>
    <w:p>
      <w:pPr>
        <w:pStyle w:val="BookText"/>
        <w:rPr/>
      </w:pPr>
      <w:r>
        <w:rPr>
          <w:rFonts w:ascii="IRNazanin" w:hAnsi="IRNazanin" w:eastAsia="IRNazanin"/>
          <w:color w:val="111111"/>
          <w:sz w:val="28"/>
          <w:sz w:val="28"/>
          <w:szCs w:val="28"/>
          <w:rtl w:val="true"/>
          <w:lang w:bidi="fa-IR"/>
        </w:rPr>
        <w:t>و قال بعض العلماء یصبح المؤمن و له ستة أعداء نفسه و دنیاه و الشیطان و الجاهل و المنافق و الکافر فأما نفسه فتنازعه الشهوات و أما الشیطان فیرید منه الزلة و أما الدنیا فتفسده و أما الجاهل فیحسده و أما المنافق فیؤذیه و أما الکافر فیرید قتله؛</w:t>
      </w:r>
      <w:r>
        <w:rPr>
          <w:rStyle w:val="FootnoteAnchor"/>
          <w:rtl w:val="true"/>
        </w:rPr>
        <w:footnoteReference w:id="159"/>
      </w:r>
    </w:p>
    <w:p>
      <w:pPr>
        <w:pStyle w:val="BookText"/>
        <w:rPr/>
      </w:pPr>
      <w:r>
        <w:rPr>
          <w:rFonts w:ascii="IRNazanin" w:hAnsi="IRNazanin" w:eastAsia="IRNazanin"/>
          <w:color w:val="111111"/>
          <w:sz w:val="28"/>
          <w:sz w:val="28"/>
          <w:szCs w:val="28"/>
          <w:rtl w:val="true"/>
          <w:lang w:bidi="fa-IR"/>
        </w:rPr>
        <w:t>بعضی از علماء گفته‌اند که هرگاه مؤمن صبح می‌کند، از برای اوست شش دشمن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او، دنیای او، شیطان، نادان، منافق، کافر؛ و اما نفس او پس در پی شهوت‌ها و لذّت‌ها می‌باشد، اما شیطان پس در پی لغزیدن اوست، اما دنیا پس در مقام فساد اوست، اما نادان پس حسد می‌برد بر او، اما منافق پس در پی اذیّت اوست، اما کافر پس در پی کشتن اوست</w:t>
      </w:r>
      <w:r>
        <w:rPr>
          <w:rFonts w:eastAsia="IRNazanin" w:cs="IRNazanin"/>
          <w:color w:val="111111"/>
          <w:sz w:val="28"/>
          <w:szCs w:val="28"/>
          <w:rtl w:val="true"/>
          <w:lang w:bidi="fa-IR"/>
        </w:rPr>
        <w:t>.</w:t>
      </w:r>
      <w:r>
        <w:rPr>
          <w:rStyle w:val="FootnoteAnchor"/>
          <w:rtl w:val="true"/>
        </w:rPr>
        <w:footnoteReference w:id="160"/>
      </w:r>
    </w:p>
    <w:p>
      <w:pPr>
        <w:pStyle w:val="BookText"/>
        <w:rPr/>
      </w:pPr>
      <w:r>
        <w:rPr>
          <w:rFonts w:ascii="IRNazanin" w:hAnsi="IRNazanin" w:eastAsia="IRNazanin"/>
          <w:color w:val="111111"/>
          <w:sz w:val="28"/>
          <w:sz w:val="28"/>
          <w:szCs w:val="28"/>
          <w:rtl w:val="true"/>
          <w:lang w:bidi="fa-IR"/>
        </w:rPr>
        <w:t>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الاثنا عشریة فی المواعظ العددیة، محمد بن محمد حسینی عاملی جزینی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زنده در </w:t>
      </w:r>
      <w:r>
        <w:rPr>
          <w:rFonts w:eastAsia="IRNazanin" w:cs="IRNazanin"/>
          <w:color w:val="111111"/>
          <w:sz w:val="28"/>
          <w:szCs w:val="28"/>
          <w:lang w:bidi="fa-IR"/>
        </w:rPr>
        <w:t>1068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نویسندۀ کتاب، از نوادگان</w:t>
      </w:r>
      <w:r>
        <w:rPr>
          <w:rStyle w:val="FootnoteAnchor"/>
          <w:rtl w:val="true"/>
        </w:rPr>
        <w:footnoteReference w:id="161"/>
      </w:r>
      <w:r>
        <w:rPr>
          <w:rFonts w:ascii="IRNazanin" w:hAnsi="IRNazanin" w:eastAsia="IRNazanin"/>
          <w:color w:val="111111"/>
          <w:sz w:val="28"/>
          <w:sz w:val="28"/>
          <w:szCs w:val="28"/>
          <w:rtl w:val="true"/>
          <w:lang w:bidi="fa-IR"/>
        </w:rPr>
        <w:t>شهید ثانی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دانشمندی محدث برشمرده‌اند که در وعظ و سخنرانی نیز توانمند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کامل وی چنین است</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محمد بن حسن بن قاسم حسینی عیناثی عاملی جزینی</w:t>
      </w:r>
      <w:r>
        <w:rPr>
          <w:rFonts w:eastAsia="IRNazanin" w:cs="IRNazanin"/>
          <w:color w:val="111111"/>
          <w:sz w:val="28"/>
          <w:szCs w:val="28"/>
          <w:rtl w:val="true"/>
          <w:lang w:bidi="fa-IR"/>
        </w:rPr>
        <w:t>.</w:t>
      </w:r>
      <w:r>
        <w:rPr>
          <w:rStyle w:val="FootnoteAnchor"/>
          <w:rtl w:val="true"/>
        </w:rPr>
        <w:footnoteReference w:id="162"/>
      </w:r>
      <w:r>
        <w:rPr>
          <w:rFonts w:ascii="IRNazanin" w:hAnsi="IRNazanin" w:eastAsia="IRNazanin"/>
          <w:color w:val="111111"/>
          <w:sz w:val="28"/>
          <w:sz w:val="28"/>
          <w:szCs w:val="28"/>
          <w:rtl w:val="true"/>
          <w:lang w:bidi="fa-IR"/>
        </w:rPr>
        <w:t>کتاب اثنا عشریه دارای یک مقدمه، دوازده باب و یک خاتمه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هر باب را مانند کتاب معدن الجواهر با روایات نبوی از طریق شیعه آغاز کرده و سپس از طرق دیگر نیز</w:t>
      </w:r>
    </w:p>
    <w:p>
      <w:pPr>
        <w:pStyle w:val="BookText"/>
        <w:rPr/>
      </w:pPr>
      <w:r>
        <w:rPr>
          <w:rFonts w:ascii="IRNazanin" w:hAnsi="IRNazanin" w:eastAsia="IRNazanin"/>
          <w:color w:val="111111"/>
          <w:sz w:val="28"/>
          <w:sz w:val="28"/>
          <w:szCs w:val="28"/>
          <w:rtl w:val="true"/>
          <w:lang w:bidi="fa-IR"/>
        </w:rPr>
        <w:t>بهره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نقل روایات از دیگر معصومان، ترتیب ائمه را رعایت کرده است؛ بدین‌سان که پس از روایات نبوی، روایات علوی، روایات امام حسن، روایات امام حسین علیهم السلام و به همین ترتیب، معصومان دیگر را نیز گزارش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انتهای هر باب پس از روایات معصومان، سخنان حکما، علما وعرفا را نیز بدان افزوده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نویسنده در نهم رجب </w:t>
      </w:r>
      <w:r>
        <w:rPr>
          <w:rFonts w:eastAsia="IRNazanin" w:cs="IRNazanin"/>
          <w:color w:val="111111"/>
          <w:sz w:val="28"/>
          <w:szCs w:val="28"/>
          <w:lang w:bidi="fa-IR"/>
        </w:rPr>
        <w:t>1068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این اثر را به پایان رسانده است</w:t>
      </w:r>
      <w:r>
        <w:rPr>
          <w:rFonts w:eastAsia="IRNazanin" w:cs="IRNazanin"/>
          <w:color w:val="111111"/>
          <w:sz w:val="28"/>
          <w:szCs w:val="28"/>
          <w:rtl w:val="true"/>
          <w:lang w:bidi="fa-IR"/>
        </w:rPr>
        <w:t>.</w:t>
      </w:r>
      <w:r>
        <w:rPr>
          <w:rStyle w:val="FootnoteAnchor"/>
          <w:rtl w:val="true"/>
        </w:rPr>
        <w:footnoteReference w:id="16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الذریعة،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576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آنچه مؤلف، خود را بدان ملزم ساخته، کل کتاب دوازده بخش است و هر بخش نیز شامل دوازده فصل مجزاست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در دسته‌بندی فصل‌ها گاه بیش از هر چیز دیگر الفاظ آغازین روایات مورد عنایت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این‌گونه دسته‌بندی در باب اول که به خصلت‌های واحد اختصاص دارد کاملاً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سایر بخش‌ها بیشتر مروی عنه و یا طریق روایت که شیعه و یا سنی است، منشأ باب‌بندی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نمونه در بخش نخست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خصلت‌های یگانه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فصل‌ها به چشم می‌خورد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روایاتی که با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روایاتی که با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روایاتی که با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روایاتی که با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روایاتی که با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روایاتی که با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روایاتی که با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می‌شود</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کتاب الاثنا عشریة نخستین بار در ایران به سال </w:t>
      </w:r>
      <w:r>
        <w:rPr>
          <w:rFonts w:eastAsia="IRNazanin" w:cs="IRNazanin"/>
          <w:color w:val="111111"/>
          <w:sz w:val="28"/>
          <w:szCs w:val="28"/>
          <w:lang w:bidi="fa-IR"/>
        </w:rPr>
        <w:t>1322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شده است</w:t>
      </w:r>
      <w:r>
        <w:rPr>
          <w:rFonts w:eastAsia="IRNazanin" w:cs="IRNazanin"/>
          <w:color w:val="111111"/>
          <w:sz w:val="28"/>
          <w:szCs w:val="28"/>
          <w:rtl w:val="true"/>
          <w:lang w:bidi="fa-IR"/>
        </w:rPr>
        <w:t>.</w:t>
      </w:r>
      <w:r>
        <w:rPr>
          <w:rStyle w:val="FootnoteAnchor"/>
          <w:rtl w:val="true"/>
        </w:rPr>
        <w:footnoteReference w:id="164"/>
      </w:r>
    </w:p>
    <w:p>
      <w:pPr>
        <w:pStyle w:val="BookText"/>
        <w:rPr/>
      </w:pPr>
      <w:r>
        <w:rPr>
          <w:rFonts w:ascii="IRNazanin" w:hAnsi="IRNazanin" w:eastAsia="IRNazanin"/>
          <w:color w:val="111111"/>
          <w:sz w:val="28"/>
          <w:sz w:val="28"/>
          <w:szCs w:val="28"/>
          <w:rtl w:val="true"/>
          <w:lang w:bidi="fa-IR"/>
        </w:rPr>
        <w:t>همچنین برخی روایات این کتاب منفرد بوده، در هیچ‌یک از منابع فریقین وجود ندارد و باید این نکته را نیز یادآور شد که به نظر می‌رسد نویسنده در نقل روایات، همواره به دو کتاب خصال و معدن الجواهر توجه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گفتنی است زیبایی این اثر و جذابیت‌های موجود در آن سبب شد که در همان زمان مؤلف، به وی مراجعه شود تا گزیده‌ای از آن را نیز به صورت جداگانه تألیف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مؤلف، خود به تلخیص کتاب خویش اقدام کرد و نام آن را منتخب الاثنی عشریة فی المواعظ العددیة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نسخۀ خطی این منتخب در کتابخانۀ ملا محمد علی خوانساری در نجف وجود دارد</w:t>
      </w:r>
      <w:r>
        <w:rPr>
          <w:rFonts w:eastAsia="IRNazanin" w:cs="IRNazanin"/>
          <w:color w:val="111111"/>
          <w:sz w:val="28"/>
          <w:szCs w:val="28"/>
          <w:rtl w:val="true"/>
          <w:lang w:bidi="fa-IR"/>
        </w:rPr>
        <w:t>.</w:t>
      </w:r>
      <w:r>
        <w:rPr>
          <w:rStyle w:val="FootnoteAnchor"/>
          <w:rtl w:val="true"/>
        </w:rPr>
        <w:footnoteReference w:id="165"/>
      </w:r>
    </w:p>
    <w:p>
      <w:pPr>
        <w:pStyle w:val="BookText"/>
        <w:rPr/>
      </w:pPr>
      <w:r>
        <w:rPr>
          <w:rFonts w:ascii="IRNazanin" w:hAnsi="IRNazanin" w:eastAsia="IRNazanin"/>
          <w:color w:val="111111"/>
          <w:sz w:val="28"/>
          <w:sz w:val="28"/>
          <w:szCs w:val="28"/>
          <w:rtl w:val="true"/>
          <w:lang w:bidi="fa-IR"/>
        </w:rPr>
        <w:t xml:space="preserve">الذریعة، ج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367</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7474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آیت‌اللّه مشکینی در سال‌های پیش از انقلاب اسلامی این کتاب را تصحیح و با تغییراتی عمده با عناوینی چون مواعظ العددیه و نصایح منتشر ساختند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 که به باور نگارندۀ این سطور، اثر منتشرشده توسط ایشان تغییرات بسیار عمده‌ای در مقایسه با اثر نخست داشته است، شایسته است که به صورت مستقل در ادامۀ این نوشتار بدان اشاره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بخش نیز همچون دیگر بخش‌های قبلی، روایتی را از کتاب یادشده گزارش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روایت از باب هفتم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خصلت‌های هفتگانه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فصل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مما روته العامة عن النبی صلی الله علیه و آله گزینش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النبی صلی الله علیه و آله سَبْعَةُ أَسْبَابٍ یُکْتَبُ لِلْعَبْدِ ثَوَابُهَا بَعْدَ وَفَاتِهِ رَجُلٌ غَرَسَ نَخْلاً أَوْ حَفَرَ بِئْراً أَوْ أَجْرَی نَهَراً أَوْ بَنَی مَسْجِداً أَوْ کَتَبَ مُصْحَفاً أَوْ وَرِثَ عِلْماً أَوْ خَلَّفَ وَلَداً صَالِحاً یَسْتَغْفِرُ لَهُ بَعْدَ وَفَاتِهِ؛</w:t>
      </w:r>
      <w:r>
        <w:rPr>
          <w:rStyle w:val="FootnoteAnchor"/>
          <w:rtl w:val="true"/>
        </w:rPr>
        <w:footnoteReference w:id="166"/>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خدا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چیز سبب می‌شود که پاداش آن پس از وفات نیز به فرد میت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که نخلی را کاشته یا چاه آبی را حفر کرده یا نهر آبی را جاری ساخته یا مسجدی را بنا کرده یا قرآنی را نگاشته یا دانشی را به ارث گذاشته یا فرزند صالحی را به یادگار گذاشته که برای پدرش پس از وفات استغفار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السعادة الأبدیة فی الاخبار العددیة، علی پارچینی یزدی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نویسندۀ این کتاب شیخ علی بن زین العابدین پارچینی یزدی است که در عراق می‌زیسته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 وی در پایین پای حرم حضرت عباس علیه السلام در کربلاست</w:t>
      </w:r>
      <w:r>
        <w:rPr>
          <w:rFonts w:eastAsia="IRNazanin" w:cs="IRNazanin"/>
          <w:color w:val="111111"/>
          <w:sz w:val="28"/>
          <w:szCs w:val="28"/>
          <w:rtl w:val="true"/>
          <w:lang w:bidi="fa-IR"/>
        </w:rPr>
        <w:t>.</w:t>
      </w:r>
      <w:r>
        <w:rPr>
          <w:rStyle w:val="FootnoteAnchor"/>
          <w:rtl w:val="true"/>
        </w:rPr>
        <w:footnoteReference w:id="16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الذریعة، ج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180</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1194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اطلاعات چندانی از این کتاب در دست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می‌دانیم که کتاب پس از انتشار توسط خود نویسنده تلخیص و با عنوان روح السعادة فی الاخبار المرویة عن السادة در سال </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منتشر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همچنین آقا بزرگ تهرانی که کتاب را دیده است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در بیست بخش بوده و ترتیب آن نظیر دیگر کتاب‌های احادیث عددی بوده؛ یعنی بدین‌سان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الاخبار المفردة والثنائیة والثلاثیة والرباعیة 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الدرر السنیة فی المواعظ العددیة من الآحادیة إلی آخر العشاریة، سید حسن بن محمد حسینی یزدی حائری</w:t>
      </w:r>
    </w:p>
    <w:p>
      <w:pPr>
        <w:pStyle w:val="BookText"/>
        <w:rPr/>
      </w:pPr>
      <w:r>
        <w:rPr>
          <w:rFonts w:ascii="IRNazanin" w:hAnsi="IRNazanin" w:eastAsia="IRNazanin"/>
          <w:color w:val="111111"/>
          <w:sz w:val="28"/>
          <w:sz w:val="28"/>
          <w:szCs w:val="28"/>
          <w:rtl w:val="true"/>
          <w:lang w:bidi="fa-IR"/>
        </w:rPr>
        <w:t>نویسندۀ کتاب، مرحوم حسینی یزدی حائری از عالمان نکونام مشهد و هم‌عصر صاحب جواهر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بیشتر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أشرف الواعظین حاج میرزا حسن حسینی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نویسنده، این اثر را به زبان فارسی نگاشته و پس از نقل هر روایت، آن را به فارسی ترجمه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ساختار کتاب الدرر السنیه بدین 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یک مقدمه، ده باب از خصلت‌های یگانه تا خصلت‌های ده‌گانه سامان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باب نیز دارای چهل حدیث و در مجموع کتاب در بردارندۀ چهار صد روایت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از باب اول که نویسنده منابع روایات را نقل نکرده است، در ابواب دیگر منابع روایات گزارش شده است</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اشرف الواعظین در صفحات پایانی کتاب، مجموعۀ منابع خود را که بالغ بر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بوده، یک‌یک نام برده و هریک را به صورت مفصل معرفی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همراه با اجازات روایی اشرف الواعظین و تقریظاتی در نکوداشت این اثر، در</w:t>
      </w:r>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شد</w:t>
      </w:r>
      <w:r>
        <w:rPr>
          <w:rFonts w:eastAsia="IRNazanin" w:cs="IRNazanin"/>
          <w:color w:val="111111"/>
          <w:sz w:val="28"/>
          <w:szCs w:val="28"/>
          <w:rtl w:val="true"/>
          <w:lang w:bidi="fa-IR"/>
        </w:rPr>
        <w:t>.</w:t>
      </w:r>
      <w:r>
        <w:rPr>
          <w:rStyle w:val="FootnoteAnchor"/>
          <w:rtl w:val="true"/>
        </w:rPr>
        <w:footnoteReference w:id="168"/>
      </w:r>
    </w:p>
    <w:p>
      <w:pPr>
        <w:pStyle w:val="BookText"/>
        <w:rPr/>
      </w:pPr>
      <w:r>
        <w:rPr>
          <w:rFonts w:ascii="IRNazanin" w:hAnsi="IRNazanin" w:eastAsia="IRNazanin"/>
          <w:color w:val="111111"/>
          <w:sz w:val="28"/>
          <w:sz w:val="28"/>
          <w:szCs w:val="28"/>
          <w:rtl w:val="true"/>
          <w:lang w:bidi="fa-IR"/>
        </w:rPr>
        <w:t xml:space="preserve">همان، ج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464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نصایح یا مواعظ العددیة، آیت اللّه میرزا علی مشکینی</w:t>
      </w:r>
    </w:p>
    <w:p>
      <w:pPr>
        <w:pStyle w:val="BookText"/>
        <w:rPr/>
      </w:pPr>
      <w:r>
        <w:rPr>
          <w:rFonts w:ascii="IRNazanin" w:hAnsi="IRNazanin" w:eastAsia="IRNazanin"/>
          <w:color w:val="111111"/>
          <w:sz w:val="28"/>
          <w:sz w:val="28"/>
          <w:szCs w:val="28"/>
          <w:rtl w:val="true"/>
          <w:lang w:bidi="fa-IR"/>
        </w:rPr>
        <w:t xml:space="preserve">پیش از این گذشت که محمد بن محمد بن حسن حسینی عاملی، کتابی را با عنوان الاثنا عشریة فی المواعظ العددیة در سال </w:t>
      </w:r>
      <w:r>
        <w:rPr>
          <w:rFonts w:eastAsia="IRNazanin" w:cs="IRNazanin"/>
          <w:color w:val="111111"/>
          <w:sz w:val="28"/>
          <w:szCs w:val="28"/>
          <w:lang w:bidi="fa-IR"/>
        </w:rPr>
        <w:t>1068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تألیف کرده است که در ایران بارها منتشر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مشکینی این کتاب را شایستۀ مطالعه در بزم‌های عالمانه و حتی نشست‌های عمومی دانسته و در دیباچۀ این کتاب یادآور شده‌اند که از این کتاب بهره‌های بسیاری در این نشست‌ها برده‌اند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وقتی استقبال خوب از این اثر ارزشمند را مشاهده می‌کنند، در صدد برمی‌آیند تا آن را از کژی‌ها و ناراستی‌ها بپیرایند؛ ازاین‌رو در ابتدای کتاب مواعظ العددیه اشکالات کتاب الاثنا عشریه را این‌گونه برمی‌شمارند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فرأیت الکتاب ناقصا من جهات مخلا، و زائدا من اخری مملا، فان صاحبه لما التزم علی نفسه فی اوله ان یجعله اثنی‌عشر بابا و یجعل کل باب اثنی عشر فصلا، و لم یجد فی اغلب الابواب من السنة و الکتاب، مما یکمل به فصوله و ما شرط علی نفسه حصوله، تعرض لامور لاطائل تحتها و لامساس لمقصد الکتاب فی نقلها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ننقل مسائل صرفیة و نحویة وقصصا من عباد السلف و زهادها بما لایوافق السنة النبویه و قد کان ما تعرض به من امثال هذه الزوائد فی کتابه کثیرا، نصفه او انقص منه قلیلا او زد علیه قلیلا</w:t>
      </w:r>
      <w:r>
        <w:rPr>
          <w:rFonts w:eastAsia="IRNazanin" w:cs="IRNazanin"/>
          <w:color w:val="111111"/>
          <w:sz w:val="28"/>
          <w:szCs w:val="28"/>
          <w:rtl w:val="true"/>
          <w:lang w:bidi="fa-IR"/>
        </w:rPr>
        <w:t>....</w:t>
      </w:r>
      <w:r>
        <w:rPr>
          <w:rStyle w:val="FootnoteAnchor"/>
          <w:rtl w:val="true"/>
        </w:rPr>
        <w:footnoteReference w:id="169"/>
      </w:r>
    </w:p>
    <w:p>
      <w:pPr>
        <w:pStyle w:val="BookText"/>
        <w:rPr/>
      </w:pPr>
      <w:r>
        <w:rPr>
          <w:rFonts w:ascii="IRNazanin" w:hAnsi="IRNazanin" w:eastAsia="IRNazanin"/>
          <w:color w:val="111111"/>
          <w:sz w:val="28"/>
          <w:sz w:val="28"/>
          <w:szCs w:val="28"/>
          <w:rtl w:val="true"/>
          <w:lang w:bidi="fa-IR"/>
        </w:rPr>
        <w:t>می‌توان مهم‌ترین اشکالات ایشان بر کتاب اصلی را این‌گونه شماره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عدم جامعیت و مانعیت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نقصان و مُخِل بودن از جهاتی و زیادت مُمِل بودن از جهات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تقید نابجای نویسنده بر دوازده فصل بودن هر باب، سبب نقل مطالب ضعیف و بی‌فایده شده 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 مطالبی که با اغراض نویسنده در مقدمه متعارض 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عدم نقل آیات و روایات در بیشتر ابواب؛</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 مسائل صرفی و نحوی که برای عموم بی‌فایده 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نقل داستان‌ها و مطالبی از برخی عابدان و زاهدان، که با سنت نبوی صلی الله علیه و آله ناسازگار است؛</w:t>
      </w:r>
    </w:p>
    <w:p>
      <w:pPr>
        <w:pStyle w:val="BookText"/>
        <w:rPr/>
      </w:pPr>
      <w:r>
        <w:rPr>
          <w:rFonts w:ascii="IRNazanin" w:hAnsi="IRNazanin" w:eastAsia="IRNazanin"/>
          <w:color w:val="111111"/>
          <w:sz w:val="28"/>
          <w:sz w:val="28"/>
          <w:szCs w:val="28"/>
          <w:rtl w:val="true"/>
          <w:lang w:bidi="fa-IR"/>
        </w:rPr>
        <w:t>این اشکالات سبب شد که آیت‌اللّه مشکینی، ابتدا با انگیزۀ تهذیب و تنقیح، این کتاب را از روایات و مطالب سست و ضعیف پیراسته سازد؛ اما در ادامه ایشان تصمیم می‌گیرد که افزون بر پیرایش کتاب، در جهت اصلاح آن روایاتی را به ابواب، و حتی ابوابی را به اصل کتاب بیفزایند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اثنا عشریه که نه تنها به دوازده باب بودنش شناخته شده بود، بلکه به همان نام نیز خوانده می‌شد، رفته‌رفته در اثر جدید، باب‌های جدیدی به خود دید که با قالب قبل بسیار فاصله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آیت‌اللّه مشکینی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فلخصته و هذبته، و حذفت الغث و ابقیت السمین، و طرحت البهرج و اخذت الثمین، فاخترت ابقاء الروایات من الامامیة و اهل السنة ثم اضفت الی ذلک اخبار کثیرة تلو اعداد انتهیت الیها مطالب الکتاب، فشرعت من ثلاثة عشر الی‌الماتین او اکثر ونقلت من کتاب الخصال لخریط هذه الصناعة و حفظة القمیین الشیخ ابی جعفر محمد بن علی بن بابویه القمی رحمه اللّه، ملخصا مختارا محذوف الاسانید تبعا لاصل الکتاب</w:t>
      </w:r>
      <w:r>
        <w:rPr>
          <w:rFonts w:eastAsia="IRNazanin" w:cs="IRNazanin"/>
          <w:color w:val="111111"/>
          <w:sz w:val="28"/>
          <w:szCs w:val="28"/>
          <w:rtl w:val="true"/>
          <w:lang w:bidi="fa-IR"/>
        </w:rPr>
        <w:t>.</w:t>
      </w:r>
      <w:r>
        <w:rPr>
          <w:rStyle w:val="FootnoteAnchor"/>
          <w:rtl w:val="true"/>
        </w:rPr>
        <w:footnoteReference w:id="170"/>
      </w:r>
    </w:p>
    <w:p>
      <w:pPr>
        <w:pStyle w:val="BookText"/>
        <w:rPr/>
      </w:pPr>
      <w:r>
        <w:rPr>
          <w:rFonts w:ascii="IRNazanin" w:hAnsi="IRNazanin" w:eastAsia="IRNazanin"/>
          <w:color w:val="111111"/>
          <w:sz w:val="28"/>
          <w:sz w:val="28"/>
          <w:szCs w:val="28"/>
          <w:rtl w:val="true"/>
          <w:lang w:bidi="fa-IR"/>
        </w:rPr>
        <w:t xml:space="preserve">المواعظ العددیه، 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بخش از مقدمه، نویسنده شیوه و چگونگی تغییرات را بیان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طور کلی وی چهار کار اصلی در کتاب مصدر انجام داده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پیراستن مطالب ضعیف؛</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افزودن روایات به طور گسترده از خصال شیخ صدوق؛</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افزودن ابواب؛</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یکسان‌سازی روایات و ابواب جدید با کتاب اصلی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می‌توان به‌جرئت گفت که این کتاب به‌طورکلی از جهت ماهیت، با کتاب نوادۀ شهید ثانی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به همین دلیل باشد که آیت‌اللّه مشکینی در مقدمۀ نسخۀ فارسی، یعنی کتاب نصایح، هیچ اشاره‌ای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حسینی عاملی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اثنا عشریه نکرده است و مقدمه‌ای برای کتاب سامان داده که خودْ بیانگر آن است که کتاب فعلی، اثری جدید است</w:t>
      </w:r>
      <w:r>
        <w:rPr>
          <w:rFonts w:eastAsia="IRNazanin" w:cs="IRNazanin"/>
          <w:color w:val="111111"/>
          <w:sz w:val="28"/>
          <w:szCs w:val="28"/>
          <w:rtl w:val="true"/>
          <w:lang w:bidi="fa-IR"/>
        </w:rPr>
        <w:t>.</w:t>
      </w:r>
      <w:r>
        <w:rPr>
          <w:rStyle w:val="FootnoteAnchor"/>
          <w:rtl w:val="true"/>
        </w:rPr>
        <w:footnoteReference w:id="171"/>
      </w:r>
    </w:p>
    <w:p>
      <w:pPr>
        <w:pStyle w:val="BookText"/>
        <w:rPr/>
      </w:pPr>
      <w:r>
        <w:rPr>
          <w:rFonts w:ascii="IRNazanin" w:hAnsi="IRNazanin" w:eastAsia="IRNazanin"/>
          <w:color w:val="111111"/>
          <w:sz w:val="28"/>
          <w:sz w:val="28"/>
          <w:szCs w:val="28"/>
          <w:rtl w:val="true"/>
          <w:lang w:bidi="fa-IR"/>
        </w:rPr>
        <w:t>نصایح، مقدمه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مقدمه را آیت‌اللّه مشکینی در تاریخ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الاولی سال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در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نگاشته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گفتنی است که از این کتاب استقبال شایانی در جوامع علمی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به زبان عربی و با عنوان المواعظ العددیه همراه با نکات حدیثی و تحقیقی آیت‌اللّه احمدی میانجی منتشر شد و پس از مدتی آیت‌اللّه احمد جنتی کتاب را به فارسی ترجمه کرد و با عناوینی چون سخنان چهارده معصوم، هزار و یک سخن و نصایح منتشر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در حال حاضر بیشتر با عناوین مواعظ العددیه و نصایح شناخته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بخش افزوده‌های ابواب، باب سیزده تا چهارصد، روایات مشهوری نظیر وصایای چهل‌گانۀ پیامبر به امام علی،</w:t>
      </w:r>
      <w:r>
        <w:rPr>
          <w:rStyle w:val="FootnoteAnchor"/>
          <w:rtl w:val="true"/>
        </w:rPr>
        <w:footnoteReference w:id="172"/>
      </w:r>
      <w:r>
        <w:rPr>
          <w:rFonts w:ascii="Amiri" w:hAnsi="Amiri" w:eastAsia="Amiri" w:cs="Amiri"/>
          <w:color w:val="111111"/>
          <w:sz w:val="28"/>
          <w:sz w:val="28"/>
          <w:szCs w:val="28"/>
          <w:rtl w:val="true"/>
          <w:lang w:bidi="ar-SA"/>
        </w:rPr>
        <w:t>رسالة الحقوق امام سجاد</w:t>
      </w:r>
      <w:r>
        <w:rPr>
          <w:rStyle w:val="FootnoteAnchor"/>
          <w:rtl w:val="true"/>
        </w:rPr>
        <w:footnoteReference w:id="173"/>
      </w:r>
      <w:r>
        <w:rPr>
          <w:rFonts w:ascii="IRNazanin" w:hAnsi="IRNazanin" w:eastAsia="IRNazanin"/>
          <w:color w:val="111111"/>
          <w:sz w:val="28"/>
          <w:sz w:val="28"/>
          <w:szCs w:val="28"/>
          <w:rtl w:val="true"/>
          <w:lang w:bidi="fa-IR"/>
        </w:rPr>
        <w:t>و حدیث اربع‌مائه به چشم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پایان‌بخش این نوشته را نیز روایتی از باب هشتم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خصلت‌های هشتگانه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الفصل الثانی مما ورد عن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کتاب المواعظ العددیه، قرار می‌دهیم</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لِلْجَنَّةِ ثَمَانِیَةَ أَبْوَابٍ بَابٌ یَدْخُلُ مِنْهُ النَّبِیُّونَ وَ الصِّدِّیقُونَ وَ بَابٌ یَدْخُلُ مِنْهُ الشُّهَدَاءُ وَ الصَّالِحُونَ وَ خَمْسَةُ أَبْوَابٍ یَدْخُلُ مِنْهَا شِیعَتُنَا وَ مُحِبُّونَا فَلَا أَزَالُ وَاقِفاً عَلَی الصِّرَاطِ أَدْعُو وَ أَقُولُ رَبِّ سَلِّمْ شِیعَتِی وَ مُحِبِّی وَ أَنْصَارِی وَ</w:t>
      </w:r>
      <w:bookmarkStart w:id="244" w:name="pg14517_146265"/>
    </w:p>
    <w:p>
      <w:pPr>
        <w:pStyle w:val="BookText"/>
        <w:rPr/>
      </w:pPr>
      <w:bookmarkEnd w:id="244"/>
      <w:r>
        <w:rPr>
          <w:rFonts w:ascii="Amiri" w:hAnsi="Amiri" w:eastAsia="Amiri" w:cs="Amiri"/>
          <w:color w:val="111111"/>
          <w:sz w:val="28"/>
          <w:sz w:val="28"/>
          <w:szCs w:val="28"/>
          <w:rtl w:val="true"/>
          <w:lang w:bidi="ar-SA"/>
        </w:rPr>
        <w:t>مَنْ تَوَلَّانِی‌فِی دَارِ الدُّنْیَا فَإِذَا النِّدَاءُ مِنْ بُطْنَانِ الْعَرْشِ قَدْ أُجِیبَتْ دَعْوَتُکَ وَ شُفِّعْتَ فِی شِیعَتِکَ وَ یُشَفَّعُ کُلُّ رَجُلٍ مِنْ شِیعَتِی وَ مَنْ تَوَلَّانِی وَ نَصَرَنِی وَ حَارَبَ مَنْ حَارَبَنِی بِفِعْلٍ أَوْ قَوْلٍ فِی سَبْعِینَ أَلْفَ مِنْ جِیرَانِهِ وَ أَقْرِبَائِهِ وَ بَابٌ یَدْخُلُ مِنْهُ سَائِرُ الْمُسْلِمِینَ مِمَّنْ شَهِدَ أَنْ لَاإِلَهَ إِلَّا اللَّهُ وَ لَمْ یَکُنْ فِی قَلْبِهِ مِقْدَارُ ذَرَّةٍ مِنْ بُغْضِنَا أَهْلَ الْبَیْتِ؛</w:t>
      </w:r>
      <w:r>
        <w:rPr>
          <w:rStyle w:val="FootnoteAnchor"/>
          <w:rtl w:val="true"/>
        </w:rPr>
        <w:footnoteReference w:id="174"/>
      </w:r>
    </w:p>
    <w:p>
      <w:pPr>
        <w:pStyle w:val="BookText"/>
        <w:rPr/>
      </w:pPr>
      <w:r>
        <w:rPr>
          <w:rFonts w:ascii="IRNazanin" w:hAnsi="IRNazanin" w:eastAsia="IRNazanin"/>
          <w:color w:val="111111"/>
          <w:sz w:val="28"/>
          <w:sz w:val="28"/>
          <w:szCs w:val="28"/>
          <w:rtl w:val="true"/>
          <w:lang w:bidi="fa-IR"/>
        </w:rPr>
        <w:t xml:space="preserve">المواعظ العددیه، ص </w:t>
      </w:r>
      <w:r>
        <w:rPr>
          <w:rFonts w:eastAsia="IRNazanin" w:cs="IRNazanin"/>
          <w:color w:val="111111"/>
          <w:sz w:val="28"/>
          <w:szCs w:val="28"/>
          <w:lang w:bidi="fa-IR"/>
        </w:rPr>
        <w:t>206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هشت در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 است که پیامبران و صدیقان از آن داخل می‌شوند، و دری است که شهدا و صالحان از آن وارد می‌شوند، و پنج در دیگر هستند که شیعیان و دوستان ما از آن‌ها وارد می‌شوند و من همواره در کنار پل صراط می‌ایستم و دعا می‌کنم و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و دوستداران و یاران من و هر کسی را که در دنیا مرا دوست می‌داشت، سلامت بدار؛ و از داخل عرش ندا می‌رسد که دعای تو را اجابت کردم و شفاعت شیعیان تو را پذیرفتم، و هر مردی از شیعیان من و کسانی که مرا دوست داشته‌اند و یاری نموده‌اند و با دشمنان من با عمل یا زبان مبارزه کرده‌اند، به هفتاد هزار نفر از همسایگان و خویشان خود شفاعت می‌کند؛ و دری است که سایر مسلمانان از آن وارد می‌شود و آنان کسانی هستند که به یگانگی خدا گواهی داده، و در قلبشان به مقدار یک ذرّه دشمنی ما اهل بیت نباشد</w:t>
      </w:r>
      <w:r>
        <w:rPr>
          <w:rFonts w:eastAsia="IRNazanin" w:cs="IRNazanin"/>
          <w:color w:val="111111"/>
          <w:sz w:val="28"/>
          <w:szCs w:val="28"/>
          <w:rtl w:val="true"/>
          <w:lang w:bidi="fa-IR"/>
        </w:rPr>
        <w:t>.</w:t>
      </w:r>
    </w:p>
    <w:p>
      <w:pPr>
        <w:pStyle w:val="Heading3"/>
        <w:numPr>
          <w:ilvl w:val="2"/>
          <w:numId w:val="1"/>
        </w:numPr>
        <w:rPr/>
      </w:pPr>
      <w:bookmarkStart w:id="245" w:name="__RefHeading___Toc39778_1878427129"/>
      <w:bookmarkStart w:id="246" w:name="_Toc91"/>
      <w:bookmarkEnd w:id="245"/>
      <w:r>
        <w:rPr>
          <w:rtl w:val="true"/>
        </w:rPr>
        <w:t>کتاب نامه</w:t>
      </w:r>
      <w:bookmarkEnd w:id="24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إیضاح المکنون، إسماعیل پاشا بغدادی، تصحیح محمد شرف‌الدین یالتقایا، رفعت بیلگه الکلیسی،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إحیاء التراث العربی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التوحید، محمد بن علی بن بابویه 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صدوق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جامعۀ مدرسین حوزۀ علمیۀ قم، </w:t>
      </w:r>
      <w:r>
        <w:rPr>
          <w:rFonts w:eastAsia="IRNazanin" w:cs="IRNazanin"/>
          <w:color w:val="111111"/>
          <w:sz w:val="28"/>
          <w:szCs w:val="28"/>
          <w:lang w:bidi="fa-IR"/>
        </w:rPr>
        <w:t>1398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الخصال، محمد بن علی بن بابویه 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صدوق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 علی‌اکبر غفاری،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نشر الاسلامی، </w:t>
      </w:r>
      <w:r>
        <w:rPr>
          <w:rFonts w:eastAsia="IRNazanin" w:cs="IRNazanin"/>
          <w:color w:val="111111"/>
          <w:sz w:val="28"/>
          <w:szCs w:val="28"/>
          <w:lang w:bidi="fa-IR"/>
        </w:rPr>
        <w:t>1362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الذریعه إلی تصانیف الشیعة، آقا بزرگ طهرانی،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الأضواء،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سوم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رجال النجاشی، احمد بن علی نجاشی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مؤسسۀ نشر الاسلامی،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سبک‌شناخت کتاب‌های حدیثی، مهدی غلامعلی،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سمت، </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 دوم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عیون أخبار الرضا علیه السلام، محمد بن علی بن بابویه 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صدوق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مهدی حسینی لاجوردی،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فرهنگ بزرگ سخن، حسن انوری،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فرهنگ معاصر، آذرتاش آذرنوش،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نی،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الفهرست، منتجب الدین علی بن بابویه 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585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جلال‌الدین محدث ارموی، کتابخانه عمومی آیت‌اللّه العظمی مرعشی نجفی، قم</w:t>
      </w:r>
      <w:r>
        <w:rPr>
          <w:rFonts w:eastAsia="IRNazanin" w:cs="IRNazanin"/>
          <w:color w:val="111111"/>
          <w:sz w:val="28"/>
          <w:szCs w:val="28"/>
          <w:rtl w:val="true"/>
          <w:lang w:bidi="fa-IR"/>
        </w:rPr>
        <w:t xml:space="preserve">: </w:t>
      </w:r>
      <w:r>
        <w:rPr>
          <w:rFonts w:eastAsia="IRNazanin" w:cs="IRNazanin"/>
          <w:color w:val="111111"/>
          <w:sz w:val="28"/>
          <w:szCs w:val="28"/>
          <w:lang w:bidi="fa-IR"/>
        </w:rPr>
        <w:t>1366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الفهرست، محمد بن الحسن 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مؤسسۀ نشر الفقاهة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قاموس الرجال، محمد تقی شوشتری،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مؤسسۀ نشر اسلامی،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کتاب من لا یحضره الفقیه، محمد بن علی بن بابویه 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صدوق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مؤسسۀ نشر اسلامی،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لغت‌نامه، علی‌اکبر دهخدا،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تهران، </w:t>
      </w:r>
      <w:r>
        <w:rPr>
          <w:rFonts w:eastAsia="IRNazanin" w:cs="IRNazanin"/>
          <w:color w:val="111111"/>
          <w:sz w:val="28"/>
          <w:szCs w:val="28"/>
          <w:lang w:bidi="fa-IR"/>
        </w:rPr>
        <w:t>1372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المحاسن، أحمد بن محمد بن خالد برقی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تصحیح و تعلیق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جلال الدین حسینی محدث،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الإسلامیه،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معالم العلماء، محمد بن علی ابن شهر آشوب مازندرانی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588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معدن الجواهر و ریاضة الخواطر، محمد بن علی کراجکی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تصحیح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حسینی، احمد،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المکتبة المرتضویة، </w:t>
      </w:r>
      <w:r>
        <w:rPr>
          <w:rFonts w:eastAsia="IRNazanin" w:cs="IRNazanin"/>
          <w:color w:val="111111"/>
          <w:sz w:val="28"/>
          <w:szCs w:val="28"/>
          <w:lang w:bidi="fa-IR"/>
        </w:rPr>
        <w:t>1394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المواعظ العددیة، علی مشکینی اردبیلی،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کتابفروشی صحفی،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نزهة النواظر فی ترجمة معدن الجواهر، عباس 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کراجکی، محمد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اسلامیه، تهران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نصایح، علی مشکینی اردبیلی، ترجمه کتاب المواعظ العددیه، چاپخانه علمیۀ قم،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bookmarkStart w:id="247" w:name="pg14517_146268"/>
    </w:p>
    <w:p>
      <w:pPr>
        <w:pStyle w:val="Heading2"/>
        <w:numPr>
          <w:ilvl w:val="1"/>
          <w:numId w:val="1"/>
        </w:numPr>
        <w:rPr/>
      </w:pPr>
      <w:bookmarkStart w:id="248" w:name="__RefHeading___Toc39780_1878427129"/>
      <w:bookmarkStart w:id="249" w:name="_Toc92"/>
      <w:bookmarkEnd w:id="247"/>
      <w:bookmarkEnd w:id="248"/>
      <w:r>
        <w:rPr>
          <w:rtl w:val="true"/>
        </w:rPr>
        <w:t>پیامدهای نظریۀ تکامل و پاسخ های ایرانی</w:t>
      </w:r>
      <w:r>
        <w:rPr>
          <w:rtl w:val="true"/>
        </w:rPr>
        <w:t xml:space="preserve">: </w:t>
      </w:r>
      <w:r>
        <w:rPr>
          <w:rtl w:val="true"/>
        </w:rPr>
        <w:t>از طباطبایی تا مشکینی</w:t>
      </w:r>
      <w:bookmarkEnd w:id="249"/>
    </w:p>
    <w:p>
      <w:pPr>
        <w:pStyle w:val="Heading3"/>
        <w:numPr>
          <w:ilvl w:val="2"/>
          <w:numId w:val="1"/>
        </w:numPr>
        <w:rPr/>
      </w:pPr>
      <w:bookmarkStart w:id="250" w:name="__RefHeading___Toc39782_1878427129"/>
      <w:bookmarkStart w:id="251" w:name="_Toc93"/>
      <w:bookmarkEnd w:id="250"/>
      <w:r>
        <w:rPr>
          <w:rtl w:val="true"/>
        </w:rPr>
        <w:t>اشاره</w:t>
      </w:r>
      <w:bookmarkEnd w:id="251"/>
    </w:p>
    <w:p>
      <w:pPr>
        <w:pStyle w:val="BookText"/>
        <w:rPr/>
      </w:pPr>
      <w:r>
        <w:rPr>
          <w:rFonts w:ascii="IRNazanin" w:hAnsi="IRNazanin" w:eastAsia="IRNazanin"/>
          <w:color w:val="111111"/>
          <w:sz w:val="28"/>
          <w:sz w:val="28"/>
          <w:szCs w:val="28"/>
          <w:rtl w:val="true"/>
          <w:lang w:bidi="fa-IR"/>
        </w:rPr>
        <w:t>دکتر سید حسن اسلامی</w:t>
      </w:r>
      <w:r>
        <w:rPr>
          <w:rStyle w:val="FootnoteAnchor"/>
          <w:rtl w:val="true"/>
        </w:rPr>
        <w:footnoteReference w:id="175"/>
      </w:r>
    </w:p>
    <w:p>
      <w:pPr>
        <w:pStyle w:val="BookText"/>
        <w:rPr/>
      </w:pPr>
      <w:r>
        <w:rPr>
          <w:rFonts w:ascii="IRNazanin" w:hAnsi="IRNazanin" w:eastAsia="IRNazanin"/>
          <w:color w:val="111111"/>
          <w:sz w:val="28"/>
          <w:sz w:val="28"/>
          <w:szCs w:val="28"/>
          <w:rtl w:val="true"/>
          <w:lang w:bidi="fa-IR"/>
        </w:rPr>
        <w:t>دانشیار دانشگاه ادیان و مذاهب</w:t>
      </w:r>
      <w:r>
        <w:rPr>
          <w:rFonts w:eastAsia="IRNazanin" w:cs="IRNazanin"/>
          <w:color w:val="111111"/>
          <w:sz w:val="28"/>
          <w:szCs w:val="28"/>
          <w:rtl w:val="true"/>
          <w:lang w:bidi="fa-IR"/>
        </w:rPr>
        <w:t>.</w:t>
      </w:r>
    </w:p>
    <w:p>
      <w:pPr>
        <w:pStyle w:val="Heading3"/>
        <w:numPr>
          <w:ilvl w:val="2"/>
          <w:numId w:val="1"/>
        </w:numPr>
        <w:rPr/>
      </w:pPr>
      <w:bookmarkStart w:id="252" w:name="__RefHeading___Toc39784_1878427129"/>
      <w:bookmarkStart w:id="253" w:name="_Toc94"/>
      <w:bookmarkEnd w:id="252"/>
      <w:r>
        <w:rPr>
          <w:rtl w:val="true"/>
        </w:rPr>
        <w:t>چکیده</w:t>
      </w:r>
      <w:bookmarkEnd w:id="253"/>
    </w:p>
    <w:p>
      <w:pPr>
        <w:pStyle w:val="BookText"/>
        <w:rPr/>
      </w:pPr>
      <w:r>
        <w:rPr>
          <w:rFonts w:ascii="IRNazanin" w:hAnsi="IRNazanin" w:eastAsia="IRNazanin"/>
          <w:color w:val="111111"/>
          <w:sz w:val="28"/>
          <w:sz w:val="28"/>
          <w:szCs w:val="28"/>
          <w:rtl w:val="true"/>
          <w:lang w:bidi="fa-IR"/>
        </w:rPr>
        <w:t>نظریۀ تکاملی داروین، از همان آغاز نه فقط به مثابۀ نظریۀ علمی، بلکه چالشی برای ایمان شناخته و از این منظر نقد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گذر زمان، به میزانی که دینداران در آن نوعی به خطر افتادن آموزه‌های دینی خود می‌دیدند، ملحدان می‌کوشیدند در آن بنیادی برای الحاد خود بیابند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سبب، در کنار مباحث علمی مربوط به این نظریه، ابعاد گسترده‌ای میان موافقان و مخالفان آن وجود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نوشتار حاضر می‌کوشد دور از ساده‌سازی‌هایی که دربارۀ این نظریه صورت گرفته است، تصویری روشن از جایگاه این نظریه در مجامع علمی جهان امروز و پرسش‌های الهیات آن به دست دهد و پاسخ‌های مؤمنان به آن را بررسد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نگرش، نگارنده سه دیدگاه را میان عالمان و دانشوران معاصر ایران بازشناسی و تحلیل کرده و سرانجام، درس‌هایی که می‌توان از این ماجرای تاریخی آموخت به بحث گذاشته شده است</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نظریۀ تکامل، علم و دین، اخلاق پژوهش، اخلاق دانشوری، الحاد مدرن، مسائل کلامی جدید</w:t>
      </w:r>
      <w:r>
        <w:rPr>
          <w:rFonts w:eastAsia="IRNazanin" w:cs="IRNazanin"/>
          <w:color w:val="111111"/>
          <w:sz w:val="28"/>
          <w:szCs w:val="28"/>
          <w:rtl w:val="true"/>
          <w:lang w:bidi="fa-IR"/>
        </w:rPr>
        <w:t>.</w:t>
      </w:r>
      <w:bookmarkStart w:id="254" w:name="pg14517_146269"/>
    </w:p>
    <w:p>
      <w:pPr>
        <w:pStyle w:val="Heading3"/>
        <w:numPr>
          <w:ilvl w:val="2"/>
          <w:numId w:val="1"/>
        </w:numPr>
        <w:rPr/>
      </w:pPr>
      <w:bookmarkStart w:id="255" w:name="__RefHeading___Toc39786_1878427129"/>
      <w:bookmarkStart w:id="256" w:name="_Toc95"/>
      <w:bookmarkEnd w:id="254"/>
      <w:bookmarkEnd w:id="255"/>
      <w:r>
        <w:rPr/>
        <w:t>1</w:t>
      </w:r>
      <w:r>
        <w:rPr>
          <w:rtl w:val="true"/>
        </w:rPr>
        <w:t xml:space="preserve">. </w:t>
      </w:r>
      <w:r>
        <w:rPr>
          <w:rtl w:val="true"/>
        </w:rPr>
        <w:t>موازنۀ دشوار</w:t>
      </w:r>
      <w:bookmarkEnd w:id="256"/>
    </w:p>
    <w:p>
      <w:pPr>
        <w:pStyle w:val="BookText"/>
        <w:rPr/>
      </w:pPr>
      <w:r>
        <w:rPr>
          <w:rFonts w:ascii="IRNazanin" w:hAnsi="IRNazanin" w:eastAsia="IRNazanin"/>
          <w:color w:val="111111"/>
          <w:sz w:val="28"/>
          <w:sz w:val="28"/>
          <w:szCs w:val="28"/>
          <w:rtl w:val="true"/>
          <w:lang w:bidi="fa-IR"/>
        </w:rPr>
        <w:t xml:space="preserve">درحالی‌که امروزه برخی عالمان دین، نظریۀ تکاملی داروین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فرضیه‌ای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نمی‌دانند، اخترشناسان، زیست‌شناسان، و ژنتیک‌دانانی مانند کارل سیگَن، فرانسیس کریک، دانیل دِنِت، ادوارد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ویلسون، و ریچارد داوکینز آن را واقعیتی مسلّم می‌شمارند، بر آن پیامدهای فلسفی بار می‌کنند، و از آن الحاد را نتیجه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آن، اعتقاد به خدا را نوعی توهم می‌پندارند که باید زدوده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نگاه، داوکینز در نقد برهان نظم و خدایی که با این برهان اثبات می‌شود، کتاب ساعت‌ساز 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تکامل بر بی‌نظمی عالم شهادت می‌دهد؟</w:t>
      </w:r>
      <w:r>
        <w:rPr>
          <w:rStyle w:val="FootnoteAnchor"/>
          <w:rtl w:val="true"/>
        </w:rPr>
        <w:footnoteReference w:id="176"/>
      </w:r>
    </w:p>
    <w:p>
      <w:pPr>
        <w:pStyle w:val="BookText"/>
        <w:rPr/>
      </w:pPr>
      <w:r>
        <w:rPr>
          <w:rFonts w:eastAsia="Times New Roman" w:cs="Times New Roman" w:ascii="Times New Roman" w:hAnsi="Times New Roman"/>
          <w:color w:val="111111"/>
          <w:sz w:val="28"/>
          <w:szCs w:val="28"/>
          <w:lang w:val="en-US" w:bidi="en-US"/>
        </w:rPr>
        <w:t>Rich d D kins, The Blind W chm er: Why the Evidence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ک </w:t>
      </w:r>
      <w:r>
        <w:rPr>
          <w:rFonts w:eastAsia="Times New Roman" w:cs="Times New Roman" w:ascii="Times New Roman" w:hAnsi="Times New Roman"/>
          <w:color w:val="111111"/>
          <w:sz w:val="28"/>
          <w:szCs w:val="28"/>
          <w:lang w:val="en-US" w:bidi="en-US"/>
        </w:rPr>
        <w:t>Evolution Reve s Universe without Design 6891 ,kroY weN .cnI yn moC &amp; notroN</w:t>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 xml:space="preserve">را در سال </w:t>
      </w:r>
      <w:r>
        <w:rPr>
          <w:rFonts w:eastAsia="IRNazanin" w:cs="IRNazanin"/>
          <w:color w:val="111111"/>
          <w:sz w:val="28"/>
          <w:szCs w:val="28"/>
          <w:lang w:bidi="fa-IR"/>
        </w:rPr>
        <w:t>1986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کرد و کوشید در آن نشان دهد وجود نظم در عالم را بدون نیاز به ناظم می‌توان تبیین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او همچنین در ادامۀ کار خود، به نقد کل باورهای دینی دست زد و کتاب توهم خدا </w:t>
      </w:r>
      <w:r>
        <w:rPr>
          <w:rFonts w:eastAsia="IRNazanin" w:cs="IRNazanin"/>
          <w:color w:val="111111"/>
          <w:sz w:val="28"/>
          <w:szCs w:val="28"/>
          <w:rtl w:val="true"/>
          <w:lang w:bidi="fa-IR"/>
        </w:rPr>
        <w:t>(</w:t>
      </w:r>
      <w:r>
        <w:rPr>
          <w:rFonts w:eastAsia="IRNazanin" w:cs="IRNazanin"/>
          <w:color w:val="111111"/>
          <w:sz w:val="28"/>
          <w:szCs w:val="28"/>
          <w:lang w:bidi="fa-IR"/>
        </w:rPr>
        <w:t>2007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را نوشت که آن نیز از آثار عامه‌خوان و پرفروش به شمار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امروزه، به نوشتۀ گریلینگ، بیشترین ارجاع به نوشته‌های وی صورت می‌گیرد و با توجه به آنکه چه موضعی‌داشته باشیم، 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شهسوار یا شیطان جنگ علم بر ضد دین به شمار می‌رود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همچنین دانیل دِنِت،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داروینی متعهدی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می‌داند و از این نظریه به مثابۀ نوعی دیانت یاد و از آن دفاع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نظریۀ تکاملی داروین، نه صرفاً فرضیه‌ای فراموش‌شده است که هیچ گواهی</w:t>
      </w:r>
      <w:bookmarkStart w:id="257" w:name="pg14517_146270"/>
    </w:p>
    <w:p>
      <w:pPr>
        <w:pStyle w:val="BookText"/>
        <w:rPr/>
      </w:pPr>
      <w:bookmarkEnd w:id="257"/>
      <w:r>
        <w:rPr>
          <w:rFonts w:ascii="IRNazanin" w:hAnsi="IRNazanin" w:eastAsia="IRNazanin"/>
          <w:color w:val="111111"/>
          <w:sz w:val="28"/>
          <w:sz w:val="28"/>
          <w:szCs w:val="28"/>
          <w:rtl w:val="true"/>
          <w:lang w:bidi="fa-IR"/>
        </w:rPr>
        <w:t xml:space="preserve">از علم به سود آن نباشد؛ و نه واقعیت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و انکارناپذیری که بر اساس آن بتوان باورهای دینی را یکسره بی‌اعتبار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نظریۀ تکامل، در میانه ایستاده است و هرچند ممکن است باورهای دینی را بی‌اعتبار نکند، بی‌گمان آن‌ها را به چالش می‌گیرد و دینداران را به تأمل و بازاندیشی در معتقدات خود و بازسازی آن‌ها می‌انگیزد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بخشی از تلاش عالمان دین، چه مسیحی و چه مسلمان، طی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اخیر، بهترین شاهد این مدعاست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نظریۀ تکاملی داروین، از زمان ارائه تا کنون، به تعبیر دانیل دنت، در ایدۀ خطرناک داروین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تکامل و معنای زندگی،</w:t>
      </w:r>
      <w:r>
        <w:rPr>
          <w:rStyle w:val="FootnoteAnchor"/>
          <w:rtl w:val="true"/>
        </w:rPr>
        <w:footnoteReference w:id="177"/>
      </w:r>
    </w:p>
    <w:p>
      <w:pPr>
        <w:pStyle w:val="BookText"/>
        <w:rPr/>
      </w:pPr>
      <w:r>
        <w:rPr>
          <w:rFonts w:eastAsia="Times New Roman" w:cs="Times New Roman" w:ascii="Times New Roman" w:hAnsi="Times New Roman"/>
          <w:color w:val="111111"/>
          <w:sz w:val="28"/>
          <w:szCs w:val="28"/>
          <w:lang w:val="en-US" w:bidi="en-US"/>
        </w:rPr>
        <w:t>D win's D gerous Ide Evolution d the Me ings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ک </w:t>
      </w:r>
      <w:r>
        <w:rPr>
          <w:rFonts w:eastAsia="Times New Roman" w:cs="Times New Roman" w:ascii="Times New Roman" w:hAnsi="Times New Roman"/>
          <w:color w:val="111111"/>
          <w:sz w:val="28"/>
          <w:szCs w:val="28"/>
          <w:lang w:val="en-US" w:bidi="en-US"/>
        </w:rPr>
        <w:t>L</w:t>
      </w:r>
      <w:r>
        <w:rPr>
          <w:rFonts w:ascii="IRNazanin" w:hAnsi="IRNazanin" w:eastAsia="IRNazanin"/>
          <w:color w:val="111111"/>
          <w:sz w:val="28"/>
          <w:sz w:val="28"/>
          <w:szCs w:val="28"/>
          <w:rtl w:val="true"/>
          <w:lang w:bidi="fa-IR"/>
        </w:rPr>
        <w:t>ک</w:t>
      </w:r>
      <w:r>
        <w:rPr>
          <w:rFonts w:eastAsia="Times New Roman" w:cs="Times New Roman" w:ascii="Times New Roman" w:hAnsi="Times New Roman"/>
          <w:color w:val="111111"/>
          <w:sz w:val="28"/>
          <w:szCs w:val="28"/>
          <w:lang w:val="en-US" w:bidi="en-US"/>
        </w:rPr>
        <w:t>e</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چون اسیدی جهانی از زیست‌شناسی و علوم طبیعی، به علوم و معارف دیگر نشت کرده و به عرصه‌های گوناگونی چون اخلاق، سیاست، اجتماع و دین رخنه کرده و اندیشمندان جدی را درگیر خود ساخته است و هم‌زمان ابزاری برای تقویت اردوگاه الحاد، و شیوه‌ای برای تحلیل فعل الهی در عالم طبیعی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هدف این مقاله، تحلیل ابعاد این نظریه، نه صرفاً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فرضیه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بازتاب آن در میان متدینان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رهیافت، نوشتۀ حاضر طی محورهای زیر به تحلیل مسئله می‌پردازد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تفکیک سه مفهوم ابهام‌آفرین؛</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جایگاه امروزی نظریۀ تکامل؛</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خطوط کلی نظریۀ تکاملی داروین؛</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پیامدهای الهیاتی نظریۀ تکامل؛</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بازتاب نظریۀ تکامل در جهان اسلام؛</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پاسخ‌های ایرانی به چالش تکامل؛</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درس‌های آموختنی از این مناقشه</w:t>
      </w:r>
      <w:r>
        <w:rPr>
          <w:rFonts w:eastAsia="IRNazanin" w:cs="IRNazanin"/>
          <w:color w:val="111111"/>
          <w:sz w:val="28"/>
          <w:szCs w:val="28"/>
          <w:rtl w:val="true"/>
          <w:lang w:bidi="fa-IR"/>
        </w:rPr>
        <w:t>.</w:t>
      </w:r>
    </w:p>
    <w:p>
      <w:pPr>
        <w:pStyle w:val="Heading3"/>
        <w:numPr>
          <w:ilvl w:val="2"/>
          <w:numId w:val="1"/>
        </w:numPr>
        <w:rPr/>
      </w:pPr>
      <w:bookmarkStart w:id="258" w:name="__RefHeading___Toc39788_1878427129"/>
      <w:bookmarkStart w:id="259" w:name="_Toc96"/>
      <w:bookmarkEnd w:id="258"/>
      <w:r>
        <w:rPr/>
        <w:t>2</w:t>
      </w:r>
      <w:r>
        <w:rPr>
          <w:rtl w:val="true"/>
        </w:rPr>
        <w:t xml:space="preserve">. </w:t>
      </w:r>
      <w:r>
        <w:rPr>
          <w:rtl w:val="true"/>
        </w:rPr>
        <w:t>تفکیک سه مفهوم ابهام آفرین</w:t>
      </w:r>
      <w:bookmarkEnd w:id="259"/>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نخستین گام در این بحث آن است که میان سه مفهوم اساسی و درعین‌حال نسبتاً مرتبط، تفاوت قائل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ردیه‌نویسی‌ها یا نوشته‌های آپولوجتیک، شاهد</w:t>
      </w:r>
    </w:p>
    <w:p>
      <w:pPr>
        <w:pStyle w:val="BookText"/>
        <w:rPr/>
      </w:pPr>
      <w:r>
        <w:rPr>
          <w:rFonts w:ascii="IRNazanin" w:hAnsi="IRNazanin" w:eastAsia="IRNazanin"/>
          <w:color w:val="111111"/>
          <w:sz w:val="28"/>
          <w:sz w:val="28"/>
          <w:szCs w:val="28"/>
          <w:rtl w:val="true"/>
          <w:lang w:bidi="fa-IR"/>
        </w:rPr>
        <w:t>خلط این مفاهیم هستیم که مایۀ بدفهمی و غبارآلود کردن فضای بحث علمی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مفاهیم سه‌گانه عبارت‌اند از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نظریۀ تکاملی داروین؛</w:t>
      </w:r>
      <w:r>
        <w:rPr>
          <w:rStyle w:val="FootnoteAnchor"/>
          <w:rtl w:val="true"/>
        </w:rPr>
        <w:footnoteReference w:id="178"/>
      </w:r>
    </w:p>
    <w:p>
      <w:pPr>
        <w:pStyle w:val="BookText"/>
        <w:rPr/>
      </w:pPr>
      <w:r>
        <w:rPr>
          <w:rFonts w:eastAsia="Times New Roman" w:cs="Times New Roman" w:ascii="Times New Roman" w:hAnsi="Times New Roman"/>
          <w:color w:val="111111"/>
          <w:sz w:val="28"/>
          <w:szCs w:val="28"/>
          <w:lang w:val="en-US" w:bidi="en-US"/>
        </w:rPr>
        <w:t>D win's theory</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ک </w:t>
      </w:r>
      <w:r>
        <w:rPr>
          <w:rFonts w:eastAsia="Times New Roman" w:cs="Times New Roman" w:ascii="Times New Roman" w:hAnsi="Times New Roman"/>
          <w:color w:val="111111"/>
          <w:sz w:val="28"/>
          <w:szCs w:val="28"/>
          <w:lang w:val="en-US" w:bidi="en-US"/>
        </w:rPr>
        <w:t>evolution</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داروینیسم؛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تکامل‌گرایی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نظریۀ تکاملی داروین، نظریه‌ای است دربارۀ پیدایش و شیوۀ تکامل گونه‌های زنده و نسبت آن‌ها با یکدیگر در درختوارۀ تکامل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نظریه را نخستین بار به شکل رسمی، چارلز داروین در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نوامبر سال </w:t>
      </w:r>
      <w:r>
        <w:rPr>
          <w:rFonts w:eastAsia="IRNazanin" w:cs="IRNazanin"/>
          <w:color w:val="111111"/>
          <w:sz w:val="28"/>
          <w:szCs w:val="28"/>
          <w:lang w:bidi="fa-IR"/>
        </w:rPr>
        <w:t>1859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دربارۀ منشأ انواع به وسیلۀ انتخاب طبیعی یا حفظ نژادهای برگزیده در تنازع برای بقا،</w:t>
      </w:r>
      <w:r>
        <w:rPr>
          <w:rStyle w:val="FootnoteAnchor"/>
          <w:rtl w:val="true"/>
        </w:rPr>
        <w:footnoteReference w:id="179"/>
      </w:r>
      <w:r>
        <w:rPr>
          <w:rFonts w:ascii="IRNazanin" w:hAnsi="IRNazanin" w:eastAsia="IRNazanin"/>
          <w:color w:val="111111"/>
          <w:sz w:val="28"/>
          <w:sz w:val="28"/>
          <w:szCs w:val="28"/>
          <w:rtl w:val="true"/>
          <w:lang w:bidi="fa-IR"/>
        </w:rPr>
        <w:t>ارائه کرد</w:t>
      </w:r>
      <w:r>
        <w:rPr>
          <w:rFonts w:eastAsia="IRNazanin" w:cs="IRNazanin"/>
          <w:color w:val="111111"/>
          <w:sz w:val="28"/>
          <w:szCs w:val="28"/>
          <w:rtl w:val="true"/>
          <w:lang w:bidi="fa-IR"/>
        </w:rPr>
        <w:t>.</w:t>
      </w:r>
      <w:r>
        <w:rPr>
          <w:rStyle w:val="FootnoteAnchor"/>
          <w:rtl w:val="true"/>
        </w:rPr>
        <w:footnoteReference w:id="180"/>
      </w:r>
      <w:r>
        <w:rPr>
          <w:rFonts w:ascii="IRNazanin" w:hAnsi="IRNazanin" w:eastAsia="IRNazanin"/>
          <w:color w:val="111111"/>
          <w:sz w:val="28"/>
          <w:sz w:val="28"/>
          <w:szCs w:val="28"/>
          <w:rtl w:val="true"/>
          <w:lang w:bidi="fa-IR"/>
        </w:rPr>
        <w:t xml:space="preserve">وی در این کتاب، بر خلاف نظریۀ رایج خلق‌الساعه یا نظریۀ سازگاری لامارک، به استناد مطالعات و شواهدی که در سفر اکتشافی پنج‌سالۀ </w:t>
      </w:r>
      <w:r>
        <w:rPr>
          <w:rFonts w:eastAsia="IRNazanin" w:cs="IRNazanin"/>
          <w:color w:val="111111"/>
          <w:sz w:val="28"/>
          <w:szCs w:val="28"/>
          <w:rtl w:val="true"/>
          <w:lang w:bidi="fa-IR"/>
        </w:rPr>
        <w:t>(</w:t>
      </w:r>
      <w:r>
        <w:rPr>
          <w:rFonts w:eastAsia="IRNazanin" w:cs="IRNazanin"/>
          <w:color w:val="111111"/>
          <w:sz w:val="28"/>
          <w:szCs w:val="28"/>
          <w:lang w:bidi="fa-IR"/>
        </w:rPr>
        <w:t>1831</w:t>
      </w:r>
      <w:r>
        <w:rPr>
          <w:rFonts w:eastAsia="IRNazanin" w:cs="IRNazanin"/>
          <w:color w:val="111111"/>
          <w:sz w:val="28"/>
          <w:szCs w:val="28"/>
          <w:rtl w:val="true"/>
          <w:lang w:bidi="fa-IR"/>
        </w:rPr>
        <w:t>-</w:t>
      </w:r>
      <w:r>
        <w:rPr>
          <w:rFonts w:eastAsia="IRNazanin" w:cs="IRNazanin"/>
          <w:color w:val="111111"/>
          <w:sz w:val="28"/>
          <w:szCs w:val="28"/>
          <w:lang w:bidi="fa-IR"/>
        </w:rPr>
        <w:t>1836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با کشتی بیگل به جزایر گالاپوس، در امریکا به دست آورده بود، مدعی شد گونه‌های جانوری روی زمین مستقل خلق نشده‌اند، بلکه برخی از آن‌ها از تکامل حیوانات دیگر پدیدار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بعدها این نظریه را شامل انسان نیز دانست و در سال </w:t>
      </w:r>
      <w:r>
        <w:rPr>
          <w:rFonts w:eastAsia="IRNazanin" w:cs="IRNazanin"/>
          <w:color w:val="111111"/>
          <w:sz w:val="28"/>
          <w:szCs w:val="28"/>
          <w:lang w:bidi="fa-IR"/>
        </w:rPr>
        <w:t>1871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دومین کتاب خود را با نام تبار انسان و انتخاب در ارتباط با جنس</w:t>
      </w:r>
      <w:r>
        <w:rPr>
          <w:rStyle w:val="FootnoteAnchor"/>
          <w:rtl w:val="true"/>
        </w:rPr>
        <w:footnoteReference w:id="181"/>
      </w:r>
      <w:r>
        <w:rPr>
          <w:rFonts w:ascii="IRNazanin" w:hAnsi="IRNazanin" w:eastAsia="IRNazanin"/>
          <w:color w:val="111111"/>
          <w:sz w:val="28"/>
          <w:sz w:val="28"/>
          <w:szCs w:val="28"/>
          <w:rtl w:val="true"/>
          <w:lang w:bidi="fa-IR"/>
        </w:rPr>
        <w:t>منتشر کرد و مدعی شد انسان‌های موجود روی زمین، تکامل‌یافتۀ برخی حیوانات فروتر هستند و همان منطقی را که در کتاب پیشین، برای فهم تنوع میان گونه‌های جانوری به کار برده بود برای انسان به کار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نظریه، همان است که به نظریۀ تکاملی داروین معروف است و از آغاز، کانون بحث و مناقشه میان زیست‌شناسان</w:t>
      </w:r>
    </w:p>
    <w:p>
      <w:pPr>
        <w:pStyle w:val="BookText"/>
        <w:rPr/>
      </w:pPr>
      <w:r>
        <w:rPr>
          <w:rFonts w:ascii="IRNazanin" w:hAnsi="IRNazanin" w:eastAsia="IRNazanin"/>
          <w:color w:val="111111"/>
          <w:sz w:val="28"/>
          <w:sz w:val="28"/>
          <w:szCs w:val="28"/>
          <w:rtl w:val="true"/>
          <w:lang w:bidi="fa-IR"/>
        </w:rPr>
        <w:t>و طبیعی‌دانان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نظریه، نظریه‌ای علمی است، به این معنا که اثبات و نفی آن در دایرۀ علم زیست‌شناسی، دیرین‌شناسی، زمین‌شناسی، فسیل‌شناسی، کردارشناسی جانوری،</w:t>
      </w:r>
      <w:r>
        <w:rPr>
          <w:rStyle w:val="FootnoteAnchor"/>
          <w:rtl w:val="true"/>
        </w:rPr>
        <w:footnoteReference w:id="182"/>
      </w:r>
    </w:p>
    <w:p>
      <w:pPr>
        <w:pStyle w:val="BookText"/>
        <w:rPr/>
      </w:pPr>
      <w:r>
        <w:rPr>
          <w:rFonts w:eastAsia="Times New Roman" w:cs="Times New Roman" w:ascii="Times New Roman" w:hAnsi="Times New Roman"/>
          <w:color w:val="111111"/>
          <w:sz w:val="28"/>
          <w:szCs w:val="28"/>
          <w:lang w:val="en-US" w:bidi="en-US"/>
        </w:rPr>
        <w:t>Eth ology</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دیگر علوم طبیعی وابسته صورت می‌گیرد، و سلباً و ایجاباً با عرصۀ فلسفه و الهیات ارتباط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بر فرضیه بودنِ نظریۀ تکاملی داروین پافشاری می‌کنند، گویی نظریه بودن، به معنای حق و درست بودن است؛ اما چنین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نظریۀ علمی لزوماً درست، مسلّم و قطعی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علوم گوناگون شاهد نظریه‌های خطا یا ابطال‌شده نیز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نه به کار بردن تعبیر نظریۀ علمی، به معنای درستی آن است، و نه انکار نظریه بودن و برچسب فرضیه زدن بر آن، نشانۀ بطلان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نظریه طی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اخیر بسط و گسترش یافته و برخی کاستی‌ها، ابهامات، و دشواری‌هایش برطرف شده و با دشواری‌های تازه‌ای روبه‌رو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کسان فراوانی به‌جد از آن دفاع می‌کنند و دیگرانی ناقد آن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همۀ این مسائل در ساحت علوم طبیعی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نظریه از زمان ارائه تاکنون، تأثیرگذارترین نظریه در زمینه‌های گوناگون بوده و بسیاری از مسلّمات و مفروضات زمانه را به چالش گرفته است؛ زیرا صرفاً نظریه‌ای علمی و محدود به متخصصان نبود، بلکه جنبه‌های گوناگون اجتماعی، اقتصادی، الهیاتی و فلسفی گسترده‌ای داشت</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به‌تدریج با طرح نظریۀ تکاملی داروین، عده‌ای کوشیدند آن را از سطح نظریه‌ای علمی و قابل نقض و ابرام در میان متخصصان علوم طبیعی، به نظریه‌ای عام و حتی به ایدئولوژی و مکتب تبدیل کنند و بدین ترتیب،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داروینیسم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داروینیسم اجتماعی</w:t>
      </w:r>
      <w:r>
        <w:rPr>
          <w:rFonts w:eastAsia="IRNazanin" w:cs="IRNazanin"/>
          <w:color w:val="111111"/>
          <w:sz w:val="28"/>
          <w:szCs w:val="28"/>
          <w:rtl w:val="true"/>
          <w:lang w:bidi="fa-IR"/>
        </w:rPr>
        <w:t>»</w:t>
      </w:r>
      <w:r>
        <w:rPr>
          <w:rStyle w:val="FootnoteAnchor"/>
          <w:rtl w:val="true"/>
        </w:rPr>
        <w:footnoteReference w:id="183"/>
      </w:r>
      <w:r>
        <w:rPr>
          <w:rFonts w:ascii="IRNazanin" w:hAnsi="IRNazanin" w:eastAsia="IRNazanin"/>
          <w:color w:val="111111"/>
          <w:sz w:val="28"/>
          <w:sz w:val="28"/>
          <w:szCs w:val="28"/>
          <w:rtl w:val="true"/>
          <w:lang w:bidi="fa-IR"/>
        </w:rPr>
        <w:t xml:space="preserve">و به تعبیر استفن هارتمن،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اسپنسریسم اجتماعی</w:t>
      </w:r>
      <w:r>
        <w:rPr>
          <w:rFonts w:eastAsia="IRNazanin" w:cs="IRNazanin"/>
          <w:color w:val="111111"/>
          <w:sz w:val="28"/>
          <w:szCs w:val="28"/>
          <w:rtl w:val="true"/>
          <w:lang w:bidi="fa-IR"/>
        </w:rPr>
        <w:t>»</w:t>
      </w:r>
      <w:r>
        <w:rPr>
          <w:rStyle w:val="FootnoteAnchor"/>
          <w:rtl w:val="true"/>
        </w:rPr>
        <w:footnoteReference w:id="184"/>
      </w:r>
      <w:r>
        <w:rPr>
          <w:rFonts w:ascii="IRNazanin" w:hAnsi="IRNazanin" w:eastAsia="IRNazanin"/>
          <w:color w:val="111111"/>
          <w:sz w:val="28"/>
          <w:sz w:val="28"/>
          <w:szCs w:val="28"/>
          <w:rtl w:val="true"/>
          <w:lang w:bidi="fa-IR"/>
        </w:rPr>
        <w:t xml:space="preserve">شکل گرفت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گسترش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معروف‌ترین استفادۀ غیرعلمی از این نظریۀ علمی، را هربرت</w:t>
      </w:r>
    </w:p>
    <w:p>
      <w:pPr>
        <w:pStyle w:val="BookText"/>
        <w:rPr/>
      </w:pPr>
      <w:r>
        <w:rPr>
          <w:rFonts w:ascii="IRNazanin" w:hAnsi="IRNazanin" w:eastAsia="IRNazanin"/>
          <w:color w:val="111111"/>
          <w:sz w:val="28"/>
          <w:sz w:val="28"/>
          <w:szCs w:val="28"/>
          <w:rtl w:val="true"/>
          <w:lang w:bidi="fa-IR"/>
        </w:rPr>
        <w:t>اسپنسر، جامعه‌شناس انگلیسی، صورت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بقای انسب</w:t>
      </w:r>
      <w:r>
        <w:rPr>
          <w:rFonts w:eastAsia="IRNazanin" w:cs="IRNazanin"/>
          <w:color w:val="111111"/>
          <w:sz w:val="28"/>
          <w:szCs w:val="28"/>
          <w:rtl w:val="true"/>
          <w:lang w:bidi="fa-IR"/>
        </w:rPr>
        <w:t>»</w:t>
      </w:r>
      <w:r>
        <w:rPr>
          <w:rStyle w:val="FootnoteAnchor"/>
          <w:rtl w:val="true"/>
        </w:rPr>
        <w:footnoteReference w:id="185"/>
      </w:r>
    </w:p>
    <w:p>
      <w:pPr>
        <w:pStyle w:val="BookText"/>
        <w:rPr/>
      </w:pPr>
      <w:r>
        <w:rPr>
          <w:rFonts w:eastAsia="Times New Roman" w:cs="Times New Roman" w:ascii="Times New Roman" w:hAnsi="Times New Roman"/>
          <w:color w:val="111111"/>
          <w:sz w:val="28"/>
          <w:szCs w:val="28"/>
          <w:lang w:val="en-US" w:bidi="en-US"/>
        </w:rPr>
        <w:t>Surviv</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ک </w:t>
      </w:r>
      <w:r>
        <w:rPr>
          <w:rFonts w:eastAsia="Times New Roman" w:cs="Times New Roman" w:ascii="Times New Roman" w:hAnsi="Times New Roman"/>
          <w:color w:val="111111"/>
          <w:sz w:val="28"/>
          <w:szCs w:val="28"/>
          <w:lang w:val="en-US" w:bidi="en-US"/>
        </w:rPr>
        <w:t>the</w:t>
      </w:r>
      <w:r>
        <w:rPr>
          <w:rFonts w:ascii="IRNazanin" w:hAnsi="IRNazanin" w:eastAsia="IRNazanin"/>
          <w:color w:val="111111"/>
          <w:sz w:val="28"/>
          <w:sz w:val="28"/>
          <w:szCs w:val="28"/>
          <w:rtl w:val="true"/>
          <w:lang w:bidi="fa-IR"/>
        </w:rPr>
        <w:t>ک</w:t>
      </w:r>
      <w:r>
        <w:rPr>
          <w:rFonts w:eastAsia="Times New Roman" w:cs="Times New Roman" w:ascii="Times New Roman" w:hAnsi="Times New Roman"/>
          <w:color w:val="111111"/>
          <w:sz w:val="28"/>
          <w:szCs w:val="28"/>
          <w:lang w:val="en-US" w:bidi="en-US"/>
        </w:rPr>
        <w:t>ittest</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 از سطح طبیعت به جامعه کشاند و مدعی شد در میان طبقات اجتماعی نیز چنین نزاعی درمی‌گیرد و فقط کسانی که انسب و به صورت تلویحی، اصلح هستند بر جای می‌مانند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نگرش اجتماعی و تن دادن به لوازم آن بود که استعمار، بهره‌کشی اقتصادی، و کشورگشایی اروپایی در قرن نوزدهم را توجیه می‌کرد و هر حرکت غیراخلاقی را ضرورتی برای‌تکامل و بقای انسب می‌دانست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درواقع، تاریخ نظریۀ تکاملی به دلیل سوء استفاده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نسبتاً رقت‌بار و نفرت‌انگیز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لذا باید به‌دقت میان نظریۀ تکاملی داروین که نظریه‌ای علمی است، و داروینیسم که مکتب یا ایدئولوژی است تفاوت گذاشت و گناه آن را به پای داروین ننوشت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داروینیسم از قرن نوزدهم به بعد، همواره ابزار سوءاستفاده بوده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تقریباً برای هر کسی منفعت شخصی داشته است</w:t>
      </w:r>
      <w:r>
        <w:rPr>
          <w:rFonts w:eastAsia="IRNazanin" w:cs="IRNazanin"/>
          <w:color w:val="111111"/>
          <w:sz w:val="28"/>
          <w:szCs w:val="28"/>
          <w:rtl w:val="true"/>
          <w:lang w:bidi="fa-IR"/>
        </w:rPr>
        <w:t>».</w:t>
      </w:r>
      <w:r>
        <w:rPr>
          <w:rStyle w:val="FootnoteAnchor"/>
          <w:rtl w:val="true"/>
        </w:rPr>
        <w:footnoteReference w:id="186"/>
      </w:r>
    </w:p>
    <w:p>
      <w:pPr>
        <w:pStyle w:val="BookText"/>
        <w:rPr/>
      </w:pPr>
      <w:r>
        <w:rPr>
          <w:rFonts w:ascii="IRNazanin" w:hAnsi="IRNazanin" w:eastAsia="IRNazanin"/>
          <w:color w:val="111111"/>
          <w:sz w:val="28"/>
          <w:sz w:val="28"/>
          <w:szCs w:val="28"/>
          <w:rtl w:val="true"/>
          <w:lang w:bidi="fa-IR"/>
        </w:rPr>
        <w:t>گذشته از درست یا نادرست بودن این نظریه، خودِ داروین به چنین دیدگاهی باور نداشت و با چنین استفاده و برداشتی از نظریۀ خود مخالف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درواقع، در زمانی که برده‌داری در انگلستان قانونی بود، وی به انجمن ضد بردگی پیوست و با رفتارهای وحشیانه‌ای که با انسان‌ها می‌شد مخالفت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نظریۀ او را به سخره گرفتند و او را از نسل میمون معرفی کردند،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به سهم خود ترجیح می‌دهم که از نسل میمون کوچکی باشم که برای نجات جان رفیق خود، دشمن هراس‌انگیز را حقیر می‌شمارد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از نسل انسانی باشم که از شکنجه دادن دشمنانش لذت می‌برد</w:t>
      </w:r>
      <w:r>
        <w:rPr>
          <w:rFonts w:eastAsia="IRNazanin" w:cs="IRNazanin"/>
          <w:color w:val="111111"/>
          <w:sz w:val="28"/>
          <w:szCs w:val="28"/>
          <w:rtl w:val="true"/>
          <w:lang w:bidi="fa-IR"/>
        </w:rPr>
        <w:t>».</w:t>
      </w:r>
      <w:r>
        <w:rPr>
          <w:rStyle w:val="FootnoteAnchor"/>
          <w:rtl w:val="true"/>
        </w:rPr>
        <w:footnoteReference w:id="187"/>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2009</w:t>
      </w:r>
      <w:r>
        <w:rPr>
          <w:rFonts w:ascii="IRNazanin" w:hAnsi="IRNazanin" w:eastAsia="IRNazanin"/>
          <w:color w:val="111111"/>
          <w:sz w:val="28"/>
          <w:sz w:val="28"/>
          <w:szCs w:val="28"/>
          <w:rtl w:val="true"/>
          <w:lang w:bidi="fa-IR"/>
        </w:rPr>
        <w:t xml:space="preserve">، یکصد و پنجاهمین سالگرد نشر منشأ انواع داروین، آدریان دزموند و جیمز مور، دو مورخ علم زیست‌شناسی، پس از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تحقیق، کتاب</w:t>
      </w:r>
    </w:p>
    <w:p>
      <w:pPr>
        <w:pStyle w:val="BookText"/>
        <w:rPr/>
      </w:pPr>
      <w:r>
        <w:rPr>
          <w:rFonts w:ascii="IRNazanin" w:hAnsi="IRNazanin" w:eastAsia="IRNazanin"/>
          <w:color w:val="111111"/>
          <w:sz w:val="28"/>
          <w:sz w:val="28"/>
          <w:szCs w:val="28"/>
          <w:rtl w:val="true"/>
          <w:lang w:bidi="fa-IR"/>
        </w:rPr>
        <w:t>آرمان مقدس داروین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نژاد، بردگی، و در کاوش خاستگاه انسان</w:t>
      </w:r>
      <w:r>
        <w:rPr>
          <w:rStyle w:val="FootnoteAnchor"/>
          <w:rtl w:val="true"/>
        </w:rPr>
        <w:footnoteReference w:id="188"/>
      </w:r>
    </w:p>
    <w:p>
      <w:pPr>
        <w:pStyle w:val="BookText"/>
        <w:rPr/>
      </w:pPr>
      <w:r>
        <w:rPr>
          <w:rFonts w:eastAsia="Times New Roman" w:cs="Times New Roman" w:ascii="Times New Roman" w:hAnsi="Times New Roman"/>
          <w:color w:val="111111"/>
          <w:sz w:val="28"/>
          <w:szCs w:val="28"/>
          <w:lang w:val="en-US" w:bidi="en-US"/>
        </w:rPr>
        <w:t>D win's S red C se: r e, sl ery, d the quest</w:t>
      </w:r>
      <w:r>
        <w:rPr>
          <w:rFonts w:ascii="IRNazanin" w:hAnsi="IRNazanin" w:eastAsia="IRNazanin"/>
          <w:color w:val="111111"/>
          <w:sz w:val="28"/>
          <w:sz w:val="28"/>
          <w:szCs w:val="28"/>
          <w:rtl w:val="true"/>
          <w:lang w:bidi="fa-IR"/>
        </w:rPr>
        <w:t>ک</w:t>
      </w:r>
      <w:r>
        <w:rPr>
          <w:rFonts w:eastAsia="Times New Roman" w:cs="Times New Roman" w:ascii="Times New Roman" w:hAnsi="Times New Roman"/>
          <w:color w:val="111111"/>
          <w:sz w:val="28"/>
          <w:szCs w:val="28"/>
          <w:lang w:val="en-US" w:bidi="en-US"/>
        </w:rPr>
        <w:t>or hum origins</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 منتشر کردند و در آن مدعی شدند داروین در نگارش کتاب و صورت‌بندی نظریۀ تکاملی خود، آرمانی انسانی و مقدس را پی می‌گرفت و می‌خواست نشان دهد که فاصلۀ ادعایی میان انسان سفید اروپایی و بردگان سیاه، دلیلی برای تبعیض به شمار نمی‌رود و همۀ انسان‌ها به‌رغم تنوع و تفاوت ظاهری، خاستگاهی مشترک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 از درستی یا نادرستی‌این تحلیل، مسئله اصلی آن است که داروینیسم، مکتبی اجتماعی است که بهره‌کشی‌های اجتماعی را توجیه می‌کند و این ربطی به نظریۀ تکاملی ندارد؛ هرچند از آن به‌ناروا بهره می‌برد و بدین ترتیب بر خود برچسب علمی‌می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بخش قابل توجهی از نقدهایی که متوجه نظریۀ تکاملی داروین می‌شود، از این تفاوت اساسی، بی‌توجه می‌گذرد و همۀ خطاهای مکتب داروینیسم را به پای نظریۀ تکاملی داروین می‌نویسد و او را مسئول خطایی می‌داند که در قبالش مسئول نیست</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سومین مفهومی که باید آن را از نظریۀ تکاملی داروین متمایز کرد، تکامل‌گرایی</w:t>
      </w:r>
      <w:r>
        <w:rPr>
          <w:rStyle w:val="FootnoteAnchor"/>
          <w:rtl w:val="true"/>
        </w:rPr>
        <w:footnoteReference w:id="189"/>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تکامل‌گرایی نوعی نگرش به کل عالم، و درواقع مکتبی است که همان نگرش داروینی را در سطحی کلان به کار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نگرش یا مکتب، سرمشق مسلط در زیست‌شناسی قرن نوزدهم را به پدیده‌های گوناگون اجتماعی، فرهنگی، تاریخی و فکری تعمیم می‌دهد و می‌کوشد بر اساس نگرش تکاملی، به درکی عام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عرصه‌های گوناگون علمی شاهد این نگرش برای تبیین پدیده‌های مربوط هستیم</w:t>
      </w:r>
      <w:r>
        <w:rPr>
          <w:rFonts w:eastAsia="IRNazanin" w:cs="IRNazanin"/>
          <w:color w:val="111111"/>
          <w:sz w:val="28"/>
          <w:szCs w:val="28"/>
          <w:rtl w:val="true"/>
          <w:lang w:bidi="fa-IR"/>
        </w:rPr>
        <w:t>.</w:t>
      </w:r>
      <w:r>
        <w:rPr>
          <w:rStyle w:val="FootnoteAnchor"/>
          <w:rtl w:val="true"/>
        </w:rPr>
        <w:footnoteReference w:id="190"/>
      </w:r>
      <w:r>
        <w:rPr>
          <w:rFonts w:ascii="IRNazanin" w:hAnsi="IRNazanin" w:eastAsia="IRNazanin"/>
          <w:color w:val="111111"/>
          <w:sz w:val="28"/>
          <w:sz w:val="28"/>
          <w:szCs w:val="28"/>
          <w:rtl w:val="true"/>
          <w:lang w:bidi="fa-IR"/>
        </w:rPr>
        <w:t>برای مثال، پژوهشگرانی که تاریخ ادیان را بر اساس تکامل ادیان توحیدی از دل ادیان شرک‌آمیز تفسیر می‌کنند، به‌نوعی به تکامل‌گرایی</w:t>
      </w:r>
    </w:p>
    <w:p>
      <w:pPr>
        <w:pStyle w:val="BookText"/>
        <w:rPr/>
      </w:pPr>
      <w:r>
        <w:rPr>
          <w:rFonts w:ascii="IRNazanin" w:hAnsi="IRNazanin" w:eastAsia="IRNazanin"/>
          <w:color w:val="111111"/>
          <w:sz w:val="28"/>
          <w:sz w:val="28"/>
          <w:szCs w:val="28"/>
          <w:rtl w:val="true"/>
          <w:lang w:bidi="fa-IR"/>
        </w:rPr>
        <w:t>باور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منظر، ادعا می‌شود که دین در طول تاریخ به‌تدریج تکامل پیدا کرده، از مراحل آنیمیزم یا جان‌گرویی، توتمیسم، و شرک یا چندخدایی می‌گذرد، تا به ادیان توحیدی برسد</w:t>
      </w:r>
      <w:r>
        <w:rPr>
          <w:rFonts w:eastAsia="IRNazanin" w:cs="IRNazanin"/>
          <w:color w:val="111111"/>
          <w:sz w:val="28"/>
          <w:szCs w:val="28"/>
          <w:rtl w:val="true"/>
          <w:lang w:bidi="fa-IR"/>
        </w:rPr>
        <w:t>.</w:t>
      </w:r>
      <w:r>
        <w:rPr>
          <w:rStyle w:val="FootnoteAnchor"/>
          <w:rtl w:val="true"/>
        </w:rPr>
        <w:footnoteReference w:id="19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نگرش جامعه‌شناختی به دین با تأکید بر نظریۀ دورکیم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پژوهش و حوزه، شمارۀ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تابستان </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فردریش انگلس در کتاب منشأ خانواده </w:t>
      </w:r>
      <w:r>
        <w:rPr>
          <w:rFonts w:eastAsia="IRNazanin" w:cs="IRNazanin"/>
          <w:color w:val="111111"/>
          <w:sz w:val="28"/>
          <w:szCs w:val="28"/>
          <w:rtl w:val="true"/>
          <w:lang w:bidi="fa-IR"/>
        </w:rPr>
        <w:t>(</w:t>
      </w:r>
      <w:r>
        <w:rPr>
          <w:rFonts w:eastAsia="IRNazanin" w:cs="IRNazanin"/>
          <w:color w:val="111111"/>
          <w:sz w:val="28"/>
          <w:szCs w:val="28"/>
          <w:lang w:bidi="fa-IR"/>
        </w:rPr>
        <w:t>1884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92"/>
      </w:r>
      <w:r>
        <w:rPr>
          <w:rFonts w:ascii="IRNazanin" w:hAnsi="IRNazanin" w:eastAsia="IRNazanin"/>
          <w:color w:val="111111"/>
          <w:sz w:val="28"/>
          <w:sz w:val="28"/>
          <w:szCs w:val="28"/>
          <w:rtl w:val="true"/>
          <w:lang w:bidi="fa-IR"/>
        </w:rPr>
        <w:t>از همین نگرش برای تبیین نهاد خانواده و ازدواج بهره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استفَن هارتمن</w:t>
      </w:r>
      <w:r>
        <w:rPr>
          <w:rStyle w:val="FootnoteAnchor"/>
          <w:rtl w:val="true"/>
        </w:rPr>
        <w:footnoteReference w:id="193"/>
      </w:r>
      <w:r>
        <w:rPr>
          <w:rFonts w:ascii="IRNazanin" w:hAnsi="IRNazanin" w:eastAsia="IRNazanin"/>
          <w:color w:val="111111"/>
          <w:sz w:val="28"/>
          <w:sz w:val="28"/>
          <w:szCs w:val="28"/>
          <w:rtl w:val="true"/>
          <w:lang w:bidi="fa-IR"/>
        </w:rPr>
        <w:t xml:space="preserve">در مدخل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تکامل‌گرایی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به‌تفصیل ابعاد، جلوه‌ها، دامنه و مؤلفه‌های این نگرش را در قرن نوزدهم و بیستم نشان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نوشتۀ 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الگوی عام نظریه‌های مرحله‌ای ازاین‌دست، فارغ از عناصر ایدئولوژیک محتوایی، آن بود که فرایند واحد و بی‌وقفۀ رشد انسانی در همه جا و همۀ فرهنگ‌ها تابع قواعد سبب‌شناختی واحدی</w:t>
      </w:r>
      <w:r>
        <w:rPr>
          <w:rStyle w:val="FootnoteAnchor"/>
          <w:rtl w:val="true"/>
        </w:rPr>
        <w:footnoteReference w:id="194"/>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قوانین دقیقاً معتبر علوم، به شکلی روش‌شناختی و با دقت تمام به علوم فرهنگی و اجتماعی انتقال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پیشرفت در تحول جوامعْ همگانی قلمداد می‌شد و مشخصاً تفوق تمدن اروپایی بر اساس این اصل که تنها این یکی مسیر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تکامل فرهنگی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طی کرده است، نه دیگران، مشروع شمرده می‌شد</w:t>
      </w:r>
      <w:r>
        <w:rPr>
          <w:rFonts w:eastAsia="IRNazanin" w:cs="IRNazanin"/>
          <w:color w:val="111111"/>
          <w:sz w:val="28"/>
          <w:szCs w:val="28"/>
          <w:rtl w:val="true"/>
          <w:lang w:bidi="fa-IR"/>
        </w:rPr>
        <w:t>.</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نظر وی، مناقشات سیاست بین‌المللی در قرن بیستم و مسئله جنگ سرد، روح تکامل‌گرایی را به‌خوبی منعکس می‌کند</w:t>
      </w:r>
      <w:r>
        <w:rPr>
          <w:rFonts w:eastAsia="IRNazanin" w:cs="IRNazanin"/>
          <w:color w:val="111111"/>
          <w:sz w:val="28"/>
          <w:szCs w:val="28"/>
          <w:rtl w:val="true"/>
          <w:lang w:bidi="fa-IR"/>
        </w:rPr>
        <w:t>.</w:t>
      </w:r>
      <w:r>
        <w:rPr>
          <w:rStyle w:val="FootnoteAnchor"/>
          <w:rtl w:val="true"/>
        </w:rPr>
        <w:footnoteReference w:id="196"/>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نگرش با نظریۀ تکاملی داروین یکی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نظریۀ تکاملی داروین صرفاً می‌کوشد توصیفی از واقعیت به دست دهد و ناظر به ارزش‌داوری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 پس، در این نوشته می‌کوشم صرفاً و مشخصاً نظریۀ تکاملی داروین را به بحث بگذارم و از خلط آن با مفاهیم دیگر بپرهیزم</w:t>
      </w:r>
      <w:r>
        <w:rPr>
          <w:rFonts w:eastAsia="IRNazanin" w:cs="IRNazanin"/>
          <w:color w:val="111111"/>
          <w:sz w:val="28"/>
          <w:szCs w:val="28"/>
          <w:rtl w:val="true"/>
          <w:lang w:bidi="fa-IR"/>
        </w:rPr>
        <w:t>.</w:t>
      </w:r>
      <w:bookmarkStart w:id="260" w:name="pg14517_146276"/>
    </w:p>
    <w:p>
      <w:pPr>
        <w:pStyle w:val="Heading3"/>
        <w:numPr>
          <w:ilvl w:val="2"/>
          <w:numId w:val="1"/>
        </w:numPr>
        <w:rPr/>
      </w:pPr>
      <w:bookmarkStart w:id="261" w:name="__RefHeading___Toc39790_1878427129"/>
      <w:bookmarkStart w:id="262" w:name="_Toc97"/>
      <w:bookmarkEnd w:id="260"/>
      <w:bookmarkEnd w:id="261"/>
      <w:r>
        <w:rPr/>
        <w:t>3</w:t>
      </w:r>
      <w:r>
        <w:rPr>
          <w:rtl w:val="true"/>
        </w:rPr>
        <w:t xml:space="preserve">. </w:t>
      </w:r>
      <w:r>
        <w:rPr>
          <w:rtl w:val="true"/>
        </w:rPr>
        <w:t>جایگاه امروزی نظریۀ تکامل</w:t>
      </w:r>
      <w:bookmarkEnd w:id="262"/>
    </w:p>
    <w:p>
      <w:pPr>
        <w:pStyle w:val="BookText"/>
        <w:rPr/>
      </w:pPr>
      <w:r>
        <w:rPr>
          <w:rFonts w:ascii="IRNazanin" w:hAnsi="IRNazanin" w:eastAsia="IRNazanin"/>
          <w:color w:val="111111"/>
          <w:sz w:val="28"/>
          <w:sz w:val="28"/>
          <w:szCs w:val="28"/>
          <w:rtl w:val="true"/>
          <w:lang w:bidi="fa-IR"/>
        </w:rPr>
        <w:t>در جایگاه نظریۀ تکامل و حضور قدرتمند آن در همۀ عرصه‌های علمی، همین بس که امروزه برخی آن را با نظریۀ خورشید مرکزی کوپرنیک مقایسه کرده و مدعی شده‌اند همان نقشی را که نظریۀ کوپرنیک در کیهان‌شناسی داشت، نظریۀ تکاملی داروین در علوم زیستی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نظریه اکنون در مرکز علومی چون ژنتیک، زیستْشیمی، عصبْزیست‌شناسی، فیزیولوژی و بوم‌شناسی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تأثیر منحصر به علوم زیستی نیست، بلکه شاهد تأثیر عمیق آن در مطالعات روان‌شناختی و اجتماعی نیز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رشته‌ای مانند روان‌شناسی تکاملی، که در دهۀ هفتاد قرن بیستم میلادی شکل گرفت، می‌کوشد پدیده‌هایی چون دین، اخلاق، ادراک و داوری را بر اساس مفاهیم تکاملی تبیین کند</w:t>
      </w:r>
      <w:r>
        <w:rPr>
          <w:rFonts w:eastAsia="IRNazanin" w:cs="IRNazanin"/>
          <w:color w:val="111111"/>
          <w:sz w:val="28"/>
          <w:szCs w:val="28"/>
          <w:rtl w:val="true"/>
          <w:lang w:bidi="fa-IR"/>
        </w:rPr>
        <w:t>.</w:t>
      </w:r>
      <w:r>
        <w:rPr>
          <w:rStyle w:val="FootnoteAnchor"/>
          <w:rtl w:val="true"/>
        </w:rPr>
        <w:footnoteReference w:id="197"/>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ediuG s'rennigeb :ygol ohcysp yr oi tulovE</w:t>
      </w:r>
    </w:p>
    <w:p>
      <w:pPr>
        <w:pStyle w:val="BookText"/>
        <w:rPr/>
      </w:pPr>
      <w:r>
        <w:rPr>
          <w:rFonts w:ascii="IRNazanin" w:hAnsi="IRNazanin" w:eastAsia="IRNazanin"/>
          <w:color w:val="111111"/>
          <w:sz w:val="28"/>
          <w:sz w:val="28"/>
          <w:szCs w:val="28"/>
          <w:rtl w:val="true"/>
          <w:lang w:bidi="fa-IR"/>
        </w:rPr>
        <w:t xml:space="preserve">به نوشتۀ سویتمن، که مدافع این نظریه نیست و دربارۀ آن تردیدهایی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نظریۀ تکامل یکی از تفکرانگیزترین و تأثیرگذارترینِ نظریاتِ همۀ اعصار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همچنین نانسی مورفی، که دیدگاهی دینی دارد، بر آن است که نظریۀ تکامل در پایان قرن بیستم هنوز بحثی داغ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در فصل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داروین همه چیز را دگرگون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پس از گزارشی از ابعاد این نظریه و ایدۀ انتخاب طبیعی، می‌پرسد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یک ایده می‌تواند جهان را دگرگون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پاسخ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بی‌گمان می‌تواند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برایان و دبورا چارلزورث، پس از گزارش همدلانه و مدافعانه‌ای از نظریۀ تکاملی داروین، برخی درس‌های آن را برای ما بر می‌شمارند و تصریح می‌کنند در این عرصه، دیدگاه‌های جدید علمی به دیدگاه داروین بسیار نزدیک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اتفاق</w:t>
      </w:r>
    </w:p>
    <w:p>
      <w:pPr>
        <w:pStyle w:val="BookText"/>
        <w:rPr/>
      </w:pPr>
      <w:r>
        <w:rPr>
          <w:rFonts w:ascii="IRNazanin" w:hAnsi="IRNazanin" w:eastAsia="IRNazanin"/>
          <w:color w:val="111111"/>
          <w:sz w:val="28"/>
          <w:sz w:val="28"/>
          <w:szCs w:val="28"/>
          <w:rtl w:val="true"/>
          <w:lang w:bidi="fa-IR"/>
        </w:rPr>
        <w:t>نظرِ عمومی مبنی بر اهمیت گزینش طبیعی به عنوان عامل اصلی هدایتگر تکامل ساختارها، کارکردها، و رفتارها وجود دارد</w:t>
      </w:r>
      <w:r>
        <w:rPr>
          <w:rFonts w:eastAsia="IRNazanin" w:cs="IRNazanin"/>
          <w:color w:val="111111"/>
          <w:sz w:val="28"/>
          <w:szCs w:val="28"/>
          <w:rtl w:val="true"/>
          <w:lang w:bidi="fa-IR"/>
        </w:rPr>
        <w:t>».</w:t>
      </w:r>
      <w:r>
        <w:rPr>
          <w:rStyle w:val="FootnoteAnchor"/>
          <w:rtl w:val="true"/>
        </w:rPr>
        <w:footnoteReference w:id="19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تکامل، ص </w:t>
      </w:r>
      <w:r>
        <w:rPr>
          <w:rFonts w:eastAsia="IRNazanin" w:cs="IRNazanin"/>
          <w:color w:val="111111"/>
          <w:sz w:val="28"/>
          <w:szCs w:val="28"/>
          <w:lang w:bidi="fa-IR"/>
        </w:rPr>
        <w:t>185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فرانسیسکو 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آیالا، زیست‌شناس، هنگام بحث از نظریۀ تکاملی داروین، دو پرسش را از یکدیگر متمایز می‌کند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تکامل زیستی رخ داده است‌؟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تکامل زیستی رخ داده است‌؟ پاسخ به پرسش نخست، مثبت است و این ایده امروزه با شواهد متعددی حمایت می‌شود، حال آنکه دومین پرسش همچنان بحث‌انگیز است و آنچه امروزه مقبولیت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اصلاح‌شدۀ انتخاب طبیعی داروینی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وی در ادامۀ بحث خود و توضیح این تفکیک اظهار می‌دارد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واقعیت تکامل، بنیادی‌ترین مسئله‌ای است که با منتهای قطعیت تثبیت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سپس اشاره می‌کند حتی پاپ ژان پل دوم نیز آن را نظریه‌ای می‌داند که به‌تدریج شواهدی به سودش فراهم آمده است و پذیرفتنی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آیالا در این مسیر قطعیت تکامل را مانند قطعیت کرویت زمین، خورشیدمرکزی، حرکت سیارات و ترکیب مولکولی ماده می‌داند و تأکید می‌کند امروزه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خاستگاه تکاملی موجودات زنده تقریباً مورد قبول هر زیست‌شناسی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مایکل روز در مقالۀ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حدی برای دانش ما دربارۀ تکامل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تقسیمی سه‌بخشی به دست می‌دهد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واقعیت تکامل؛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مسیرهایی که در این فرایند پیموده شده است؛ 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مکانیزم‌های تکامل</w:t>
      </w:r>
      <w:r>
        <w:rPr>
          <w:rFonts w:eastAsia="IRNazanin" w:cs="IRNazanin"/>
          <w:color w:val="111111"/>
          <w:sz w:val="28"/>
          <w:szCs w:val="28"/>
          <w:rtl w:val="true"/>
          <w:lang w:bidi="fa-IR"/>
        </w:rPr>
        <w:t>.</w:t>
      </w:r>
      <w:r>
        <w:rPr>
          <w:rStyle w:val="FootnoteAnchor"/>
          <w:rtl w:val="true"/>
        </w:rPr>
        <w:footnoteReference w:id="199"/>
      </w:r>
      <w:r>
        <w:rPr>
          <w:rFonts w:ascii="IRNazanin" w:hAnsi="IRNazanin" w:eastAsia="IRNazanin"/>
          <w:color w:val="111111"/>
          <w:sz w:val="28"/>
          <w:sz w:val="28"/>
          <w:szCs w:val="28"/>
          <w:rtl w:val="true"/>
          <w:lang w:bidi="fa-IR"/>
        </w:rPr>
        <w:t>او سپس دانش موجود را در باب هریک بررسی می‌کند</w:t>
      </w:r>
      <w:r>
        <w:rPr>
          <w:rFonts w:eastAsia="IRNazanin" w:cs="IRNazanin"/>
          <w:color w:val="111111"/>
          <w:sz w:val="28"/>
          <w:szCs w:val="28"/>
          <w:rtl w:val="true"/>
          <w:lang w:bidi="fa-IR"/>
        </w:rPr>
        <w:t>.</w:t>
      </w:r>
      <w:r>
        <w:rPr>
          <w:rStyle w:val="FootnoteAnchor"/>
          <w:rtl w:val="true"/>
        </w:rPr>
        <w:footnoteReference w:id="200"/>
      </w:r>
      <w:r>
        <w:rPr>
          <w:rFonts w:ascii="IRNazanin" w:hAnsi="IRNazanin" w:eastAsia="IRNazanin"/>
          <w:color w:val="111111"/>
          <w:sz w:val="28"/>
          <w:sz w:val="28"/>
          <w:szCs w:val="28"/>
          <w:rtl w:val="true"/>
          <w:lang w:bidi="fa-IR"/>
        </w:rPr>
        <w:t xml:space="preserve">وی به پرسش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واقعیت تکامل به گونه‌ای مطمئن شناخته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پاسخی قاطع می‌دهد و مدعی می‌شود موجودات پیچیدۀ</w:t>
      </w:r>
    </w:p>
    <w:p>
      <w:pPr>
        <w:pStyle w:val="BookText"/>
        <w:rPr/>
      </w:pPr>
      <w:r>
        <w:rPr>
          <w:rFonts w:ascii="IRNazanin" w:hAnsi="IRNazanin" w:eastAsia="IRNazanin"/>
          <w:color w:val="111111"/>
          <w:sz w:val="28"/>
          <w:sz w:val="28"/>
          <w:szCs w:val="28"/>
          <w:rtl w:val="true"/>
          <w:lang w:bidi="fa-IR"/>
        </w:rPr>
        <w:t>فعلی، برآمده و تکامل‌یافتۀ موجودات ساده‌تر قبلی هستند؛</w:t>
      </w:r>
      <w:r>
        <w:rPr>
          <w:rStyle w:val="FootnoteAnchor"/>
          <w:rtl w:val="true"/>
        </w:rPr>
        <w:footnoteReference w:id="201"/>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Ibid, p. 69</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اما مسیرهایی که موجودات پیموده‌اند، یا مکانیزم حاکم بر فرایند، همچنان جای بحث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مثال، در برابر مکانیزمِ تدریجی انتخاب طبیعی، امروزه سخن از نظریۀ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تعادل‌های گسسته</w:t>
      </w:r>
      <w:r>
        <w:rPr>
          <w:rFonts w:eastAsia="IRNazanin" w:cs="IRNazanin"/>
          <w:color w:val="111111"/>
          <w:sz w:val="28"/>
          <w:szCs w:val="28"/>
          <w:rtl w:val="true"/>
          <w:lang w:bidi="fa-IR"/>
        </w:rPr>
        <w:t>»</w:t>
      </w:r>
      <w:r>
        <w:rPr>
          <w:rStyle w:val="FootnoteAnchor"/>
          <w:rtl w:val="true"/>
        </w:rPr>
        <w:footnoteReference w:id="202"/>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این نظریه، تکامل، برخلاف تصور داروینی، به‌صورت تدریجی و منظم پیش نمی‌رود، بلکه به گونه‌ای منقطع، نامنظم و گاه‌به‌گاه رخ می‌دهد</w:t>
      </w:r>
      <w:r>
        <w:rPr>
          <w:rFonts w:eastAsia="IRNazanin" w:cs="IRNazanin"/>
          <w:color w:val="111111"/>
          <w:sz w:val="28"/>
          <w:szCs w:val="28"/>
          <w:rtl w:val="true"/>
          <w:lang w:bidi="fa-IR"/>
        </w:rPr>
        <w:t>.</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حاصلْ آنکه امروزه این نظریه، همچنان مقبولیت روزافزونی دارد و مناقشات نه از بیرون و بر سر اصل آن، بلکه در درون و بر مسائل فرعی و حاشیه‌ای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از انکار انتخاب طبیعی یا نظریۀ تکامل نیست؛ بحث دربارۀ شیوۀ عملکرد این انتخاب در طول تاریخی طبیعی و عوامل تأثیرگذار در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مقصود معرفی تأثیرات گستردۀ نظریۀ تکاملی داروین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برای زدودن این پندار که این نظریه، صرفاً فرضیه‌ای بیش نبوده است، به برخی کاربست‌های آن در مسائل دیگر اشاراتی می‌کنم</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امروزه، عده‌ای از دانشمندان، نظریۀ تکاملی داروین را با طبیعت‌گرایی</w:t>
      </w:r>
      <w:r>
        <w:rPr>
          <w:rStyle w:val="FootnoteAnchor"/>
          <w:rtl w:val="true"/>
        </w:rPr>
        <w:footnoteReference w:id="204"/>
      </w:r>
      <w:r>
        <w:rPr>
          <w:rFonts w:ascii="IRNazanin" w:hAnsi="IRNazanin" w:eastAsia="IRNazanin"/>
          <w:color w:val="111111"/>
          <w:sz w:val="28"/>
          <w:sz w:val="28"/>
          <w:szCs w:val="28"/>
          <w:rtl w:val="true"/>
          <w:lang w:bidi="fa-IR"/>
        </w:rPr>
        <w:t>پیوند زده، به استناد این نظریه می‌کوشند کل عالم را تبیین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مثال، کارل سیگَن، ستاره‌شناس امریکایی، که آثار عامه‌پسند و به‌ویژه سریال سیزده‌بخشی وی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05"/>
      </w:r>
      <w:r>
        <w:rPr>
          <w:rFonts w:ascii="IRNazanin" w:hAnsi="IRNazanin" w:eastAsia="IRNazanin"/>
          <w:color w:val="111111"/>
          <w:sz w:val="28"/>
          <w:sz w:val="28"/>
          <w:szCs w:val="28"/>
          <w:rtl w:val="true"/>
          <w:lang w:bidi="fa-IR"/>
        </w:rPr>
        <w:t>محبوبیت فراوانی کسب کرده است، می‌کوشد تصویری ماتریالیستی از عالم به دست دهد</w:t>
      </w:r>
      <w:r>
        <w:rPr>
          <w:rFonts w:eastAsia="IRNazanin" w:cs="IRNazanin"/>
          <w:color w:val="111111"/>
          <w:sz w:val="28"/>
          <w:szCs w:val="28"/>
          <w:rtl w:val="true"/>
          <w:lang w:bidi="fa-IR"/>
        </w:rPr>
        <w:t>.</w:t>
      </w:r>
      <w:r>
        <w:rPr>
          <w:rStyle w:val="FootnoteAnchor"/>
          <w:rtl w:val="true"/>
        </w:rPr>
        <w:footnoteReference w:id="206"/>
      </w:r>
      <w:r>
        <w:rPr>
          <w:rFonts w:ascii="IRNazanin" w:hAnsi="IRNazanin" w:eastAsia="IRNazanin"/>
          <w:color w:val="111111"/>
          <w:sz w:val="28"/>
          <w:sz w:val="28"/>
          <w:szCs w:val="28"/>
          <w:rtl w:val="true"/>
          <w:lang w:bidi="fa-IR"/>
        </w:rPr>
        <w:t>وی نظریۀ تکامل را بر کل عالم منطبق می‌کند و بر آن است که هر مرحلهْ تکامل مرحلۀ قبل است و همه از دل مهبانگ</w:t>
      </w:r>
      <w:r>
        <w:rPr>
          <w:rStyle w:val="FootnoteAnchor"/>
          <w:rtl w:val="true"/>
        </w:rPr>
        <w:footnoteReference w:id="207"/>
      </w:r>
      <w:r>
        <w:rPr>
          <w:rFonts w:ascii="IRNazanin" w:hAnsi="IRNazanin" w:eastAsia="IRNazanin"/>
          <w:color w:val="111111"/>
          <w:sz w:val="28"/>
          <w:sz w:val="28"/>
          <w:szCs w:val="28"/>
          <w:rtl w:val="true"/>
          <w:lang w:bidi="fa-IR"/>
        </w:rPr>
        <w:t>پدیدار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بر</w:t>
      </w:r>
    </w:p>
    <w:p>
      <w:pPr>
        <w:pStyle w:val="BookText"/>
        <w:rPr/>
      </w:pPr>
      <w:r>
        <w:rPr>
          <w:rFonts w:ascii="IRNazanin" w:hAnsi="IRNazanin" w:eastAsia="IRNazanin"/>
          <w:color w:val="111111"/>
          <w:sz w:val="28"/>
          <w:sz w:val="28"/>
          <w:szCs w:val="28"/>
          <w:rtl w:val="true"/>
          <w:lang w:bidi="fa-IR"/>
        </w:rPr>
        <w:t>سرلوحۀ کتاب خود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کیهان همۀ آن چیزی است که هست، بوده، و خواهد بود</w:t>
      </w:r>
      <w:r>
        <w:rPr>
          <w:rFonts w:eastAsia="IRNazanin" w:cs="IRNazanin"/>
          <w:color w:val="111111"/>
          <w:sz w:val="28"/>
          <w:szCs w:val="28"/>
          <w:rtl w:val="true"/>
          <w:lang w:bidi="fa-IR"/>
        </w:rPr>
        <w:t>».</w:t>
      </w:r>
      <w:r>
        <w:rPr>
          <w:rStyle w:val="FootnoteAnchor"/>
          <w:rtl w:val="true"/>
        </w:rPr>
        <w:footnoteReference w:id="208"/>
      </w:r>
    </w:p>
    <w:p>
      <w:pPr>
        <w:pStyle w:val="BookText"/>
        <w:rPr/>
      </w:pPr>
      <w:r>
        <w:rPr>
          <w:rFonts w:eastAsia="Times New Roman" w:cs="Times New Roman" w:ascii="Times New Roman" w:hAnsi="Times New Roman"/>
          <w:color w:val="111111"/>
          <w:sz w:val="28"/>
          <w:szCs w:val="28"/>
          <w:lang w:val="en-US" w:bidi="en-US"/>
        </w:rPr>
        <w:t>The cosmos is l th is or w or ever will be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فرانسیس کریک، ژنتیک‌دان معروف، و یکی از کاشفان ساختار 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DN</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با تحلیلی تکاملیْ ذهن، شعور و روح را بازتاب مغز می‌داند و در کتاب فرضیۀ عجیب می‌نویسد</w:t>
      </w:r>
      <w:r>
        <w:rPr>
          <w:rStyle w:val="FootnoteAnchor"/>
          <w:rtl w:val="true"/>
        </w:rPr>
        <w:footnoteReference w:id="209"/>
      </w:r>
      <w:r>
        <w:rPr>
          <w:rFonts w:ascii="IRNazanin" w:hAnsi="IRNazanin" w:eastAsia="IRNazanin"/>
          <w:color w:val="111111"/>
          <w:sz w:val="28"/>
          <w:sz w:val="28"/>
          <w:szCs w:val="28"/>
          <w:rtl w:val="true"/>
          <w:lang w:bidi="fa-IR"/>
        </w:rPr>
        <w:t>هرچند این نظر خلاف بسیاری از مشهودات است، اما باید پذیرفت که جز ماده چیزی نیست</w:t>
      </w:r>
      <w:r>
        <w:rPr>
          <w:rFonts w:eastAsia="IRNazanin" w:cs="IRNazanin"/>
          <w:color w:val="111111"/>
          <w:sz w:val="28"/>
          <w:szCs w:val="28"/>
          <w:rtl w:val="true"/>
          <w:lang w:bidi="fa-IR"/>
        </w:rPr>
        <w:t>.</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ادوارد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ویلسون در کتاب جامعۀ زیست‌شناسی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ترکیبی تازه </w:t>
      </w:r>
      <w:r>
        <w:rPr>
          <w:rFonts w:eastAsia="IRNazanin" w:cs="IRNazanin"/>
          <w:color w:val="111111"/>
          <w:sz w:val="28"/>
          <w:szCs w:val="28"/>
          <w:rtl w:val="true"/>
          <w:lang w:bidi="fa-IR"/>
        </w:rPr>
        <w:t>(</w:t>
      </w:r>
      <w:r>
        <w:rPr>
          <w:rFonts w:eastAsia="IRNazanin" w:cs="IRNazanin"/>
          <w:color w:val="111111"/>
          <w:sz w:val="28"/>
          <w:szCs w:val="28"/>
          <w:lang w:bidi="fa-IR"/>
        </w:rPr>
        <w:t>1975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11"/>
      </w:r>
      <w:r>
        <w:rPr>
          <w:rFonts w:ascii="IRNazanin" w:hAnsi="IRNazanin" w:eastAsia="IRNazanin"/>
          <w:color w:val="111111"/>
          <w:sz w:val="28"/>
          <w:sz w:val="28"/>
          <w:szCs w:val="28"/>
          <w:rtl w:val="true"/>
          <w:lang w:bidi="fa-IR"/>
        </w:rPr>
        <w:t>کوشید بر اساس نظریۀ تکاملی داروین، رفتارهای اجتماعی از جمله اخلاق را تبیین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نگرش وی مدعی شد که اخلاقیات زادۀ روند تکاملی و ابزاری برای حفظ انسان‌هاست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گفتۀ ویلسون و روز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اعتقاد ما به اخلاق، فقط نوعی سازگاری برای گسترش اهداف تولید مثلی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آن، به ادعای آنان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اخلاقیات آن طور که ما بدان معتقدیم، خیال باطلی است که ژن‌هایمان برای وادار کردن ما به همکاری، به خورد ما داده‌اند</w:t>
      </w:r>
      <w:r>
        <w:rPr>
          <w:rFonts w:eastAsia="IRNazanin" w:cs="IRNazanin"/>
          <w:color w:val="111111"/>
          <w:sz w:val="28"/>
          <w:szCs w:val="28"/>
          <w:rtl w:val="true"/>
          <w:lang w:bidi="fa-IR"/>
        </w:rPr>
        <w:t>».</w:t>
      </w:r>
      <w:r>
        <w:rPr>
          <w:rStyle w:val="FootnoteAnchor"/>
          <w:rtl w:val="true"/>
        </w:rPr>
        <w:footnoteReference w:id="212"/>
      </w:r>
    </w:p>
    <w:p>
      <w:pPr>
        <w:pStyle w:val="BookText"/>
        <w:rPr/>
      </w:pPr>
      <w:r>
        <w:rPr>
          <w:rFonts w:ascii="IRNazanin" w:hAnsi="IRNazanin" w:eastAsia="IRNazanin"/>
          <w:color w:val="111111"/>
          <w:sz w:val="28"/>
          <w:sz w:val="28"/>
          <w:szCs w:val="28"/>
          <w:rtl w:val="true"/>
          <w:lang w:bidi="fa-IR"/>
        </w:rPr>
        <w:t>نحوۀ استفاده از نظریۀ تکاملی داروین در تبیین اخلاقْ بسیار متفاوت و گاه متعارض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مایکل روز در مقالۀ دقیق و پرنکتۀ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زیست‌شناسی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ابعاد این مسئله را کاویده است و درحالی‌که نشان می‌دهد زیست‌شناسی تکاملی، قادر به تبیین جامع اخلاق نیست، معتقد است نمی‌توان و نباید یافته‌های جدی این عرصه را در فهم مسائل اخلاقی نادیده گرفت</w:t>
      </w:r>
      <w:r>
        <w:rPr>
          <w:rFonts w:eastAsia="IRNazanin" w:cs="IRNazanin"/>
          <w:color w:val="111111"/>
          <w:sz w:val="28"/>
          <w:szCs w:val="28"/>
          <w:rtl w:val="true"/>
          <w:lang w:bidi="fa-IR"/>
        </w:rPr>
        <w:t>.</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نظریۀ تکامل، حتی برای تبیین پیدایش و تکامل دین استفاده شده است و به</w:t>
      </w:r>
    </w:p>
    <w:p>
      <w:pPr>
        <w:pStyle w:val="BookText"/>
        <w:rPr/>
      </w:pPr>
      <w:r>
        <w:rPr>
          <w:rFonts w:ascii="IRNazanin" w:hAnsi="IRNazanin" w:eastAsia="IRNazanin"/>
          <w:color w:val="111111"/>
          <w:sz w:val="28"/>
          <w:sz w:val="28"/>
          <w:szCs w:val="28"/>
          <w:rtl w:val="true"/>
          <w:lang w:bidi="fa-IR"/>
        </w:rPr>
        <w:t>جای نظریات از رده خارج‌شدۀ قرن نوزدهمی دربارۀ علل پیدایش دین، مانند جهل و ترس، امروزه کسانی می‌کوشند دین را بر اساس الگوی تکاملی تفسیر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درحالی‌که کسانی مانند دانبار و همکارانش، در پی آن هستند تا خوش‌بینانه کارکرد تکاملی دین را تبیین کنند و آن را در خدمت مقاصد زیست‌شناختی و بقای انسان منحصر کنند و از این جهت آن را مهم بشمارند،</w:t>
      </w:r>
      <w:r>
        <w:rPr>
          <w:rStyle w:val="FootnoteAnchor"/>
          <w:rtl w:val="true"/>
        </w:rPr>
        <w:footnoteReference w:id="214"/>
      </w:r>
    </w:p>
    <w:p>
      <w:pPr>
        <w:pStyle w:val="BookText"/>
        <w:rPr/>
      </w:pPr>
      <w:r>
        <w:rPr>
          <w:rFonts w:eastAsia="Times New Roman" w:cs="Times New Roman" w:ascii="Times New Roman" w:hAnsi="Times New Roman"/>
          <w:color w:val="111111"/>
          <w:sz w:val="28"/>
          <w:szCs w:val="28"/>
          <w:lang w:val="en-US" w:bidi="en-US"/>
        </w:rPr>
        <w:t>ediuG s'rennigeb :ygolo hcysp yr oi tulovE .149 .p</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عده‌ای آن را صرفاً محصولی ناخواسته، البته با کارکردهای مفید ثانوی معرفی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استفن جی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گولد، دیرین‌شناس و استاد دانشگاه هاروارد، بر آن است که دین محصول فرعی تکامل و حادثه‌ای عصب‌شناختی یا نورولوژیک</w:t>
      </w:r>
      <w:r>
        <w:rPr>
          <w:rStyle w:val="FootnoteAnchor"/>
          <w:rtl w:val="true"/>
        </w:rPr>
        <w:footnoteReference w:id="215"/>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منظر، دین خاصیت تکاملی مفیدی برای بشر ندارد و در کنار مکانیزم‌های روان‌شناختی گسترش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بااین‌حال، موفق به تولید برخی رفتارهای مفید شده است و به همین سبب از منظر ثانوی پذیرفتنی و ماندگار شده است</w:t>
      </w:r>
      <w:r>
        <w:rPr>
          <w:rFonts w:eastAsia="IRNazanin" w:cs="IRNazanin"/>
          <w:color w:val="111111"/>
          <w:sz w:val="28"/>
          <w:szCs w:val="28"/>
          <w:rtl w:val="true"/>
          <w:lang w:bidi="fa-IR"/>
        </w:rPr>
        <w:t>.</w:t>
      </w:r>
      <w:r>
        <w:rPr>
          <w:rStyle w:val="FootnoteAnchor"/>
          <w:rtl w:val="true"/>
        </w:rPr>
        <w:footnoteReference w:id="216"/>
      </w:r>
      <w:r>
        <w:rPr>
          <w:rFonts w:ascii="IRNazanin" w:hAnsi="IRNazanin" w:eastAsia="IRNazanin"/>
          <w:color w:val="111111"/>
          <w:sz w:val="28"/>
          <w:sz w:val="28"/>
          <w:szCs w:val="28"/>
          <w:rtl w:val="true"/>
          <w:lang w:bidi="fa-IR"/>
        </w:rPr>
        <w:t>وی برای تبیین کارکرد ثانوی دین، از تعبیر اسپاندریل،</w:t>
      </w:r>
      <w:r>
        <w:rPr>
          <w:rStyle w:val="FootnoteAnchor"/>
          <w:rtl w:val="true"/>
        </w:rPr>
        <w:footnoteReference w:id="217"/>
      </w:r>
      <w:r>
        <w:rPr>
          <w:rFonts w:ascii="IRNazanin" w:hAnsi="IRNazanin" w:eastAsia="IRNazanin"/>
          <w:color w:val="111111"/>
          <w:sz w:val="28"/>
          <w:sz w:val="28"/>
          <w:szCs w:val="28"/>
          <w:rtl w:val="true"/>
          <w:lang w:bidi="fa-IR"/>
        </w:rPr>
        <w:t>یا فضای مثلثی‌شکل در دو طرف طاق‌ها، استفاده می‌کند</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معماران دوران رنسانس، برای ایجاد طاق‌های قوسی‌شکل و زیبا، ناگزیر می‌شدند آن‌ها را به‌گونه‌ای طراحی کنند که ناخواسته در طرف آن‌ها فضای مثلثی‌شکل پدیدار می‌شد که مقصود اصلی نبود و از نظر زیباشناختی هم کارکرد مفیدی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چاره‌ای جز قبول این فضای اضافی یا پِرت برای رسیدن به قوس مطلوب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گولد همراه با ریچارد لیونتین، ژنتیک‌دان، در مقالۀ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اسپاندریل‌های سن مارکو و سرمشق‌های پنگلوسی</w:t>
      </w:r>
      <w:r>
        <w:rPr>
          <w:rStyle w:val="FootnoteAnchor"/>
          <w:rtl w:val="true"/>
        </w:rPr>
        <w:footnoteReference w:id="21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برنامۀ انطباق‌گرا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19"/>
      </w:r>
      <w:r>
        <w:rPr>
          <w:rFonts w:ascii="IRNazanin" w:hAnsi="IRNazanin" w:eastAsia="IRNazanin"/>
          <w:color w:val="111111"/>
          <w:sz w:val="28"/>
          <w:sz w:val="28"/>
          <w:szCs w:val="28"/>
          <w:rtl w:val="true"/>
          <w:lang w:bidi="fa-IR"/>
        </w:rPr>
        <w:t>به بسط این ایده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می‌پردازند</w:t>
      </w:r>
      <w:r>
        <w:rPr>
          <w:rFonts w:eastAsia="IRNazanin" w:cs="IRNazanin"/>
          <w:color w:val="111111"/>
          <w:sz w:val="28"/>
          <w:szCs w:val="28"/>
          <w:rtl w:val="true"/>
          <w:lang w:bidi="fa-IR"/>
        </w:rPr>
        <w:t>.</w:t>
      </w:r>
      <w:r>
        <w:rPr>
          <w:rStyle w:val="FootnoteAnchor"/>
          <w:rtl w:val="true"/>
        </w:rPr>
        <w:footnoteReference w:id="22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آلیستر مک‌گراث به این سبک استدلال پاسخ مناسبی داده و دو نکتۀ اصلی را برشمرده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برای‌توضیح بیشتر 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p, Science &amp; Religion: ewIntro duction</w:t>
      </w:r>
    </w:p>
    <w:p>
      <w:pPr>
        <w:pStyle w:val="BookText"/>
        <w:rPr/>
      </w:pPr>
      <w:r>
        <w:rPr>
          <w:rFonts w:ascii="IRNazanin" w:hAnsi="IRNazanin" w:eastAsia="IRNazanin"/>
          <w:color w:val="111111"/>
          <w:sz w:val="28"/>
          <w:sz w:val="28"/>
          <w:szCs w:val="28"/>
          <w:rtl w:val="true"/>
          <w:lang w:bidi="fa-IR"/>
        </w:rPr>
        <w:t>مایکل روز در کتاب تکامل و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گفتگو، طی پنج گفتگوی‌خیالی، چالش‌هایی را که این نظریه فراروی دین نهاده است، به‌تفصیل باز می‌گوید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افزون بر موارد پیش‌گفته، نظریۀ تکاملی بستری برای ملحدان فراهم کرده است تا به تعبیر داوکینز، بتوانند به‌گونه‌ای معقول و رضایت‌بخش ملحد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ما امروزه شاهد پدیده تازه‌ای هستیم که سویتمن آن را الحاد ایجابی</w:t>
      </w:r>
      <w:r>
        <w:rPr>
          <w:rStyle w:val="FootnoteAnchor"/>
          <w:rtl w:val="true"/>
        </w:rPr>
        <w:footnoteReference w:id="221"/>
      </w:r>
      <w:r>
        <w:rPr>
          <w:rFonts w:ascii="IRNazanin" w:hAnsi="IRNazanin" w:eastAsia="IRNazanin"/>
          <w:color w:val="111111"/>
          <w:sz w:val="28"/>
          <w:sz w:val="28"/>
          <w:szCs w:val="28"/>
          <w:rtl w:val="true"/>
          <w:lang w:bidi="fa-IR"/>
        </w:rPr>
        <w:t>می‌نامد و به‌نحوی بر نظریۀ تکامل استوار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تاریخ، ملحدانی بوده‌اند و الحادْ مدافعانی داشته است؛ اما آنچه در قرن بیستم برای اولین بار پدیدار شد، گونۀ خاصی از إلحاد است که رویکرد و نگاهش به دین و دفاعش از مواضع الحادی متفاوت است و این نکته شایستۀ تأمل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الحاد ایجابی، الحادی است که سعی می‌کند برای مبانی خود دلایل اثباتی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گذشته، الحاد حالت سلبی داشت و ملحد کسی بود که معتقدات دینی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امروزه ملحدان، به جای انکار دلایل اثبات وجود خدا، به شکل مستقل دلایلی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ایجابی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نبود خدا می‌آورند و این کار را به یاری یافته‌های علمی جدید از جمله ژنتیک، نظریۀ تکامل، زمین‌شناسی و عصب‌شناسی انجام می‌دهند</w:t>
      </w:r>
      <w:r>
        <w:rPr>
          <w:rFonts w:eastAsia="IRNazanin" w:cs="IRNazanin"/>
          <w:color w:val="111111"/>
          <w:sz w:val="28"/>
          <w:szCs w:val="28"/>
          <w:rtl w:val="true"/>
          <w:lang w:bidi="fa-IR"/>
        </w:rPr>
        <w:t>.</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بااین‌همه، نکته‌ای که همواره باید به خاطر داشت، تفکیک و تمیز میان چند بحث مرتبط دربارۀ نظریۀ تکامل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نوشتۀ دومینیک بالسترا، فیلسوف علم، در مسئلۀ تکامل مهم است که دو مطلب را از هم متمایز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آنکه تکاملی رخ داده است؛ و دوم، آنکه این تکامل بر اساس نظریه و تبیین ویژه‌ای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طی دهۀ هفتاد میلادی به بعد، نظریۀ داروین که ناظر به مطلب دوم است، به‌شدت از سوی مجامع علمی نقد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برخی، گزینش‌گرانه از این نقدها برای انکار</w:t>
      </w:r>
      <w:bookmarkStart w:id="263" w:name="pg14517_146282"/>
    </w:p>
    <w:p>
      <w:pPr>
        <w:pStyle w:val="BookText"/>
        <w:rPr/>
      </w:pPr>
      <w:bookmarkEnd w:id="263"/>
      <w:r>
        <w:rPr>
          <w:rFonts w:ascii="IRNazanin" w:hAnsi="IRNazanin" w:eastAsia="IRNazanin"/>
          <w:color w:val="111111"/>
          <w:sz w:val="28"/>
          <w:sz w:val="28"/>
          <w:szCs w:val="28"/>
          <w:rtl w:val="true"/>
          <w:lang w:bidi="fa-IR"/>
        </w:rPr>
        <w:t>اصل تکامل سود جسته‌اند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آنکه با مسلّم شمردن اصل تکامل، بحث امروزی ناظر به چگونگی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استفن 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گولد نشان داده است تکامل، برخلاف نظر داروین، به صورت تدریجی نبوده است، بلکه فسیل‌های بجای‌مانده گویای نوعی انقلاب و حرکت سریع بوده است و نظریۀ داروین درواقع بازگوی سوگیری تحول تدریجی مقبول دوران ویکتوریاست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به‌واقع تکامل تدریجی نیست، بلکه به صورت جهش‌های سریع رخ داده است</w:t>
      </w:r>
      <w:r>
        <w:rPr>
          <w:rFonts w:eastAsia="IRNazanin" w:cs="IRNazanin"/>
          <w:color w:val="111111"/>
          <w:sz w:val="28"/>
          <w:szCs w:val="28"/>
          <w:rtl w:val="true"/>
          <w:lang w:bidi="fa-IR"/>
        </w:rPr>
        <w:t>.</w:t>
      </w:r>
      <w:r>
        <w:rPr>
          <w:rStyle w:val="FootnoteAnchor"/>
          <w:rtl w:val="true"/>
        </w:rPr>
        <w:footnoteReference w:id="223"/>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Science d Reli gion", in tcejbuS eht ot ediuG :noigileR</w:t>
      </w:r>
      <w:r>
        <w:rPr>
          <w:rFonts w:ascii="IRNazanin" w:hAnsi="IRNazanin" w:eastAsia="IRNazanin"/>
          <w:color w:val="111111"/>
          <w:sz w:val="28"/>
          <w:sz w:val="28"/>
          <w:szCs w:val="28"/>
          <w:rtl w:val="true"/>
          <w:lang w:bidi="fa-IR"/>
        </w:rPr>
        <w:t>ک</w:t>
      </w:r>
      <w:r>
        <w:rPr>
          <w:rFonts w:eastAsia="Times New Roman" w:cs="Times New Roman" w:ascii="Times New Roman" w:hAnsi="Times New Roman"/>
          <w:color w:val="111111"/>
          <w:sz w:val="28"/>
          <w:szCs w:val="28"/>
          <w:lang w:val="en-US" w:bidi="en-US"/>
        </w:rPr>
        <w:t>o yhpos olihP .843 .p</w:t>
      </w:r>
      <w:r>
        <w:rPr>
          <w:rFonts w:eastAsia="Times New Roman" w:cs="Times New Roman" w:ascii="Times New Roman" w:hAnsi="Times New Roman"/>
          <w:color w:val="111111"/>
          <w:sz w:val="28"/>
          <w:szCs w:val="28"/>
          <w:rtl w:val="true"/>
          <w:lang w:val="en-US" w:bidi="en-US"/>
        </w:rPr>
        <w:t xml:space="preserve"> ,.</w:t>
      </w:r>
    </w:p>
    <w:p>
      <w:pPr>
        <w:pStyle w:val="Heading3"/>
        <w:numPr>
          <w:ilvl w:val="2"/>
          <w:numId w:val="1"/>
        </w:numPr>
        <w:rPr/>
      </w:pPr>
      <w:bookmarkStart w:id="264" w:name="__RefHeading___Toc39792_1878427129"/>
      <w:bookmarkStart w:id="265" w:name="_Toc98"/>
      <w:bookmarkEnd w:id="264"/>
      <w:r>
        <w:rPr/>
        <w:t>4</w:t>
      </w:r>
      <w:r>
        <w:rPr>
          <w:rtl w:val="true"/>
        </w:rPr>
        <w:t xml:space="preserve">. </w:t>
      </w:r>
      <w:r>
        <w:rPr>
          <w:rtl w:val="true"/>
        </w:rPr>
        <w:t>خطوط کلی نظریۀ تکاملی داروین</w:t>
      </w:r>
      <w:bookmarkEnd w:id="265"/>
    </w:p>
    <w:p>
      <w:pPr>
        <w:pStyle w:val="BookText"/>
        <w:rPr/>
      </w:pPr>
      <w:r>
        <w:rPr>
          <w:rFonts w:ascii="IRNazanin" w:hAnsi="IRNazanin" w:eastAsia="IRNazanin"/>
          <w:color w:val="111111"/>
          <w:sz w:val="28"/>
          <w:sz w:val="28"/>
          <w:szCs w:val="28"/>
          <w:rtl w:val="true"/>
          <w:lang w:bidi="fa-IR"/>
        </w:rPr>
        <w:t>این نظریه معمولاً با ساده‌سازی‌ها، بی‌دقتی‌ها و ابهامات متعددی گزارش، و همراه با تفسیرهای جهت‌دار خاصی ارائه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دیده می‌شود کسانی که بر ضد این نظریه کتاب نوشته‌اند، از این نظریه، آن گونه که خودِ داروین ارائه کرد و امروزه در مجامع علمی مقبول است، تصور درستی ندارند؛ و گاه نظر رقیب نظریۀ تکاملی داروین، یعنی لامارکیسم را به نام نظریۀ داروین نقد می‌کنند و خطاهای آن را به پای داروین می‌نویسند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در اینجا به یاری بحث‌های تازه که در این زمینه صورت گرفته است، گزارشی روشن از آن به دست داده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بهتر است همانند سویمتن، کار خود را با تفکیک میان سه پرسش محوری دنبال کنیم</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نظریه چه ادعاهایی دربارۀ منشأ انواع، منشأ انسان و ساختار و تحول موجودات دارد؟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شواهدی به سود این مدعیات وجود دارد و این شواهد تا چه حد قابل اعتماد است‌؟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کاربرد این مدعیات در دیگر عرصه‌ها چون دین، اخلاق و فلسفه چیست‌؟ دو پرسش اول در حوزۀ علوم طبیعی قرار می‌گیرد و باید آن‌ها را از پرسش سوم، که فیلسوفان، متکلمان و الهی‌دانان باید به آن پاسخ دهند، متمایز کرد</w:t>
      </w:r>
      <w:r>
        <w:rPr>
          <w:rFonts w:eastAsia="IRNazanin" w:cs="IRNazanin"/>
          <w:color w:val="111111"/>
          <w:sz w:val="28"/>
          <w:szCs w:val="28"/>
          <w:rtl w:val="true"/>
          <w:lang w:bidi="fa-IR"/>
        </w:rPr>
        <w:t>.</w:t>
      </w:r>
      <w:r>
        <w:rPr>
          <w:rStyle w:val="FootnoteAnchor"/>
          <w:rtl w:val="true"/>
        </w:rPr>
        <w:footnoteReference w:id="224"/>
      </w:r>
      <w:r>
        <w:rPr>
          <w:rFonts w:ascii="IRNazanin" w:hAnsi="IRNazanin" w:eastAsia="IRNazanin"/>
          <w:color w:val="111111"/>
          <w:sz w:val="28"/>
          <w:sz w:val="28"/>
          <w:szCs w:val="28"/>
          <w:rtl w:val="true"/>
          <w:lang w:bidi="fa-IR"/>
        </w:rPr>
        <w:t>در بخش دیگری از این مقاله، به پرسش سوم پرداخته شده است</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پرسش دوم نیز خارج از محدودۀ این مقاله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این مختصر سعی می‌شود</w:t>
      </w:r>
    </w:p>
    <w:p>
      <w:pPr>
        <w:pStyle w:val="BookText"/>
        <w:rPr/>
      </w:pPr>
      <w:r>
        <w:rPr>
          <w:rFonts w:ascii="IRNazanin" w:hAnsi="IRNazanin" w:eastAsia="IRNazanin"/>
          <w:color w:val="111111"/>
          <w:sz w:val="28"/>
          <w:sz w:val="28"/>
          <w:szCs w:val="28"/>
          <w:rtl w:val="true"/>
          <w:lang w:bidi="fa-IR"/>
        </w:rPr>
        <w:t>به پرسش اول پاسخ داده و روشن شود که گوهر نظریۀ داروین 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چارلز داروین در زمانی می‌زیست که یافته‌های فسیل‌شناسان، اطلاعات تازه‌ای از پیشینۀ بلند زمین و برخی موجودات منقرض‌شده و تغییراتی که موجودات فعلی داشته‌اند فراهم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تبیین برخی از تفاوت‌های موجود میان جانوران و حل معضل فسیل‌ها، ژرژ کوویه، طبیعت‌شناس فرانسوی، مدعی شد که برخی گونه‌های جانوری، به علل حوادث طبیعی بزرگ یا کاتاسروف‌ها منقرض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بدین ترتیب، وی کاتاستروفیسم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C t rophism</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را عرضه داشت که بر اساس آن انقراض حیوانات بر اثر حوادث بزرگی مانند سیل رخ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نظریه، وی منکر و مخالف تکامل طبیعی جانداران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نظریه اشکالات لاینحلی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به دست دادن تبیین مناسب‌تر، ژان بابتیست لامارک، طبیعت‌شناسی فرانسوی، مدعی نوعی تکامل جانداران شد و گفت که حیوانات به‌تدریج با محیط خود سازگار می‌شوند و تغییر پیدا می‌کنند، آنگاه این تغییراتِ اکتسابی به نسل‌های بعدی منتقل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نظریه نیز قادر به پاسخ‌گویی به اشکالات خاص نبود و دو اشکال اصلی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تن دادن به تغییرات را تبیین نمی‌کرد، نظریۀ انتقال صفات اکتسابی آن خطا بود</w:t>
      </w:r>
      <w:r>
        <w:rPr>
          <w:rFonts w:eastAsia="IRNazanin" w:cs="IRNazanin"/>
          <w:color w:val="111111"/>
          <w:sz w:val="28"/>
          <w:szCs w:val="28"/>
          <w:rtl w:val="true"/>
          <w:lang w:bidi="fa-IR"/>
        </w:rPr>
        <w:t>.</w:t>
      </w:r>
      <w:r>
        <w:rPr>
          <w:rStyle w:val="FootnoteAnchor"/>
          <w:rtl w:val="true"/>
        </w:rPr>
        <w:footnoteReference w:id="22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تکامل و رفتار انسان، ص </w:t>
      </w:r>
      <w:r>
        <w:rPr>
          <w:rFonts w:eastAsia="IRNazanin" w:cs="IRNazanin"/>
          <w:color w:val="111111"/>
          <w:sz w:val="28"/>
          <w:szCs w:val="28"/>
          <w:lang w:bidi="fa-IR"/>
        </w:rPr>
        <w:t>56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آگوست وایزمن با بریدن دم نسل‌های متوالی موش‌ها نشان داد که صفات اکتسابی به ارث نمی‌رسند و بدین ترتیب، لامارکیسم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خاک سپرد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قضا، خطای عده‌ای از منتقدان نظریۀ تکاملی داروین در ایران آن است که به جای نقد نظریۀ وی، نظریۀ لامارک را نقد می‌کنند و این دو را یکی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اشاره به ختنۀ پسران طی نسل‌های متوالی و ختنه‌نشده زاده شدن آنان یا آزمایش بریدن دم‌های موش‌ها، درواقع نقدی است که متوجه نظریۀ لامارک شده بود که به انتقال صفات اکتسابی اعتقاد داشت،</w:t>
      </w:r>
      <w:r>
        <w:rPr>
          <w:rStyle w:val="FootnoteAnchor"/>
          <w:rtl w:val="true"/>
        </w:rPr>
        <w:footnoteReference w:id="226"/>
      </w:r>
      <w:r>
        <w:rPr>
          <w:rFonts w:ascii="IRNazanin" w:hAnsi="IRNazanin" w:eastAsia="IRNazanin"/>
          <w:color w:val="111111"/>
          <w:sz w:val="28"/>
          <w:sz w:val="28"/>
          <w:szCs w:val="28"/>
          <w:rtl w:val="true"/>
          <w:lang w:bidi="fa-IR"/>
        </w:rPr>
        <w:t>نه داروین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بحث سازش با محیط زیست نیز ایده‌ای لامارکی است، نه داروینی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به‌هرحال، داروین در این فضا و در پی سفر گستردۀ پنج‌سالۀ خود با کشتی بیگل در امریکای جنوبی و گردآوری‌نمونه‌های گوناگون، نظریۀ تکاملی خود را در سال </w:t>
      </w:r>
      <w:r>
        <w:rPr>
          <w:rFonts w:eastAsia="IRNazanin" w:cs="IRNazanin"/>
          <w:color w:val="111111"/>
          <w:sz w:val="28"/>
          <w:szCs w:val="28"/>
          <w:lang w:bidi="fa-IR"/>
        </w:rPr>
        <w:t>1859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وی حدود بیست سال پیش از این تاریخ، به نظریۀ تکامل رسیده بود، اما از ترس پیامدهای منفی، در ارائۀ آن تعلل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آنکه در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ژوئن </w:t>
      </w:r>
      <w:r>
        <w:rPr>
          <w:rFonts w:eastAsia="IRNazanin" w:cs="IRNazanin"/>
          <w:color w:val="111111"/>
          <w:sz w:val="28"/>
          <w:szCs w:val="28"/>
          <w:lang w:bidi="fa-IR"/>
        </w:rPr>
        <w:t>1858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آلفرد والاس، طبیعی‌دان جوان، مقاله‌ای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دربارۀ اشتقاق نامتناهی گونه‌های متنوع از گونۀ اصلی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داروین فرستاد که در آن نظریۀ تکاملی را ارائه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وی بی‌خبر از داروین و مستقلاً به همان نتایجی رسیده بود که داروین نیز قبول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داروین آزرده شد و فکر کرد اگر کتاب خود را در این شرایط منتشر کند، به انتحال یا ایده‌دزدی متهم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بیانیۀ مشترکی از سوی آن دو در مجمع لینه در سال </w:t>
      </w:r>
      <w:r>
        <w:rPr>
          <w:rFonts w:eastAsia="IRNazanin" w:cs="IRNazanin"/>
          <w:color w:val="111111"/>
          <w:sz w:val="28"/>
          <w:szCs w:val="28"/>
          <w:lang w:bidi="fa-IR"/>
        </w:rPr>
        <w:t>1858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ارائه و ایده‌های‌اصلی این نظریه بیان شد و در پی آن، داروین کتاب معروف خود را در پنجاه‌سالگی منتشر کرد</w:t>
      </w:r>
      <w:r>
        <w:rPr>
          <w:rFonts w:eastAsia="IRNazanin" w:cs="IRNazanin"/>
          <w:color w:val="111111"/>
          <w:sz w:val="28"/>
          <w:szCs w:val="28"/>
          <w:rtl w:val="true"/>
          <w:lang w:bidi="fa-IR"/>
        </w:rPr>
        <w:t>.</w:t>
      </w:r>
      <w:r>
        <w:rPr>
          <w:rStyle w:val="FootnoteAnchor"/>
          <w:rtl w:val="true"/>
        </w:rPr>
        <w:footnoteReference w:id="227"/>
      </w:r>
    </w:p>
    <w:p>
      <w:pPr>
        <w:pStyle w:val="BookText"/>
        <w:rPr/>
      </w:pP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17</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بدین ترتیب از نظر داروین، موجودات زنده ثبات ندارند و در گذر زمان تغییر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سازوکار این تغییرات چیست‌؟ با بررسی تغییرات میان گونه‌ها، داروین فکر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انتخاب طبیعی</w:t>
      </w:r>
      <w:r>
        <w:rPr>
          <w:rFonts w:eastAsia="IRNazanin" w:cs="IRNazanin"/>
          <w:color w:val="111111"/>
          <w:sz w:val="28"/>
          <w:szCs w:val="28"/>
          <w:rtl w:val="true"/>
          <w:lang w:bidi="fa-IR"/>
        </w:rPr>
        <w:t>»</w:t>
      </w:r>
      <w:r>
        <w:rPr>
          <w:rStyle w:val="FootnoteAnchor"/>
          <w:rtl w:val="true"/>
        </w:rPr>
        <w:footnoteReference w:id="228"/>
      </w:r>
      <w:r>
        <w:rPr>
          <w:rFonts w:ascii="IRNazanin" w:hAnsi="IRNazanin" w:eastAsia="IRNazanin"/>
          <w:color w:val="111111"/>
          <w:sz w:val="28"/>
          <w:sz w:val="28"/>
          <w:szCs w:val="28"/>
          <w:rtl w:val="true"/>
          <w:lang w:bidi="fa-IR"/>
        </w:rPr>
        <w:t>را پیش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گونه‌ها خود را با شرایط سازگار نمی‌کنند، بلکه گونه‌هایی که به طور تصادفی سازگاری خاصی دارند، دوام می‌آورند و بقیه نابود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بقای انسب</w:t>
      </w:r>
      <w:r>
        <w:rPr>
          <w:rFonts w:eastAsia="IRNazanin" w:cs="IRNazanin"/>
          <w:color w:val="111111"/>
          <w:sz w:val="28"/>
          <w:szCs w:val="28"/>
          <w:rtl w:val="true"/>
          <w:lang w:bidi="fa-IR"/>
        </w:rPr>
        <w:t>»</w:t>
      </w:r>
      <w:r>
        <w:rPr>
          <w:rStyle w:val="FootnoteAnchor"/>
          <w:rtl w:val="true"/>
        </w:rPr>
        <w:footnoteReference w:id="229"/>
      </w:r>
      <w:r>
        <w:rPr>
          <w:rFonts w:ascii="IRNazanin" w:hAnsi="IRNazanin" w:eastAsia="IRNazanin"/>
          <w:color w:val="111111"/>
          <w:sz w:val="28"/>
          <w:sz w:val="28"/>
          <w:szCs w:val="28"/>
          <w:rtl w:val="true"/>
          <w:lang w:bidi="fa-IR"/>
        </w:rPr>
        <w:t xml:space="preserve">یا به تعبیر رایج‌تر، اما غلط،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است؛ تنها موجودی که قدرت سازگاری دارد برجای 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باید میان نظریۀ تکامل خُرد</w:t>
      </w:r>
      <w:r>
        <w:rPr>
          <w:rStyle w:val="FootnoteAnchor"/>
          <w:rtl w:val="true"/>
        </w:rPr>
        <w:footnoteReference w:id="230"/>
      </w:r>
      <w:r>
        <w:rPr>
          <w:rFonts w:ascii="IRNazanin" w:hAnsi="IRNazanin" w:eastAsia="IRNazanin"/>
          <w:color w:val="111111"/>
          <w:sz w:val="28"/>
          <w:sz w:val="28"/>
          <w:szCs w:val="28"/>
          <w:rtl w:val="true"/>
          <w:lang w:bidi="fa-IR"/>
        </w:rPr>
        <w:t>و نظریۀ تکامل کلان</w:t>
      </w:r>
      <w:r>
        <w:rPr>
          <w:rStyle w:val="FootnoteAnchor"/>
          <w:rtl w:val="true"/>
        </w:rPr>
        <w:footnoteReference w:id="231"/>
      </w:r>
      <w:r>
        <w:rPr>
          <w:rFonts w:ascii="IRNazanin" w:hAnsi="IRNazanin" w:eastAsia="IRNazanin"/>
          <w:color w:val="111111"/>
          <w:sz w:val="28"/>
          <w:sz w:val="28"/>
          <w:szCs w:val="28"/>
          <w:rtl w:val="true"/>
          <w:lang w:bidi="fa-IR"/>
        </w:rPr>
        <w:t>تفاوت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نظریۀ تکامل خُرد،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فرایند انتخاب طبیعی را منحصر در میان گونه‌ای خاص یا گونه‌های نزدیک به هم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درصورتی‌که نظریۀ تکامل کلان، ایدۀ وحدت نهاییِ همۀ گونه‌های جانوری را پیش می‌کشد</w:t>
      </w:r>
      <w:r>
        <w:rPr>
          <w:rFonts w:eastAsia="IRNazanin" w:cs="IRNazanin"/>
          <w:color w:val="111111"/>
          <w:sz w:val="28"/>
          <w:szCs w:val="28"/>
          <w:rtl w:val="true"/>
          <w:lang w:bidi="fa-IR"/>
        </w:rPr>
        <w:t>.</w:t>
      </w:r>
      <w:bookmarkStart w:id="266" w:name="pg14517_146285"/>
    </w:p>
    <w:p>
      <w:pPr>
        <w:pStyle w:val="BookText"/>
        <w:rPr/>
      </w:pPr>
      <w:bookmarkEnd w:id="266"/>
      <w:r>
        <w:rPr>
          <w:rFonts w:ascii="IRNazanin" w:hAnsi="IRNazanin" w:eastAsia="IRNazanin"/>
          <w:color w:val="111111"/>
          <w:sz w:val="28"/>
          <w:sz w:val="28"/>
          <w:szCs w:val="28"/>
          <w:rtl w:val="true"/>
          <w:lang w:bidi="fa-IR"/>
        </w:rPr>
        <w:t>نظریۀ تکامل کلان، بسیار ریشه‌ای است و این مسئله موجب مخالفت با آن یا تردید در آن شده است و حتی اذهان نیرومند در قبول آن تردید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شواهد اقامه‌شده نیز عمدتاً پیشنهادی، قرینه‌ای و تقریبی است، نه قاطع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داروین مدعی بود که این تکامل چنان آهسته رخ می‌دهد که دشوار قابل مشاهده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شواهدی نیز که دربارۀ فنچ‌ها و تحول آن‌ها گفته شده است، بیش از آنکه دقیق و مبتنی بر مشاهدات باشد، به تعبیر سویتمن، داستانی است ساختگی</w:t>
      </w:r>
      <w:r>
        <w:rPr>
          <w:rStyle w:val="FootnoteAnchor"/>
          <w:rtl w:val="true"/>
        </w:rPr>
        <w:footnoteReference w:id="232"/>
      </w:r>
    </w:p>
    <w:p>
      <w:pPr>
        <w:pStyle w:val="BookText"/>
        <w:rPr/>
      </w:pPr>
      <w:r>
        <w:rPr>
          <w:rFonts w:eastAsia="Times New Roman" w:cs="Times New Roman" w:ascii="Times New Roman" w:hAnsi="Times New Roman"/>
          <w:color w:val="111111"/>
          <w:sz w:val="28"/>
          <w:szCs w:val="28"/>
          <w:lang w:val="en-US" w:bidi="en-US"/>
        </w:rPr>
        <w:t>M e-up stories</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تبیینی خوش‌ساخت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داروین نخست نظریۀ خود را پرورش داد، آنگاه به مثابۀ شاهد، تحول فنچ‌ها را تبیین کرد، نه آنکه از طریق دیدن این تحولات به نظریۀ خود رسیده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ما قطعاتی از فسیل‌های متفاوت، آب‌وهوایی که تغییر کرده است و مانند آن را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پیوستن آن‌ها در قالب این نظریه، صرفاً می‌تواند پیشنهاد و تبیین باشد، نه بیان حقیقی و گزارش دقیق رخدادی واقعی در گذشته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67" w:name="__RefHeading___Toc39794_1878427129"/>
      <w:bookmarkStart w:id="268" w:name="_Toc99"/>
      <w:bookmarkEnd w:id="267"/>
      <w:r>
        <w:rPr/>
        <w:t>5</w:t>
      </w:r>
      <w:r>
        <w:rPr>
          <w:rtl w:val="true"/>
        </w:rPr>
        <w:t xml:space="preserve">. </w:t>
      </w:r>
      <w:r>
        <w:rPr>
          <w:rtl w:val="true"/>
        </w:rPr>
        <w:t>پیامدهای الهیاتی نظریۀ تکامل</w:t>
      </w:r>
      <w:bookmarkEnd w:id="268"/>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کمتر نظریه‌ای مانند نظریۀ تکامل، از آغاز تا کنون چنین بحث‌انگیز بوده است و دربارۀ صحت و کارایی شواهد، دربارۀ کمتر نظریه‌ای مانند این نظریه مناقشه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کمتر نظریه‌ای مانند این نظریه، از فضای تخصصی خارج، و وارد فضای عمومی جامعه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درحالی‌که عموم مردم نام بسیاری از نظریات علمی را حتی نشنیده‌اند، نام این نظریه و مبدع آن به گوش غالب مردم رسیده است و آنان تصوری از آن دارند و دربارۀ آن موضعی اتخاذ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این مسئله آن است که این نظریه صرفاً نظریه‌ای علمی و ناظر به مباحث دیرین‌شناختی یا طبیعت‌شناختی نیست، بلکه ابعاد گسترده‌ای دارد و قبول آن، چه بسا نگرش افراد را دربارۀ همه چیز دگرگون کند، از بوم‌شناسی تا اخلاق، سیاست، دین و معنا و غایت زندگی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همان آغاز مشخص بود که این نظریه چالش‌هایی برای دینداران و جهان‌نگری‌دینی در پی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برآمده از موجودات پست‌تر باشد، مقام اشرفیت او در عالم یا خلیفة اللّه بودن وی چه می‌شود؟ اگر این نظریه درست باشد، با تصریحات تورات یا ظواهر آیات قرآن دربارۀ نحوۀ آفرینش انسان چه باید کرد؟ البته همۀ دینداران چنین نبودند که میان این نظریه و باورهای دینی خود تعارضی ببینند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مثال، برخی عالمان مسیحی در پی ارائۀ نظریۀ تکاملی داروین، آن را بخشی از سنت خدا دانستند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تکامل به عنوان روش خلقت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گفتند</w:t>
      </w:r>
      <w:r>
        <w:rPr>
          <w:rFonts w:eastAsia="IRNazanin" w:cs="IRNazanin"/>
          <w:color w:val="111111"/>
          <w:sz w:val="28"/>
          <w:szCs w:val="28"/>
          <w:rtl w:val="true"/>
          <w:lang w:bidi="fa-IR"/>
        </w:rPr>
        <w:t>.</w:t>
      </w:r>
      <w:r>
        <w:rPr>
          <w:rStyle w:val="FootnoteAnchor"/>
          <w:rtl w:val="true"/>
        </w:rPr>
        <w:footnoteReference w:id="233"/>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راه‌های ارتباط علم و الاهیات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فیزیک، فلسفه، و الاهیات، ص </w:t>
      </w:r>
      <w:r>
        <w:rPr>
          <w:rFonts w:eastAsia="IRNazanin" w:cs="IRNazanin"/>
          <w:color w:val="111111"/>
          <w:sz w:val="28"/>
          <w:szCs w:val="28"/>
          <w:lang w:bidi="fa-IR"/>
        </w:rPr>
        <w:t>60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بااین‌همه، نظر مسلط چیز دیگری بود و عمدۀ دینداران در این نظریه تهدیدی برای معتقدات دینی خود می‌دیدند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فیلسوفان دین کوشیده‌اند چالش‌هایی را که این نظریه فراروی دینداران می‌نهد صورت‌بندی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ایان باربور، الهی‌دان مسیحی، آن‌ها را در چهار محور گنجانده و به تحلیل آن‌ها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مخاطرات اصلی نظریۀ تکامل برای دین، به نوشتۀ وی عبارت‌اند از</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ارجاع روند تکامل به تغییرات تصادفی، حکمت الهی را در هستی منکر می‌شود؛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اشرف بودن انسان را منکر شده، وی را همسنگ حیوانات قرار می‌دهد؛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پیش کشیدن تکامل موجودات، اصول اخلاقی ثابت و ارزش‌های دینی را منکر می‌شود؛ و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نظریه با ظاهر کتاب مقدس دالّ بر خلقت دفعی موجودات در شش روز ناسازگار است</w:t>
      </w:r>
      <w:r>
        <w:rPr>
          <w:rFonts w:eastAsia="IRNazanin" w:cs="IRNazanin"/>
          <w:color w:val="111111"/>
          <w:sz w:val="28"/>
          <w:szCs w:val="28"/>
          <w:rtl w:val="true"/>
          <w:lang w:bidi="fa-IR"/>
        </w:rPr>
        <w:t>.</w:t>
      </w:r>
      <w:r>
        <w:rPr>
          <w:rStyle w:val="FootnoteAnchor"/>
          <w:rtl w:val="true"/>
        </w:rPr>
        <w:footnoteReference w:id="234"/>
      </w:r>
      <w:r>
        <w:rPr>
          <w:rFonts w:ascii="IRNazanin" w:hAnsi="IRNazanin" w:eastAsia="IRNazanin"/>
          <w:color w:val="111111"/>
          <w:sz w:val="28"/>
          <w:sz w:val="28"/>
          <w:szCs w:val="28"/>
          <w:rtl w:val="true"/>
          <w:lang w:bidi="fa-IR"/>
        </w:rPr>
        <w:t>همو در تقسیم‌بندی تازه‌تری، چالش‌های پیش‌گفته را در سه مورد می‌گنجاند</w:t>
      </w:r>
      <w:r>
        <w:rPr>
          <w:rFonts w:eastAsia="IRNazanin" w:cs="IRNazanin"/>
          <w:color w:val="111111"/>
          <w:sz w:val="28"/>
          <w:szCs w:val="28"/>
          <w:rtl w:val="true"/>
          <w:lang w:bidi="fa-IR"/>
        </w:rPr>
        <w:t>.</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سویتمن پیامدهای فلسفی، دینی و الهیاتی کلان این نظریه را در سه محور اصلی می‌گنجاند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پرسش گرفتن اعتبار گزارش کتاب مقدس در باب خلقت انسان؛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چالش کشیدن جایگاه انسان در عالم خلقت؛ 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پرسش گرفتن طرح و نظم</w:t>
      </w:r>
    </w:p>
    <w:p>
      <w:pPr>
        <w:pStyle w:val="BookText"/>
        <w:rPr/>
      </w:pPr>
      <w:r>
        <w:rPr>
          <w:rFonts w:ascii="IRNazanin" w:hAnsi="IRNazanin" w:eastAsia="IRNazanin"/>
          <w:color w:val="111111"/>
          <w:sz w:val="28"/>
          <w:sz w:val="28"/>
          <w:szCs w:val="28"/>
          <w:rtl w:val="true"/>
          <w:lang w:bidi="fa-IR"/>
        </w:rPr>
        <w:t>در عالم</w:t>
      </w:r>
      <w:r>
        <w:rPr>
          <w:rFonts w:eastAsia="IRNazanin" w:cs="IRNazanin"/>
          <w:color w:val="111111"/>
          <w:sz w:val="28"/>
          <w:szCs w:val="28"/>
          <w:rtl w:val="true"/>
          <w:lang w:bidi="fa-IR"/>
        </w:rPr>
        <w:t>.</w:t>
      </w:r>
      <w:r>
        <w:rPr>
          <w:rStyle w:val="FootnoteAnchor"/>
          <w:rtl w:val="true"/>
        </w:rPr>
        <w:footnoteReference w:id="236"/>
      </w:r>
    </w:p>
    <w:p>
      <w:pPr>
        <w:pStyle w:val="BookText"/>
        <w:rPr/>
      </w:pPr>
      <w:r>
        <w:rPr>
          <w:rFonts w:eastAsia="Times New Roman" w:cs="Times New Roman" w:ascii="Times New Roman" w:hAnsi="Times New Roman"/>
          <w:color w:val="111111"/>
          <w:sz w:val="28"/>
          <w:szCs w:val="28"/>
          <w:lang w:val="en-US" w:bidi="en-US"/>
        </w:rPr>
        <w:t>Rel igion d Science: Intro duction , p. 104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این صورت‌بندی، وی می‌کوشد ابعاد این چالش‌ها را بکاود و به آن پاسخ‌های مناسب را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به‌دقت، آنجا را که این نظریه منطقاً حرفی برای گفتن دارد، و جایی که از حد علمی خود خارج می‌شود معین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دربارۀ چالش سومی که این نظریه پیش کشیده است، سویتمن استدلال می‌کند این نظریه در اینجا از حوزۀ علم بیرون شده و وارد فضای فلسفی می‌شود و نوعی طبیعت‌گرایی و انکار عالم بالا را مفروض می‌گیرد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البته وی بعد از تحلیل مفصل چالش‌هایی که این نظریه فراروی متدینان می‌نهد، نتیجه می‌گیرد که نباید آن را تهدیدی برای دین دانست، مگر آنکه نسبت به متون دینی، نص‌گرا و اهل ظاهر باشیم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درحالی که در میان مسیحیان این سه مسئله، به‌یکسان اندیشمندان را به خود مشغول کرده است، به نظر می‌رسد در میان مسلمانان، یگانه‌جنبۀ حساسیت‌انگیز این نظریه همان مسئله نخست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سبب، درحالی‌که در سنت مسیحی شاهد نوشته‌هایی هستیم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مثال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می‌کوشد به چالش سوم پاسخ دهد، در میان مسلمانان این مسئله چندان حساسیتی در پی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نمونه، ایان باربور در دین در عصر 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 خطابه‌های گیفورد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 می‌کند به‌تفصیل بحث نظم در عالم و شیوۀ سازگاری آن را با نظریۀ تکاملی داروین بررسی کند و مدل‌های خاصی برای خلقت پیشنهاد می‌کند</w:t>
      </w:r>
      <w:r>
        <w:rPr>
          <w:rFonts w:eastAsia="IRNazanin" w:cs="IRNazanin"/>
          <w:color w:val="111111"/>
          <w:sz w:val="28"/>
          <w:szCs w:val="28"/>
          <w:rtl w:val="true"/>
          <w:lang w:bidi="fa-IR"/>
        </w:rPr>
        <w:t>.</w:t>
      </w:r>
      <w:r>
        <w:rPr>
          <w:rStyle w:val="FootnoteAnchor"/>
          <w:rtl w:val="true"/>
        </w:rPr>
        <w:footnoteReference w:id="237"/>
      </w:r>
      <w:r>
        <w:rPr>
          <w:rFonts w:ascii="IRNazanin" w:hAnsi="IRNazanin" w:eastAsia="IRNazanin"/>
          <w:color w:val="111111"/>
          <w:sz w:val="28"/>
          <w:sz w:val="28"/>
          <w:szCs w:val="28"/>
          <w:rtl w:val="true"/>
          <w:lang w:bidi="fa-IR"/>
        </w:rPr>
        <w:t>همچنین وی، با تحلیل چالش اشرفیت انسان و با قبول واقعیت تکامل، نتیجه می‌گیرد که ما محصول فرایند تکاملی طولانی هستیم، ولی ویژگی‌های منحصربه‌فردی داریم که مشابه آن در انواع دیگر روی زمین دیده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ازاین‌رو اگر مطالعات و یافته‌های چند دهۀ اخیر مشابهت‌های فراوانی میان انسان و صورت‌های دیگر جانداران کشف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یافته‌ها باید ما را به احترام بیشتر به این صورت‌ها هدایت کند، نه به انکار کرامت انسانی</w:t>
      </w:r>
      <w:r>
        <w:rPr>
          <w:rFonts w:eastAsia="IRNazanin" w:cs="IRNazanin"/>
          <w:color w:val="111111"/>
          <w:sz w:val="28"/>
          <w:szCs w:val="28"/>
          <w:rtl w:val="true"/>
          <w:lang w:bidi="fa-IR"/>
        </w:rPr>
        <w:t>».</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ویلیام هاسکر، الهی‌دان مسیحی، نیز در مقالۀ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خداباوری و زیست‌شناسی تکاملی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می‌کوشد نشان دهد خداباوری ابراهیمی، یعنی باور به خدای متشخص، با یافته‌های علمی زیست‌شناسی تکاملی که بر اساس نظریۀ تکامل استوار است سازگاری دارد و در عین قبول این نظریه همچنان می‌توان از نظم، حکمت، مشیت و عدل الهی‌سخن گفت و برای انسانْ شرافت و کرامت قائل شد</w:t>
      </w:r>
      <w:r>
        <w:rPr>
          <w:rFonts w:eastAsia="IRNazanin" w:cs="IRNazanin"/>
          <w:color w:val="111111"/>
          <w:sz w:val="28"/>
          <w:szCs w:val="28"/>
          <w:rtl w:val="true"/>
          <w:lang w:bidi="fa-IR"/>
        </w:rPr>
        <w:t>.</w:t>
      </w:r>
      <w:r>
        <w:rPr>
          <w:rStyle w:val="FootnoteAnchor"/>
          <w:rtl w:val="true"/>
        </w:rPr>
        <w:footnoteReference w:id="239"/>
      </w:r>
    </w:p>
    <w:p>
      <w:p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Theism d evolu tion y biology", in Com p ion to Philosophy</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ک </w:t>
      </w:r>
      <w:r>
        <w:rPr>
          <w:rFonts w:eastAsia="Times New Roman" w:cs="Times New Roman" w:ascii="Times New Roman" w:hAnsi="Times New Roman"/>
          <w:color w:val="111111"/>
          <w:sz w:val="28"/>
          <w:szCs w:val="28"/>
          <w:lang w:val="en-US" w:bidi="en-US"/>
        </w:rPr>
        <w:t>Religion , p.426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 پس از بحث دقیق و سنجش انتقاداتی که از منظر نگرش تکاملی متوجه خلقت انسان می‌شود، نتیجه می‌گیرد تن دادن به نظریۀ تکامل و تبیین خلقت بر اساس آن پذیرفتنی است و اشکالاتی که بر ضد روایت دینی از نظریۀ تکامل اقامه شده است، چندان نیرومند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به جای آنکه این نظریه تهدیدی برای دین به شمار رود، می‌توان آن را در جهت درکی دینی و برای اصلاح نگرش الهی خود به کار برد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جان هات نیز در فصل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تکامل، وجود خدا را رد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کتابش، ابعاد کلامی این نظریه را برمی‌شمارد و دربارۀ رابطه آن با دین، چهار دیدگاه متفاوت را بازشناسی می‌کند که عبارت‌اند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تعارض، تمایز، تلاقی، و تأیید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نشان می‌دهد که چگونه این نظریه می‌تواند دین را به خطر اندازد، یا در خدمت آن باشد</w:t>
      </w:r>
      <w:r>
        <w:rPr>
          <w:rFonts w:eastAsia="IRNazanin" w:cs="IRNazanin"/>
          <w:color w:val="111111"/>
          <w:sz w:val="28"/>
          <w:szCs w:val="28"/>
          <w:rtl w:val="true"/>
          <w:lang w:bidi="fa-IR"/>
        </w:rPr>
        <w:t>.</w:t>
      </w:r>
      <w:r>
        <w:rPr>
          <w:rStyle w:val="FootnoteAnchor"/>
          <w:rtl w:val="true"/>
        </w:rPr>
        <w:footnoteReference w:id="240"/>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بااین‌حال، در عمل، این نظریه مخالفان جدی به دست آورد که بعدها به نام خلقت‌گرایان</w:t>
      </w:r>
      <w:r>
        <w:rPr>
          <w:rStyle w:val="FootnoteAnchor"/>
          <w:rtl w:val="true"/>
        </w:rPr>
        <w:footnoteReference w:id="241"/>
      </w:r>
      <w:r>
        <w:rPr>
          <w:rFonts w:ascii="IRNazanin" w:hAnsi="IRNazanin" w:eastAsia="IRNazanin"/>
          <w:color w:val="111111"/>
          <w:sz w:val="28"/>
          <w:sz w:val="28"/>
          <w:szCs w:val="28"/>
          <w:rtl w:val="true"/>
          <w:lang w:bidi="fa-IR"/>
        </w:rPr>
        <w:t xml:space="preserve">معروف شدند و در امریکا به‌اصطلاح جنگ صلیبی بر ضد آن راه انداختند و موفق شدند تدریس این نظریه را در مدارس دولتی چهار ایالت ممنوع کنند و این ممنوعیت تا سال </w:t>
      </w:r>
      <w:r>
        <w:rPr>
          <w:rFonts w:eastAsia="IRNazanin" w:cs="IRNazanin"/>
          <w:color w:val="111111"/>
          <w:sz w:val="28"/>
          <w:szCs w:val="28"/>
          <w:lang w:bidi="fa-IR"/>
        </w:rPr>
        <w:t>1968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تخلف یک دبیر، نظریۀ تکامل را به چالشی سیاسی و صحنه‌ای بین‌المللی برای عرض اندام بدل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توماس اسکوپس، دبیر زیست‌شناسی در دبیرستانی در دَیتون،</w:t>
      </w:r>
      <w:bookmarkStart w:id="269" w:name="pg14517_146289"/>
    </w:p>
    <w:p>
      <w:pPr>
        <w:pStyle w:val="BookText"/>
        <w:rPr/>
      </w:pPr>
      <w:bookmarkEnd w:id="269"/>
      <w:r>
        <w:rPr>
          <w:rFonts w:ascii="IRNazanin" w:hAnsi="IRNazanin" w:eastAsia="IRNazanin"/>
          <w:color w:val="111111"/>
          <w:sz w:val="28"/>
          <w:sz w:val="28"/>
          <w:szCs w:val="28"/>
          <w:rtl w:val="true"/>
          <w:lang w:bidi="fa-IR"/>
        </w:rPr>
        <w:t>ایالت تنسی، این قانون را زیر پا گذاشت و نظریۀ داروین را تدریس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خلقت‌گرایان بر ضد او اقامۀ دعوا کردند و او را به دادگاه کشاندند و بدین ترتیب، محاکمه‌ای که به محاکمۀ میمون</w:t>
      </w:r>
      <w:r>
        <w:rPr>
          <w:rStyle w:val="FootnoteAnchor"/>
          <w:rtl w:val="true"/>
        </w:rPr>
        <w:footnoteReference w:id="242"/>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The Monkey Tri</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معروف شد، شکل گرفت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70" w:name="__RefHeading___Toc39796_1878427129"/>
      <w:bookmarkStart w:id="271" w:name="_Toc100"/>
      <w:bookmarkEnd w:id="270"/>
      <w:r>
        <w:rPr/>
        <w:t>6</w:t>
      </w:r>
      <w:r>
        <w:rPr>
          <w:rtl w:val="true"/>
        </w:rPr>
        <w:t xml:space="preserve">. </w:t>
      </w:r>
      <w:r>
        <w:rPr>
          <w:rtl w:val="true"/>
        </w:rPr>
        <w:t>بازتاب نظریۀ تکامل در جهان اسلام</w:t>
      </w:r>
      <w:bookmarkEnd w:id="271"/>
    </w:p>
    <w:p>
      <w:pPr>
        <w:pStyle w:val="BookText"/>
        <w:rPr/>
      </w:pPr>
      <w:r>
        <w:rPr>
          <w:rFonts w:ascii="IRNazanin" w:hAnsi="IRNazanin" w:eastAsia="IRNazanin"/>
          <w:color w:val="111111"/>
          <w:sz w:val="28"/>
          <w:sz w:val="28"/>
          <w:szCs w:val="28"/>
          <w:rtl w:val="true"/>
          <w:lang w:bidi="fa-IR"/>
        </w:rPr>
        <w:t>مسئلۀ تحول و امکان تکامل موجودات از یکدیگر، البته به شکلی عمدتاً فلسفی، نه بر اساس یافته‌های دیرین‌شناسی یا زیست‌شناسی، همواره محل گفتگو بوده و در میان فیلسوفان یونان باستان و متفکران جهان اسلام نیز مدافعانی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مثال، آناکسیماندر </w:t>
      </w:r>
      <w:r>
        <w:rPr>
          <w:rFonts w:eastAsia="IRNazanin" w:cs="IRNazanin"/>
          <w:color w:val="111111"/>
          <w:sz w:val="28"/>
          <w:szCs w:val="28"/>
          <w:rtl w:val="true"/>
          <w:lang w:bidi="fa-IR"/>
        </w:rPr>
        <w:t>(</w:t>
      </w:r>
      <w:r>
        <w:rPr>
          <w:rFonts w:eastAsia="IRNazanin" w:cs="IRNazanin"/>
          <w:color w:val="111111"/>
          <w:sz w:val="28"/>
          <w:szCs w:val="28"/>
          <w:lang w:bidi="fa-IR"/>
        </w:rPr>
        <w:t>545</w:t>
      </w:r>
      <w:r>
        <w:rPr>
          <w:rFonts w:eastAsia="IRNazanin" w:cs="IRNazanin"/>
          <w:color w:val="111111"/>
          <w:sz w:val="28"/>
          <w:szCs w:val="28"/>
          <w:rtl w:val="true"/>
          <w:lang w:bidi="fa-IR"/>
        </w:rPr>
        <w:t>-</w:t>
      </w:r>
      <w:r>
        <w:rPr>
          <w:rFonts w:eastAsia="IRNazanin" w:cs="IRNazanin"/>
          <w:color w:val="111111"/>
          <w:sz w:val="28"/>
          <w:szCs w:val="28"/>
          <w:lang w:bidi="fa-IR"/>
        </w:rPr>
        <w:t>610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نوعی تکامل معتقد بود و باور داشت که همۀ موجودات زنده از دل موجودات دریایی برآمده‌اند</w:t>
      </w:r>
      <w:r>
        <w:rPr>
          <w:rFonts w:eastAsia="IRNazanin" w:cs="IRNazanin"/>
          <w:color w:val="111111"/>
          <w:sz w:val="28"/>
          <w:szCs w:val="28"/>
          <w:rtl w:val="true"/>
          <w:lang w:bidi="fa-IR"/>
        </w:rPr>
        <w:t>.</w:t>
      </w:r>
      <w:r>
        <w:rPr>
          <w:rStyle w:val="FootnoteAnchor"/>
          <w:rtl w:val="true"/>
        </w:rPr>
        <w:footnoteReference w:id="243"/>
      </w:r>
      <w:r>
        <w:rPr>
          <w:rFonts w:ascii="IRNazanin" w:hAnsi="IRNazanin" w:eastAsia="IRNazanin"/>
          <w:color w:val="111111"/>
          <w:sz w:val="28"/>
          <w:sz w:val="28"/>
          <w:szCs w:val="28"/>
          <w:rtl w:val="true"/>
          <w:lang w:bidi="fa-IR"/>
        </w:rPr>
        <w:t xml:space="preserve">امپدوکلس </w:t>
      </w:r>
      <w:r>
        <w:rPr>
          <w:rFonts w:eastAsia="IRNazanin" w:cs="IRNazanin"/>
          <w:color w:val="111111"/>
          <w:sz w:val="28"/>
          <w:szCs w:val="28"/>
          <w:rtl w:val="true"/>
          <w:lang w:bidi="fa-IR"/>
        </w:rPr>
        <w:t>(</w:t>
      </w:r>
      <w:r>
        <w:rPr>
          <w:rFonts w:eastAsia="IRNazanin" w:cs="IRNazanin"/>
          <w:color w:val="111111"/>
          <w:sz w:val="28"/>
          <w:szCs w:val="28"/>
          <w:lang w:bidi="fa-IR"/>
        </w:rPr>
        <w:t>435</w:t>
      </w:r>
      <w:r>
        <w:rPr>
          <w:rFonts w:eastAsia="IRNazanin" w:cs="IRNazanin"/>
          <w:color w:val="111111"/>
          <w:sz w:val="28"/>
          <w:szCs w:val="28"/>
          <w:rtl w:val="true"/>
          <w:lang w:bidi="fa-IR"/>
        </w:rPr>
        <w:t>-</w:t>
      </w:r>
      <w:r>
        <w:rPr>
          <w:rFonts w:eastAsia="IRNazanin" w:cs="IRNazanin"/>
          <w:color w:val="111111"/>
          <w:sz w:val="28"/>
          <w:szCs w:val="28"/>
          <w:lang w:bidi="fa-IR"/>
        </w:rPr>
        <w:t>495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تکامل جانداران و گونه‌ای انتخاب طبیعیِ بسیار شدید باور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عقیدۀ وی، در آغاز موجودات متنوعی، مثلاً با سرهای گاو و دستانی چون شاخه‌های درختان و به صورت عجیب، وجود داشتند، اما به‌تدریج نابود شدند و فقط موجودات مناسب به حیات خود ادامه دادند</w:t>
      </w:r>
      <w:r>
        <w:rPr>
          <w:rFonts w:eastAsia="IRNazanin" w:cs="IRNazanin"/>
          <w:color w:val="111111"/>
          <w:sz w:val="28"/>
          <w:szCs w:val="28"/>
          <w:rtl w:val="true"/>
          <w:lang w:bidi="fa-IR"/>
        </w:rPr>
        <w:t>.</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جهان اسلام، به گفتۀ زرین‌کوب ظاهراً اولین گروه اخوان‌الصفا بودند که این مسئله را در رسالۀ هفتم خود پیش کشیدند</w:t>
      </w:r>
      <w:r>
        <w:rPr>
          <w:rFonts w:eastAsia="IRNazanin" w:cs="IRNazanin"/>
          <w:color w:val="111111"/>
          <w:sz w:val="28"/>
          <w:szCs w:val="28"/>
          <w:rtl w:val="true"/>
          <w:lang w:bidi="fa-IR"/>
        </w:rPr>
        <w:t>.</w:t>
      </w:r>
      <w:r>
        <w:rPr>
          <w:rStyle w:val="FootnoteAnchor"/>
          <w:rtl w:val="true"/>
        </w:rPr>
        <w:footnoteReference w:id="245"/>
      </w:r>
      <w:r>
        <w:rPr>
          <w:rFonts w:ascii="IRNazanin" w:hAnsi="IRNazanin" w:eastAsia="IRNazanin"/>
          <w:color w:val="111111"/>
          <w:sz w:val="28"/>
          <w:sz w:val="28"/>
          <w:szCs w:val="28"/>
          <w:rtl w:val="true"/>
          <w:lang w:bidi="fa-IR"/>
        </w:rPr>
        <w:t xml:space="preserve">ایدۀ برتری انسان بر حیوان یا عکس آن نیز از مسائل مورد توجه اخوان‌الصفا بود و آنان رسالۀ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رسائل خود را به مناظرۀ بلندی میان نمایندۀ حیوانات و انسان‌ها اختصاص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سرانجام این مناظره به سود انسان و برتری او تمام می‌شود</w:t>
      </w:r>
      <w:r>
        <w:rPr>
          <w:rFonts w:eastAsia="IRNazanin" w:cs="IRNazanin"/>
          <w:color w:val="111111"/>
          <w:sz w:val="28"/>
          <w:szCs w:val="28"/>
          <w:rtl w:val="true"/>
          <w:lang w:bidi="fa-IR"/>
        </w:rPr>
        <w:t>.</w:t>
      </w:r>
      <w:r>
        <w:rPr>
          <w:rStyle w:val="FootnoteAnchor"/>
          <w:rtl w:val="true"/>
        </w:rPr>
        <w:footnoteReference w:id="246"/>
      </w:r>
      <w:r>
        <w:rPr>
          <w:rFonts w:ascii="IRNazanin" w:hAnsi="IRNazanin" w:eastAsia="IRNazanin"/>
          <w:color w:val="111111"/>
          <w:sz w:val="28"/>
          <w:sz w:val="28"/>
          <w:szCs w:val="28"/>
          <w:rtl w:val="true"/>
          <w:lang w:bidi="fa-IR"/>
        </w:rPr>
        <w:t>از نظر اقبال لاهوری، جاحظ</w:t>
      </w:r>
    </w:p>
    <w:p>
      <w:pPr>
        <w:pStyle w:val="BookText"/>
        <w:rPr/>
      </w:pPr>
      <w:r>
        <w:rPr>
          <w:rFonts w:ascii="IRNazanin" w:hAnsi="IRNazanin" w:eastAsia="IRNazanin"/>
          <w:color w:val="111111"/>
          <w:sz w:val="28"/>
          <w:sz w:val="28"/>
          <w:szCs w:val="28"/>
          <w:rtl w:val="true"/>
          <w:lang w:bidi="fa-IR"/>
        </w:rPr>
        <w:t xml:space="preserve">نخستین کسی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تأثیر مهاجرت و تغییرات ناشی از آن در زندگی پرندگان پی‌برد</w:t>
      </w:r>
      <w:r>
        <w:rPr>
          <w:rFonts w:eastAsia="IRNazanin" w:cs="IRNazanin"/>
          <w:color w:val="111111"/>
          <w:sz w:val="28"/>
          <w:szCs w:val="28"/>
          <w:rtl w:val="true"/>
          <w:lang w:bidi="fa-IR"/>
        </w:rPr>
        <w:t>».</w:t>
      </w:r>
      <w:r>
        <w:rPr>
          <w:rStyle w:val="FootnoteAnchor"/>
          <w:rtl w:val="true"/>
        </w:rPr>
        <w:footnoteReference w:id="24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بازسازی اندیشه دینی در اسلام، ص </w:t>
      </w:r>
      <w:r>
        <w:rPr>
          <w:rFonts w:eastAsia="IRNazanin" w:cs="IRNazanin"/>
          <w:color w:val="111111"/>
          <w:sz w:val="28"/>
          <w:szCs w:val="28"/>
          <w:lang w:bidi="fa-IR"/>
        </w:rPr>
        <w:t>231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وی نیز ابن‌مسکویه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قالب نظریه‌ای مشخص ارائه داد و از آن در اثر کلامی خویش به نام فوز الاصغر سود برد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جلال‌الدین محمد بلخی نیز از نوعی تکامل زیستی انسان از موجودات پست‌تر دفاع کرده، آن را نه فقط نافی حکمت خداوندی نمی‌داند، بلکه عین حکمت وی می‌شمارد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وی همین نظر را با تعبیرات دیگری در دفتر چهارم مثنوی،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اطوار و منازل آدمی از ابتدا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به زبان دیگری در دفتر پنجم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بیان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طور مشخص نظریۀ تکاملی داروین، اولین بار به مثابۀ نظریه‌ای زیست‌شناختی در مجامع علمی جهان اسلام مطرح نشد، بلکه به منزلۀ نظریه‌ای فلسفی، و ابزاری برای توجیه ماتریالیسم عرضه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اولین کسی که این نظریه را به شکل دقیق و همدلانه به جهان اسلام منتقل کرد، شبلی شمیل، پزشک لبنانی،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این نظریه را مبنایی برای اندیشه‌های الحادی خود قرار داد و کتاب فلسفة النشوء و الارتقاء را، که برگردانی آزاد از کتاب لودویگ بوخنر بود، به قصد معرفی و ترویج این نظریه نوشت و در آن اعلام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هدف من از پرداختن به این بحث و به این صورت، آن بود که فلسفۀ مادی را بر اساس علمی متینی قرار دهم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سلامه موسی نیز به این نظریه چون دین و آرمانی اخلاقی و اجتماعی نگاه می‌کرد و از آن به مثابۀ وسیله‌ای بر ضد دین سود می‌جست و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به نظریۀ تکامل، ایمان دارم و چه بسا مهم‌ترین چیزی که مرا به اعتقاد به آن برانگیخت، آن است که این نظریه فقط از حقائق علمی به شمار نمی‌رود، بلکه</w:t>
      </w:r>
    </w:p>
    <w:p>
      <w:pPr>
        <w:pStyle w:val="BookText"/>
        <w:rPr/>
      </w:pPr>
      <w:r>
        <w:rPr>
          <w:rFonts w:ascii="IRNazanin" w:hAnsi="IRNazanin" w:eastAsia="IRNazanin"/>
          <w:color w:val="111111"/>
          <w:sz w:val="28"/>
          <w:sz w:val="28"/>
          <w:szCs w:val="28"/>
          <w:rtl w:val="true"/>
          <w:lang w:bidi="fa-IR"/>
        </w:rPr>
        <w:t>نظریۀ امید و تواضع است</w:t>
      </w:r>
      <w:r>
        <w:rPr>
          <w:rFonts w:eastAsia="IRNazanin" w:cs="IRNazanin"/>
          <w:color w:val="111111"/>
          <w:sz w:val="28"/>
          <w:szCs w:val="28"/>
          <w:rtl w:val="true"/>
          <w:lang w:bidi="fa-IR"/>
        </w:rPr>
        <w:t>».</w:t>
      </w:r>
      <w:r>
        <w:rPr>
          <w:rStyle w:val="FootnoteAnchor"/>
          <w:rtl w:val="true"/>
        </w:rPr>
        <w:footnoteReference w:id="24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فلسفه المشروع الحضاری،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593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دو و نویسندگانی چون فرح انطون و یعقوب صروف، نظریۀ تکاملی داروین را به مثابۀ ابزاری کارآمد برای کوبیدن دین به معنای عام، و اسلام به معنای خاص به کار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تلقی از نظریۀ تکاملی داروین چنان شایع بود، که سید جمال اسدآبادی در رسالۀ نیچریه در حقیقت مذهب نیچری و بیان حال نیچریان، آن را با دهری‌گری و مادی‌گری یکسان می‌گیرد و رد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در برابر این برداشت الحادی از نظریۀ داروین، برخی متفکران مسلمان در عین مسلمانی، ایده‌های مرکزی این نظریه را پذیرفتند و حتی آن را جزوی از اندیشۀ خود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امین الخولی مدافع نظریۀ تکامل بود و آن را در الازهر درس می‌داد و موافق اسلام می‌شمرد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به نوشتۀ فهمی جدعان، صلاح‌الدین قاسمی، اصلاحگر سوری، در مقالۀ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الحکومة و الامة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دعاة الاصلاح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نگاهی داروینی به مسائل اجتماعی دارد و می‌کوشد حقایق زیست‌شناختی را بر جامعه این‌گونه اعمال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تاریخ طبیعی سه قانون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قانون انطباق یا سازگاری است؛ دوم قانون انتخاب طبیعی و بقای انسب؛ و سوم قانون پیدایش و رشد که نتیجۀ دو قانون قبل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قوانین همان‌گونه که بر زندگی مادی ملت‌ها حاکم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زندگی اجتماعی و سیاسی آنان نیز سیطره دارد</w:t>
      </w:r>
      <w:r>
        <w:rPr>
          <w:rFonts w:eastAsia="IRNazanin" w:cs="IRNazanin"/>
          <w:color w:val="111111"/>
          <w:sz w:val="28"/>
          <w:szCs w:val="28"/>
          <w:rtl w:val="true"/>
          <w:lang w:bidi="fa-IR"/>
        </w:rPr>
        <w:t>».</w:t>
      </w:r>
      <w:r>
        <w:rPr>
          <w:rStyle w:val="FootnoteAnchor"/>
          <w:rtl w:val="true"/>
        </w:rPr>
        <w:footnoteReference w:id="249"/>
      </w:r>
      <w:r>
        <w:rPr>
          <w:rFonts w:ascii="IRNazanin" w:hAnsi="IRNazanin" w:eastAsia="IRNazanin"/>
          <w:color w:val="111111"/>
          <w:sz w:val="28"/>
          <w:sz w:val="28"/>
          <w:szCs w:val="28"/>
          <w:rtl w:val="true"/>
          <w:lang w:bidi="fa-IR"/>
        </w:rPr>
        <w:t xml:space="preserve">همچنین، اسماعیل در پی آشنایی با نظریۀ تکاملی داروین از طریق خواندن کتاب شبلی شمیل، در سال </w:t>
      </w:r>
      <w:r>
        <w:rPr>
          <w:rFonts w:eastAsia="IRNazanin" w:cs="IRNazanin"/>
          <w:color w:val="111111"/>
          <w:sz w:val="28"/>
          <w:szCs w:val="28"/>
          <w:lang w:bidi="fa-IR"/>
        </w:rPr>
        <w:t>1338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اصل کتاب داروین را به عربی ترجمه و با نام اصل الانواع منتشر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به نقد نظر شمیل پرداخت و گفت که نظریۀ داروین در قبال منشأ عالم و خدا ساکت است و نمی‌توان آن را دستاویز تأیید ماتریالیسم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اصلی دین، از نظر مظهر، آن است که هستی منشأ با شعوری دارد، نه آنکه انسان از موجودی پست‌تر پدید آمده است یا خیر</w:t>
      </w:r>
      <w:r>
        <w:rPr>
          <w:rFonts w:eastAsia="IRNazanin" w:cs="IRNazanin"/>
          <w:color w:val="111111"/>
          <w:sz w:val="28"/>
          <w:szCs w:val="28"/>
          <w:rtl w:val="true"/>
          <w:lang w:bidi="fa-IR"/>
        </w:rPr>
        <w:t>.</w:t>
      </w:r>
      <w:r>
        <w:rPr>
          <w:rStyle w:val="FootnoteAnchor"/>
          <w:rtl w:val="true"/>
        </w:rPr>
        <w:footnoteReference w:id="250"/>
      </w:r>
      <w:r>
        <w:rPr>
          <w:rFonts w:ascii="IRNazanin" w:hAnsi="IRNazanin" w:eastAsia="IRNazanin"/>
          <w:color w:val="111111"/>
          <w:sz w:val="28"/>
          <w:sz w:val="28"/>
          <w:szCs w:val="28"/>
          <w:rtl w:val="true"/>
          <w:lang w:bidi="fa-IR"/>
        </w:rPr>
        <w:t>بخشی از فعالیت‌های قلمی بلاغی،</w:t>
      </w:r>
    </w:p>
    <w:p>
      <w:pPr>
        <w:pStyle w:val="BookText"/>
        <w:rPr/>
      </w:pPr>
      <w:r>
        <w:rPr>
          <w:rFonts w:ascii="IRNazanin" w:hAnsi="IRNazanin" w:eastAsia="IRNazanin"/>
          <w:color w:val="111111"/>
          <w:sz w:val="28"/>
          <w:sz w:val="28"/>
          <w:szCs w:val="28"/>
          <w:rtl w:val="true"/>
          <w:lang w:bidi="fa-IR"/>
        </w:rPr>
        <w:t>پاسخ به پرسش‌هایی می‌شد که از رواج نظریۀ تکاملی داروین پدید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رسالۀ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صفحه‌ای انوار الهدی بر آن است تا به این شبهات که مستند الحاد جدید در جهان عرب قرار گرفته بود، پاسخ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نامه‌ای از یکی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مرعوبان الحاد و شبهات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دستش می‌رسد که خواستار پاسخ آن‌ها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بلاغی ریشۀ شبهات را در آثار شبلی شمیل می‌یابد؛ ازاین‌رو به تحلیل ادعاهای او می‌پردازد و تأکید می‌کند که هدفش نقد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است، نه گوینده</w:t>
      </w:r>
      <w:r>
        <w:rPr>
          <w:rFonts w:eastAsia="IRNazanin" w:cs="IRNazanin"/>
          <w:color w:val="111111"/>
          <w:sz w:val="28"/>
          <w:szCs w:val="28"/>
          <w:rtl w:val="true"/>
          <w:lang w:bidi="fa-IR"/>
        </w:rPr>
        <w:t>».</w:t>
      </w:r>
      <w:r>
        <w:rPr>
          <w:rStyle w:val="FootnoteAnchor"/>
          <w:rtl w:val="true"/>
        </w:rPr>
        <w:footnoteReference w:id="251"/>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انوار الهدی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موسوعة العلامه البلاغی، الجزء السادس، ص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رساله دارای مقدمه و سه مقصد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مقدمه، بلاغی موضع خود را در قبال مباحث الهیاتی و امکان آن‌ها روشن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مقصد اول، عمدۀ دلایلی که متدینان را نگران مادی‌گری کرده است برمی‌شمارد و تحلیل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مقصد دوم، به اثبات وجود خدای خالق علیم و حکیم می‌پردازد و در مقصد سوم، ضرورت نبوت را ثابت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بلاغی در بخش قابل توجهی از این رساله، قطعاتی از آثار شبلی شمیل را نقل، تحلیل و نقد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دلایلی که به استناد نظریۀ تکاملی داروین، به سود الحاد اقامه شده بود، وجود فسیل‌ها یا سنگواره‌های حیواناتِ ازبین‌رفته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فسیل‌ها نافی حکمت الهی به نظر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بلاغی به تحلیل این دلیل می‌پردازد و شقوق گوناگون را برمی‌شمارد و نتیجه می‌گیرد نباید از این دلیل، الحاد یا بی‌حکمتی را نتیجه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درواقع، خاستگاه الحاد، از نظر بلاغی، نظریۀ تکاملی داروین نیست، بلکه باید آن را در جای دیگری، از جمله لذت‌طلبی جست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همچنین شبلی شمیل استدلال کرده بود که اعتقاد به خدا مستلزم ثبات آفریدگان است و چون اجزای عالم در حال حرکت و تغییر هستند، پس خدایی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بلاغی به این استدلال نیز به‌تفصیل پاسخ می‌دهد و برعکسِ شمیل، از واقعیت تغییر موجودات، به ضرورت وجود خدا می‌رسد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در</w:t>
      </w:r>
      <w:bookmarkStart w:id="272" w:name="pg14517_146293"/>
    </w:p>
    <w:p>
      <w:pPr>
        <w:pStyle w:val="BookText"/>
        <w:rPr/>
      </w:pPr>
      <w:bookmarkEnd w:id="272"/>
      <w:r>
        <w:rPr>
          <w:rFonts w:ascii="IRNazanin" w:hAnsi="IRNazanin" w:eastAsia="IRNazanin"/>
          <w:color w:val="111111"/>
          <w:sz w:val="28"/>
          <w:sz w:val="28"/>
          <w:szCs w:val="28"/>
          <w:rtl w:val="true"/>
          <w:lang w:bidi="fa-IR"/>
        </w:rPr>
        <w:t>مواردی، بلاغی نظریۀ تکاملی داروین را با داروینیسم یکسان می‌گیرد و هنگام نقد برخی برداشت‌های داروینیستی، پای داروین را به میان می‌کشد</w:t>
      </w:r>
      <w:r>
        <w:rPr>
          <w:rFonts w:eastAsia="IRNazanin" w:cs="IRNazanin"/>
          <w:color w:val="111111"/>
          <w:sz w:val="28"/>
          <w:szCs w:val="28"/>
          <w:rtl w:val="true"/>
          <w:lang w:bidi="fa-IR"/>
        </w:rPr>
        <w:t>.</w:t>
      </w:r>
      <w:r>
        <w:rPr>
          <w:rStyle w:val="FootnoteAnchor"/>
          <w:rtl w:val="true"/>
        </w:rPr>
        <w:footnoteReference w:id="252"/>
      </w:r>
    </w:p>
    <w:p>
      <w:pPr>
        <w:pStyle w:val="BookText"/>
        <w:rPr/>
      </w:pPr>
      <w:r>
        <w:rPr>
          <w:rFonts w:ascii="IRNazanin" w:hAnsi="IRNazanin" w:eastAsia="IRNazanin"/>
          <w:color w:val="111111"/>
          <w:sz w:val="28"/>
          <w:sz w:val="28"/>
          <w:szCs w:val="28"/>
          <w:rtl w:val="true"/>
          <w:lang w:bidi="fa-IR"/>
        </w:rPr>
        <w:t>برای توضیح بیشتر، 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جواد البلاغی،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الهدی الی دین المصطفی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موسوعة العلامه البلاغی، جلد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و سید حسن اسلامی، اندیشه‌نامۀ علامه بلاغی</w:t>
      </w:r>
      <w:r>
        <w:rPr>
          <w:rFonts w:eastAsia="IRNazanin" w:cs="IRNazanin"/>
          <w:color w:val="111111"/>
          <w:sz w:val="28"/>
          <w:szCs w:val="28"/>
          <w:rtl w:val="true"/>
          <w:lang w:bidi="fa-IR"/>
        </w:rPr>
        <w:t>.</w:t>
      </w:r>
    </w:p>
    <w:p>
      <w:pPr>
        <w:pStyle w:val="Heading3"/>
        <w:numPr>
          <w:ilvl w:val="2"/>
          <w:numId w:val="1"/>
        </w:numPr>
        <w:rPr/>
      </w:pPr>
      <w:bookmarkStart w:id="273" w:name="__RefHeading___Toc39798_1878427129"/>
      <w:bookmarkStart w:id="274" w:name="_Toc101"/>
      <w:bookmarkEnd w:id="273"/>
      <w:r>
        <w:rPr/>
        <w:t>7</w:t>
      </w:r>
      <w:r>
        <w:rPr>
          <w:rtl w:val="true"/>
        </w:rPr>
        <w:t xml:space="preserve">. </w:t>
      </w:r>
      <w:r>
        <w:rPr>
          <w:rtl w:val="true"/>
        </w:rPr>
        <w:t>پاسخ های ایرانی به چالش تکامل</w:t>
      </w:r>
      <w:bookmarkEnd w:id="274"/>
    </w:p>
    <w:p>
      <w:pPr>
        <w:pStyle w:val="Heading4"/>
        <w:numPr>
          <w:ilvl w:val="3"/>
          <w:numId w:val="1"/>
        </w:numPr>
        <w:rPr/>
      </w:pPr>
      <w:bookmarkStart w:id="275" w:name="__RefHeading___Toc39800_1878427129"/>
      <w:bookmarkStart w:id="276" w:name="_Toc102"/>
      <w:bookmarkEnd w:id="275"/>
      <w:r>
        <w:rPr>
          <w:rtl w:val="true"/>
        </w:rPr>
        <w:t>اشاره</w:t>
      </w:r>
      <w:bookmarkEnd w:id="276"/>
    </w:p>
    <w:p>
      <w:pPr>
        <w:pStyle w:val="BookText"/>
        <w:rPr/>
      </w:pPr>
      <w:r>
        <w:rPr>
          <w:rFonts w:ascii="IRNazanin" w:hAnsi="IRNazanin" w:eastAsia="IRNazanin"/>
          <w:color w:val="111111"/>
          <w:sz w:val="28"/>
          <w:sz w:val="28"/>
          <w:szCs w:val="28"/>
          <w:rtl w:val="true"/>
          <w:lang w:bidi="fa-IR"/>
        </w:rPr>
        <w:t>ظاهراً نخستین مواجهۀ اندیشمندان ایرانی با نظریۀ تکامل، در دورۀ مشروطه شکل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تقی خان انصاری کاشانی، یازده سال پس از نشر کتاب منشأ انواع، این نظریه را در جانورنامه معرفی کرد</w:t>
      </w:r>
      <w:r>
        <w:rPr>
          <w:rFonts w:eastAsia="IRNazanin" w:cs="IRNazanin"/>
          <w:color w:val="111111"/>
          <w:sz w:val="28"/>
          <w:szCs w:val="28"/>
          <w:rtl w:val="true"/>
          <w:lang w:bidi="fa-IR"/>
        </w:rPr>
        <w:t>.</w:t>
      </w:r>
      <w:r>
        <w:rPr>
          <w:rStyle w:val="FootnoteAnchor"/>
          <w:rtl w:val="true"/>
        </w:rPr>
        <w:footnoteReference w:id="253"/>
      </w:r>
      <w:r>
        <w:rPr>
          <w:rFonts w:ascii="IRNazanin" w:hAnsi="IRNazanin" w:eastAsia="IRNazanin"/>
          <w:color w:val="111111"/>
          <w:sz w:val="28"/>
          <w:sz w:val="28"/>
          <w:szCs w:val="28"/>
          <w:rtl w:val="true"/>
          <w:lang w:bidi="fa-IR"/>
        </w:rPr>
        <w:t>در این دوره دو کتاب در نقد این نظریه نوشته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 نوشتۀ آیت‌اللّه محمدرضا نجفی 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مسجدشاهی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به نام نقد فلسفۀ دارون در دو جلد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یک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سال </w:t>
      </w:r>
      <w:r>
        <w:rPr>
          <w:rFonts w:eastAsia="IRNazanin" w:cs="IRNazanin"/>
          <w:color w:val="111111"/>
          <w:sz w:val="28"/>
          <w:szCs w:val="28"/>
          <w:lang w:bidi="fa-IR"/>
        </w:rPr>
        <w:t>1331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بغداد منتشر شد</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نویسنده، نظریۀ داروین را از دو منظر نقد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منظر دینی، که نشان می‌دهد به فرض صحتْ منافاتی با خداباوری ندارد، و از منظر علمی، که با پیش کشیدن مثال‌های تجربیِ خلاف، نشان می‌دهد این نظریه خطاست</w:t>
      </w:r>
      <w:r>
        <w:rPr>
          <w:rFonts w:eastAsia="IRNazanin" w:cs="IRNazanin"/>
          <w:color w:val="111111"/>
          <w:sz w:val="28"/>
          <w:szCs w:val="28"/>
          <w:rtl w:val="true"/>
          <w:lang w:bidi="fa-IR"/>
        </w:rPr>
        <w:t>.</w:t>
      </w:r>
      <w:r>
        <w:rPr>
          <w:rStyle w:val="FootnoteAnchor"/>
          <w:rtl w:val="true"/>
        </w:rPr>
        <w:footnoteReference w:id="254"/>
      </w:r>
      <w:r>
        <w:rPr>
          <w:rFonts w:ascii="IRNazanin" w:hAnsi="IRNazanin" w:eastAsia="IRNazanin"/>
          <w:color w:val="111111"/>
          <w:sz w:val="28"/>
          <w:sz w:val="28"/>
          <w:szCs w:val="28"/>
          <w:rtl w:val="true"/>
          <w:lang w:bidi="fa-IR"/>
        </w:rPr>
        <w:t>همچنین وی در این کتاب میان ثوابت دین و عرضیات و ظنیات آن تفاوت گذاشت و بدین ترتیب، از عدم تعارض علم و دین دفاع کرد؛</w:t>
      </w:r>
      <w:r>
        <w:rPr>
          <w:rStyle w:val="FootnoteAnchor"/>
          <w:rtl w:val="true"/>
        </w:rPr>
        <w:footnoteReference w:id="255"/>
      </w:r>
      <w:r>
        <w:rPr>
          <w:rFonts w:ascii="IRNazanin" w:hAnsi="IRNazanin" w:eastAsia="IRNazanin"/>
          <w:color w:val="111111"/>
          <w:sz w:val="28"/>
          <w:sz w:val="28"/>
          <w:szCs w:val="28"/>
          <w:rtl w:val="true"/>
          <w:lang w:bidi="fa-IR"/>
        </w:rPr>
        <w:t>دومین کتاب از آنِ سید اسداللّه خرقانی بود که با</w:t>
      </w:r>
    </w:p>
    <w:p>
      <w:pPr>
        <w:pStyle w:val="BookText"/>
        <w:rPr/>
      </w:pPr>
      <w:r>
        <w:rPr>
          <w:rFonts w:ascii="IRNazanin" w:hAnsi="IRNazanin" w:eastAsia="IRNazanin"/>
          <w:color w:val="111111"/>
          <w:sz w:val="28"/>
          <w:sz w:val="28"/>
          <w:szCs w:val="28"/>
          <w:rtl w:val="true"/>
          <w:lang w:bidi="fa-IR"/>
        </w:rPr>
        <w:t xml:space="preserve">نام تنقید مقالۀ داروینیست‌ها در سال </w:t>
      </w:r>
      <w:r>
        <w:rPr>
          <w:rFonts w:eastAsia="IRNazanin" w:cs="IRNazanin"/>
          <w:color w:val="111111"/>
          <w:sz w:val="28"/>
          <w:szCs w:val="28"/>
          <w:lang w:bidi="fa-IR"/>
        </w:rPr>
        <w:t>1338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این کتاب جیبی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صفحه‌ای تصویری نادرست از نظریۀ تکاملی داروین ارائه و آن را نقد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تقریر وی، مدافعان نظریۀ تکامل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را ممسوخ میمون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با این تصور خطا، وی با دلایلی ارسطویی و منطقی می‌کوشد این نظریه را ابطال کند</w:t>
      </w:r>
      <w:r>
        <w:rPr>
          <w:rFonts w:eastAsia="IRNazanin" w:cs="IRNazanin"/>
          <w:color w:val="111111"/>
          <w:sz w:val="28"/>
          <w:szCs w:val="28"/>
          <w:rtl w:val="true"/>
          <w:lang w:bidi="fa-IR"/>
        </w:rPr>
        <w:t>.</w:t>
      </w:r>
      <w:r>
        <w:rPr>
          <w:rStyle w:val="FootnoteAnchor"/>
          <w:rtl w:val="true"/>
        </w:rPr>
        <w:footnoteReference w:id="256"/>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 مسئله، دو رویکرد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اولین مواجهه ایرانیان با نظریۀ تکامل داروین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مواجهه‌ایرانیان با نظریۀ تکامل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مطلب با اندکی تفاوت در آینۀ پژوهش، شمارۀ </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 xml:space="preserve">، مهر و آبان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کتاب بعدها به وسیلۀ مؤلف در ایران به جمعی از علاقه‌مندان تدریس شد و عالمان دین در ایران را با این نظریه آشنا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است به‌زودی متن منقح و ترجمۀ این اثر منتشر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بااین‌حال، مواجهه جدی عالمان دین معاصر ایرانی با نظریۀ داروین، در دهۀ چهل و در پی نشر کتاب خلقت انسان یداللّه سحابی صورت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قبال این نظریه، مهم‌ترین نکتۀ چالش‌انگیز را نحوۀ خلقت انسان و ربط و نسبت وی با جانوران دیگر دیدند که با ظواهر قرآن ناسازگار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خواه‌ناخواه بحث آنان رنگ و بوی تفسیری گرفت و آیاتِ ناظر به خلقت انسان، کانون توجه آنان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عالمان دین و اندیشمندان معاصر ایرانی، به استناد آیات قرآن کریم، در قبال نظریۀ تکاملی داروین مواضع گوناگونی گرفته‌اند</w:t>
      </w:r>
      <w:r>
        <w:rPr>
          <w:rFonts w:eastAsia="IRNazanin" w:cs="IRNazanin"/>
          <w:color w:val="111111"/>
          <w:sz w:val="28"/>
          <w:szCs w:val="28"/>
          <w:rtl w:val="true"/>
          <w:lang w:bidi="fa-IR"/>
        </w:rPr>
        <w:t>:</w:t>
      </w:r>
      <w:r>
        <w:rPr>
          <w:rStyle w:val="FootnoteAnchor"/>
          <w:rtl w:val="true"/>
        </w:rPr>
        <w:footnoteReference w:id="257"/>
      </w:r>
      <w:r>
        <w:rPr>
          <w:rFonts w:ascii="IRNazanin" w:hAnsi="IRNazanin" w:eastAsia="IRNazanin"/>
          <w:color w:val="111111"/>
          <w:sz w:val="28"/>
          <w:sz w:val="28"/>
          <w:szCs w:val="28"/>
          <w:rtl w:val="true"/>
          <w:lang w:bidi="fa-IR"/>
        </w:rPr>
        <w:t>از نفی مطلق تا اثبات 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بررسی مکتوبات دینی که در این عرصه نوشته شده است، می‌توان سه موضع عمدتاً متفاوت را به شرح ذیل مشخص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مخالفت قرآن با نظریۀ تکاملی داروین؛</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موافقت قرآن با نظریۀ تکاملی داروین؛</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سکوت قرآن در قبال نظریۀ تکاملی داروین</w:t>
      </w:r>
      <w:r>
        <w:rPr>
          <w:rFonts w:eastAsia="IRNazanin" w:cs="IRNazanin"/>
          <w:color w:val="111111"/>
          <w:sz w:val="28"/>
          <w:szCs w:val="28"/>
          <w:rtl w:val="true"/>
          <w:lang w:bidi="fa-IR"/>
        </w:rPr>
        <w:t>.</w:t>
      </w:r>
      <w:bookmarkStart w:id="277" w:name="pg14517_146295"/>
    </w:p>
    <w:p>
      <w:pPr>
        <w:pStyle w:val="Heading4"/>
        <w:numPr>
          <w:ilvl w:val="3"/>
          <w:numId w:val="1"/>
        </w:numPr>
        <w:rPr/>
      </w:pPr>
      <w:bookmarkStart w:id="278" w:name="__RefHeading___Toc39802_1878427129"/>
      <w:bookmarkStart w:id="279" w:name="_Toc103"/>
      <w:bookmarkEnd w:id="277"/>
      <w:bookmarkEnd w:id="278"/>
      <w:r>
        <w:rPr/>
        <w:t>7.1</w:t>
      </w:r>
      <w:r>
        <w:rPr>
          <w:rtl w:val="true"/>
        </w:rPr>
        <w:t xml:space="preserve">. </w:t>
      </w:r>
      <w:r>
        <w:rPr>
          <w:rtl w:val="true"/>
        </w:rPr>
        <w:t>مخالفت قرآن با نظریۀ تکاملی داروین</w:t>
      </w:r>
      <w:bookmarkEnd w:id="279"/>
    </w:p>
    <w:p>
      <w:pPr>
        <w:pStyle w:val="BookText"/>
        <w:rPr/>
      </w:pPr>
      <w:r>
        <w:rPr>
          <w:rFonts w:ascii="IRNazanin" w:hAnsi="IRNazanin" w:eastAsia="IRNazanin"/>
          <w:color w:val="111111"/>
          <w:sz w:val="28"/>
          <w:sz w:val="28"/>
          <w:szCs w:val="28"/>
          <w:rtl w:val="true"/>
          <w:lang w:bidi="fa-IR"/>
        </w:rPr>
        <w:t>برخی عالمان دین و متدینان، به استناد آیات صریح قرآن کریم و ضعف شواهدی که به سود نظریۀ تکاملی داروین ارائه شده است، این نظریه را مخدوش و باطل می‌دانند و بحث را تقریباً تمام‌شده قلمداد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ایران معاصر، ظاهراً نخستین کسی که آشکارا و به‌صراحت، بطلان نظریۀ تکاملی داروین را از آیات قرآن استنتاج کرد و به تحلیل آیات پرداخت، علامه طباطبایی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خلقت انسان در سال </w:t>
      </w:r>
      <w:r>
        <w:rPr>
          <w:rFonts w:eastAsia="IRNazanin" w:cs="IRNazanin"/>
          <w:color w:val="111111"/>
          <w:sz w:val="28"/>
          <w:szCs w:val="28"/>
          <w:lang w:bidi="fa-IR"/>
        </w:rPr>
        <w:t>1346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شد</w:t>
      </w:r>
      <w:r>
        <w:rPr>
          <w:rStyle w:val="FootnoteAnchor"/>
          <w:rtl w:val="true"/>
        </w:rPr>
        <w:footnoteReference w:id="25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سهامی انتشار، ناشر آن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نویسنده، افزون بر ارائۀ دلایل علمی به سود این نظریه، از آیات قرآن برای دفاع از درستیِ آن بهره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طباطبایی در نقد این برداشت، بی‌آنکه به نام نویسنده یا کتاب اشاره کند، طی شش صفحه در تفسیر المیزان، بحثی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کلام فی کینونة الانسان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کرد و در آن دیدگاه سحابی را نادرست 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طباطبایی در این بحث دو گام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آنکه مدعی شد ظهور قریب به نص آیات قرآن، گویای خلقت دفعی‌انسان است؛ دوم آنکه شواهد نظریۀ تکاملی قانع‌کننده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نظریه ناپذیرفتنی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گام نخست، گوهر مدعای طباطبایی آن است که ظاهر آیات قرآن با ظهوری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نزدیک به صراحت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گویای آن است که آدم ابوالبشر، نخستین انسان است که مستقیماً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صلصال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 خشکیده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مفاد آیات قرآن است و هرچند می‌توان آیات را تأویل کرد و این مطلب نیز از ضروریات دینی به شمار نمی‌رود، بااین‌حال،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اینکه نسل انسانِ فعلی به شخص آدم می‌رسد، از ضروریات قرآن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با این رویکرد، وی مدعی شد طبق ظاهر آیات قرآن، خلقت انسان به صورت دفعی بوده است و پدر و مادر انسان‌های فعلی، حضرت آدم و همسرش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آنگاه وی گام دوم را برداشت و مدعی شد دلایل ارائه‌شده به سود نظریۀ تکاملی داروین، و شواهد عرضه‌شده، از اثبات مدعا ناتوان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وی منکر</w:t>
      </w:r>
    </w:p>
    <w:p>
      <w:pPr>
        <w:pStyle w:val="BookText"/>
        <w:rPr/>
      </w:pPr>
      <w:r>
        <w:rPr>
          <w:rFonts w:ascii="IRNazanin" w:hAnsi="IRNazanin" w:eastAsia="IRNazanin"/>
          <w:color w:val="111111"/>
          <w:sz w:val="28"/>
          <w:sz w:val="28"/>
          <w:szCs w:val="28"/>
          <w:rtl w:val="true"/>
          <w:lang w:bidi="fa-IR"/>
        </w:rPr>
        <w:t>تحول و تغییر تدریجی میان یک گونۀ جانوری، مثلاً اسب، نیست؛ ولی مسئله آن است که هیچ تحقیقی نشان نداده است که گونۀ جانوری تازه‌ای از دل گونه‌های جانوری متفاوت پدید آمده باشد</w:t>
      </w:r>
      <w:r>
        <w:rPr>
          <w:rFonts w:eastAsia="IRNazanin" w:cs="IRNazanin"/>
          <w:color w:val="111111"/>
          <w:sz w:val="28"/>
          <w:szCs w:val="28"/>
          <w:rtl w:val="true"/>
          <w:lang w:bidi="fa-IR"/>
        </w:rPr>
        <w:t>.</w:t>
      </w:r>
      <w:r>
        <w:rPr>
          <w:rStyle w:val="FootnoteAnchor"/>
          <w:rtl w:val="true"/>
        </w:rPr>
        <w:footnoteReference w:id="25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ایشان در تفسیر اولین آیۀ سورۀ نساء، همین موضع را به‌اجمال انتخاب می‌کند و مدعی می‌شود نسل انسان حاضر، به شخص آدم و حوا می‌رسد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طبق آیات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شکی در این مطلب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هرچند امکان تأویل همچنان وجود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آنگاه طی بحثی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سخنی در اینکه انسان نوع مستقلی است و تحول‌یافتۀ نوع دیگری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 مطلب پای می‌فشرد و تأکید می‌کند که بااین‌حال، عده‌ای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فرضیۀ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تکامل را پیش کشیده‌اند تا تنوع و تغییرات را توجیه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تعبیر وی، اینجا جای تفصیل این بحث نیست، بلکه مقصودْ اشاره به این نکته است که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فرضیه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بی‌آنکه دلیل قاطعی به سودش اقامه شود، پیش کشیده‌اند؛ حال آنکه حقیقتی که قرآن بدان اشاره می‌کند، آن است که انسان نوعی است جدا از سایر انواع، و این مطلب با علم تعارضی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بااین‌حال، طباطبایی در مقالۀ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و قانون تنازع بقا و انتخاب اصلح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برخلاف موضع خود در المیزان، این دو قانون را طرح می‌کند و آن‌ها را کمابیش می‌پذیرد و درعین‌حال قانون نقیض آن را که تبعیت از محیط باشد نقل می‌کند و آن را نیز اجمالاً درست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آنگاه نتیجه می‌گیرد این سه قانون، درواقع نتیجۀ قانون علیت و تأثیر علت در معلوم است و هر علتی می‌کوشد معلول را به صورت خود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می‌گوید که مدافعان نظریۀ تکامل، آیاتی را به سود خود نقل کرده‌اند، از جمله آیۀ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سورۀ رعد، آیۀ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سورۀ حج، و آیۀ </w:t>
      </w:r>
      <w:r>
        <w:rPr>
          <w:rFonts w:eastAsia="IRNazanin" w:cs="IRNazanin"/>
          <w:color w:val="111111"/>
          <w:sz w:val="28"/>
          <w:szCs w:val="28"/>
          <w:lang w:bidi="fa-IR"/>
        </w:rPr>
        <w:t>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بقره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این آیات مدعای قائلان به این نظریه را تثبیت نمی‌کند؛ در نتیجه، هر چند این دو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الجمله صحیح و در بعضی از موارد قابل قبول‌اند و نمی‌توان انکار کرد که قرآن این حقایق و امثال آن‌ها را تأیید می‌کند، آیات مزبور هیچ گونه دلالتی بر این</w:t>
      </w:r>
    </w:p>
    <w:p>
      <w:pPr>
        <w:pStyle w:val="BookText"/>
        <w:rPr/>
      </w:pPr>
      <w:r>
        <w:rPr>
          <w:rFonts w:ascii="IRNazanin" w:hAnsi="IRNazanin" w:eastAsia="IRNazanin"/>
          <w:color w:val="111111"/>
          <w:sz w:val="28"/>
          <w:sz w:val="28"/>
          <w:szCs w:val="28"/>
          <w:rtl w:val="true"/>
          <w:lang w:bidi="fa-IR"/>
        </w:rPr>
        <w:t>دو اصل دارند</w:t>
      </w:r>
      <w:r>
        <w:rPr>
          <w:rFonts w:eastAsia="IRNazanin" w:cs="IRNazanin"/>
          <w:color w:val="111111"/>
          <w:sz w:val="28"/>
          <w:szCs w:val="28"/>
          <w:rtl w:val="true"/>
          <w:lang w:bidi="fa-IR"/>
        </w:rPr>
        <w:t>».</w:t>
      </w:r>
      <w:r>
        <w:rPr>
          <w:rStyle w:val="FootnoteAnchor"/>
          <w:rtl w:val="true"/>
        </w:rPr>
        <w:footnoteReference w:id="26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بررسی‌های اسلامی،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252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آیات، به‌خصوص آیۀ سوم، بیانگر اصل استخدام است که ریشه در سرشت بشر دارد و طبق آن هر کس می‌خواهد دیگری را مسخر خود کند و، بدین ترتیب، اجتماع تعاونی شکل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منظر،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فرد انسان مطابق غریزۀ فطری و میل طبیعی همواره می‌خواهد از قوای دیگران به نفع خود استفاده کند و چون هیچ فردی حاضر نیست قوای خود را به‌رایگان در اختیار افراد دیگر بگذارد، نتیجه این می‌شود که هر کس به سهم خود چیزی از نیروهای خود را در اختیار دیگران گذارده، تا از نتایج قوای دیگران بهره‌مند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اصل استخدام، به تشکیل اجتماع تعاونی منتهی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مرحوم مطهری، این تحلیل را نوعی نگرش داروینی می‌داند و بر این نظر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همین اصل استخدام، بالاخره صورت محترمانه‌ای از تنازع بقاست که اصل در انسان تنازع است و تعاون در اثر تنازع پیدا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ایشان، سخن علامه طباطبایی همانند مدعای پیروان نظریۀ تکاملی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هرچند صریحاً چنین حرفی نزده‌اند، ولی لازمۀ حرفشان این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صورت، بعدها برخی پیروان علامه طباطبایی موضع ایشان را پی گرفتند و همین ایده را گسترش دادند و از همان دست استدلال‌ها بهره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مسیح مهاجری بر آن است که نخستین انسان روی زمین، شخص آدم بوده است و قرآن داستان خلقت او را بازگفته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آدم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موجود زندۀ دیگری تبدیل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خلقت او دفعی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وی، وجود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آیات نشان می‌دهد که فاصلۀ طولانی زمانی میان مراحل خلقت در کار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نتیجه، آیات قرآن معارض نظریۀ تکامل داروین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کریم به‌هیچ‌وجه فرضیۀ تکامل را تأیید نمی‌کند و آنچه از قرآن کریم به‌روشنی استفاده می‌شود، این است که خداوند متعال آدم را به عنوان اولین انسان از طریق ساختن یک پیکر از گل</w:t>
      </w:r>
    </w:p>
    <w:p>
      <w:pPr>
        <w:pStyle w:val="BookText"/>
        <w:rPr/>
      </w:pPr>
      <w:r>
        <w:rPr>
          <w:rFonts w:ascii="IRNazanin" w:hAnsi="IRNazanin" w:eastAsia="IRNazanin"/>
          <w:color w:val="111111"/>
          <w:sz w:val="28"/>
          <w:sz w:val="28"/>
          <w:szCs w:val="28"/>
          <w:rtl w:val="true"/>
          <w:lang w:bidi="fa-IR"/>
        </w:rPr>
        <w:t>و دمیدن روح در او آفرید</w:t>
      </w:r>
      <w:r>
        <w:rPr>
          <w:rFonts w:eastAsia="IRNazanin" w:cs="IRNazanin"/>
          <w:color w:val="111111"/>
          <w:sz w:val="28"/>
          <w:szCs w:val="28"/>
          <w:rtl w:val="true"/>
          <w:lang w:bidi="fa-IR"/>
        </w:rPr>
        <w:t>».</w:t>
      </w:r>
      <w:r>
        <w:rPr>
          <w:rStyle w:val="FootnoteAnchor"/>
          <w:rtl w:val="true"/>
        </w:rPr>
        <w:footnoteReference w:id="261"/>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نظریۀ تکامل از دیدگاه قرآن، ص </w:t>
      </w:r>
      <w:r>
        <w:rPr>
          <w:rFonts w:eastAsia="IRNazanin" w:cs="IRNazanin"/>
          <w:color w:val="111111"/>
          <w:sz w:val="28"/>
          <w:szCs w:val="28"/>
          <w:lang w:bidi="fa-IR"/>
        </w:rPr>
        <w:t>54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مهاجری به نقد دیدگاه یداللّه سحابی پرداخته، می‌گوید هیچ‌یک از آیات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صراحتی در آفریده شدن انسان به صورت تکامل تدریجی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مجموعِ آیات بررسی شوند، روشن می‌شود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نظر قرآن همان است که مفسرین گفته‌اند و این چیزی است که ذهن پاک و خالی از نظریه‌های مخالف و موافق، آن را از آیۀ شریفۀ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آل عمران نیز در می‌یابد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اما به بیان وی، سحابی بر اثر شیفتگی به نظریۀ تکاملی داروین، دچار پیش‌داوری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عبداللّه نصری نیز خلقت آدم را مستقل و درعین‌حال تدریجی می‌داند به این معنا که آیات، حداکثر بیانگر تحول نوع انسان است؛</w:t>
      </w:r>
      <w:r>
        <w:rPr>
          <w:rStyle w:val="FootnoteAnchor"/>
          <w:rtl w:val="true"/>
        </w:rPr>
        <w:footnoteReference w:id="262"/>
      </w:r>
      <w:r>
        <w:rPr>
          <w:rFonts w:ascii="IRNazanin" w:hAnsi="IRNazanin" w:eastAsia="IRNazanin"/>
          <w:color w:val="111111"/>
          <w:sz w:val="28"/>
          <w:sz w:val="28"/>
          <w:szCs w:val="28"/>
          <w:rtl w:val="true"/>
          <w:lang w:bidi="fa-IR"/>
        </w:rPr>
        <w:t xml:space="preserve">اما این 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انسان برخاسته از موجود دیگری مثلاً حیوان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گونه که طرفداران تحول انواع ادعا می‌کنند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اثبات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این تحولْ درونِ نوع انسانی است؛ یعنی خودِ انسان تکامل پیدا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آنکه از موجود دیگری مشتق شده باشد</w:t>
      </w:r>
      <w:r>
        <w:rPr>
          <w:rFonts w:eastAsia="IRNazanin" w:cs="IRNazanin"/>
          <w:color w:val="111111"/>
          <w:sz w:val="28"/>
          <w:szCs w:val="28"/>
          <w:rtl w:val="true"/>
          <w:lang w:bidi="fa-IR"/>
        </w:rPr>
        <w:t>».</w:t>
      </w:r>
      <w:r>
        <w:rPr>
          <w:rStyle w:val="FootnoteAnchor"/>
          <w:rtl w:val="true"/>
        </w:rPr>
        <w:footnoteReference w:id="263"/>
      </w:r>
      <w:r>
        <w:rPr>
          <w:rFonts w:ascii="IRNazanin" w:hAnsi="IRNazanin" w:eastAsia="IRNazanin"/>
          <w:color w:val="111111"/>
          <w:sz w:val="28"/>
          <w:sz w:val="28"/>
          <w:szCs w:val="28"/>
          <w:rtl w:val="true"/>
          <w:lang w:bidi="fa-IR"/>
        </w:rPr>
        <w:t xml:space="preserve">مجموع آیات نیز نشان می‌دهد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خاک آفریده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پس از خشک شدن و طی مراتبی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صورت موجودی کامل درآمده است</w:t>
      </w:r>
      <w:r>
        <w:rPr>
          <w:rFonts w:eastAsia="IRNazanin" w:cs="IRNazanin"/>
          <w:color w:val="111111"/>
          <w:sz w:val="28"/>
          <w:szCs w:val="28"/>
          <w:rtl w:val="true"/>
          <w:lang w:bidi="fa-IR"/>
        </w:rPr>
        <w:t>».</w:t>
      </w:r>
      <w:r>
        <w:rPr>
          <w:rStyle w:val="FootnoteAnchor"/>
          <w:rtl w:val="true"/>
        </w:rPr>
        <w:footnoteReference w:id="264"/>
      </w:r>
      <w:r>
        <w:rPr>
          <w:rFonts w:ascii="IRNazanin" w:hAnsi="IRNazanin" w:eastAsia="IRNazanin"/>
          <w:color w:val="111111"/>
          <w:sz w:val="28"/>
          <w:sz w:val="28"/>
          <w:szCs w:val="28"/>
          <w:rtl w:val="true"/>
          <w:lang w:bidi="fa-IR"/>
        </w:rPr>
        <w:t xml:space="preserve">همچنین از آیات به دست می‌آید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کریم انسان را یک نوعِ مجزا از حیوان مطرح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 حیوانات، اختلاف ماهوی دارد</w:t>
      </w:r>
      <w:r>
        <w:rPr>
          <w:rFonts w:eastAsia="IRNazanin" w:cs="IRNazanin"/>
          <w:color w:val="111111"/>
          <w:sz w:val="28"/>
          <w:szCs w:val="28"/>
          <w:rtl w:val="true"/>
          <w:lang w:bidi="fa-IR"/>
        </w:rPr>
        <w:t>.</w:t>
      </w:r>
      <w:r>
        <w:rPr>
          <w:rStyle w:val="FootnoteAnchor"/>
          <w:rtl w:val="true"/>
        </w:rPr>
        <w:footnoteReference w:id="265"/>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شاگردان طباطبایی، در عین قبول مبنای ایشان و تأکید بر آنکه آیات قرآن کریم در تقابل با نظریۀ تکاملی داروین قرار دارد، به‌نحوی بحث را پیش بردند که در صورت اثبات درستیِ این نظریه، بتوان آن را پذیرفت، بی‌آنکه تعارضی با آیات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آقایان مکارم شیرازی و سبحانی، از چنین موضعی دفاع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آیت‌اللّه مکارم شیرازی در فیلسوف‌نماها مدعی شد داروینیسم، به فرض صحت، تعارضی با</w:t>
      </w:r>
    </w:p>
    <w:p>
      <w:pPr>
        <w:pStyle w:val="BookText"/>
        <w:rPr/>
      </w:pPr>
      <w:r>
        <w:rPr>
          <w:rFonts w:ascii="IRNazanin" w:hAnsi="IRNazanin" w:eastAsia="IRNazanin"/>
          <w:color w:val="111111"/>
          <w:sz w:val="28"/>
          <w:sz w:val="28"/>
          <w:szCs w:val="28"/>
          <w:rtl w:val="true"/>
          <w:lang w:bidi="fa-IR"/>
        </w:rPr>
        <w:t>خداشناسی ندارد و حتی داروین خداپرست بود و تکالیف دینی خود را انجام می‌داد</w:t>
      </w:r>
      <w:r>
        <w:rPr>
          <w:rFonts w:eastAsia="IRNazanin" w:cs="IRNazanin"/>
          <w:color w:val="111111"/>
          <w:sz w:val="28"/>
          <w:szCs w:val="28"/>
          <w:rtl w:val="true"/>
          <w:lang w:bidi="fa-IR"/>
        </w:rPr>
        <w:t>.</w:t>
      </w:r>
      <w:r>
        <w:rPr>
          <w:rStyle w:val="FootnoteAnchor"/>
          <w:rtl w:val="true"/>
        </w:rPr>
        <w:footnoteReference w:id="26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فیلسوف‌نماها، ص </w:t>
      </w:r>
      <w:r>
        <w:rPr>
          <w:rFonts w:eastAsia="IRNazanin" w:cs="IRNazanin"/>
          <w:color w:val="111111"/>
          <w:sz w:val="28"/>
          <w:szCs w:val="28"/>
          <w:lang w:bidi="fa-IR"/>
        </w:rPr>
        <w:t>265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درعین‌حال، این نظریه با دیدگاه ادیان سازگار نیست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مجموعۀ آیات قرآن مجید، کتاب آسمانی ما، و همچنین آیاتی که در سِفر تکوین تورات است، چنین استفاده می‌شود که خلقت جد اولی انسان به طور مستقل بوده و ارتباطی با هیچ‌یک از حیوانات نداشته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بااین‌حال، به فرض اثبات این نظریه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توجیه و تفسیر آیات قرآن و نظایر آن، به طوری که با فرضیۀ مزبور سازش پیدا کند، کار مشکلی نیست؛ زیرا حفظ معانی اولیۀ این‌گونه عبارات وقتی لازم است که شاهد و قرینۀ قاطعی برخلاف آن نباشد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در غیر این صورت می‌توان به معانی ثانویۀ آن‌ها پناه برد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وی سپس می‌کوشد نخست نشان دهد که اصولاً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کم‌اعتباری است 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تئوری‌های علمی معمولاً عبارت از یک سلسله انتقالات ذهنی است که به وسیلۀ قرائن ظنی و تجربیات محدودی تأیید می‌شود و معمولاً جنبۀ قطعی و جزمی ندارند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از این منظر،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دانشمندان علوم طبیعی را به نقاش هنرمندی می‌توان تشبیه کرد که می‌خواهد معشوقۀ نادیدۀ خود را از روی قرائنی ترسیم کند و چون هر روز آثار و علائم بیشتری به دست می‌آورد، تصویر سابق را حک و اصلاح می‌کند، ولی درعین‌حال ممکن است هیچ کدام آن‌ها با صورت واقعی او کاملاً تطبیق نکند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آنگاه ادعا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عقیدۀ بسیاری از دانشمندان که در رشته‌های مختلف علوم تخصص داشته‌اند، نظریۀ تحول انواع داروین به همان اندازه که برای بعضی ظاهری فریبنده دارد، درواقع خالی از حقیقت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نوشتۀ 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جمعی از دانشمندان پسیکولوژی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امپریولوژی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امبریولوژی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جنین‌شناسی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مطالعۀ قسمت‌های مختلف بدن انسان، مخصوصاً سلسله اعصاب و جهاز عصبی</w:t>
      </w:r>
    </w:p>
    <w:p>
      <w:pPr>
        <w:pStyle w:val="BookText"/>
        <w:rPr/>
      </w:pPr>
      <w:r>
        <w:rPr>
          <w:rFonts w:ascii="IRNazanin" w:hAnsi="IRNazanin" w:eastAsia="IRNazanin"/>
          <w:color w:val="111111"/>
          <w:sz w:val="28"/>
          <w:sz w:val="28"/>
          <w:szCs w:val="28"/>
          <w:rtl w:val="true"/>
          <w:lang w:bidi="fa-IR"/>
        </w:rPr>
        <w:t>او، به این نتیجه رسیده‌اند که میان ساختمان روحی و بدنی انسان با سایر حیوانات چنان فاصلۀ بزرگی وجود دارد که استقلال انسان را محرز و مسلّم می‌دارد، و هر گونه احتمال خویشاوندی و قرابت را میان او و سایرین از بین می‌برد</w:t>
      </w:r>
      <w:r>
        <w:rPr>
          <w:rFonts w:eastAsia="IRNazanin" w:cs="IRNazanin"/>
          <w:color w:val="111111"/>
          <w:sz w:val="28"/>
          <w:szCs w:val="28"/>
          <w:rtl w:val="true"/>
          <w:lang w:bidi="fa-IR"/>
        </w:rPr>
        <w:t>».</w:t>
      </w:r>
      <w:r>
        <w:rPr>
          <w:rStyle w:val="FootnoteAnchor"/>
          <w:rtl w:val="true"/>
        </w:rPr>
        <w:footnoteReference w:id="26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276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پایه‌های چهارگانه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داروینیسم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و تحلیل می‌شوند که عبارت‌اند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قانون تنازع بقا، انتخاب طبیعی، سازش با محیط، وراثت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در ادامه گفته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عده‌ای از دانشمندان، پس از آزمایش‌های بسیار ثابت کردند مسئله موروثی بودن صفات اکتسابی که از پایه‌های مهم این نظریه است، اساس درستی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و آزمایش‌هایی مانند بریدن دم موش‌ها طی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نسل نشان داد که صفات اکتسابی به ارث برده نمی‌شوند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همچنین آزمایش‌هایی مانند نگه داشتن مگس سرکه در تاریکی ثابت کرد که سازش با محیط در آن‌ها صورت نگرفت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همچنین،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میان انگشتان اردک پرده‌هایی وجود دارد که به‌آسانی می‌تواند با آن شنا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پیروان داروین، وجود آن‌ها را از آثار سازش با محیط می‌دانند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در تفسیر نمونه نیز همین مسیر پی گرفته و نخست تأکید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قرآن یک کتاب علوم طبیعی نیست، بلکه یک کتاب انسان‌سازی است و بنابراین نباید انتظار داشت جزئیات این علوم، از قبیل مسائل مربوط به تکامل، تشریح، جنین‌شناسی، گیاه‌شناسی و مانند آن در قرآن مطرح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بااین‌حال به تناسبِ بحث‌های تربیتی، اشاراتی علمی در قرآن شده است</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به این مطلب اشاره می‌شود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محافل علوم طبیعی امروز شک نیست که اکثریت دانشمندان طرفدار فرضیۀ تکامل‌اند</w:t>
      </w:r>
      <w:r>
        <w:rPr>
          <w:rFonts w:eastAsia="IRNazanin" w:cs="IRNazanin"/>
          <w:color w:val="111111"/>
          <w:sz w:val="28"/>
          <w:szCs w:val="28"/>
          <w:rtl w:val="true"/>
          <w:lang w:bidi="fa-IR"/>
        </w:rPr>
        <w:t>».</w:t>
      </w:r>
      <w:r>
        <w:rPr>
          <w:rStyle w:val="FootnoteAnchor"/>
          <w:rtl w:val="true"/>
        </w:rPr>
        <w:footnoteReference w:id="268"/>
      </w:r>
      <w:r>
        <w:rPr>
          <w:rFonts w:ascii="IRNazanin" w:hAnsi="IRNazanin" w:eastAsia="IRNazanin"/>
          <w:color w:val="111111"/>
          <w:sz w:val="28"/>
          <w:sz w:val="28"/>
          <w:szCs w:val="28"/>
          <w:rtl w:val="true"/>
          <w:lang w:bidi="fa-IR"/>
        </w:rPr>
        <w:t>آنگاه دلایل موافق و مخالف نظریۀ</w:t>
      </w:r>
    </w:p>
    <w:p>
      <w:pPr>
        <w:pStyle w:val="BookText"/>
        <w:rPr/>
      </w:pPr>
      <w:r>
        <w:rPr>
          <w:rFonts w:ascii="IRNazanin" w:hAnsi="IRNazanin" w:eastAsia="IRNazanin"/>
          <w:color w:val="111111"/>
          <w:sz w:val="28"/>
          <w:sz w:val="28"/>
          <w:szCs w:val="28"/>
          <w:rtl w:val="true"/>
          <w:lang w:bidi="fa-IR"/>
        </w:rPr>
        <w:t>تکامل آورده و نتیجه گرفته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دلایل سه‌گانۀ طرفداران تراسنفورمیسم، نمی‌تواند این نظریه را از صورت یک فرضیه فراتر برد و به همین دلیل آن‌ها که دقیقاً روی این مسائل بحث می‌کنند، همواره از آن به عنوان فرضیۀ تکاملِ انواع سخن می‌گویند، نه قانون و اصل</w:t>
      </w:r>
      <w:r>
        <w:rPr>
          <w:rFonts w:eastAsia="IRNazanin" w:cs="IRNazanin"/>
          <w:color w:val="111111"/>
          <w:sz w:val="28"/>
          <w:szCs w:val="28"/>
          <w:rtl w:val="true"/>
          <w:lang w:bidi="fa-IR"/>
        </w:rPr>
        <w:t>».</w:t>
      </w:r>
      <w:r>
        <w:rPr>
          <w:rStyle w:val="FootnoteAnchor"/>
          <w:rtl w:val="true"/>
        </w:rPr>
        <w:footnoteReference w:id="26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101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نظر ایشان، به‌رغم مسائل سیاسی و اعتقادی که این نظریه را به چالش با کلیسا و خداشناسی کشاند،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امروزه این مسئله برای ما روشن است که این دو با هم تضادی ندارند؛ یعنی ما چه فرضیۀ تکامل را قبول کنیم و چه آن را بر اثر فقدان دلیل رد نماییم، در هر دو صورت می‌توانیم خداشناس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فرضیۀ تکامل، اگر فرضاً هم ثابت شود، شکل یک قانون علمی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روی علت و معلول طبیعی پرده برمی‌دارد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خود خواهد گرفت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و فرقی با قوانین دیگر نخواهد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کشف یک رابطۀ تکاملی در میان انواع موجودات نیز هیچ گونه مانعی در مسیر شناخت خدا ایجاد نمی‌کند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آنگاه بر دینداری شخصِ داروین این‌گونه تأکید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جالب اینکه خودِ داروین در برابر اتهام الحاد و بی‌دینی قد علم کرده و در کتابش، اصل انواع، تصریح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عین قبول تکاملِ انواع، خداپرستم و اصولاً بدون قبول وجود خدا نمی‌توان تکامل را توجیه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پس از تأکید بر آنکه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فرضیه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خداشناسی تضادی ندارد و حتی تبیین آن نیازمند قبول وجود خداوند است، ایشان به بحث دوم، یعنی بررسی موافقت یا مخالفت این نظریه با قرآن وارد می‌شود و می‌گوید موافقان و مخالفان تکامل، به آیاتی از قرآنی استناد کرده‌اند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کمتر ارتباطی با مقصود آن‌ها داشته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این مقدمات، آیات موافق و مخالفْ بررسی و ادعا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آیات قرآن هرچند مستقیماً در صدد بیان مسئله تکامل یا ثبوت انواع نیست، ولی‌ظواهر آیت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در خصوص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مسئله خلقت مستقل سازگارتر است، هرچند کاملاً صریح</w:t>
      </w:r>
    </w:p>
    <w:p>
      <w:pPr>
        <w:pStyle w:val="BookText"/>
        <w:rPr/>
      </w:pP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ظاهر آیات خلقت آدم، بیشتر روی خلقت مستقل دور می‌زند، اما در مورد سایر جانداران، قرآن سکوت دارد</w:t>
      </w:r>
      <w:r>
        <w:rPr>
          <w:rFonts w:eastAsia="IRNazanin" w:cs="IRNazanin"/>
          <w:color w:val="111111"/>
          <w:sz w:val="28"/>
          <w:szCs w:val="28"/>
          <w:rtl w:val="true"/>
          <w:lang w:bidi="fa-IR"/>
        </w:rPr>
        <w:t>.»</w:t>
      </w:r>
      <w:r>
        <w:rPr>
          <w:rStyle w:val="FootnoteAnchor"/>
          <w:rtl w:val="true"/>
        </w:rPr>
        <w:footnoteReference w:id="27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106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ترتیب، نظریۀ تکاملی داروین باطل است و به فرض اثبات نیز تعارضی با آیات قرآن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آیت‌اللّه سبحانی با همین نگرش معتقد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تحول انواع، فرضیه‌ای بیش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گام از دایرۀ تئوری فراتر ننهاده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درعین‌حال، نه تحول انواع با خداشناسی منافات دارد، و نه ثبات انواع مؤید آن است</w:t>
      </w:r>
      <w:r>
        <w:rPr>
          <w:rFonts w:eastAsia="IRNazanin" w:cs="IRNazanin"/>
          <w:color w:val="111111"/>
          <w:sz w:val="28"/>
          <w:szCs w:val="28"/>
          <w:rtl w:val="true"/>
          <w:lang w:bidi="fa-IR"/>
        </w:rPr>
        <w:t>.</w:t>
      </w:r>
      <w:r>
        <w:rPr>
          <w:rStyle w:val="FootnoteAnchor"/>
          <w:rtl w:val="true"/>
        </w:rPr>
        <w:footnoteReference w:id="271"/>
      </w:r>
      <w:r>
        <w:rPr>
          <w:rFonts w:ascii="IRNazanin" w:hAnsi="IRNazanin" w:eastAsia="IRNazanin"/>
          <w:color w:val="111111"/>
          <w:sz w:val="28"/>
          <w:sz w:val="28"/>
          <w:szCs w:val="28"/>
          <w:rtl w:val="true"/>
          <w:lang w:bidi="fa-IR"/>
        </w:rPr>
        <w:t xml:space="preserve">از این دیدگاه، ظواهر قرآن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است که خدا انسان را از گل آفرید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این تفسیر با فرضیۀ تکامل انواع دربارۀ انسان که مدعی‌است انسان مراحلی را طی نموده تا انسان شده است، سازگار نیست؛ زیرا ظواهر غیر قابل انکار قرآن این است که انسان را از گل آفریده و حلقه‌هایی در این مبانی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بااین‌همه، هرگاه فرضیۀ تحول انواع، در آینده رنگ علمی به خود گرفت و روی دلایل قطعی و روشن ثابت شد که انسان کنونی پس از تحولات جوهری و تبدلات نوعی، موجود دو پا و صاحب نفس ناطقه شده است و این ثبوت به مرحله‌ای رسیده که مسئله تحول انواع را در شمار مسائل قطعی و روشن که جای هیچ گونه انکار نباشد؛ وارد ساخت، در این صورت ظواهر قرآن طوری نیست که قابل تأویل و تفسیر نباشد؛ زیرا می‌توان گفت</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اینکه خداوند فرموده انسان را از گل آفریده است، هرگز منافات ندارد که میان گل و انسان شدن مراحلی بوده که خداوند به آن‌ها اشاره یا تصریحی نفرموده است</w:t>
      </w:r>
      <w:r>
        <w:rPr>
          <w:rFonts w:eastAsia="IRNazanin" w:cs="IRNazanin"/>
          <w:color w:val="111111"/>
          <w:sz w:val="28"/>
          <w:szCs w:val="28"/>
          <w:rtl w:val="true"/>
          <w:lang w:bidi="fa-IR"/>
        </w:rPr>
        <w:t>».</w:t>
      </w:r>
      <w:r>
        <w:rPr>
          <w:rStyle w:val="FootnoteAnchor"/>
          <w:rtl w:val="true"/>
        </w:rPr>
        <w:footnoteReference w:id="272"/>
      </w:r>
      <w:r>
        <w:rPr>
          <w:rFonts w:ascii="IRNazanin" w:hAnsi="IRNazanin" w:eastAsia="IRNazanin"/>
          <w:color w:val="111111"/>
          <w:sz w:val="28"/>
          <w:sz w:val="28"/>
          <w:szCs w:val="28"/>
          <w:rtl w:val="true"/>
          <w:lang w:bidi="fa-IR"/>
        </w:rPr>
        <w:t>از نظر ایشان، علت رواج این نظریه، بیش از جنبۀ علمی آن، ابعاد سیاسی و اجتماعی آن بود و باید ریشه‌های آن را در کلیسا و دستگاه پاپ و سرکوب مخالفت با کتاب مقدس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سبب استقبال از این نظریه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جنبۀ سیاسی‌داشت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w:t>
      </w:r>
    </w:p>
    <w:p>
      <w:pPr>
        <w:pStyle w:val="BookText"/>
        <w:rPr/>
      </w:pPr>
      <w:r>
        <w:rPr>
          <w:rFonts w:ascii="IRNazanin" w:hAnsi="IRNazanin" w:eastAsia="IRNazanin"/>
          <w:color w:val="111111"/>
          <w:sz w:val="28"/>
          <w:sz w:val="28"/>
          <w:szCs w:val="28"/>
          <w:rtl w:val="true"/>
          <w:lang w:bidi="fa-IR"/>
        </w:rPr>
        <w:t>خرد کردن و له کردن دستگاه پاپ بود</w:t>
      </w:r>
      <w:r>
        <w:rPr>
          <w:rFonts w:eastAsia="IRNazanin" w:cs="IRNazanin"/>
          <w:color w:val="111111"/>
          <w:sz w:val="28"/>
          <w:szCs w:val="28"/>
          <w:rtl w:val="true"/>
          <w:lang w:bidi="fa-IR"/>
        </w:rPr>
        <w:t>».</w:t>
      </w:r>
      <w:r>
        <w:rPr>
          <w:rStyle w:val="FootnoteAnchor"/>
          <w:rtl w:val="true"/>
        </w:rPr>
        <w:footnoteReference w:id="27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30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آیت‌اللّه سبحانی اصل سازش با محیط را، که در واقع متعلق به لامارک است، یکی از اصول چهارگانۀ نظریۀ داروین می‌شمارد و ادعا می‌کند داروین، پیدایش اعضای جدید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راه تحلیل و تفسیر می‌کند و نتیجه می‌گیرد که هرگاه حیوان چشم‌داری مجبور شود که در غارها و دالان‌های زیرزمینی به سر برد، کم‌کم قوه بینایی او از بین می‌رود و پس از چند نسل در ردیف حیوانات نابینا در می‌آید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سپس تأکید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آزمایش‌ها، موروثی بودن صفات اکتسابی را تکذیب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و نمونه‌های این مسئله فراوان است، از جمله آنکه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مسلمانان و کلیمیان قرن‌ها است که فرزندان خود را ختنه می‌کنند، ولی کمتر پسری ختنه‌شده پا به دنیا می‌گذارد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همچنین ایشان در بحث تفسیری خود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ملاحظۀ آیات وارده در آفرینش انسانِ نخست، می‌توان گفت آهنگ آیات قرآن، آهنگ خلقت مستقل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 میان آفرینش آدم، از خاک تا انسان نخست، مراحلی از قبیل انواع تحولی بوده است، هرگز قرآن به چنین انواع اشاره‌ای نمی‌کند، بالاخص که دلائل طرفداران تحول انواع، از دائرۀ تئوری بیرون نرفته و هنوز اذعان و ایمان دانشمندان را صددرصد به خود جلب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مضمون آیات نیز به گونه‌ای نیست که صریحاً این مراحل را رد کند، بلکه تاب آن را نیز دارد و اگر روزی تحول انواع در پیدایش انسان نخست به مرحلۀ قطعیت رسید، قرآنْ مناقض آن نخواهد بود</w:t>
      </w:r>
      <w:r>
        <w:rPr>
          <w:rFonts w:eastAsia="IRNazanin" w:cs="IRNazanin"/>
          <w:color w:val="111111"/>
          <w:sz w:val="28"/>
          <w:szCs w:val="28"/>
          <w:rtl w:val="true"/>
          <w:lang w:bidi="fa-IR"/>
        </w:rPr>
        <w:t>.</w:t>
      </w:r>
      <w:r>
        <w:rPr>
          <w:rStyle w:val="FootnoteAnchor"/>
          <w:rtl w:val="true"/>
        </w:rPr>
        <w:footnoteReference w:id="274"/>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آیت‌اللّه مصباح یزدی در سه جلسۀ تفسیر خود که در سال </w:t>
      </w:r>
      <w:r>
        <w:rPr>
          <w:rFonts w:eastAsia="IRNazanin" w:cs="IRNazanin"/>
          <w:color w:val="111111"/>
          <w:sz w:val="28"/>
          <w:szCs w:val="28"/>
          <w:lang w:bidi="fa-IR"/>
        </w:rPr>
        <w:t>1347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برگزار شد، نظرگاه سحابی در زمینۀ خلقت انسان را نقد می‌کند و با پافشاری بر اینکه نباید در</w:t>
      </w:r>
    </w:p>
    <w:p>
      <w:pPr>
        <w:pStyle w:val="BookText"/>
        <w:rPr/>
      </w:pPr>
      <w:r>
        <w:rPr>
          <w:rFonts w:ascii="IRNazanin" w:hAnsi="IRNazanin" w:eastAsia="IRNazanin"/>
          <w:color w:val="111111"/>
          <w:sz w:val="28"/>
          <w:sz w:val="28"/>
          <w:szCs w:val="28"/>
          <w:rtl w:val="true"/>
          <w:lang w:bidi="fa-IR"/>
        </w:rPr>
        <w:t>برابر فرضیه‌های غربی، خود را ببازیم و قرآن را طبق آن‌ها تأویل کنیم،</w:t>
      </w:r>
      <w:r>
        <w:rPr>
          <w:rStyle w:val="FootnoteAnchor"/>
          <w:rtl w:val="true"/>
        </w:rPr>
        <w:footnoteReference w:id="27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خلقت انسان از نظر قرآن، ص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کسانی که به‌سرعت مجذوب چنین نظریاتی می‌شوند می‌تازد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منظر،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نواندیشان کشورهای عقب‌افتاده که در اثر فقر علمی، چشم به راه اکتشافات جدید غرب دوخته‌اند، معمولاً کاسۀ گرم‌تر از آش هستند، این فرضیه را به عنوان یک کشف جدید علمی و یک اصل مسلّم و قطعی پذیرفتند و سرسختانه به دفاع از آن برخاستند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همچنین، کتاب آقای سحابی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باید درواقع نمونه‌ای از این اقدامات اصلاح‌طلبانه و آشتی‌جویانه دانست که با حسن نیت کامل به رشتۀ تحریر درآمده است و در آن سعی شده که از آیات قرآن، مطالبی موافق فرضیۀ نامبرده استفاده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سپس با اشاره به معجزات حضرت عیسی از جمله دمیدن روح در پرنده، تلاش در جهت توجیه علمی آن نادرست شمرده و اظهار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ممکن است کسی که معتقد به صدق قرآن و اعجاز انبیاء علیهم السلام است، زبان به چنین چرندهایی بیالاید و به خود اجازه دهد که نصوص و تصریحات این کتاب عزیز را بر این معانی سخیفه حمل نماید؟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از نظر وی، هیچ آیه و روایتی، بر خلقت آدم از حیوانات دیگر دلالت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در این صورت ترجیح نظریۀ تکامل، جرئت بر خدا و پیغمبر و اهل بیت علیهم السلام، به شمار می‌رود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همچنین با اشاره به ماجرای خلقت حضرت عیسی در قرآن، اظهار می‌دارد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آیۀ شریفه به جای اینکه دلالت بر تولد آدم از حیوانات بنماید، دلالت قطعی بر نفی آن دارد و در برابر آن، هر گونه اجتهاد و استنباطی باطل و هر گونه استحسان و استبعادی بی‌جاست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ایشان هر گونه تلاش در جهت اثبات نظریۀ تکامل به استناد آیات قرآن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توهمی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می‌داند که در جای خود به آن پاسخ داده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نظر 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چندین آیه برمی‌آید که نخستین فردی</w:t>
      </w:r>
    </w:p>
    <w:p>
      <w:pPr>
        <w:pStyle w:val="BookText"/>
        <w:rPr/>
      </w:pPr>
      <w:r>
        <w:rPr>
          <w:rFonts w:ascii="IRNazanin" w:hAnsi="IRNazanin" w:eastAsia="IRNazanin"/>
          <w:color w:val="111111"/>
          <w:sz w:val="28"/>
          <w:sz w:val="28"/>
          <w:szCs w:val="28"/>
          <w:rtl w:val="true"/>
          <w:lang w:bidi="fa-IR"/>
        </w:rPr>
        <w:t>که انسان و بشر نامیده شده، حضرت آدم است و آیاتی ناظر به خلقت آن حضرت در قرآن آمده است</w:t>
      </w:r>
      <w:r>
        <w:rPr>
          <w:rFonts w:eastAsia="IRNazanin" w:cs="IRNazanin"/>
          <w:color w:val="111111"/>
          <w:sz w:val="28"/>
          <w:szCs w:val="28"/>
          <w:rtl w:val="true"/>
          <w:lang w:bidi="fa-IR"/>
        </w:rPr>
        <w:t>».</w:t>
      </w:r>
      <w:r>
        <w:rPr>
          <w:rStyle w:val="FootnoteAnchor"/>
          <w:rtl w:val="true"/>
        </w:rPr>
        <w:footnoteReference w:id="27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341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با اشاره به آیۀ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اصْطَفَی آدَمَ وَ نُوحًا وَ آلَ إِبْرَاهِیمَ وَآلَ عِمْرَانَ عَلَی الْعَالَمِینَ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که از آن برای اثبات وجود انسان‌هایی پیش از آدم استفاده شده، مدعی می‌شود آیه چنین دلالتی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برعکس، آیاتی وجود دارد که می‌فرماید همۀ انسان‌های مخاطب قرآن، بالفعل و بالقوه از نسل حضرت آدم و همسر اویند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ایشان با تأکید بر مخالفت قرآن با این نظریه، به شرحی که قراملکی آورده، مدعی می‌شود، به فرض که این نظریه اثبات شود، باز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نمی‌توان در سخن قرآن مبنی بر اینکه خلقت انسان ثبوتی است، تردید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درصورتی‌که واقعاً این نظریه اثبات شود، در آن صورت باید گفت که خلقت انسان، متفاوت از سایر موجودات، به صورت دفعی و استثنایی و معجزه‌آسا بوده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آیت‌اللّه شعرانی نیز به مخالفت با نظریۀ تکاملی داروین پرداخت، اما نه به استناد آیات قرآنی، بلکه عمدتاً از منظری فلسفی، و با نقد دلایل و شواهد این نظریه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رسالۀ فلسفۀ اولی یا مابعدالطبیعه شاخه‌های این عرصه را معرفی می‌کند و به‌تناسب، به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الانواع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می‌پردازد و در آن، دیدگاه داروینی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مذهب تحول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مذهب مخالف آن، یعنی ثبات انواع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فیکسیسم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معرفی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مقام، اصول اصلی نظریۀ داروین را این‌گونه برمی‌شمارد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طبیعت، تنازع برای بقا، تأثیر محیط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نوشتۀ وی</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معنای تأثیر محیط آن است که اعضا و صفات حیوانات و نباتات، مناسب با مکان و هوا و اوضاع اطراف آن‌ها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سردسیر، اگر دو حیوان باشد یکی با پشم و کرک و یکی برهنه، دومی در نتیجۀ سرما تلف می‌شود و آنکه کرک دارد، باقی 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مطالب و مطالب دیگری که در</w:t>
      </w:r>
      <w:bookmarkStart w:id="280" w:name="pg14517_146306"/>
    </w:p>
    <w:p>
      <w:pPr>
        <w:pStyle w:val="BookText"/>
        <w:rPr/>
      </w:pPr>
      <w:bookmarkEnd w:id="280"/>
      <w:r>
        <w:rPr>
          <w:rFonts w:ascii="IRNazanin" w:hAnsi="IRNazanin" w:eastAsia="IRNazanin"/>
          <w:color w:val="111111"/>
          <w:sz w:val="28"/>
          <w:sz w:val="28"/>
          <w:szCs w:val="28"/>
          <w:rtl w:val="true"/>
          <w:lang w:bidi="fa-IR"/>
        </w:rPr>
        <w:t xml:space="preserve">خود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انواع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کرده یا اصلاً صحیح نیست و یا صحیح است، ولی ارتباط به مقصد او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تنازع برای بقا صحیح است؛ یعنی در مرتعی که می‌تواند پنج گاو چرا کند، اگر صد گاو موجود باشد، البته تمام آن‌ها باقی نخواهند ماند و اگر در منازعه، تمام تلف نشوند، پنج گاو باقی 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 دلیل نمی‌شود که نوع گاو مبدل به نوع دیگری خواهد شد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اما ارثی شدن صفات عارضه صحیح نیست؛ زیرا که به تجربه برای ما معلوم شده که وقتی باغبان‌ها در پرورش گل و نباتات مواظبت نکنند، دو مرتبه به حال اول برگشته، برّی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طبیعت موالید تمایل به ثبات دارد نه به تحول و نیز از اشخاص صحیح‌الخلقه، ناقص متولد می‌شود و بالعکس؛ و دیگر اینکه ختنه بعد از سالیان بسیار، در اطفال مسلمین و یهودْ ارثی نشده است</w:t>
      </w:r>
      <w:r>
        <w:rPr>
          <w:rFonts w:eastAsia="IRNazanin" w:cs="IRNazanin"/>
          <w:color w:val="111111"/>
          <w:sz w:val="28"/>
          <w:szCs w:val="28"/>
          <w:rtl w:val="true"/>
          <w:lang w:bidi="fa-IR"/>
        </w:rPr>
        <w:t>.</w:t>
      </w:r>
      <w:r>
        <w:rPr>
          <w:rStyle w:val="FootnoteAnchor"/>
          <w:rtl w:val="true"/>
        </w:rPr>
        <w:footnoteReference w:id="27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فلسفه اولی یا مابعدالطبیعه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فرزانه ناشناخته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یادنامه علامه ابوالحسن شعرانی، </w:t>
      </w:r>
      <w:r>
        <w:rPr>
          <w:rFonts w:eastAsia="IRNazanin" w:cs="IRNazanin"/>
          <w:color w:val="111111"/>
          <w:sz w:val="28"/>
          <w:szCs w:val="28"/>
          <w:lang w:bidi="fa-IR"/>
        </w:rPr>
        <w:t>393</w:t>
      </w:r>
      <w:r>
        <w:rPr>
          <w:rFonts w:eastAsia="IRNazanin" w:cs="IRNazanin"/>
          <w:color w:val="111111"/>
          <w:sz w:val="28"/>
          <w:szCs w:val="28"/>
          <w:rtl w:val="true"/>
          <w:lang w:bidi="fa-IR"/>
        </w:rPr>
        <w:t>-</w:t>
      </w:r>
      <w:r>
        <w:rPr>
          <w:rFonts w:eastAsia="IRNazanin" w:cs="IRNazanin"/>
          <w:color w:val="111111"/>
          <w:sz w:val="28"/>
          <w:szCs w:val="28"/>
          <w:lang w:bidi="fa-IR"/>
        </w:rPr>
        <w:t>394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ایشان بر ضد شواهد فسیلی که به سود نظریۀ تکامل آورده شده است، استدلالی می‌کند که نشان می‌دهد ظاهراً ایشان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استنتاج بر اساس بهترین تبیین</w:t>
      </w:r>
      <w:r>
        <w:rPr>
          <w:rFonts w:eastAsia="IRNazanin" w:cs="IRNazanin"/>
          <w:color w:val="111111"/>
          <w:sz w:val="28"/>
          <w:szCs w:val="28"/>
          <w:rtl w:val="true"/>
          <w:lang w:bidi="fa-IR"/>
        </w:rPr>
        <w:t>»</w:t>
      </w:r>
      <w:r>
        <w:rPr>
          <w:rStyle w:val="FootnoteAnchor"/>
          <w:rtl w:val="true"/>
        </w:rPr>
        <w:footnoteReference w:id="278"/>
      </w:r>
      <w:r>
        <w:rPr>
          <w:rFonts w:ascii="IRNazanin" w:hAnsi="IRNazanin" w:eastAsia="IRNazanin"/>
          <w:color w:val="111111"/>
          <w:sz w:val="28"/>
          <w:sz w:val="28"/>
          <w:szCs w:val="28"/>
          <w:rtl w:val="true"/>
          <w:lang w:bidi="fa-IR"/>
        </w:rPr>
        <w:t>که برای اثبات نظریات کلان بسیار به کار می‌رود، آشنایی دقیقی نداشته‌اند؛ لذا از طرح نقد و تحلیل آن می‌گذرم</w:t>
      </w:r>
      <w:r>
        <w:rPr>
          <w:rFonts w:eastAsia="IRNazanin" w:cs="IRNazanin"/>
          <w:color w:val="111111"/>
          <w:sz w:val="28"/>
          <w:szCs w:val="28"/>
          <w:rtl w:val="true"/>
          <w:lang w:bidi="fa-IR"/>
        </w:rPr>
        <w:t>.</w:t>
      </w:r>
    </w:p>
    <w:p>
      <w:pPr>
        <w:pStyle w:val="Heading4"/>
        <w:numPr>
          <w:ilvl w:val="3"/>
          <w:numId w:val="1"/>
        </w:numPr>
        <w:rPr/>
      </w:pPr>
      <w:bookmarkStart w:id="281" w:name="__RefHeading___Toc39804_1878427129"/>
      <w:bookmarkStart w:id="282" w:name="_Toc104"/>
      <w:bookmarkEnd w:id="281"/>
      <w:r>
        <w:rPr/>
        <w:t>7.2</w:t>
      </w:r>
      <w:r>
        <w:rPr>
          <w:rtl w:val="true"/>
        </w:rPr>
        <w:t xml:space="preserve">. </w:t>
      </w:r>
      <w:r>
        <w:rPr>
          <w:rtl w:val="true"/>
        </w:rPr>
        <w:t>موافقت قرآن با نظریۀ تکاملی داروین</w:t>
      </w:r>
      <w:bookmarkEnd w:id="282"/>
    </w:p>
    <w:p>
      <w:pPr>
        <w:pStyle w:val="BookText"/>
        <w:rPr/>
      </w:pPr>
      <w:r>
        <w:rPr>
          <w:rFonts w:ascii="IRNazanin" w:hAnsi="IRNazanin" w:eastAsia="IRNazanin"/>
          <w:color w:val="111111"/>
          <w:sz w:val="28"/>
          <w:sz w:val="28"/>
          <w:szCs w:val="28"/>
          <w:rtl w:val="true"/>
          <w:lang w:bidi="fa-IR"/>
        </w:rPr>
        <w:t>در برابر جریان نسبتاً مسلطی که اعتقاد داشت نظریۀ تکاملی داروین، با آیات قرآن ناسازگار است یا دست‌کم نمی‌توان از قرآن شواهد نیرومندی به سود این نظریه فراهم کرد، عده‌ای از متدینان بر این باور بودند که قرآن مؤید این نظریه است</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نخستین کسی که از اردوگاه دین برای تأیید نظریۀ تکامل از قرآن یاری گرفت و کوشید نظر خود را مدلل کند، یداللّه سحابی </w:t>
      </w:r>
      <w:r>
        <w:rPr>
          <w:rFonts w:eastAsia="IRNazanin" w:cs="IRNazanin"/>
          <w:color w:val="111111"/>
          <w:sz w:val="28"/>
          <w:szCs w:val="28"/>
          <w:rtl w:val="true"/>
          <w:lang w:bidi="fa-IR"/>
        </w:rPr>
        <w:t>(</w:t>
      </w:r>
      <w:r>
        <w:rPr>
          <w:rFonts w:eastAsia="IRNazanin" w:cs="IRNazanin"/>
          <w:color w:val="111111"/>
          <w:sz w:val="28"/>
          <w:szCs w:val="28"/>
          <w:lang w:bidi="fa-IR"/>
        </w:rPr>
        <w:t>1284</w:t>
      </w:r>
      <w:r>
        <w:rPr>
          <w:rFonts w:eastAsia="IRNazanin" w:cs="IRNazanin"/>
          <w:color w:val="111111"/>
          <w:sz w:val="28"/>
          <w:szCs w:val="28"/>
          <w:rtl w:val="true"/>
          <w:lang w:bidi="fa-IR"/>
        </w:rPr>
        <w:t>-</w:t>
      </w:r>
      <w:r>
        <w:rPr>
          <w:rFonts w:eastAsia="IRNazanin" w:cs="IRNazanin"/>
          <w:color w:val="111111"/>
          <w:sz w:val="28"/>
          <w:szCs w:val="28"/>
          <w:lang w:bidi="fa-IR"/>
        </w:rPr>
        <w:t>1381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استاد زمین‌شناسی،</w:t>
      </w:r>
    </w:p>
    <w:p>
      <w:pPr>
        <w:pStyle w:val="BookText"/>
        <w:rPr/>
      </w:pPr>
      <w:r>
        <w:rPr>
          <w:rFonts w:ascii="IRNazanin" w:hAnsi="IRNazanin" w:eastAsia="IRNazanin"/>
          <w:color w:val="111111"/>
          <w:sz w:val="28"/>
          <w:sz w:val="28"/>
          <w:szCs w:val="28"/>
          <w:rtl w:val="true"/>
          <w:lang w:bidi="fa-IR"/>
        </w:rPr>
        <w:t>بود که مطالعاتی گسترده در زیست‌شناسی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از همان آغاز با این نگرش که این نظریه به زیان دین است مخالفت می‌کرد و حتی در سال </w:t>
      </w:r>
      <w:r>
        <w:rPr>
          <w:rFonts w:eastAsia="IRNazanin" w:cs="IRNazanin"/>
          <w:color w:val="111111"/>
          <w:sz w:val="28"/>
          <w:szCs w:val="28"/>
          <w:lang w:bidi="fa-IR"/>
        </w:rPr>
        <w:t>1351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دبیرستان کمال نارمک در تهران، درس تکامل می‌داد و از آن دفاع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نگرش، وی نخستین کتاب فارسی در تبیین و دفاع از نظریۀ تکاملی داروین را به نام خلقت انسان در سال </w:t>
      </w:r>
      <w:r>
        <w:rPr>
          <w:rFonts w:eastAsia="IRNazanin" w:cs="IRNazanin"/>
          <w:color w:val="111111"/>
          <w:sz w:val="28"/>
          <w:szCs w:val="28"/>
          <w:lang w:bidi="fa-IR"/>
        </w:rPr>
        <w:t>1346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موافقان و مخالفانی داشت و عالمان دین، کتاب‌های متعددی در نقد یا تبیین آن نوشتند؛ از جمله، همان‌گونه که اشاره شد، طباطبایی در تفسیر المیزان آن را نقد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سحابی نیز مجدداً به آن نقد پاسخ داد و به‌تدریج طی چهل سال این کتاب تفصیل یافت و در شکل نهایی خود با نام قرآن مجید، تکامل و خلقت انسان در سال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سحابی پژواک گسترده‌ای داشت و تا سال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سیزده بار چاپ و </w:t>
      </w:r>
      <w:r>
        <w:rPr>
          <w:rFonts w:eastAsia="IRNazanin" w:cs="IRNazanin"/>
          <w:color w:val="111111"/>
          <w:sz w:val="28"/>
          <w:szCs w:val="28"/>
          <w:lang w:bidi="fa-IR"/>
        </w:rPr>
        <w:t>125000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از آن منتشر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اخیر در واقع شامل چند کتاب کوچک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 کتابچۀ قرآن مجید و تکامل موجودات زنده که در سال </w:t>
      </w:r>
      <w:r>
        <w:rPr>
          <w:rFonts w:eastAsia="IRNazanin" w:cs="IRNazanin"/>
          <w:color w:val="111111"/>
          <w:sz w:val="28"/>
          <w:szCs w:val="28"/>
          <w:lang w:bidi="fa-IR"/>
        </w:rPr>
        <w:t>1344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 کتاب خلقت انسان که در زندان قصر و برازجان نوشته و در سال </w:t>
      </w:r>
      <w:r>
        <w:rPr>
          <w:rFonts w:eastAsia="IRNazanin" w:cs="IRNazanin"/>
          <w:color w:val="111111"/>
          <w:sz w:val="28"/>
          <w:szCs w:val="28"/>
          <w:lang w:bidi="fa-IR"/>
        </w:rPr>
        <w:t>1346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سومین اثر، خلقت انسان در بیان قرآن نام دارد که در سال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مانند خلقت انسان است، اما منحصراً بحثی قرآنی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چهارمین بخش کتاب، جوهر نسخ در طبیعت و قرآن نام دارد که در بستر بیماری، به هاله سحابی القا و نوشته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نظر سحابی، دینداران عمدتاً به دو دلیل با نظریۀ تکاملی داروین مخالفت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خویشاوندیِ انسان و میمون را دون شأن وی می‌دانند؛ و دوم آنکه از این نظریه بر ضد خداباوری استفاده شده است</w:t>
      </w:r>
      <w:r>
        <w:rPr>
          <w:rFonts w:eastAsia="IRNazanin" w:cs="IRNazanin"/>
          <w:color w:val="111111"/>
          <w:sz w:val="28"/>
          <w:szCs w:val="28"/>
          <w:rtl w:val="true"/>
          <w:lang w:bidi="fa-IR"/>
        </w:rPr>
        <w:t>.</w:t>
      </w:r>
      <w:r>
        <w:rPr>
          <w:rStyle w:val="FootnoteAnchor"/>
          <w:rtl w:val="true"/>
        </w:rPr>
        <w:footnoteReference w:id="27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مجید، تکامل و خلقت انسان، ص </w:t>
      </w:r>
      <w:r>
        <w:rPr>
          <w:rFonts w:eastAsia="IRNazanin" w:cs="IRNazanin"/>
          <w:color w:val="111111"/>
          <w:sz w:val="28"/>
          <w:szCs w:val="28"/>
          <w:lang w:bidi="fa-IR"/>
        </w:rPr>
        <w:t>73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نویسنده نخست بحثی زیست‌شناختی دربارۀ تکامل تدریجی موجودات زنده به دست می‌دهد، آنگاه می‌افزاید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نویسندگان اسلامی نیز به بنا به سوابق ذهنی که ندانسته از تلقین اسرائیلیات داشته‌اند، راجع به خلقت انسان همان اساطیر قدیمی را تکرار کرده‌اند</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مفسران نیز بدون مطالعه و تأمل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نوع انسان را از نسل آدم، و آدم را هم مخلوقی</w:t>
      </w:r>
    </w:p>
    <w:p>
      <w:pPr>
        <w:pStyle w:val="BookText"/>
        <w:rPr/>
      </w:pPr>
      <w:r>
        <w:rPr>
          <w:rFonts w:ascii="IRNazanin" w:hAnsi="IRNazanin" w:eastAsia="IRNazanin"/>
          <w:color w:val="111111"/>
          <w:sz w:val="28"/>
          <w:sz w:val="28"/>
          <w:szCs w:val="28"/>
          <w:rtl w:val="true"/>
          <w:lang w:bidi="fa-IR"/>
        </w:rPr>
        <w:t>مستقل و جدا از همۀ ذوی‌الحیات دانسته‌اند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8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160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 آنکه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تکامل تدریجی و پیوستگی موجودات زنده، یکی از مواردی است که دربارۀ آن هیچ اختلاف و تناقضی میان بیان قرآن و مراتب قطعیِ علمی امروز وجود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افزون بر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متعددی از قرآن، پیوستگی موجودات زنده را تا انسان متذکر شده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بعضی از این آیات به تکامل تدریجی موجودات تا انسان و سپس به آدم و بنی‌آدم اشاره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در نقد سحابی گفته بودند که کتاب خلقت انسان را در دفاع از نظریۀ تکاملی داروین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پاسخ می‌دهد داروین نیز فقط یکی از مدافعان نظریۀ تکامل تدریجی حیوانات بود، نه آنکه خودْ فرد اول در این راه بوده باشد؛ بلکه پیش از او نیز از سوی برخی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دانشمندان قدیم اسلام این نظریه اظهار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کجا معلوم که داروین، نظریۀ خود را از آنان نگرفته و آن را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تجربه تلفیق ننموده باشد</w:t>
      </w:r>
      <w:r>
        <w:rPr>
          <w:rFonts w:eastAsia="IRNazanin" w:cs="IRNazanin"/>
          <w:color w:val="111111"/>
          <w:sz w:val="28"/>
          <w:szCs w:val="28"/>
          <w:rtl w:val="true"/>
          <w:lang w:bidi="fa-IR"/>
        </w:rPr>
        <w:t>».</w:t>
      </w:r>
      <w:r>
        <w:rPr>
          <w:rStyle w:val="FootnoteAnchor"/>
          <w:rtl w:val="true"/>
        </w:rPr>
        <w:footnoteReference w:id="281"/>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سحابی اصل تکامل را می‌پذیرد، اما بحث تنازع بقا و شجرۀ نسلی را که داروین پیشنهاد می‌کند، قابل مناقشه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هدف کتاب سحابی، به نوشتۀ خودش، اثبات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پیوستگی و اتصالی است که در کلیۀ مخلوقات الهی وجود دارد و خلقت انسان هم از این اصل و قاعده خارج نمی‌باشد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خلقت تدریجی موجودات و پیوستگی و تکامل آن‌ها از اصول مسلّمۀ نظام کائنات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الهام‌بخش این نظریه نیز خودِ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وی، با مرور قرآن در بحث خلقت، به دو اصل کلی می‌رسیم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یکی پیوستگی تمام سلسلۀ موجودات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تکامل آن‌هاست؛ و دیگری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برگزیدگی آدم از میان انسان‌هاست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دارای استعداد دریافت تعلیمات خاص الهی می‌شود</w:t>
      </w:r>
      <w:r>
        <w:rPr>
          <w:rFonts w:eastAsia="IRNazanin" w:cs="IRNazanin"/>
          <w:color w:val="111111"/>
          <w:sz w:val="28"/>
          <w:szCs w:val="28"/>
          <w:rtl w:val="true"/>
          <w:lang w:bidi="fa-IR"/>
        </w:rPr>
        <w:t>.</w:t>
      </w:r>
      <w:r>
        <w:rPr>
          <w:rStyle w:val="FootnoteAnchor"/>
          <w:rtl w:val="true"/>
        </w:rPr>
        <w:footnoteReference w:id="282"/>
      </w:r>
      <w:r>
        <w:rPr>
          <w:rFonts w:ascii="IRNazanin" w:hAnsi="IRNazanin" w:eastAsia="IRNazanin"/>
          <w:color w:val="111111"/>
          <w:sz w:val="28"/>
          <w:sz w:val="28"/>
          <w:szCs w:val="28"/>
          <w:rtl w:val="true"/>
          <w:lang w:bidi="fa-IR"/>
        </w:rPr>
        <w:t xml:space="preserve">از این منظر، ادعا می‌شود آیات بسیاری دلالت بر خلقت تدریجی بشر دارد، اما برخی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تبعیت از سوابق ذهنی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سوابقی که خالی از تأثیر مجعولات و اسرائیلیات نبوده</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خلقت آدم را بدون سابقه و مجسمه‌وار از گل و خاک و سپس دمیدن روح زندگی در آن دانسته و او را اولین بشر یا ابوالبشر می‌دانند</w:t>
      </w:r>
      <w:r>
        <w:rPr>
          <w:rFonts w:eastAsia="IRNazanin" w:cs="IRNazanin"/>
          <w:color w:val="111111"/>
          <w:sz w:val="28"/>
          <w:szCs w:val="28"/>
          <w:rtl w:val="true"/>
          <w:lang w:bidi="fa-IR"/>
        </w:rPr>
        <w:t>».</w:t>
      </w:r>
      <w:r>
        <w:rPr>
          <w:rStyle w:val="FootnoteAnchor"/>
          <w:rtl w:val="true"/>
        </w:rPr>
        <w:footnoteReference w:id="283"/>
      </w:r>
    </w:p>
    <w:p>
      <w:pPr>
        <w:pStyle w:val="BookText"/>
        <w:rPr/>
      </w:pP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248</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علامه طباطبایی در نقد سحابی نوشته بود شواهد اقامه‌شده، از اثبات نظریۀ تکامل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عاجز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سحابی پاسخ می‌دهد برعکس، شواهدْ فوق‌العاده فراوان و متعدد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افزون بر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به فرض محال، شواهد علوم زیستی و زمین‌شناسی در اثبات مسئله تکامل و انشعاب تدریجی موجودات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کافی نباشد، باز به کار سحابی که صرفاً مستند به آیات قرآنی است خدشه‌ای نمی‌زند</w:t>
      </w:r>
      <w:r>
        <w:rPr>
          <w:rFonts w:eastAsia="IRNazanin" w:cs="IRNazanin"/>
          <w:color w:val="111111"/>
          <w:sz w:val="28"/>
          <w:szCs w:val="28"/>
          <w:rtl w:val="true"/>
          <w:lang w:bidi="fa-IR"/>
        </w:rPr>
        <w:t>.</w:t>
      </w:r>
      <w:r>
        <w:rPr>
          <w:rStyle w:val="FootnoteAnchor"/>
          <w:rtl w:val="true"/>
        </w:rPr>
        <w:footnoteReference w:id="284"/>
      </w:r>
      <w:r>
        <w:rPr>
          <w:rFonts w:ascii="IRNazanin" w:hAnsi="IRNazanin" w:eastAsia="IRNazanin"/>
          <w:color w:val="111111"/>
          <w:sz w:val="28"/>
          <w:sz w:val="28"/>
          <w:szCs w:val="28"/>
          <w:rtl w:val="true"/>
          <w:lang w:bidi="fa-IR"/>
        </w:rPr>
        <w:t xml:space="preserve">به نظر سحابی، حقایق علمی دربارۀ آفرینش و تکامل تدریجی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موجودات و پیوستگی جسمی آن‌ها تا انسان، با مندرجات موجود تورات هیچ مطابقتی ندارد؛ ولی با تصریحات قرآن، با وجود تعبیرهای مغایری که تا کنون از آن نموده‌اند، انطباق کامل دارد</w:t>
      </w:r>
      <w:r>
        <w:rPr>
          <w:rFonts w:eastAsia="IRNazanin" w:cs="IRNazanin"/>
          <w:color w:val="111111"/>
          <w:sz w:val="28"/>
          <w:szCs w:val="28"/>
          <w:rtl w:val="true"/>
          <w:lang w:bidi="fa-IR"/>
        </w:rPr>
        <w:t>».</w:t>
      </w:r>
      <w:r>
        <w:rPr>
          <w:rStyle w:val="FootnoteAnchor"/>
          <w:rtl w:val="true"/>
        </w:rPr>
        <w:footnoteReference w:id="285"/>
      </w:r>
      <w:r>
        <w:rPr>
          <w:rFonts w:ascii="IRNazanin" w:hAnsi="IRNazanin" w:eastAsia="IRNazanin"/>
          <w:color w:val="111111"/>
          <w:sz w:val="28"/>
          <w:sz w:val="28"/>
          <w:szCs w:val="28"/>
          <w:rtl w:val="true"/>
          <w:lang w:bidi="fa-IR"/>
        </w:rPr>
        <w:t xml:space="preserve">لذا، اگر ما مسلمانان همسو با تورات نظریۀ تکاملی را انکار 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مهر باطله‌ای است که بر حقانیت دین خود می‌زنیم و حربۀ بزرگی است که به دشمنان خدا و معاندان دین می‌دهیم تا اصولاً مذهب را مانع علمی و فکر و یا تریاک جامعه معرفی کنند</w:t>
      </w:r>
      <w:r>
        <w:rPr>
          <w:rFonts w:eastAsia="IRNazanin" w:cs="IRNazanin"/>
          <w:color w:val="111111"/>
          <w:sz w:val="28"/>
          <w:szCs w:val="28"/>
          <w:rtl w:val="true"/>
          <w:lang w:bidi="fa-IR"/>
        </w:rPr>
        <w:t>».</w:t>
      </w:r>
      <w:r>
        <w:rPr>
          <w:rStyle w:val="FootnoteAnchor"/>
          <w:rtl w:val="true"/>
        </w:rPr>
        <w:footnoteReference w:id="286"/>
      </w:r>
      <w:r>
        <w:rPr>
          <w:rFonts w:ascii="IRNazanin" w:hAnsi="IRNazanin" w:eastAsia="IRNazanin"/>
          <w:color w:val="111111"/>
          <w:sz w:val="28"/>
          <w:sz w:val="28"/>
          <w:szCs w:val="28"/>
          <w:rtl w:val="true"/>
          <w:lang w:bidi="fa-IR"/>
        </w:rPr>
        <w:t>با این رویکرد، وی سه مرحله برای خلقت نام می‌برد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مقدمات خلقت از پیدایش حیات تا آمادگی برای اولین انسان؛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تحول جسمی در طول نسل‌ها، تا آنکه انسان آمادگی رشد معنوی پیدا کند؛ 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پیدایش انسان برگزیده و مسجود ملائکه</w:t>
      </w:r>
      <w:r>
        <w:rPr>
          <w:rFonts w:eastAsia="IRNazanin" w:cs="IRNazanin"/>
          <w:color w:val="111111"/>
          <w:sz w:val="28"/>
          <w:szCs w:val="28"/>
          <w:rtl w:val="true"/>
          <w:lang w:bidi="fa-IR"/>
        </w:rPr>
        <w:t>.</w:t>
      </w:r>
      <w:r>
        <w:rPr>
          <w:rStyle w:val="FootnoteAnchor"/>
          <w:rtl w:val="true"/>
        </w:rPr>
        <w:footnoteReference w:id="287"/>
      </w:r>
      <w:r>
        <w:rPr>
          <w:rFonts w:ascii="IRNazanin" w:hAnsi="IRNazanin" w:eastAsia="IRNazanin"/>
          <w:color w:val="111111"/>
          <w:sz w:val="28"/>
          <w:sz w:val="28"/>
          <w:szCs w:val="28"/>
          <w:rtl w:val="true"/>
          <w:lang w:bidi="fa-IR"/>
        </w:rPr>
        <w:t>وی به یاری آیات متعدد قرآن به نتایجی می‌رسد از جمله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آفرینش انسان بدون سابقه و به طور دفعی و فوری صورت نگرفته است، بلکه به مانند شئون دیگر از خلقت کائنات، تدریجاً و با تمهید مقدمات به وقوع پیوسته است</w:t>
      </w:r>
      <w:r>
        <w:rPr>
          <w:rFonts w:eastAsia="IRNazanin" w:cs="IRNazanin"/>
          <w:color w:val="111111"/>
          <w:sz w:val="28"/>
          <w:szCs w:val="28"/>
          <w:rtl w:val="true"/>
          <w:lang w:bidi="fa-IR"/>
        </w:rPr>
        <w:t>».</w:t>
      </w:r>
      <w:r>
        <w:rPr>
          <w:rStyle w:val="FootnoteAnchor"/>
          <w:rtl w:val="true"/>
        </w:rPr>
        <w:footnoteReference w:id="288"/>
      </w:r>
      <w:r>
        <w:rPr>
          <w:rFonts w:ascii="IRNazanin" w:hAnsi="IRNazanin" w:eastAsia="IRNazanin"/>
          <w:color w:val="111111"/>
          <w:sz w:val="28"/>
          <w:sz w:val="28"/>
          <w:szCs w:val="28"/>
          <w:rtl w:val="true"/>
          <w:lang w:bidi="fa-IR"/>
        </w:rPr>
        <w:t xml:space="preserve">افزون بر آن، خلقت انسان زادۀ تکامل تدریجی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سایر موجودات است و انسان سرآمد خلقت تمامی موجودات زنده می‌باشد</w:t>
      </w:r>
      <w:r>
        <w:rPr>
          <w:rFonts w:eastAsia="IRNazanin" w:cs="IRNazanin"/>
          <w:color w:val="111111"/>
          <w:sz w:val="28"/>
          <w:szCs w:val="28"/>
          <w:rtl w:val="true"/>
          <w:lang w:bidi="fa-IR"/>
        </w:rPr>
        <w:t>».</w:t>
      </w:r>
      <w:r>
        <w:rPr>
          <w:rStyle w:val="FootnoteAnchor"/>
          <w:rtl w:val="true"/>
        </w:rPr>
        <w:footnoteReference w:id="289"/>
      </w:r>
      <w:r>
        <w:rPr>
          <w:rFonts w:ascii="IRNazanin" w:hAnsi="IRNazanin" w:eastAsia="IRNazanin"/>
          <w:color w:val="111111"/>
          <w:sz w:val="28"/>
          <w:sz w:val="28"/>
          <w:szCs w:val="28"/>
          <w:rtl w:val="true"/>
          <w:lang w:bidi="fa-IR"/>
        </w:rPr>
        <w:t>درست در برابر کسانی که بر خلقت خاص و یگانۀ</w:t>
      </w:r>
      <w:bookmarkStart w:id="283" w:name="pg14517_146310"/>
    </w:p>
    <w:p>
      <w:pPr>
        <w:pStyle w:val="BookText"/>
        <w:rPr/>
      </w:pPr>
      <w:bookmarkEnd w:id="283"/>
      <w:r>
        <w:rPr>
          <w:rFonts w:ascii="IRNazanin" w:hAnsi="IRNazanin" w:eastAsia="IRNazanin"/>
          <w:color w:val="111111"/>
          <w:sz w:val="28"/>
          <w:sz w:val="28"/>
          <w:szCs w:val="28"/>
          <w:rtl w:val="true"/>
          <w:lang w:bidi="fa-IR"/>
        </w:rPr>
        <w:t>انسان تأکید می‌کردند، سحابی قاطعانه اظهار می‌دارد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قرآن پیوستگی موجودات و تکامل آن‌ها تا انسان را به عنوان یکی از نوامیس مسلّمۀ آفرینش متذکر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نکته را به بیان‌های گوناگون در آیات آورده است</w:t>
      </w:r>
      <w:r>
        <w:rPr>
          <w:rFonts w:eastAsia="IRNazanin" w:cs="IRNazanin"/>
          <w:color w:val="111111"/>
          <w:sz w:val="28"/>
          <w:szCs w:val="28"/>
          <w:rtl w:val="true"/>
          <w:lang w:bidi="fa-IR"/>
        </w:rPr>
        <w:t>.</w:t>
      </w:r>
      <w:r>
        <w:rPr>
          <w:rStyle w:val="FootnoteAnchor"/>
          <w:rtl w:val="true"/>
        </w:rPr>
        <w:footnoteReference w:id="29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367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این تصریحات قرآنی، نفی اصل تکامل تدریجی،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به‌هیچ‌وجه قابل قبول نمی‌باشد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اگر در میان مفسران، شاهد تصریح به خلقت خاص و دفعی انسان هستیم، نتیجۀ تلقین ذهنی و اثرپذیری از مندرجات تورات بوده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بدین ترتیب، وی نه تنها قرآن را موافق نظریۀ تکامل می‌داند، از تصریحات قرآنی در این میان یاد می‌کند و سنت تکامل تدریجی همۀ موجودات زنده، از جمله انسان را از قوانین و سنن عام الهی می‌داند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Heading4"/>
        <w:numPr>
          <w:ilvl w:val="3"/>
          <w:numId w:val="1"/>
        </w:numPr>
        <w:rPr/>
      </w:pPr>
      <w:bookmarkStart w:id="284" w:name="__RefHeading___Toc39806_1878427129"/>
      <w:bookmarkStart w:id="285" w:name="_Toc105"/>
      <w:bookmarkEnd w:id="284"/>
      <w:r>
        <w:rPr/>
        <w:t>7.3</w:t>
      </w:r>
      <w:r>
        <w:rPr>
          <w:rtl w:val="true"/>
        </w:rPr>
        <w:t xml:space="preserve">. </w:t>
      </w:r>
      <w:r>
        <w:rPr>
          <w:rtl w:val="true"/>
        </w:rPr>
        <w:t>سکوت قرآن در قبال نظریۀ تکاملی داروین</w:t>
      </w:r>
      <w:bookmarkEnd w:id="285"/>
    </w:p>
    <w:p>
      <w:pPr>
        <w:pStyle w:val="BookText"/>
        <w:rPr/>
      </w:pPr>
      <w:r>
        <w:rPr>
          <w:rFonts w:ascii="IRNazanin" w:hAnsi="IRNazanin" w:eastAsia="IRNazanin"/>
          <w:color w:val="111111"/>
          <w:sz w:val="28"/>
          <w:sz w:val="28"/>
          <w:szCs w:val="28"/>
          <w:rtl w:val="true"/>
          <w:lang w:bidi="fa-IR"/>
        </w:rPr>
        <w:t>برخی عالمان دین کوشیده‌اند از موضع‌گیری در قبال این نظریه و اثبات مطابقت یا مخالفت آیات قرآن با نظریۀ تکامل فراتر روند و اساساً این سنخ بحث کردن را نادرست نشان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منظر، گاه ادعا می‌شود زبان قرآن، نمادین با زبان نص‌گرای علم متفاوت است؛ از این رو نباید در قرآن در پی کشف نظریات علمی برآمد یا نظریات علمی و موجود را بر اساس آیات قرآن سنجید و پذیرفت یا رد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نیز گفته می‌شود آیات قرآن، تاب هر دو دیدگاه را دارد و نباید نظر خود را بر قرآن تحمیل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بخش، دیدگاه دو نفر از این عالمان، یعنی مطهری و مشکینی بررسی می‌شود</w:t>
      </w:r>
      <w:r>
        <w:rPr>
          <w:rFonts w:eastAsia="IRNazanin" w:cs="IRNazanin"/>
          <w:color w:val="111111"/>
          <w:sz w:val="28"/>
          <w:szCs w:val="28"/>
          <w:rtl w:val="true"/>
          <w:lang w:bidi="fa-IR"/>
        </w:rPr>
        <w:t>.</w:t>
      </w:r>
    </w:p>
    <w:p>
      <w:pPr>
        <w:pStyle w:val="Heading4"/>
        <w:numPr>
          <w:ilvl w:val="3"/>
          <w:numId w:val="1"/>
        </w:numPr>
        <w:rPr/>
      </w:pPr>
      <w:bookmarkStart w:id="286" w:name="__RefHeading___Toc39808_1878427129"/>
      <w:bookmarkStart w:id="287" w:name="_Toc106"/>
      <w:bookmarkEnd w:id="286"/>
      <w:r>
        <w:rPr>
          <w:rtl w:val="true"/>
        </w:rPr>
        <w:t>رهیافت فلسفی مطهری</w:t>
      </w:r>
      <w:bookmarkEnd w:id="287"/>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آیت‌اللّه مرتضی مطهری، با مرور دیدگاه‌ها و روش‌های دیگر، متوجه کاستی آن‌ها شده و راه دیگری پیموده است که در آن اساساً فرض تعارض میان محتوای این</w:t>
      </w:r>
    </w:p>
    <w:p>
      <w:pPr>
        <w:pStyle w:val="BookText"/>
        <w:rPr/>
      </w:pPr>
      <w:r>
        <w:rPr>
          <w:rFonts w:ascii="IRNazanin" w:hAnsi="IRNazanin" w:eastAsia="IRNazanin"/>
          <w:color w:val="111111"/>
          <w:sz w:val="28"/>
          <w:sz w:val="28"/>
          <w:szCs w:val="28"/>
          <w:rtl w:val="true"/>
          <w:lang w:bidi="fa-IR"/>
        </w:rPr>
        <w:t>نظریه با قرآن منتفی شده و حتی به شکلی ضمنی، از این نظریه حمایت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نظر او، داستان خلقت آدم سمبلیک است؛ در نتیجه، حداقل شرط تعارض سنخیت زبانی است که در اینجا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مطهری بر آن است که یکی از عوامل گرایش به مادی‌گری، توهم تضاد میان توحید و نظریۀ تکامل است؛ گویی لازمۀ خداپرستی اعتقاد به خلقت دفعی است</w:t>
      </w:r>
      <w:r>
        <w:rPr>
          <w:rFonts w:eastAsia="IRNazanin" w:cs="IRNazanin"/>
          <w:color w:val="111111"/>
          <w:sz w:val="28"/>
          <w:szCs w:val="28"/>
          <w:rtl w:val="true"/>
          <w:lang w:bidi="fa-IR"/>
        </w:rPr>
        <w:t>.</w:t>
      </w:r>
      <w:r>
        <w:rPr>
          <w:rStyle w:val="FootnoteAnchor"/>
          <w:rtl w:val="true"/>
        </w:rPr>
        <w:footnoteReference w:id="291"/>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علل گرایش به مادی‌گری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مجموعه آثار،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اگر قرآن را ملاک بدانیم، به نظر می‌رسد که زبان آن نمادین و رمزی باشد، به این معنا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داستان آدم را به صورت به‌اصطلاح سمبلیک طرح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مقصود آن نیست که شخصی به نام آدم نبوده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قرآن تنها از نظر مقام معنوی انسان و از نظر یک سلسله مسائل اخلاقی، داستان آدم را طرح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می‌توان اعتقاد به قرآن را با اعتقاد به نظریۀ تکامل جمع 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وانگهی به فرض که میان نظریۀ تکامل و نص کتب دینی تعارضی باشد، ضرورتاً از آن انکار خدا به دست نمی‌آید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برخی کتب دینی مخالف نظریۀ تکامل، و برخی موافق آن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می‌توان خدایی را پرستید بی‌آنکه به مذهبی معین التزام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 دیگر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ملازمه‌ای هست میان قبول نداشتن یک یا چند یا همۀ مذاهب و میان قبول نداشتن خدا؟</w:t>
      </w:r>
      <w:r>
        <w:rPr>
          <w:rFonts w:eastAsia="IRNazanin" w:cs="IRNazanin"/>
          <w:color w:val="111111"/>
          <w:sz w:val="28"/>
          <w:szCs w:val="28"/>
          <w:rtl w:val="true"/>
          <w:lang w:bidi="fa-IR"/>
        </w:rPr>
        <w:t>».</w:t>
      </w:r>
      <w:r>
        <w:rPr>
          <w:rStyle w:val="FootnoteAnchor"/>
          <w:rtl w:val="true"/>
        </w:rPr>
        <w:footnoteReference w:id="292"/>
      </w:r>
      <w:r>
        <w:rPr>
          <w:rFonts w:ascii="IRNazanin" w:hAnsi="IRNazanin" w:eastAsia="IRNazanin"/>
          <w:color w:val="111111"/>
          <w:sz w:val="28"/>
          <w:sz w:val="28"/>
          <w:szCs w:val="28"/>
          <w:rtl w:val="true"/>
          <w:lang w:bidi="fa-IR"/>
        </w:rPr>
        <w:t xml:space="preserve">به نظر ایشان، بر اثر ضعف دستگاه فلسفی غرب، عده‌ای نظریۀ تکامل را ضد دین دانسته‌اند و به جای آنکه الهیون از آن استفاده کنند، با آن مخالفت کرده‌اند؛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فرض کردند که تنها با دفعی‌الوجود بودن جهان است که جهان نیازمند به علت و پدیدآورنده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اگر بتوان تکامل جهان را تدریجی دانست، نیاز به خدا نیز منتفی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به نظر رسید که نظریۀ تکامل، طرح قبلی خلقت را نفی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توهم این‌گونه است که اگر خدایی باشد، باید طرحی پیشین داشته باشد و این طرح پیشین یعنی</w:t>
      </w:r>
    </w:p>
    <w:p>
      <w:pPr>
        <w:pStyle w:val="BookText"/>
        <w:rPr/>
      </w:pPr>
      <w:r>
        <w:rPr>
          <w:rFonts w:ascii="IRNazanin" w:hAnsi="IRNazanin" w:eastAsia="IRNazanin"/>
          <w:color w:val="111111"/>
          <w:sz w:val="28"/>
          <w:sz w:val="28"/>
          <w:szCs w:val="28"/>
          <w:rtl w:val="true"/>
          <w:lang w:bidi="fa-IR"/>
        </w:rPr>
        <w:t>دفعی بودن، و نبود هیچ گونه تصادفی در مسیر آفرینش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چون تصادف وجود دارد، پس طرحی پیشین در کار نیست و چون طرحی پیشین در کار نیست، پس خدایی نیست</w:t>
      </w:r>
      <w:r>
        <w:rPr>
          <w:rFonts w:eastAsia="IRNazanin" w:cs="IRNazanin"/>
          <w:color w:val="111111"/>
          <w:sz w:val="28"/>
          <w:szCs w:val="28"/>
          <w:rtl w:val="true"/>
          <w:lang w:bidi="fa-IR"/>
        </w:rPr>
        <w:t>.</w:t>
      </w:r>
      <w:r>
        <w:rPr>
          <w:rStyle w:val="FootnoteAnchor"/>
          <w:rtl w:val="true"/>
        </w:rPr>
        <w:footnoteReference w:id="29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518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مشیت را به معنای ارادۀ دفعی و آنی گرفته‌اند، حال آنکه مقصود از ارادۀ خدا آن است که کسی و چیزی مانع تحقق آن نشود، نه آنکه لزوماً دفعی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به نظر ایشان، تصادف دو معنا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معلول بی‌علت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نداریم؛ و دیگری نتیجۀ خلاف انتظار، مانند دیدن دوستی در مسیر قم پس از آنکه سال‌ها وی را ندیده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تصادف درواقع زادۀ جهل و علم اندک ماست و به این معنا وجود تصادف در مسیر خلقت هیچ منافاتی با طرح قبلی الهی و مشیت او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حاصل آنکه خداوند ممکن است اراده کرده باشد که به‌تدریج پدید آید</w:t>
      </w:r>
      <w:r>
        <w:rPr>
          <w:rFonts w:eastAsia="IRNazanin" w:cs="IRNazanin"/>
          <w:color w:val="111111"/>
          <w:sz w:val="28"/>
          <w:szCs w:val="28"/>
          <w:rtl w:val="true"/>
          <w:lang w:bidi="fa-IR"/>
        </w:rPr>
        <w:t>.</w:t>
      </w:r>
      <w:r>
        <w:rPr>
          <w:rStyle w:val="FootnoteAnchor"/>
          <w:rtl w:val="true"/>
        </w:rPr>
        <w:footnoteReference w:id="294"/>
      </w:r>
    </w:p>
    <w:p>
      <w:pPr>
        <w:pStyle w:val="BookText"/>
        <w:rPr/>
      </w:pPr>
      <w:r>
        <w:rPr>
          <w:rFonts w:ascii="IRNazanin" w:hAnsi="IRNazanin" w:eastAsia="IRNazanin"/>
          <w:color w:val="111111"/>
          <w:sz w:val="28"/>
          <w:sz w:val="28"/>
          <w:szCs w:val="28"/>
          <w:rtl w:val="true"/>
          <w:lang w:bidi="fa-IR"/>
        </w:rPr>
        <w:t>یکی از چالش‌های اصلی که نظریۀ تکامل پیش روی دینداران می‌گذاشت، مسئلۀ مقام انسان و اشرفیت او در عالم بود که متون دینی هم بر آن تأکید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ازاین‌رو عده‌ای تصور می‌کردند با قبول این نظریه، عملاً انسان از مقام الوهی و الهی‌خود خلع شده و همسنگ حیوانات دیگر شمرده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مطهری بر این باور است که همۀ موجودات، نه فقط اولین انسان، از نفخۀ الهی به وجود آمده‌اند و مسئلۀ اشرفیت و کمال انسان هم، که قرآن مطرح کرده است، ربطی به نحوۀ خلقت او ندارد و هر جا قرآن از این مسئله سخن می‌گوید، ناظر به بحث امکان ارتقای انسان به مقام خلیفة اللهی، یا سقوط وی به درکات پست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اشرفیت انسان هیچ ربطی به نحوۀ خلقت او ندارد</w:t>
      </w:r>
      <w:r>
        <w:rPr>
          <w:rFonts w:eastAsia="IRNazanin" w:cs="IRNazanin"/>
          <w:color w:val="111111"/>
          <w:sz w:val="28"/>
          <w:szCs w:val="28"/>
          <w:rtl w:val="true"/>
          <w:lang w:bidi="fa-IR"/>
        </w:rPr>
        <w:t>.</w:t>
      </w:r>
      <w:r>
        <w:rPr>
          <w:rStyle w:val="FootnoteAnchor"/>
          <w:rtl w:val="true"/>
        </w:rPr>
        <w:footnoteReference w:id="295"/>
      </w:r>
      <w:r>
        <w:rPr>
          <w:rFonts w:ascii="IRNazanin" w:hAnsi="IRNazanin" w:eastAsia="IRNazanin"/>
          <w:color w:val="111111"/>
          <w:sz w:val="28"/>
          <w:sz w:val="28"/>
          <w:szCs w:val="28"/>
          <w:rtl w:val="true"/>
          <w:lang w:bidi="fa-IR"/>
        </w:rPr>
        <w:t xml:space="preserve">سجود فرشتگان نیز مختص شخص آدم نبود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بدیهی است که در این آیه، خلقت و روحْ دمیدن و خضوع فرشتگان به همۀ آدم‌ها تعمیم داده شده است</w:t>
      </w:r>
      <w:r>
        <w:rPr>
          <w:rFonts w:eastAsia="IRNazanin" w:cs="IRNazanin"/>
          <w:color w:val="111111"/>
          <w:sz w:val="28"/>
          <w:szCs w:val="28"/>
          <w:rtl w:val="true"/>
          <w:lang w:bidi="fa-IR"/>
        </w:rPr>
        <w:t>».</w:t>
      </w:r>
      <w:r>
        <w:rPr>
          <w:rStyle w:val="FootnoteAnchor"/>
          <w:rtl w:val="true"/>
        </w:rPr>
        <w:footnoteReference w:id="296"/>
      </w:r>
      <w:r>
        <w:rPr>
          <w:rFonts w:ascii="IRNazanin" w:hAnsi="IRNazanin" w:eastAsia="IRNazanin"/>
          <w:color w:val="111111"/>
          <w:sz w:val="28"/>
          <w:sz w:val="28"/>
          <w:szCs w:val="28"/>
          <w:rtl w:val="true"/>
          <w:lang w:bidi="fa-IR"/>
        </w:rPr>
        <w:t xml:space="preserve">از نظر قرآن کریم،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خلقت یک امر آنی نیست</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درواقع، این طرز فکر که خلقت را امری آنی می‌داند،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طرز فکر یهودی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دستان خدا را بسته می‌بیند</w:t>
      </w:r>
      <w:r>
        <w:rPr>
          <w:rFonts w:eastAsia="IRNazanin" w:cs="IRNazanin"/>
          <w:color w:val="111111"/>
          <w:sz w:val="28"/>
          <w:szCs w:val="28"/>
          <w:rtl w:val="true"/>
          <w:lang w:bidi="fa-IR"/>
        </w:rPr>
        <w:t>.</w:t>
      </w:r>
      <w:r>
        <w:rPr>
          <w:rStyle w:val="FootnoteAnchor"/>
          <w:rtl w:val="true"/>
        </w:rPr>
        <w:footnoteReference w:id="29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57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این اندیشه در میان مسلمانان گسترش یافت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متأسفانه متکلمین اسلامی هم تحت تأثیر همین فکر یهودی قرار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خلقت دفعی را جدی پنداشتند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با این نگرش، ایشان از ورود به بحث نظریۀ تکامل، که آن را از نظر علمی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می‌داند، و از تلاش برای ابطال آن می‌پرهیزد، آن را اشتباه می‌داند، و تأکید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نمی‌خواهیم مستقلاً وارد بحث تکامل جانداران بشویم و مرتکب همان اشتباهی بشویم که دیگران شده و به عنوان حمایت از حریم توحید در مقام رد و نقض اصول و قوانین تکامل برآمده‌اند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زیرا میان توحید و نظریۀ تکامل تعارض دیدن،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ناشی از جهالت و بی‌خبری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وگرنه دین و توحید و تکامل مؤید یکدیگر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مسئله آن است که شأن عالمان دین، ورود به بحث تخصصیِ نظریۀ تکامل، بررسی شواهد آن یا ابطال آن نیست؛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بحث و تحقیق در این مسئله بر عهدۀ علمای زیست‌شناسی‌است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دشواری برای کسانی که وارد این منازعه شده‌اند آن است که برخی مفروضات نامسلّم را مفروض پنداشته، و بر اساس آن خواسته‌اند لزوماً مطلبی را اثبات یا انکار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شبیه همین موضع را در آثار محمدعلی فروغی می‌توان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نخست گزارشی همدلانه، روشن، ساده و دقیق از نظریۀ تکاملی داروین به دست می‌دهد و از مخالفان آن ابراز شگفتی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او، دلایل مؤید این نظریه فراوان، و ابطال آن دشوار است به حدی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علمای فن همه تصدیق کرده‌اند و منکران آن فقط آن‌ها هستند که این فرض را با عقیدۀ دینی خود منافی می‌دانند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نوشتۀ وی، این نظریه سلباً و ایجاباً با خداپرستی کاری ندارد، بلکه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متمایل به ایمان است، رأی داروین را نیز از دلایل توحید می‌شمارد و آنکه طبعش مایل به بی‌اعتقادی است، بدون رأی داروین</w:t>
      </w:r>
      <w:bookmarkStart w:id="288" w:name="pg14517_146314"/>
    </w:p>
    <w:p>
      <w:pPr>
        <w:pStyle w:val="BookText"/>
        <w:rPr/>
      </w:pPr>
      <w:bookmarkEnd w:id="288"/>
      <w:r>
        <w:rPr>
          <w:rFonts w:ascii="IRNazanin" w:hAnsi="IRNazanin" w:eastAsia="IRNazanin"/>
          <w:color w:val="111111"/>
          <w:sz w:val="28"/>
          <w:sz w:val="28"/>
          <w:szCs w:val="28"/>
          <w:rtl w:val="true"/>
          <w:lang w:bidi="fa-IR"/>
        </w:rPr>
        <w:t>هم منکر است</w:t>
      </w:r>
      <w:r>
        <w:rPr>
          <w:rFonts w:eastAsia="IRNazanin" w:cs="IRNazanin"/>
          <w:color w:val="111111"/>
          <w:sz w:val="28"/>
          <w:szCs w:val="28"/>
          <w:rtl w:val="true"/>
          <w:lang w:bidi="fa-IR"/>
        </w:rPr>
        <w:t>».</w:t>
      </w:r>
      <w:r>
        <w:rPr>
          <w:rStyle w:val="FootnoteAnchor"/>
          <w:rtl w:val="true"/>
        </w:rPr>
        <w:footnoteReference w:id="29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157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لذا دلیلی ندارد که به ظاهر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متعبد شویم و با این نظریه مخالفت ورزیم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یکی از دلایل مخالفت با این نظریه، به تعبیر فروغی، آن است که نسل انسان به حیوان می‌رسد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بوزینه‌نژاد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آنکه این مخالفت وجهی ندارد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فکرْ کودکانه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همچنان که هر کس شرافتش به خصایل و شایستگی اوست و به اصل و نسب نیست، شرافت انسان هم به آدمیت و مزایایی است که بر حیوان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دارد حیوان‌نژاد بودنش ننگ نیست و اگر ندارد، فرشته‌نژاد هم که باشد بی‌شرافت است</w:t>
      </w:r>
      <w:r>
        <w:rPr>
          <w:rFonts w:eastAsia="IRNazanin" w:cs="IRNazanin"/>
          <w:color w:val="111111"/>
          <w:sz w:val="28"/>
          <w:szCs w:val="28"/>
          <w:rtl w:val="true"/>
          <w:lang w:bidi="fa-IR"/>
        </w:rPr>
        <w:t>».</w:t>
      </w:r>
      <w:r>
        <w:rPr>
          <w:rStyle w:val="FootnoteAnchor"/>
          <w:rtl w:val="true"/>
        </w:rPr>
        <w:footnoteReference w:id="299"/>
      </w:r>
    </w:p>
    <w:p>
      <w:pPr>
        <w:pStyle w:val="Heading4"/>
        <w:numPr>
          <w:ilvl w:val="3"/>
          <w:numId w:val="1"/>
        </w:numPr>
        <w:rPr/>
      </w:pPr>
      <w:bookmarkStart w:id="289" w:name="__RefHeading___Toc39810_1878427129"/>
      <w:bookmarkStart w:id="290" w:name="_Toc107"/>
      <w:bookmarkEnd w:id="289"/>
      <w:r>
        <w:rPr>
          <w:rtl w:val="true"/>
        </w:rPr>
        <w:t>رهیافت تفسیری مشکینی</w:t>
      </w:r>
      <w:bookmarkEnd w:id="290"/>
    </w:p>
    <w:p>
      <w:pPr>
        <w:pStyle w:val="BookText"/>
        <w:rPr/>
      </w:pPr>
      <w:r>
        <w:rPr>
          <w:rFonts w:ascii="IRNazanin" w:hAnsi="IRNazanin" w:eastAsia="IRNazanin"/>
          <w:color w:val="111111"/>
          <w:sz w:val="28"/>
          <w:sz w:val="28"/>
          <w:szCs w:val="28"/>
          <w:rtl w:val="true"/>
          <w:lang w:bidi="fa-IR"/>
        </w:rPr>
        <w:t>دیدگاه آیت‌اللّه مشکینی در مسئلۀ تکامل نیز در این گروه می‌گنجد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درحالی‌که مطهری عمدتاً نگاهی فلسفی به بحث نظریۀ تکامل دارد و به دلایل و مفروضاتِ مخالفت با آن می‌پردازد، مرحوم مشکینی می‌کوشد تقریباً با همان بی‌طرفی، آیات قرآن را تحلیل و از این منظر طبقه‌بندی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آثار موجود دینی که گاه جانب نظریۀ تکامل را گرفته و گاه به نقد آن پرداخته‌اند و هریک، از آیات قرآن یاری برده‌اند، رسالۀ مختصر هشتادصفحه‌ای مشکینی، بیشترین توجه را به قرآن دارد و نویسنده کوشیده است همۀ آیات مرتبط با این مسئله را گردآوری و تحلیل کند و به شکلی‌نظام‌مند پیش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نگاه، و قبل از طرح آیات، وی شش نکته را یادآوری می‌کند که هریک درخور توجه است و برخی از آن‌ها اهمیت بیشتری دارد</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اولین نکته آن است که هنوز مدافعان نظریۀ تکاملی داروین موفق نشده‌اند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حلقۀ مفقوده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اولین انسان و آخرین حیوان را بیابند و کوشش‌ها در این زمینه تا کنون به جایی نرسیده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درحالی‌که کسانی داروین را خداباور نمی‌دانند،</w:t>
      </w:r>
    </w:p>
    <w:p>
      <w:pPr>
        <w:pStyle w:val="BookText"/>
        <w:rPr/>
      </w:pPr>
      <w:r>
        <w:rPr>
          <w:rFonts w:ascii="IRNazanin" w:hAnsi="IRNazanin" w:eastAsia="IRNazanin"/>
          <w:color w:val="111111"/>
          <w:sz w:val="28"/>
          <w:sz w:val="28"/>
          <w:szCs w:val="28"/>
          <w:rtl w:val="true"/>
          <w:lang w:bidi="fa-IR"/>
        </w:rPr>
        <w:t>دیگران جملاتی از او نقل کرده‌اند که خلاف آن را می‌رساند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نکتۀ دوم، مشکینی تلاش می‌کند نشان دهد با قبول نظریۀ تکامل نیز می‌توان برگزیدگی و خلافت انسان را تبیین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منظر، کافی است بگوییم که وقتی تکامل موجودات به انسان رسید،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به انسان نیروی اندیشۀ عقل و خصوصیات دیگر انسانی بخشید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0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تکامل در قرآن، ص </w:t>
      </w:r>
      <w:r>
        <w:rPr>
          <w:rFonts w:eastAsia="IRNazanin" w:cs="IRNazanin"/>
          <w:color w:val="111111"/>
          <w:sz w:val="28"/>
          <w:szCs w:val="28"/>
          <w:lang w:bidi="fa-IR"/>
        </w:rPr>
        <w:t>13</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از آنجا که هنوز حلقۀ مفقوده یا آخرین حیوانی که انسان از آن برآمده، مشخص نشده است، نمی‌توان زمان حلول عقل در انسان را معین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می‌توان ادعا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آدم و حوا نیز خود از افراد این نوع بودند که مانند افراد دیگر، از پدر و مادری به وجود آمده‌اند و به احتمال نزدیک، خداوند دو زوج آدم و حوا را از بین افراد این نوع با دادن عقل و نیروی اندیشه وتعلیم اسماء به آن‌ها انتخاب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می‌توان احتمال داد که توان اندیشیدن، در همان آغاز در سرشت انسان وجود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انسان‌ها پیش از آدم نیز دارای عقل و قدرت اندیشه بوده‌اند که خداوند متعال، آدم را با تعلیم اسماء و امر کردن فرشتگان به سجده بر او از میان آن‌ها برگزیده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نکتۀ سوم آنکه لازمۀ قبول این نظریه انکار خدا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بیشترِ طرفداران آن، منکر خدا بوده و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01"/>
      </w:r>
      <w:r>
        <w:rPr>
          <w:rFonts w:ascii="IRNazanin" w:hAnsi="IRNazanin" w:eastAsia="IRNazanin"/>
          <w:color w:val="111111"/>
          <w:sz w:val="28"/>
          <w:sz w:val="28"/>
          <w:szCs w:val="28"/>
          <w:rtl w:val="true"/>
          <w:lang w:bidi="fa-IR"/>
        </w:rPr>
        <w:t>رابطه‌ای منطقی میان باور به خلقت دفعی و توحید و اعتقاد به تغییر و انکار صانع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برعکس،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تحول و دگرگونی یا تکامل که برخی آیات قرآن از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می‌کنند، خود بارها در قرآن کریم دلیلی‌بر وجود آفریدگار دانا به شمار رفته است</w:t>
      </w:r>
      <w:r>
        <w:rPr>
          <w:rFonts w:eastAsia="IRNazanin" w:cs="IRNazanin"/>
          <w:color w:val="111111"/>
          <w:sz w:val="28"/>
          <w:szCs w:val="28"/>
          <w:rtl w:val="true"/>
          <w:lang w:bidi="fa-IR"/>
        </w:rPr>
        <w:t>».</w:t>
      </w:r>
      <w:r>
        <w:rPr>
          <w:rStyle w:val="FootnoteAnchor"/>
          <w:rtl w:val="true"/>
        </w:rPr>
        <w:footnoteReference w:id="302"/>
      </w:r>
      <w:r>
        <w:rPr>
          <w:rFonts w:ascii="IRNazanin" w:hAnsi="IRNazanin" w:eastAsia="IRNazanin"/>
          <w:color w:val="111111"/>
          <w:sz w:val="28"/>
          <w:sz w:val="28"/>
          <w:szCs w:val="28"/>
          <w:rtl w:val="true"/>
          <w:lang w:bidi="fa-IR"/>
        </w:rPr>
        <w:t xml:space="preserve">قرآن کریم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تفاوت رنگ و زبان انسانی به مثابۀ یکی از آیات و نشانه‌های خدا یاد می‌کند</w:t>
      </w:r>
      <w:r>
        <w:rPr>
          <w:rFonts w:eastAsia="IRNazanin" w:cs="IRNazanin"/>
          <w:color w:val="111111"/>
          <w:sz w:val="28"/>
          <w:szCs w:val="28"/>
          <w:rtl w:val="true"/>
          <w:lang w:bidi="fa-IR"/>
        </w:rPr>
        <w:t>.</w:t>
      </w:r>
      <w:r>
        <w:rPr>
          <w:rStyle w:val="FootnoteAnchor"/>
          <w:rtl w:val="true"/>
        </w:rPr>
        <w:footnoteReference w:id="303"/>
      </w:r>
      <w:r>
        <w:rPr>
          <w:rFonts w:ascii="IRNazanin" w:hAnsi="IRNazanin" w:eastAsia="IRNazanin"/>
          <w:color w:val="111111"/>
          <w:sz w:val="28"/>
          <w:sz w:val="28"/>
          <w:szCs w:val="28"/>
          <w:rtl w:val="true"/>
          <w:lang w:bidi="fa-IR"/>
        </w:rPr>
        <w:t xml:space="preserve">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تغییر و تکامل زبان‌ها، رنگ‌ها، نژادها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نوعی به نوع دیگر، همه و</w:t>
      </w:r>
    </w:p>
    <w:p>
      <w:pPr>
        <w:pStyle w:val="BookText"/>
        <w:rPr/>
      </w:pPr>
      <w:r>
        <w:rPr>
          <w:rFonts w:ascii="Amiri" w:hAnsi="Amiri" w:eastAsia="Amiri" w:cs="Amiri"/>
          <w:color w:val="111111"/>
          <w:sz w:val="28"/>
          <w:sz w:val="28"/>
          <w:szCs w:val="28"/>
          <w:rtl w:val="true"/>
          <w:lang w:bidi="ar-SA"/>
        </w:rPr>
        <w:t>همه آیات و دلایلی است بارز بر وجود و قدرت خداوند متعال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لَمْ تَرَ أنَّ اللّهَ أنْزَلَ مِنَ السَّماءِ ماءً فَأخْرَجْنا بِهِ ثَمَراتٍ مُخْتَلِفاً ألْوانُها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0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تکامل در قرآن، ص </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همان‌گونه که قرآن، رشد دانه‌ها و تحولات طبیعی و هرگونه دگرگونی را نشانۀ خداوند می‌داند، می‌توان تحولاتی را که در میان جانداران رخ می‌دهد، نشان او دانست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طور، تغییر و تحول در نوع حیوانات را نیز می‌توانیم از نشانه‌های قدرت و علم خداوندی بدانیم و اعتقاد به این امر هرگز موجب انکار وجود خدا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لحاظ فوق، بین تحول و تکامل انواع به صورت نابودی یک نوع و پیدایش نوع دیگر از یک طرف؛ و تغییر و تکامل افراد در طول زندگی فردی خود از طرف دیگر، فرقی نیست و هیچ‌یک از این دو نمی‌تواند دلیل استقلال وجود و بی‌نیازی از آفریدگار دانا و مدبر باشد</w:t>
      </w:r>
      <w:r>
        <w:rPr>
          <w:rFonts w:eastAsia="IRNazanin" w:cs="IRNazanin"/>
          <w:color w:val="111111"/>
          <w:sz w:val="28"/>
          <w:szCs w:val="28"/>
          <w:rtl w:val="true"/>
          <w:lang w:bidi="fa-IR"/>
        </w:rPr>
        <w:t>.</w:t>
      </w:r>
      <w:r>
        <w:rPr>
          <w:rStyle w:val="FootnoteAnchor"/>
          <w:rtl w:val="true"/>
        </w:rPr>
        <w:footnoteReference w:id="305"/>
      </w:r>
      <w:r>
        <w:rPr>
          <w:rFonts w:ascii="IRNazanin" w:hAnsi="IRNazanin" w:eastAsia="IRNazanin"/>
          <w:color w:val="111111"/>
          <w:sz w:val="28"/>
          <w:sz w:val="28"/>
          <w:szCs w:val="28"/>
          <w:rtl w:val="true"/>
          <w:lang w:bidi="fa-IR"/>
        </w:rPr>
        <w:t>ازاین‌رو، هیچ ملازمۀ منطقی میان پذیرش نظریۀ تکاملی داروین و انکار خدا، یا تن دادن به وجود خداوند و انکار نظریۀ تکاملی وجود ندارد و از یکی نباید دیگری را نتیجه گرفت</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چهارمین نکتۀ مقدماتی مشکینی، اشاره به تحولات تازه در این عرصه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منظر، امروزه اصل مسئله تکامل و تحول، مقبول دانشمندان علوم طبیعی و زمین‌شناسی است و در میان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اصول مسلّم و اثبات‌شده به شمار می‌رود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اختلافی هم باشد، که فراوان است، فقط در جزئیات و فرایند این مکانیزم است، نه اصل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بیان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دانشمندان اصول مسلّمی را بین خود متفقاً پذیرفته‌اند، ولی در مسائل فرعی که از آن اصول ناشی می‌شوند، اختلاف عقیده دارند و به نظریۀ واحد و مسلّمی نرسیده‌اند</w:t>
      </w:r>
      <w:r>
        <w:rPr>
          <w:rFonts w:eastAsia="IRNazanin" w:cs="IRNazanin"/>
          <w:color w:val="111111"/>
          <w:sz w:val="28"/>
          <w:szCs w:val="28"/>
          <w:rtl w:val="true"/>
          <w:lang w:bidi="fa-IR"/>
        </w:rPr>
        <w:t>».</w:t>
      </w:r>
      <w:r>
        <w:rPr>
          <w:rStyle w:val="FootnoteAnchor"/>
          <w:rtl w:val="true"/>
        </w:rPr>
        <w:footnoteReference w:id="306"/>
      </w:r>
      <w:r>
        <w:rPr>
          <w:rFonts w:ascii="IRNazanin" w:hAnsi="IRNazanin" w:eastAsia="IRNazanin"/>
          <w:color w:val="111111"/>
          <w:sz w:val="28"/>
          <w:sz w:val="28"/>
          <w:szCs w:val="28"/>
          <w:rtl w:val="true"/>
          <w:lang w:bidi="fa-IR"/>
        </w:rPr>
        <w:t>در قرآن کریم نیز سخنی که مغایر این اصل باشد، یا آیه‌ای که صریحاً بر ضد آن باشد، وجود ندارد</w:t>
      </w:r>
      <w:r>
        <w:rPr>
          <w:rFonts w:eastAsia="IRNazanin" w:cs="IRNazanin"/>
          <w:color w:val="111111"/>
          <w:sz w:val="28"/>
          <w:szCs w:val="28"/>
          <w:rtl w:val="true"/>
          <w:lang w:bidi="fa-IR"/>
        </w:rPr>
        <w:t>.</w:t>
      </w:r>
      <w:r>
        <w:rPr>
          <w:rStyle w:val="FootnoteAnchor"/>
          <w:rtl w:val="true"/>
        </w:rPr>
        <w:footnoteReference w:id="307"/>
      </w:r>
      <w:r>
        <w:rPr>
          <w:rFonts w:ascii="IRNazanin" w:hAnsi="IRNazanin" w:eastAsia="IRNazanin"/>
          <w:color w:val="111111"/>
          <w:sz w:val="28"/>
          <w:sz w:val="28"/>
          <w:szCs w:val="28"/>
          <w:rtl w:val="true"/>
          <w:lang w:bidi="fa-IR"/>
        </w:rPr>
        <w:t xml:space="preserve">از این جهت، قرآن کریم با تورات متفاوت است؛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تورات آنجا که از چگونگی آفرینش گیاه، حیوان و انسان سخن می‌گوید، آشکارا با تمام کشفیات دانشمندان</w:t>
      </w:r>
    </w:p>
    <w:p>
      <w:pPr>
        <w:pStyle w:val="BookText"/>
        <w:rPr/>
      </w:pPr>
      <w:r>
        <w:rPr>
          <w:rFonts w:ascii="IRNazanin" w:hAnsi="IRNazanin" w:eastAsia="IRNazanin"/>
          <w:color w:val="111111"/>
          <w:sz w:val="28"/>
          <w:sz w:val="28"/>
          <w:szCs w:val="28"/>
          <w:rtl w:val="true"/>
          <w:lang w:bidi="fa-IR"/>
        </w:rPr>
        <w:t>طبیعی و تجربه‌های فراوان و تحقیقات علمی آنان دربارۀ چگونگی تشکیل زمین و آثار باقی‌مانده بر روی آن از دوران‌های بسیار قدیم و جانوران فسیل‌شده در درون زمین و داخل قشر رویی آن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تضاد پیدا می‌کند و همین امر به‌ناچار موجب نفرت و اعتراض این دانشمندان از مذهب و کتب مذهبی گردید</w:t>
      </w:r>
      <w:r>
        <w:rPr>
          <w:rFonts w:eastAsia="IRNazanin" w:cs="IRNazanin"/>
          <w:color w:val="111111"/>
          <w:sz w:val="28"/>
          <w:szCs w:val="28"/>
          <w:rtl w:val="true"/>
          <w:lang w:bidi="fa-IR"/>
        </w:rPr>
        <w:t>».</w:t>
      </w:r>
      <w:r>
        <w:rPr>
          <w:rStyle w:val="FootnoteAnchor"/>
          <w:rtl w:val="true"/>
        </w:rPr>
        <w:footnoteReference w:id="308"/>
      </w:r>
    </w:p>
    <w:p>
      <w:pPr>
        <w:pStyle w:val="BookText"/>
        <w:rPr/>
      </w:pP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پنجمین نکته، به ادبِ بحث و پژوهش اشاره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زاویه، هر پژوهشگر حقیقت‌جو، در عرصۀ کاوش در نظریۀ تکامل 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ابتدا ذهنش را از همۀ عقاید، اقوال و شنیده‌های مختلف که او را به دلیل و روشن شدن مسئله‌ای راه نمی‌نمایند و از خیالات واهی، خالی کند و با گوش جان، سخن کتاب خدا را بشنود و به منبع وحی و حدیث وسنت پیامبر و خاندان او توجه کند، تا خیالات و اوهام ناشی از توجه به ظاهر امور، ذهن وی را مشغول نکنند</w:t>
      </w:r>
      <w:r>
        <w:rPr>
          <w:rFonts w:eastAsia="IRNazanin" w:cs="IRNazanin"/>
          <w:color w:val="111111"/>
          <w:sz w:val="28"/>
          <w:szCs w:val="28"/>
          <w:rtl w:val="true"/>
          <w:lang w:bidi="fa-IR"/>
        </w:rPr>
        <w:t>».</w:t>
      </w:r>
      <w:r>
        <w:rPr>
          <w:rStyle w:val="FootnoteAnchor"/>
          <w:rtl w:val="true"/>
        </w:rPr>
        <w:footnoteReference w:id="309"/>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مشکینی در ششمین نکته تصریح می‌کند که وی به گزارش مختصر نظریۀ تکاملی داروین بسنده کرده است؛ زیرا هدفش دفاع از یک دیدگاه یا نقد دیدگاه رقیب نیست، ازاین‌رو به گزارش مسلّمات این عرصه اکتفا و کوشش می‌شود با توجه به آن‌ها نظر قرآن بیان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آنگاه به اشکالی اشاره می‌کند و به آن پاسخ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ممکن است بگوید اگر امری را که مسلّم و قطعی است با قرآن سنجیدیم و آنگاه دریافتیم که قرآن مخالف آن است، چه باید کرد؟ در پاسخ، مشکینی به یک اصل موضوعی استناد می‌کند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قرآن هرگز چیزی که مخالف عقل و منطق و قطعیت علمی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طریق مشاهده و تجربه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وجود ندارد و اگر موضوعی بدین روش و به طور قطع به اثبات رسید، مسلّماً قرآن موافق آن است نه متضاد و مغایر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نکتۀ اساسی آن است که قرآن قطعاً موافق عقل است و اگر واقعاً دلایلی به سود این نظریه باشد، قرآن نیز آن را قبول دارد؛ لذا نباید به استناد دانش موجود، برداشت ظاهری از قرآن را مطلق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تجربۀ هیئت</w:t>
      </w:r>
    </w:p>
    <w:p>
      <w:pPr>
        <w:pStyle w:val="BookText"/>
        <w:rPr/>
      </w:pPr>
      <w:r>
        <w:rPr>
          <w:rFonts w:ascii="IRNazanin" w:hAnsi="IRNazanin" w:eastAsia="IRNazanin"/>
          <w:color w:val="111111"/>
          <w:sz w:val="28"/>
          <w:sz w:val="28"/>
          <w:szCs w:val="28"/>
          <w:rtl w:val="true"/>
          <w:lang w:bidi="fa-IR"/>
        </w:rPr>
        <w:t>بطلمیوسی، که زمانی قرآن را موافق آن می‌دانستند، ما را از جمود بر ظاهر و آن را مسلّم شمردن باز می‌دارد</w:t>
      </w:r>
      <w:r>
        <w:rPr>
          <w:rFonts w:eastAsia="IRNazanin" w:cs="IRNazanin"/>
          <w:color w:val="111111"/>
          <w:sz w:val="28"/>
          <w:szCs w:val="28"/>
          <w:rtl w:val="true"/>
          <w:lang w:bidi="fa-IR"/>
        </w:rPr>
        <w:t>.</w:t>
      </w:r>
      <w:r>
        <w:rPr>
          <w:rStyle w:val="FootnoteAnchor"/>
          <w:rtl w:val="true"/>
        </w:rPr>
        <w:footnoteReference w:id="310"/>
      </w:r>
    </w:p>
    <w:p>
      <w:pPr>
        <w:pStyle w:val="BookText"/>
        <w:rPr/>
      </w:pP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19</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 به اشکال دیگری می‌پردازد و به آن پاسخ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به‌فرض ادعا کردیم با توجه به شواهد علمی، قرآن نیز مؤید نظریۀ تکامل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آیاتی نیز در این زمینه وجود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احیاناً در آینده این عقاید و نظریات یا کشفیات جدید از اعتبار افتادند و به‌کلی باطل شدند و همۀ آنچه را که ما به آن‌ها تکیه می‌کردیم خواب و خیالی بیش قلمداد نکردند، آیا این امر ارزش کتاب آسمانی ما را از بین نخواهد برد وموجب بی‌اعتباری استدلال و تمسک به آن نخواهد شد؟</w:t>
      </w:r>
      <w:r>
        <w:rPr>
          <w:rFonts w:eastAsia="IRNazanin" w:cs="IRNazanin"/>
          <w:color w:val="111111"/>
          <w:sz w:val="28"/>
          <w:szCs w:val="28"/>
          <w:rtl w:val="true"/>
          <w:lang w:bidi="fa-IR"/>
        </w:rPr>
        <w:t>».</w:t>
      </w:r>
      <w:r>
        <w:rPr>
          <w:rStyle w:val="FootnoteAnchor"/>
          <w:rtl w:val="true"/>
        </w:rPr>
        <w:footnoteReference w:id="311"/>
      </w:r>
      <w:r>
        <w:rPr>
          <w:rFonts w:ascii="IRNazanin" w:hAnsi="IRNazanin" w:eastAsia="IRNazanin"/>
          <w:color w:val="111111"/>
          <w:sz w:val="28"/>
          <w:sz w:val="28"/>
          <w:szCs w:val="28"/>
          <w:rtl w:val="true"/>
          <w:lang w:bidi="fa-IR"/>
        </w:rPr>
        <w:t xml:space="preserve">پاسخ مختصر این اشکال آن است که قرآن، خودْ ما را به تأمل و کاوش در طبیعت انگیخته است و اگر هنگام فهم آیات، در کنار قرآن از گفتار و اظهارات اهل بیت علیهم السلام استفاده کنیم و از آن‌ها یاری گیریم، از خطا ایمن خواهیم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گاه در میان آن‌ها احادیثی یافت می‌شوند که نکات مختصر یا مبهم کتاب خدا را تفصیل یا توضیح می‌دهند ویا مصادیق، محدودۀ مفهومی و شرایط صدق آن را بیان می‌کنند و یا گاهی معنی ظاهری را به‌کلی‌دگرگون ساخته و به توضیح و تفسیر معانی عمیق می‌پردازند</w:t>
      </w:r>
      <w:r>
        <w:rPr>
          <w:rFonts w:eastAsia="IRNazanin" w:cs="IRNazanin"/>
          <w:color w:val="111111"/>
          <w:sz w:val="28"/>
          <w:szCs w:val="28"/>
          <w:rtl w:val="true"/>
          <w:lang w:bidi="fa-IR"/>
        </w:rPr>
        <w:t>».</w:t>
      </w:r>
      <w:r>
        <w:rPr>
          <w:rStyle w:val="FootnoteAnchor"/>
          <w:rtl w:val="true"/>
        </w:rPr>
        <w:footnoteReference w:id="312"/>
      </w:r>
      <w:r>
        <w:rPr>
          <w:rFonts w:ascii="IRNazanin" w:hAnsi="IRNazanin" w:eastAsia="IRNazanin"/>
          <w:color w:val="111111"/>
          <w:sz w:val="28"/>
          <w:sz w:val="28"/>
          <w:szCs w:val="28"/>
          <w:rtl w:val="true"/>
          <w:lang w:bidi="fa-IR"/>
        </w:rPr>
        <w:t xml:space="preserve">استفاده از روایات در فهم مراد آیات،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حقیقتاً همان تفسیر قرآن به قرآن محسوب می‌شود و این همان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تمسک به ثقلین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چنگ زدن به دو وزنۀ سنگین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رسول بزرگ، ما را بدان برخوانده است</w:t>
      </w:r>
      <w:r>
        <w:rPr>
          <w:rFonts w:eastAsia="IRNazanin" w:cs="IRNazanin"/>
          <w:color w:val="111111"/>
          <w:sz w:val="28"/>
          <w:szCs w:val="28"/>
          <w:rtl w:val="true"/>
          <w:lang w:bidi="fa-IR"/>
        </w:rPr>
        <w:t>».</w:t>
      </w:r>
      <w:r>
        <w:rPr>
          <w:rStyle w:val="FootnoteAnchor"/>
          <w:rtl w:val="true"/>
        </w:rPr>
        <w:footnoteReference w:id="313"/>
      </w:r>
      <w:r>
        <w:rPr>
          <w:rFonts w:ascii="IRNazanin" w:hAnsi="IRNazanin" w:eastAsia="IRNazanin"/>
          <w:color w:val="111111"/>
          <w:sz w:val="28"/>
          <w:sz w:val="28"/>
          <w:szCs w:val="28"/>
          <w:rtl w:val="true"/>
          <w:lang w:bidi="fa-IR"/>
        </w:rPr>
        <w:t>بااین‌حال، سرانجام، برداشت و تفسیر ما، در افق فکری ما و متعلق به ما خواهد ماند و نباید آن را نص قرآن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سبب،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در آینده معلوم شد که برداشت و استنباط ما نادرست بوده است، این امر چنان‌که بعضی‌ها تصور کرده‌اند، هیچ‌گونه لطمه‌ای به اعتبار کتاب خدا وارد نمی‌آورد؛ بلکه بطلان نتیجه‌گیری و برداشت ما را می‌رساند، نه اینکه دلیل بر نادرستی سخن قرآن حکیم می‌شود، که هیچ اندیشۀ باطلی در آن راه ندارد</w:t>
      </w:r>
      <w:r>
        <w:rPr>
          <w:rFonts w:eastAsia="IRNazanin" w:cs="IRNazanin"/>
          <w:color w:val="111111"/>
          <w:sz w:val="28"/>
          <w:szCs w:val="28"/>
          <w:rtl w:val="true"/>
          <w:lang w:bidi="fa-IR"/>
        </w:rPr>
        <w:t>».</w:t>
      </w:r>
      <w:r>
        <w:rPr>
          <w:rStyle w:val="FootnoteAnchor"/>
          <w:rtl w:val="true"/>
        </w:rPr>
        <w:footnoteReference w:id="314"/>
      </w:r>
    </w:p>
    <w:p>
      <w:pPr>
        <w:pStyle w:val="BookText"/>
        <w:rPr/>
      </w:pPr>
      <w:r>
        <w:rPr>
          <w:rFonts w:ascii="IRNazanin" w:hAnsi="IRNazanin" w:eastAsia="IRNazanin"/>
          <w:color w:val="111111"/>
          <w:sz w:val="28"/>
          <w:sz w:val="28"/>
          <w:szCs w:val="28"/>
          <w:rtl w:val="true"/>
          <w:lang w:bidi="fa-IR"/>
        </w:rPr>
        <w:t>آیت‌اللّه مشکینی با این نگرش و بی‌آنکه بکوشد جانب نظریۀ تکامل را بگیرد یا با آن مخالفت کند، طی پنج گفتار، دیدگاه موافقان و مخالفان این نظریه را می‌آورد، آیاتی به سود هر دو گروه مطرح می‌کند، و سرانجامْ آیات بحث را در پنج گروه تقسیم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آیاتی که می‌توان از آن‌ها در جهت این نظریه سود برد؛ مانند آیۀ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جَعَلْنا مِنَ الْماءِ کُلَّ شَیْءٍ حَیِّ أ فَلا یُؤْمِنُونَ</w:t>
      </w:r>
      <w:r>
        <w:rPr>
          <w:rFonts w:eastAsia="IRNazanin" w:cs="IRNazanin"/>
          <w:color w:val="111111"/>
          <w:sz w:val="28"/>
          <w:szCs w:val="28"/>
          <w:rtl w:val="true"/>
          <w:lang w:bidi="fa-IR"/>
        </w:rPr>
        <w:t>».</w:t>
      </w:r>
      <w:r>
        <w:rPr>
          <w:rStyle w:val="FootnoteAnchor"/>
          <w:rtl w:val="true"/>
        </w:rPr>
        <w:footnoteReference w:id="31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انبیاء، آیۀ </w:t>
      </w:r>
      <w:r>
        <w:rPr>
          <w:rFonts w:eastAsia="IRNazanin" w:cs="IRNazanin"/>
          <w:color w:val="111111"/>
          <w:sz w:val="28"/>
          <w:szCs w:val="28"/>
          <w:lang w:bidi="fa-IR"/>
        </w:rPr>
        <w:t>30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گروه بیش از ده آیه نقل می‌شود که همه به‌نوعی می‌تواند مستند مدافعان نظریۀ تکامل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آیاتی که گویای خلقت مستقل انسان است؛ مانند آیۀ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النّاسُ اتَّقُوا رَبَّکُمُ الَّذی خَلَقَکُمْ مِنْ نَفْسٍ واحِدَةٍ وَ خَلَقَ مِنْها زَوْجَها وَ بَثَّ مِنْهُما رِجالاً کَثیرًا وَ نِساءً وَ اتَّقُوا اللّهَ الَّذی تَسائَلُونَ بِهِ وَ اْلأَرْحامَ إنَّ اللّهَ کانَ عَلَیْکُمْ رَقیباً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16"/>
      </w:r>
    </w:p>
    <w:p>
      <w:pPr>
        <w:pStyle w:val="BookText"/>
        <w:rPr/>
      </w:pPr>
      <w:r>
        <w:rPr>
          <w:rFonts w:ascii="IRNazanin" w:hAnsi="IRNazanin" w:eastAsia="IRNazanin"/>
          <w:color w:val="111111"/>
          <w:sz w:val="28"/>
          <w:sz w:val="28"/>
          <w:szCs w:val="28"/>
          <w:rtl w:val="true"/>
          <w:lang w:bidi="fa-IR"/>
        </w:rPr>
        <w:t>گروه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بسیار مجملی هستند که تاب دو تفسیر را دارند و هم می‌توان آن‌ها را به سود نظریۀ تکامل تفسیر کرد، و هم بر ضد آن؛ مانند آیۀ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کَفَرْتَ بِالَّذی خَلَقَکَ مِنْ تُرابٍ ثُمَّ مِنْ نُطْفَةٍ ثُمَّ سَوّاکَ رَجُلاً</w:t>
      </w:r>
      <w:r>
        <w:rPr>
          <w:rFonts w:eastAsia="IRNazanin" w:cs="IRNazanin"/>
          <w:color w:val="111111"/>
          <w:sz w:val="28"/>
          <w:szCs w:val="28"/>
          <w:rtl w:val="true"/>
          <w:lang w:bidi="fa-IR"/>
        </w:rPr>
        <w:t>».</w:t>
      </w:r>
      <w:r>
        <w:rPr>
          <w:rStyle w:val="FootnoteAnchor"/>
          <w:rtl w:val="true"/>
        </w:rPr>
        <w:footnoteReference w:id="317"/>
      </w:r>
    </w:p>
    <w:p>
      <w:pPr>
        <w:pStyle w:val="BookText"/>
        <w:rPr/>
      </w:pPr>
      <w:r>
        <w:rPr>
          <w:rFonts w:ascii="IRNazanin" w:hAnsi="IRNazanin" w:eastAsia="IRNazanin"/>
          <w:color w:val="111111"/>
          <w:sz w:val="28"/>
          <w:sz w:val="28"/>
          <w:szCs w:val="28"/>
          <w:rtl w:val="true"/>
          <w:lang w:bidi="fa-IR"/>
        </w:rPr>
        <w:t>گروه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آیاتی که قطع نظر از منشأ خلقت انسان، بیانگر روند تولید مثل و سیر تکاملی هر فرد است؛ مانند آیۀ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النّاسُ إنْ کُنْتُمْ فی رَیْبٍ مِنَ الْبَعْثِ فَإنّا خَلَقْناکُمْ مِنْ تُرابٍ ثُمَّ مِنْ نُطْفَةٍ ثُمَّ مِنْ عَلَقَةٍ ثُمَّ مِنْ مُضْغَةٍ مُخَلَّقَةٍ وَ غَیْرِ مُخَلَّقَةٍ لِنُبَیِّنَ لَکُمْ وَ نُقِرُّ فی اْلأَرْحامِ ما نَشاءُ إلی أجَلٍ مُسَمًّی ثُمَّ نُخْرِجُکُمْ طِفْلاً ثُمَّ لِتَبْلُغُوا أشُدَّکُمْ وَ مِنْکُمْ مَنْ یُتَوَفّی وَ مِنْکُمْ مَنْ یُرَدُّ إلی أرْذَلِ الْعُمُرِ لِکَیْلا یَعْلَمَ مِنْ بَعْدِ عِلْمٍ شَیْئاً وَ تَرَی اْلأَرْضَ هامِدَةً فَإذا أنْزَلْنا عَلَیْها الْماءَ اهْتَزَّتْ وَ رَبَتْ وَ أنْبَتَتْ مِنْ کُلِّ زَوْجٍ بَهیجٍ</w:t>
      </w:r>
      <w:r>
        <w:rPr>
          <w:rFonts w:eastAsia="IRNazanin" w:cs="IRNazanin"/>
          <w:color w:val="111111"/>
          <w:sz w:val="28"/>
          <w:szCs w:val="28"/>
          <w:rtl w:val="true"/>
          <w:lang w:bidi="fa-IR"/>
        </w:rPr>
        <w:t>».</w:t>
      </w:r>
      <w:r>
        <w:rPr>
          <w:rStyle w:val="FootnoteAnchor"/>
          <w:rtl w:val="true"/>
        </w:rPr>
        <w:footnoteReference w:id="318"/>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گروه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آیاتی که از شخص آدم و همسرش سخن می‌گویند، و مستقیماً به بحث تکامل ربط ندارند، بااین‌حال در فهم مسئله مفید هستند؛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 قالَ رَبُّکَ</w:t>
      </w:r>
    </w:p>
    <w:p>
      <w:pPr>
        <w:pStyle w:val="BookText"/>
        <w:rPr/>
      </w:pPr>
      <w:r>
        <w:rPr>
          <w:rFonts w:ascii="Amiri" w:hAnsi="Amiri" w:eastAsia="Amiri" w:cs="Amiri"/>
          <w:color w:val="111111"/>
          <w:sz w:val="28"/>
          <w:sz w:val="28"/>
          <w:szCs w:val="28"/>
          <w:rtl w:val="true"/>
          <w:lang w:bidi="ar-SA"/>
        </w:rPr>
        <w:t>لِلْمَلائِکَةِ إنّی خالِقٌ بَشَرًا مِنْ صَلْصالٍ مِنْ حَمَإٍ مَسْنُونٍ</w:t>
      </w:r>
      <w:r>
        <w:rPr>
          <w:rFonts w:eastAsia="Amiri" w:cs="Amiri" w:ascii="Amiri" w:hAnsi="Amiri"/>
          <w:color w:val="111111"/>
          <w:sz w:val="28"/>
          <w:szCs w:val="28"/>
          <w:rtl w:val="true"/>
          <w:lang w:bidi="ar-SA"/>
        </w:rPr>
        <w:t>».</w:t>
      </w:r>
      <w:r>
        <w:rPr>
          <w:rStyle w:val="FootnoteAnchor"/>
          <w:rtl w:val="true"/>
        </w:rPr>
        <w:footnoteReference w:id="319"/>
      </w:r>
    </w:p>
    <w:p>
      <w:pPr>
        <w:pStyle w:val="BookText"/>
        <w:rPr/>
      </w:pPr>
      <w:r>
        <w:rPr>
          <w:rFonts w:ascii="IRNazanin" w:hAnsi="IRNazanin" w:eastAsia="IRNazanin"/>
          <w:color w:val="111111"/>
          <w:sz w:val="28"/>
          <w:sz w:val="28"/>
          <w:szCs w:val="28"/>
          <w:rtl w:val="true"/>
          <w:lang w:bidi="fa-IR"/>
        </w:rPr>
        <w:t xml:space="preserve">حجر، آیۀ </w:t>
      </w:r>
      <w:r>
        <w:rPr>
          <w:rFonts w:eastAsia="IRNazanin" w:cs="IRNazanin"/>
          <w:color w:val="111111"/>
          <w:sz w:val="28"/>
          <w:szCs w:val="28"/>
          <w:lang w:bidi="fa-IR"/>
        </w:rPr>
        <w:t>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این رویکرد، مرحوم مشکینی جمعاً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را گزارش و تحلیل می‌کند و در پنج گروه می‌گنجاند</w:t>
      </w:r>
      <w:r>
        <w:rPr>
          <w:rFonts w:eastAsia="IRNazanin" w:cs="IRNazanin"/>
          <w:color w:val="111111"/>
          <w:sz w:val="28"/>
          <w:szCs w:val="28"/>
          <w:rtl w:val="true"/>
          <w:lang w:bidi="fa-IR"/>
        </w:rPr>
        <w:t>.</w:t>
      </w:r>
      <w:r>
        <w:rPr>
          <w:rStyle w:val="FootnoteAnchor"/>
          <w:rtl w:val="true"/>
        </w:rPr>
        <w:footnoteReference w:id="320"/>
      </w:r>
    </w:p>
    <w:p>
      <w:pPr>
        <w:pStyle w:val="BookText"/>
        <w:rPr/>
      </w:pPr>
      <w:r>
        <w:rPr>
          <w:rFonts w:ascii="IRNazanin" w:hAnsi="IRNazanin" w:eastAsia="IRNazanin"/>
          <w:color w:val="111111"/>
          <w:sz w:val="28"/>
          <w:sz w:val="28"/>
          <w:szCs w:val="28"/>
          <w:rtl w:val="true"/>
          <w:lang w:bidi="fa-IR"/>
        </w:rPr>
        <w:t>نکتۀ اصلی در این نگرش آن است که نویسنده، با کنار هم چیدن این آیات نتیجه می‌گیرد که قرآن نه نافی نظریۀ تکامل است، و نه لزوماً مؤید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تأکید می‌کند قصد تحمیل یک نظریه بر قرآن ندارد و به‌فرض که نظرش باطل شد، اشکالی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نگاه، وی میان فهم انسانی و متن وحی تفکیک کرده، می‌گوید</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در آینده معلوم شد که برداشت و استنباط ما نادرست بوده است، این امر چنان‌که بعضی‌ها تصور کرده‌اند، هیچ گونه لطمه‌ای به اعتبار کتاب خدا وارد نمی‌آورد؛ بلکه بطلان نتیجه‌گیری و برداشت ما را می‌رساند</w:t>
      </w:r>
      <w:r>
        <w:rPr>
          <w:rFonts w:eastAsia="IRNazanin" w:cs="IRNazanin"/>
          <w:color w:val="111111"/>
          <w:sz w:val="28"/>
          <w:szCs w:val="28"/>
          <w:rtl w:val="true"/>
          <w:lang w:bidi="fa-IR"/>
        </w:rPr>
        <w:t>».</w:t>
      </w:r>
      <w:r>
        <w:rPr>
          <w:rStyle w:val="FootnoteAnchor"/>
          <w:rtl w:val="true"/>
        </w:rPr>
        <w:footnoteReference w:id="321"/>
      </w:r>
      <w:r>
        <w:rPr>
          <w:rFonts w:ascii="IRNazanin" w:hAnsi="IRNazanin" w:eastAsia="IRNazanin"/>
          <w:color w:val="111111"/>
          <w:sz w:val="28"/>
          <w:sz w:val="28"/>
          <w:szCs w:val="28"/>
          <w:rtl w:val="true"/>
          <w:lang w:bidi="fa-IR"/>
        </w:rPr>
        <w:t>اهمیت این رهیافت هنگامی آشکار می‌شود که بدانیم در زمانی طرح شده است که عده‌ای به استناد قرآن، قاطعانه نظریۀ تکامل را درست می‌شمردند و عده‌ای با همان قاطعیت، مخالفت قرآن را با این نظریه استنتاج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مدافعان و مخالفان نظریۀ تکامل، با همۀ اختلاف نظری که داشتند، در مواجهه با این مسئله و به‌کارگیری قرآن، از دو پیش‌فرض یکسان بهره می‌گرفتند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آنکه زبان قرآنْ زبان علم است؛ لذا باید لزوماً دربارۀ این نظریه سخنی گفته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کسانی که اشاره‌وار مدعی می‌شدند نباید از قرآن انتظار داشت نظریات علمی را بیان کند، در عملْ به این گفته التزام نداشتند و می‌کوشیدند نظر علمی قرآن را در قبال مسائلی از این دست استکشاف کنند؛ دوم آنکه تفسیر و فهمشان همان منطوق یا مفهوم قرآن، و در نتیجه عین صواب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پیش‌فرض امکان هر گونه انعطافی را از آنان می‌گرفت و ملزمشان می‌کرد تا به برداشت خود سرسختانه بچسبند و مخالفان خود را تخطئه کنند و مرعوب نظریات اثبات‌نشدۀ علمی بدانند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فضا، اهمیت رهیافت آیت‌اللّه</w:t>
      </w:r>
    </w:p>
    <w:p>
      <w:pPr>
        <w:pStyle w:val="BookText"/>
        <w:rPr/>
      </w:pPr>
      <w:r>
        <w:rPr>
          <w:rFonts w:ascii="IRNazanin" w:hAnsi="IRNazanin" w:eastAsia="IRNazanin"/>
          <w:color w:val="111111"/>
          <w:sz w:val="28"/>
          <w:sz w:val="28"/>
          <w:szCs w:val="28"/>
          <w:rtl w:val="true"/>
          <w:lang w:bidi="fa-IR"/>
        </w:rPr>
        <w:t>مشکینی آشکار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عین ورود به بحث قرآنی و تن دادن به شیوۀ رایج، از جهات قابل توجهی از شیوه‌های رایج زمانۀ خود فاصله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آنکه بحث نظریۀ تکامل را از نتایج فلسفی یا سوءاستفاده‌هایی که از آن شده است متمایز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اینکه عمدۀ پیروان این نظریه خداپرست نیستند، دلیلی برای ابطال آن به شمار نمی‌رود؛ دوم آنکه میان اصل این نظریه، که نسبتاً اثبات‌شده قلمدادش می‌کند، و جزئیات آن‌که محل اختلاف است تفاوت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درحالی‌که برخی به صرف وجود برخی اختلافات در این تقریر یا شواهد این نظریه، اصل آن را باطل می‌دانستند، ایشان میان هستۀ مرکزی این نظریه و مسائل پیرامونی تفاوت می‌گذارد؛ سوم آنکه به جای بررسی شواهد علمیِ نظریۀ تکامل، که خارج از حوزۀ تخصصی عالمان دین است، صرفاً به متن قرآن و ظرفیت آن‌ها در اثبات یا نفی این نظریه بسنده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بی‌توجهی به این نکته و بررسی شواهد علمی، به جای آنکه موجب تقویت موضع برخی عالمان دین شود، عملاً موضعشان را تضعیف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عده‌ای از منتقدان این نظریه، دلایلی بر ضد داروین اقامه کرده بودند، که از قضا خودِ داروین بر ضد مخالفان خویش پیش کشیده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ماجرای آزمایشِ بریدن دم موش‌ها طی چندین نسل، یا ختنه کردن پسران، نکته‌ای نبود که از چشم داروین پنهان مانده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درواقع این‌قبیل اشکالات به لامارک و پیروان وی وارد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معتقد بود که مکانیزم تکامل بر اساس سازگاری با محیط است که ارگانیسم یا موجود زنده کسب می‌کند و سپس این صفات اکتسابی به نسل آینده منتقل می‌شود</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داروین با بررسی موارد متعدد نشان داد که صفات اکتسابی به نسل آینده منتقل نمی‌شود؛ در نتیجه سازگاری با محیط نمی‌تواند مکانیزم قابل دفاعی برای تکامل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سبب وی نظریۀ انتخاب طبیعی را پیش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فاصلۀ بسیاری است میان نگرش لامارکی و داروینی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برخی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سازگاری با محیط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اصول نظریۀ داروین شمرده‌اند، حال آنکه چنین نیست و این اصل</w:t>
      </w:r>
    </w:p>
    <w:p>
      <w:pPr>
        <w:pStyle w:val="BookText"/>
        <w:rPr/>
      </w:pPr>
      <w:r>
        <w:rPr>
          <w:rFonts w:ascii="IRNazanin" w:hAnsi="IRNazanin" w:eastAsia="IRNazanin"/>
          <w:color w:val="111111"/>
          <w:sz w:val="28"/>
          <w:sz w:val="28"/>
          <w:szCs w:val="28"/>
          <w:rtl w:val="true"/>
          <w:lang w:bidi="fa-IR"/>
        </w:rPr>
        <w:t>لامارکی‌است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برخی مخالفان این نظریه، بی‌توجه به این نکتۀ ظریف، نوشته‌های خود را از مثال‌هایی انباشتند که درواقع همۀ آن‌ها به سود نظریۀ تکاملی داروین بود، نه به زیان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مشکینی آگاهانه از این خطا پرهیز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 آنکه آشکارا میان نص قرآنکه زبان وحی است، و برداشت انسانی از آن یا فهم مفسران تفاوت می‌گذارد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به‌صراحت می‌گوید همۀ آنچه می‌گوید، صرفاً برداشت وی از قرآن است و بطلان آن به قرآن سرایت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آنکه با گردآوری آیات مرتبط، از داوری صریح و جانب‌داری از دیدگاهی معین در این مسئله خودداری می‌کند و قضاوت نهایی را به خواننده وامی‌گذارد تا او انتخاب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شیوه برای کسانی که همواره در پی پاسخ‌های آماده هستند و ترجیح می‌دهند به جای فکر کردن، دیگران برایشان فکر کنند، کمی نومیدکننده به نظر می‌رسد، اما بیانگر روح علمی و احترام به فهم خوانندگان و رعایت آزادی آنان در انتخاب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رهیافت مطهری و مشکینی، در موارد جزئی، متفاوت و در موارد اساسی همسان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درحالی‌که مطهری اساساً از ورود به بحث نظریۀ تکامل می‌پرهیزد و آن را به زیست‌شناسان واگذار می‌کند، مشکینی از طرح این بحث پرهیزی ندارد</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درحالی‌که مطهری در این بحث آیات قرآن را درگیر نمی‌کند و با طرح نمادین بودن زبان قرآن، کوشش برای استنباط نظریات علمی از آن را نادرست می‌شمارد، مشکینی مستقیماً سراغ قرآن می‌رود و می‌کوشد در این میان از آیات گوناگون بهره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بااین‌همه، مشترکات این دو فراوان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اصل مشترک این دو آن است که هیچ‌یک این نظریه را به برداشت یا استفاده و سوءاستفاده از آن پیوند نمی‌زنند؛ دوم آنکه شأن علم را از شأن دین و وحی متمایز می‌کنند و در نتیجه کارکرد عالمان دین را از کارکرد و نقش عالمان علوم طبیعی متفاوت می‌بینند؛ سوم آنکه از سوگیری در این مسأله و این نظریه را پیشاپیش محکوم کردن و آن را خطری برای دین دانستن می‌پرهیزند؛ چهارم آنکه به مفروضاتی که هر شخص، از جمله مفسران دارند، توجه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نگرش، مطهری از مفروضاتی که</w:t>
      </w:r>
      <w:bookmarkStart w:id="291" w:name="pg14517_146323"/>
    </w:p>
    <w:p>
      <w:pPr>
        <w:pStyle w:val="BookText"/>
        <w:rPr/>
      </w:pPr>
      <w:bookmarkEnd w:id="291"/>
      <w:r>
        <w:rPr>
          <w:rFonts w:ascii="IRNazanin" w:hAnsi="IRNazanin" w:eastAsia="IRNazanin"/>
          <w:color w:val="111111"/>
          <w:sz w:val="28"/>
          <w:sz w:val="28"/>
          <w:szCs w:val="28"/>
          <w:rtl w:val="true"/>
          <w:lang w:bidi="fa-IR"/>
        </w:rPr>
        <w:t>بر متکلمان مسلمان حاکم بوده است سخن می‌گوید، و مشکینی تأکید می‌کند بطلان نظرش ربطی به اعتبار قرآن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مشترکات، آن دو را در اردوگاه فکری واحد قرار می‌دهد که در آن یکی به‌شدت نگاهی قرآنی و تفسیری دارد و دیگری نگاهی عمدتاً فلسفی و الهیاتی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کنار بحث قرآنی مشکینی، به نظر می‌رسد رهیافت مطهری به بحث نظریۀ تکامل داروین، بسیار فیلسوفانه است که عالمی دینی می‌تواند انتخاب کند؛ عالمی که می‌کوشد در عین دفاع از دین مقبول خویش، شأن علم را نیز حفظ کند و به بهای دفاع از دینْ علم را بی‌اعتبار نسازد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جایگاه علمی خود و حدود معرفتی خود را نیک برآورد کرده است</w:t>
      </w:r>
      <w:r>
        <w:rPr>
          <w:rFonts w:eastAsia="IRNazanin" w:cs="IRNazanin"/>
          <w:color w:val="111111"/>
          <w:sz w:val="28"/>
          <w:szCs w:val="28"/>
          <w:rtl w:val="true"/>
          <w:lang w:bidi="fa-IR"/>
        </w:rPr>
        <w:t>.</w:t>
      </w:r>
    </w:p>
    <w:p>
      <w:pPr>
        <w:pStyle w:val="Heading3"/>
        <w:numPr>
          <w:ilvl w:val="2"/>
          <w:numId w:val="1"/>
        </w:numPr>
        <w:rPr/>
      </w:pPr>
      <w:bookmarkStart w:id="292" w:name="__RefHeading___Toc39812_1878427129"/>
      <w:bookmarkStart w:id="293" w:name="_Toc108"/>
      <w:bookmarkEnd w:id="292"/>
      <w:r>
        <w:rPr/>
        <w:t>8</w:t>
      </w:r>
      <w:r>
        <w:rPr>
          <w:rtl w:val="true"/>
        </w:rPr>
        <w:t xml:space="preserve">. </w:t>
      </w:r>
      <w:r>
        <w:rPr>
          <w:rtl w:val="true"/>
        </w:rPr>
        <w:t>درس های آموختنی از این مناقشه</w:t>
      </w:r>
      <w:bookmarkEnd w:id="293"/>
    </w:p>
    <w:p>
      <w:pPr>
        <w:pStyle w:val="BookText"/>
        <w:rPr/>
      </w:pPr>
      <w:r>
        <w:rPr>
          <w:rFonts w:ascii="IRNazanin" w:hAnsi="IRNazanin" w:eastAsia="IRNazanin"/>
          <w:color w:val="111111"/>
          <w:sz w:val="28"/>
          <w:sz w:val="28"/>
          <w:szCs w:val="28"/>
          <w:rtl w:val="true"/>
          <w:lang w:bidi="fa-IR"/>
        </w:rPr>
        <w:t>بیش از نیم قرن از نخستین برخورد جدی با نظریۀ تکاملی داروین در کشورمان می‌گذرد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مرور آنچه گفته و نوشته شده است، درس‌های فراوانی می‌توان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به پنج درس اساسی که به کار ادامۀ این بحث و بحث‌های دیگر می‌آید اشاره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درس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ذهن‌خوانی و انگیزه‌خوانی در مباحث علمی راه به جایی نمی‌برد و چون تیغ دولبه عمل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مخالفان نظریۀ تکامل، مدافعان آن را مرعوب غرب و فرضیات جدید اثبات‌نشده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کاسه گرم‌تر از آش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مدافعان این نظریه، مخالفانش را تحت تأثیر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تلقین اسرائیلیات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اساطیر قدیم می‌شمردند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هیچ‌یک دلیلی برای اثبات ادعای خود نمی‌آوردند که به پیش بردن بحث کمک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عوامل معرفتی و غیرمعرفتی متعددی در قبول هر نظریه نقش دارند، که گاه آشکار و گاه بسیار نهان‌اند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مقام پژوهشگری و علم‌ورزی، باید بیاموزیم همواره در محدودۀ متن حرکت کنیم و از متن به ماتن نقب نزنیم و، به گفتۀ بلاغی، گفتار مد نظرمان باشد نه گوینده</w:t>
      </w:r>
      <w:r>
        <w:rPr>
          <w:rFonts w:eastAsia="IRNazanin" w:cs="IRNazanin"/>
          <w:color w:val="111111"/>
          <w:sz w:val="28"/>
          <w:szCs w:val="28"/>
          <w:rtl w:val="true"/>
          <w:lang w:bidi="fa-IR"/>
        </w:rPr>
        <w:t>.</w:t>
      </w:r>
      <w:r>
        <w:rPr>
          <w:rStyle w:val="FootnoteAnchor"/>
          <w:rtl w:val="true"/>
        </w:rPr>
        <w:footnoteReference w:id="322"/>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توضیح بیشتر دراین‌باره، 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حسن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جایگاه گوینده در اعتبار گفتار از دیدگاه احادیث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حدیث‌پژوهی، شمارۀ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بهار و تابستان </w:t>
      </w:r>
      <w:r>
        <w:rPr>
          <w:rFonts w:eastAsia="IRNazanin" w:cs="IRNazanin"/>
          <w:color w:val="111111"/>
          <w:sz w:val="28"/>
          <w:szCs w:val="28"/>
          <w:lang w:bidi="fa-IR"/>
        </w:rPr>
        <w:t>1388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درس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حریم علم را حفظ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حق دارد پس از فهم نظریۀ تکامل داروین یا هر نظریۀ دیگر، آن را نقد کند یا بپذیرد؛ اما کسی حق ندارد به نام دین و بی‌آنکه تصویر و تصور درستی از این نظریه داشته باشد، بخواهد در مقام نقد آن برآید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آن است که برخی مباحث به‌ظاهر علمی که در نقد نظریۀ تکامل داروین مطرح شده است، از سطح کتاب زیست‌شناسی که برای دانش‌آموزان دبیرستانی نوشته می‌شود، نازل‌تر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در این‌قبیل کتاب‌های درسی، میان نظریۀ تکامل داروین و لامارک تفاوت می‌گذارند و تصریح 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طبق نظریۀ لامارک، این صفات اکتسابی در طول زندگی هر فرد، از یک نسل به نسل بعد منتقل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موروثی بودن صفات اکتسابی</w:t>
      </w:r>
      <w:r>
        <w:rPr>
          <w:rFonts w:eastAsia="IRNazanin" w:cs="IRNazanin"/>
          <w:color w:val="111111"/>
          <w:sz w:val="28"/>
          <w:szCs w:val="28"/>
          <w:rtl w:val="true"/>
          <w:lang w:bidi="fa-IR"/>
        </w:rPr>
        <w:t>)».</w:t>
      </w:r>
      <w:r>
        <w:rPr>
          <w:rStyle w:val="FootnoteAnchor"/>
          <w:rtl w:val="true"/>
        </w:rPr>
        <w:footnoteReference w:id="32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زیست‌شناسی دورۀ پیش‌دانشگاهی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رشته علوم تجربی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بااین‌حال، بخش قابل توجهی از نقدهایی که متوجه نظریۀ تکامل داروین می‌کنند، مانند بریدن دم موش و ختنه پسران و نگه داشتن مگس در تاریکی، همه نقد نظریۀ لامارک است، نه نظریۀ تکامل داروین که رقیب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دانش‌آموزی پس از خواندن چنین آثاری متوجه این خلط مبحث شود، آیا نسبت به دیگر نوشته‌ها و مدعیات نقل‌شده در این آثار اعتماد خواهد داشت‌؟ به گفتۀ امام علی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رحم اللّه امرءاً عرف قدره و لم یتعد طوره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مت یانگ و پل استرود، متخصصان فیزیک و زیست‌شناسی، کتابی را که در توضیح نظریۀ تکامل و دفاع از آن نوشته‌اند، با این جملۀ معنادار به پایان می‌رسانند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از صمیم قلب به هر کسی که در پی نقد زیست‌شناسی تکاملی است توصیه می‌کنیم که نخست آن را بیاموزد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درس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قوم را رعایت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زبان علم، میان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فرضیه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فرقی اساسی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منظر، نظریه عبارت است از تبیین نسبتاً عام پدیده‌های مرتبط و کوشش در جهت درپیوستن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تبیینی معمولاً مستند به شواهد</w:t>
      </w:r>
    </w:p>
    <w:p>
      <w:pPr>
        <w:pStyle w:val="BookText"/>
        <w:rPr/>
      </w:pPr>
      <w:r>
        <w:rPr>
          <w:rFonts w:ascii="IRNazanin" w:hAnsi="IRNazanin" w:eastAsia="IRNazanin"/>
          <w:color w:val="111111"/>
          <w:sz w:val="28"/>
          <w:sz w:val="28"/>
          <w:szCs w:val="28"/>
          <w:rtl w:val="true"/>
          <w:lang w:bidi="fa-IR"/>
        </w:rPr>
        <w:t>است و از پس اشکالات برآمده است و از تبیین‌های بدیل کارآمدتر به شمار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فرضیه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احتمالاً درست به یک سؤال است؛ اما هنوز موفق نشده است شواهد کافی به سود خود فراهم کند و به اشکالات احتمالی پاسخ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فرضیه فاقد شواهد تجربی کافی است، حال آنکه نظریه چنین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نکته آن است که در همۀ متون علمی و تخصصی، از نظریۀ تکامل داروین،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فرضیه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چه این نظریه را بپذیریم و چه رد کنیم، باید از دستکاری زبان قوم دوری کرد و به اصطلاحات رایج این عرصه حرمت نهاد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حتی در کتاب‌های زیست‌شناسی دبیرستان،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نظریۀ داروین</w:t>
      </w:r>
      <w:r>
        <w:rPr>
          <w:rFonts w:eastAsia="IRNazanin" w:cs="IRNazanin"/>
          <w:color w:val="111111"/>
          <w:sz w:val="28"/>
          <w:szCs w:val="28"/>
          <w:rtl w:val="true"/>
          <w:lang w:bidi="fa-IR"/>
        </w:rPr>
        <w:t>»</w:t>
      </w:r>
      <w:r>
        <w:rPr>
          <w:rStyle w:val="FootnoteAnchor"/>
          <w:rtl w:val="true"/>
        </w:rPr>
        <w:footnoteReference w:id="32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غرر الحکم، ح </w:t>
      </w:r>
      <w:r>
        <w:rPr>
          <w:rFonts w:eastAsia="IRNazanin" w:cs="IRNazanin"/>
          <w:color w:val="111111"/>
          <w:sz w:val="28"/>
          <w:szCs w:val="28"/>
          <w:lang w:bidi="fa-IR"/>
        </w:rPr>
        <w:t>5204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 رفته است</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باز طبق اظهار مخالفان این نظریه،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 شک نیست که اکثریت دانشمندان طرفدار فرضیۀ تکامل‌اند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آن است که همان‌گونه که از آیالا نقل قول شد، اصل نظریۀ تکامل، نه لزوماً شکل داروینی آن، امروزه همسنگ کرویت زمین، خورشیدمرکزی، حرکت سیارات، و ترکیب مولکولی ماده است و همۀ زیست‌شناسان آن را قبول دارند</w:t>
      </w:r>
      <w:r>
        <w:rPr>
          <w:rFonts w:eastAsia="IRNazanin" w:cs="IRNazanin"/>
          <w:color w:val="111111"/>
          <w:sz w:val="28"/>
          <w:szCs w:val="28"/>
          <w:rtl w:val="true"/>
          <w:lang w:bidi="fa-IR"/>
        </w:rPr>
        <w:t>.</w:t>
      </w:r>
      <w:r>
        <w:rPr>
          <w:rStyle w:val="FootnoteAnchor"/>
          <w:rtl w:val="true"/>
        </w:rPr>
        <w:footnoteReference w:id="325"/>
      </w:r>
      <w:r>
        <w:rPr>
          <w:rFonts w:ascii="IRNazanin" w:hAnsi="IRNazanin" w:eastAsia="IRNazanin"/>
          <w:color w:val="111111"/>
          <w:sz w:val="28"/>
          <w:sz w:val="28"/>
          <w:szCs w:val="28"/>
          <w:rtl w:val="true"/>
          <w:lang w:bidi="fa-IR"/>
        </w:rPr>
        <w:t xml:space="preserve">حال، در برابر این اجماع و مقبولیت، پافشاری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فرضیه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 این نظریه، چه توجیه مقبولی می‌تواند داشته باشد؟ هنگامی که به خود اجازه دهیم درست برخلاف شیوۀ مقبول و مرسوم زیست‌شناسان،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را فرضیه بنامیم، به طور ضمنی به زیست‌شناسانی مانند ریچارد داوکنیز اجازه داده‌ایم تا ایمان‌باوری و اعتقاد به خدا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توهم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قلمداد کنند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ویروس ایمان</w:t>
      </w:r>
      <w:r>
        <w:rPr>
          <w:rFonts w:eastAsia="IRNazanin" w:cs="IRNazanin"/>
          <w:color w:val="111111"/>
          <w:sz w:val="28"/>
          <w:szCs w:val="28"/>
          <w:rtl w:val="true"/>
          <w:lang w:bidi="fa-IR"/>
        </w:rPr>
        <w:t>»</w:t>
      </w:r>
      <w:r>
        <w:rPr>
          <w:rStyle w:val="FootnoteAnchor"/>
          <w:rtl w:val="true"/>
        </w:rPr>
        <w:footnoteReference w:id="326"/>
      </w:r>
      <w:r>
        <w:rPr>
          <w:rFonts w:ascii="IRNazanin" w:hAnsi="IRNazanin" w:eastAsia="IRNazanin"/>
          <w:color w:val="111111"/>
          <w:sz w:val="28"/>
          <w:sz w:val="28"/>
          <w:szCs w:val="28"/>
          <w:rtl w:val="true"/>
          <w:lang w:bidi="fa-IR"/>
        </w:rPr>
        <w:t>نام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برای تبیین پدیدۀ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پایایی آن، از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ویروس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می‌کنند و مدعی می‌شوند همان‌گونه که ویروس پارازیت‌وار تن را بیمار کند، ایمانْ ذهن را فاسد می‌سازد</w:t>
      </w:r>
      <w:r>
        <w:rPr>
          <w:rFonts w:eastAsia="IRNazanin" w:cs="IRNazanin"/>
          <w:color w:val="111111"/>
          <w:sz w:val="28"/>
          <w:szCs w:val="28"/>
          <w:rtl w:val="true"/>
          <w:lang w:bidi="fa-IR"/>
        </w:rPr>
        <w:t>.</w:t>
      </w:r>
      <w:r>
        <w:rPr>
          <w:rStyle w:val="FootnoteAnchor"/>
          <w:rtl w:val="true"/>
        </w:rPr>
        <w:footnoteReference w:id="327"/>
      </w:r>
      <w:r>
        <w:rPr>
          <w:rFonts w:ascii="IRNazanin" w:hAnsi="IRNazanin" w:eastAsia="IRNazanin"/>
          <w:color w:val="111111"/>
          <w:sz w:val="28"/>
          <w:sz w:val="28"/>
          <w:szCs w:val="28"/>
          <w:rtl w:val="true"/>
          <w:lang w:bidi="fa-IR"/>
        </w:rPr>
        <w:t>اما منطقاً این شیوه، همان‌قدر دفاع‌ناپذیر است که شیوۀ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مسئله هنگامی جدی‌تر می‌شود که بدانیم پاپ ژان پل دوم،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 به آکادمی پاپی 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سال </w:t>
      </w:r>
      <w:r>
        <w:rPr>
          <w:rFonts w:eastAsia="IRNazanin" w:cs="IRNazanin"/>
          <w:color w:val="111111"/>
          <w:sz w:val="28"/>
          <w:szCs w:val="28"/>
          <w:lang w:bidi="fa-IR"/>
        </w:rPr>
        <w:t>1996</w:t>
      </w:r>
    </w:p>
    <w:p>
      <w:pPr>
        <w:pStyle w:val="BookText"/>
        <w:rPr/>
      </w:pPr>
      <w:r>
        <w:rPr>
          <w:rFonts w:ascii="IRNazanin" w:hAnsi="IRNazanin" w:eastAsia="IRNazanin"/>
          <w:color w:val="111111"/>
          <w:sz w:val="28"/>
          <w:sz w:val="28"/>
          <w:szCs w:val="28"/>
          <w:rtl w:val="true"/>
          <w:lang w:bidi="fa-IR"/>
        </w:rPr>
        <w:t>منتشر شد، موضع پیشین مقامات کلیسا را در قبال این نظریه اصلاح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پاپ پیوس دوازدهم در منشور عام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دربارۀ نوع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سال </w:t>
      </w:r>
      <w:r>
        <w:rPr>
          <w:rFonts w:eastAsia="IRNazanin" w:cs="IRNazanin"/>
          <w:color w:val="111111"/>
          <w:sz w:val="28"/>
          <w:szCs w:val="28"/>
          <w:lang w:bidi="fa-IR"/>
        </w:rPr>
        <w:t>1950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شد، اعلام کرد هنوز شواهد قانع‌کننده‌ای به سود نظریۀ تکامل داروین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درعین‌حال از انکار آن خودداری کرد و آن را مغایر تعالیم کلیسا ندانست</w:t>
      </w:r>
      <w:r>
        <w:rPr>
          <w:rFonts w:eastAsia="IRNazanin" w:cs="IRNazanin"/>
          <w:color w:val="111111"/>
          <w:sz w:val="28"/>
          <w:szCs w:val="28"/>
          <w:rtl w:val="true"/>
          <w:lang w:bidi="fa-IR"/>
        </w:rPr>
        <w:t>.</w:t>
      </w:r>
      <w:r>
        <w:rPr>
          <w:rStyle w:val="FootnoteAnchor"/>
          <w:rtl w:val="true"/>
        </w:rPr>
        <w:footnoteReference w:id="328"/>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Hum i Generis</w:t>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پاپ ژان پل دوم، با اشاره به این منشور و یافته‌های علمی تازه، از آن به مثابۀ نظریه‌ای مهم یاد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بخشی از این پیام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امروزه، تقریباً نیم قرن بعد از نشر آن منشور عام، دانش تازه نشان داده است که نظریۀ تکامل بیش از یک فرضیه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درواقع، این نکتۀ چشمگیری است که این نظریه به شکل پیش‌رونده‌ای در پی مجموعه‌ای از اکتشافات در حوزه‌های دانش، مورد قبول پژوهشگران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همگراییِ نتایج کار انجام‌شده به شکل مستقل، که نه خواسته شده و نه ساختگی است، به خودی خود، استدلال مهمی به سود این نظریه به‌شمار می‌رود</w:t>
      </w:r>
      <w:r>
        <w:rPr>
          <w:rFonts w:eastAsia="IRNazanin" w:cs="IRNazanin"/>
          <w:color w:val="111111"/>
          <w:sz w:val="28"/>
          <w:szCs w:val="28"/>
          <w:rtl w:val="true"/>
          <w:lang w:bidi="fa-IR"/>
        </w:rPr>
        <w:t>.</w:t>
      </w:r>
      <w:r>
        <w:rPr>
          <w:rStyle w:val="FootnoteAnchor"/>
          <w:rtl w:val="true"/>
        </w:rPr>
        <w:footnoteReference w:id="3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درحالی‌که به‌ظاهر، نظریۀ تکامل با بندهای آغازین کتاب پیدایشْ تعارض آشکار دارد، پاپ از آن به مثابۀ نظریه یاد می‌کند و حتی به شکل ضمنی آن را می‌پذیرد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می‌رسد این موضع چندان عالمانه نباشد که همچنان در نوشته‌های خود به‌صراحت مدعی شویم که این نظریه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فرضیه‌ای بیش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درس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مخالفت کلیسا با نظریۀ تکامل داروین اغراق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نظرها و داوری‌های خود در قبال مسائل علمی و تاریخی، آگاهانه یا ناآگاهانه، متأثر از ادبیات مارکسیستی هستیم و از پس عینک آن به این قضایا می‌نگریم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میراث مارکسیسم در کشورمان، باور کلیشه‌ای مخالفت کلیسا و ارباب دین با علم بوده است که از طریق کتب متعددی چون مفهوم انجیل‌ها و آثاری از این</w:t>
      </w:r>
    </w:p>
    <w:p>
      <w:pPr>
        <w:pStyle w:val="BookText"/>
        <w:rPr/>
      </w:pPr>
      <w:r>
        <w:rPr>
          <w:rFonts w:ascii="IRNazanin" w:hAnsi="IRNazanin" w:eastAsia="IRNazanin"/>
          <w:color w:val="111111"/>
          <w:sz w:val="28"/>
          <w:sz w:val="28"/>
          <w:szCs w:val="28"/>
          <w:rtl w:val="true"/>
          <w:lang w:bidi="fa-IR"/>
        </w:rPr>
        <w:t>دست در میان ما نفوذ کرده و به نوعی باور جزمی تبدیل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بارها بر این نکته تأکید شده است که کلیسا ضد علم بوده است و نمونۀ آن نیز محاکمۀ گالیله و مخالفت کلیسا با نظریۀ تکامل داروین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باور از سوی کسانی ترویج شده است که نه با کلیسا، بلکه اصولاً با دین دشمن بوده‌اند و ما نیز معمولاً بی‌دلیل و بدون بررسی متون معتبر آن را پذیرفته‌ایم؛ حال آنکه موافقت و مخالفت با کلیسا، نباید ما را به دام کسانی اندازد که از بنیاد با دین سر ناسازگاری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گالیله که بارها تکرار می‌شود و از آن بر ضد کلیسا استفاده می‌شود، درواقع اسطوره‌ای است که مطالعات تازه خلاف آن را نشان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یافته‌های جدید و مطالعۀ اسناد منتشرشده نشان می‌دهد که نه گالیله آن قهرمانی بود که کسانی مانند برتولت برشت</w:t>
      </w:r>
      <w:r>
        <w:rPr>
          <w:rStyle w:val="FootnoteAnchor"/>
          <w:rtl w:val="true"/>
        </w:rPr>
        <w:footnoteReference w:id="33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گالیله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حمله به دین ساخته‌اند، و نه کلیسا آن هیولایی که مخالف علم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تحلیل کوستلر، گالیله نه تلسکوپ را اختراع کرد، نه میکروسکوپ، نه میزان‌الحراره و نه ساعت آونگ‌دار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هیچ چیز به ستاره‌شناسی نظری نیفزود و هیچ وزنه‌ای از بالای برج پیزا به زیر نیفکند و صحت دستگاه کوپرنیک را مدلل نساخت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حتی هنگام محاکمۀ خود پای بر زمین نکوفت و نگفت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بااین‌حال زمین می‌چرخد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شهید راه علم نبود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همچنین، به نوشتۀ استیلمن دریک، کلیشۀ تعارض علم و دین که از ماجرای گالیله نشئت گرفته درست نیست و در ماجرای گالیله، یک طرف دعوا ارسطوگرایان بودند، نه کلیسا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از نظر وی، محاکمۀ گالیله بر سر علم نبود و او حامی کلیسا بود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می‌خواست آن را از سیطرۀ ارسطوگرایی نجات 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اینجا مقصود، دفاع از موضع کلیسا یا بی‌اعتبار کردن گالیله نیست؛ هدف آن است که از احکام کلیشه‌شده رها شویم و چنان نپنداریم که در بحث گالیله، حق و باطل آشکارا به مصاف هم رفته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آن است که با پیشرفت مطالعات</w:t>
      </w:r>
    </w:p>
    <w:p>
      <w:pPr>
        <w:pStyle w:val="BookText"/>
        <w:rPr/>
      </w:pPr>
      <w:r>
        <w:rPr>
          <w:rFonts w:ascii="IRNazanin" w:hAnsi="IRNazanin" w:eastAsia="IRNazanin"/>
          <w:color w:val="111111"/>
          <w:sz w:val="28"/>
          <w:sz w:val="28"/>
          <w:szCs w:val="28"/>
          <w:rtl w:val="true"/>
          <w:lang w:bidi="fa-IR"/>
        </w:rPr>
        <w:t>و یافته‌های تازه، هر روز پرتو بیشتری بر این مسئله افکنده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 مک‌کِلیلَن و دُرن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تفسیرها و تبیین‌هایی از بیخ متفاوتْ در باب محاکمه، تا روزگار حاضر همچنان ارائه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دیدگاهی قدیمی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اکنون فراموش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رخداد را به سان نبرد بزرگی در جنگ مفروض میان علم و دین تصویر می‌کند، که در آن گالیلئو دانشمند قهرمانی است که به سبب کشف واقعیت علمی، از سوی عالمان الهیاتِ تاریک‌اندیش کوبیده شده است</w:t>
      </w:r>
      <w:r>
        <w:rPr>
          <w:rFonts w:eastAsia="IRNazanin" w:cs="IRNazanin"/>
          <w:color w:val="111111"/>
          <w:sz w:val="28"/>
          <w:szCs w:val="28"/>
          <w:rtl w:val="true"/>
          <w:lang w:bidi="fa-IR"/>
        </w:rPr>
        <w:t>.</w:t>
      </w:r>
      <w:r>
        <w:rPr>
          <w:rStyle w:val="FootnoteAnchor"/>
          <w:rtl w:val="true"/>
        </w:rPr>
        <w:footnoteReference w:id="331"/>
      </w:r>
    </w:p>
    <w:p>
      <w:pPr>
        <w:pStyle w:val="BookText"/>
        <w:rPr/>
      </w:pPr>
      <w:r>
        <w:rPr>
          <w:rFonts w:ascii="IRNazanin" w:hAnsi="IRNazanin" w:eastAsia="IRNazanin"/>
          <w:color w:val="111111"/>
          <w:sz w:val="28"/>
          <w:sz w:val="28"/>
          <w:szCs w:val="28"/>
          <w:rtl w:val="true"/>
          <w:lang w:bidi="fa-IR"/>
        </w:rPr>
        <w:t xml:space="preserve">تاریخ علم و فن‌آوری، ص </w:t>
      </w:r>
      <w:r>
        <w:rPr>
          <w:rFonts w:eastAsia="IRNazanin" w:cs="IRNazanin"/>
          <w:color w:val="111111"/>
          <w:sz w:val="28"/>
          <w:szCs w:val="28"/>
          <w:lang w:bidi="fa-IR"/>
        </w:rPr>
        <w:t>326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پس از ارائۀ پنج تفسیر دیگر، نتیجه می‌گیرند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محاکمۀ گالیلئو لوحی است که تاریخ‌نگاران روایت‌های پرورده‌تری را بارها بر آن می‌نویسند، همچون شیوه‌ای که قانون‌دانان در پرونده‌های قدیمی تجدید نظر و دربارۀ آن‌ها بحث می‌کنند</w:t>
      </w:r>
      <w:r>
        <w:rPr>
          <w:rFonts w:eastAsia="IRNazanin" w:cs="IRNazanin"/>
          <w:color w:val="111111"/>
          <w:sz w:val="28"/>
          <w:szCs w:val="28"/>
          <w:rtl w:val="true"/>
          <w:lang w:bidi="fa-IR"/>
        </w:rPr>
        <w:t>».</w:t>
      </w:r>
      <w:r>
        <w:rPr>
          <w:rStyle w:val="FootnoteAnchor"/>
          <w:rtl w:val="true"/>
        </w:rPr>
        <w:footnoteReference w:id="332"/>
      </w:r>
    </w:p>
    <w:p>
      <w:pPr>
        <w:pStyle w:val="BookText"/>
        <w:rPr/>
      </w:pPr>
      <w:r>
        <w:rPr>
          <w:rFonts w:ascii="IRNazanin" w:hAnsi="IRNazanin" w:eastAsia="IRNazanin"/>
          <w:color w:val="111111"/>
          <w:sz w:val="28"/>
          <w:sz w:val="28"/>
          <w:szCs w:val="28"/>
          <w:rtl w:val="true"/>
          <w:lang w:bidi="fa-IR"/>
        </w:rPr>
        <w:t>به نظر می‌رسد همین مسئله دربارۀ نظریۀ تکامل داروین و برخورد کلیسا با آن رخ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است که سمیوئل ویلبر فورس، اسقف انگلیکان،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الهی‌دانی خوب، اما زیست‌شناسی ضعیف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در سال </w:t>
      </w:r>
      <w:r>
        <w:rPr>
          <w:rFonts w:eastAsia="IRNazanin" w:cs="IRNazanin"/>
          <w:color w:val="111111"/>
          <w:sz w:val="28"/>
          <w:szCs w:val="28"/>
          <w:lang w:bidi="fa-IR"/>
        </w:rPr>
        <w:t>1860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انجمن بریتانیایی، پس از رد نظریه داروین، خطاب به توماس هاکسلی، زیست‌شناس انگلیسی و مدافع سرسخت نظریۀ داروین،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مایلم بدانم که تبار هاکسلی از جانب پدر بزرگ به میمون می‌رسد یا مادر بزرگ‌؟</w:t>
      </w:r>
      <w:r>
        <w:rPr>
          <w:rFonts w:eastAsia="IRNazanin" w:cs="IRNazanin"/>
          <w:color w:val="111111"/>
          <w:sz w:val="28"/>
          <w:szCs w:val="28"/>
          <w:rtl w:val="true"/>
          <w:lang w:bidi="fa-IR"/>
        </w:rPr>
        <w:t>».</w:t>
      </w:r>
      <w:r>
        <w:rPr>
          <w:rStyle w:val="FootnoteAnchor"/>
          <w:rtl w:val="true"/>
        </w:rPr>
        <w:footnoteReference w:id="333"/>
      </w:r>
    </w:p>
    <w:p>
      <w:pPr>
        <w:pStyle w:val="BookText"/>
        <w:rPr/>
      </w:pP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انسان زادۀ میمون است‌؟، ص </w:t>
      </w:r>
      <w:r>
        <w:rPr>
          <w:rFonts w:eastAsia="IRNazanin" w:cs="IRNazanin"/>
          <w:color w:val="111111"/>
          <w:sz w:val="28"/>
          <w:szCs w:val="28"/>
          <w:lang w:bidi="fa-IR"/>
        </w:rPr>
        <w:t>87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به نوشته آلیستر مک‌گراث، شاید این هم یکی از آن قصه‌های ساختگی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توضیح وی، ویلبرفورس مردی دقیق بود و بر کتاب منشأ انواع داروین مروری نوشت و ضعف‌های آن را نشان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داروین نیز این نقد را مهم شمرد و در ویرایش بعدی، کتاب را اصلاح کرد؛ حال آنکه این افسانه بعدها ساخته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واقع آن است که داروین، در زندگی خود شخصی معزز و محترم بود و حتی در انتهای کتابش می‌کوشید این‌گونه تعبیری دینی از نظریۀ خود به دست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در این برداشت از امر حیات، عظمتی واقعی به چشم نمی‌خورد که آفریدگار با توانایی‌های گوناگون بدواً در اشکال معدودی و حتی شاید در یک شکل تنها دمیده است و چون سیارۀ ما، زمین، از قانون ثابت جاذبه تبعیت می‌کند، به گردش در مدار خویش ادامه داده است و از آغازی سادهْ بی‌شمار، صور تحسین‌انگیز منبعث شده، از تکامل باز نایستاده‌اند هنوز هم در حال تکامل‌اند</w:t>
      </w:r>
      <w:r>
        <w:rPr>
          <w:rFonts w:eastAsia="IRNazanin" w:cs="IRNazanin"/>
          <w:color w:val="111111"/>
          <w:sz w:val="28"/>
          <w:szCs w:val="28"/>
          <w:rtl w:val="true"/>
          <w:lang w:bidi="fa-IR"/>
        </w:rPr>
        <w:t>.</w:t>
      </w:r>
      <w:r>
        <w:rPr>
          <w:rStyle w:val="FootnoteAnchor"/>
          <w:rtl w:val="true"/>
        </w:rPr>
        <w:footnoteReference w:id="334"/>
      </w:r>
    </w:p>
    <w:p>
      <w:pPr>
        <w:pStyle w:val="BookText"/>
        <w:rPr/>
      </w:pPr>
      <w:r>
        <w:rPr>
          <w:rFonts w:ascii="IRNazanin" w:hAnsi="IRNazanin" w:eastAsia="IRNazanin"/>
          <w:color w:val="111111"/>
          <w:sz w:val="28"/>
          <w:sz w:val="28"/>
          <w:szCs w:val="28"/>
          <w:rtl w:val="true"/>
          <w:lang w:bidi="fa-IR"/>
        </w:rPr>
        <w:t xml:space="preserve">منشأ انواع، ص </w:t>
      </w:r>
      <w:r>
        <w:rPr>
          <w:rFonts w:eastAsia="IRNazanin" w:cs="IRNazanin"/>
          <w:color w:val="111111"/>
          <w:sz w:val="28"/>
          <w:szCs w:val="28"/>
          <w:lang w:bidi="fa-IR"/>
        </w:rPr>
        <w:t>539</w:t>
      </w:r>
      <w:r>
        <w:rPr>
          <w:rFonts w:eastAsia="IRNazanin" w:cs="IRNazanin"/>
          <w:color w:val="111111"/>
          <w:sz w:val="28"/>
          <w:szCs w:val="28"/>
          <w:rtl w:val="true"/>
          <w:lang w:bidi="fa-IR"/>
        </w:rPr>
        <w:t>-</w:t>
      </w:r>
      <w:r>
        <w:rPr>
          <w:rFonts w:eastAsia="IRNazanin" w:cs="IRNazanin"/>
          <w:color w:val="111111"/>
          <w:sz w:val="28"/>
          <w:szCs w:val="28"/>
          <w:lang w:bidi="fa-IR"/>
        </w:rPr>
        <w:t>540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ایان باربور با نقل بخشی از نامۀ وی، از آن نوعی لاادری‌گری استنتاج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و دین، ص </w:t>
      </w:r>
      <w:r>
        <w:rPr>
          <w:rFonts w:eastAsia="IRNazanin" w:cs="IRNazanin"/>
          <w:color w:val="111111"/>
          <w:sz w:val="28"/>
          <w:szCs w:val="28"/>
          <w:lang w:bidi="fa-IR"/>
        </w:rPr>
        <w:t>112</w:t>
      </w:r>
      <w:r>
        <w:rPr>
          <w:rFonts w:eastAsia="IRNazanin" w:cs="IRNazanin"/>
          <w:color w:val="111111"/>
          <w:sz w:val="28"/>
          <w:szCs w:val="28"/>
          <w:rtl w:val="true"/>
          <w:lang w:bidi="fa-IR"/>
        </w:rPr>
        <w:t>-</w:t>
      </w:r>
      <w:r>
        <w:rPr>
          <w:rFonts w:eastAsia="IRNazanin" w:cs="IRNazanin"/>
          <w:color w:val="111111"/>
          <w:sz w:val="28"/>
          <w:szCs w:val="28"/>
          <w:lang w:bidi="fa-IR"/>
        </w:rPr>
        <w:t>113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کلیسا هم، دست‌کم کلیسای انگلیکان، کمتر از آنچه تصور می‌شود با نظریۀ تکامل داروین مخالفت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نوشتۀ کیچر، هنگامی که داروین در سال </w:t>
      </w:r>
      <w:r>
        <w:rPr>
          <w:rFonts w:eastAsia="IRNazanin" w:cs="IRNazanin"/>
          <w:color w:val="111111"/>
          <w:sz w:val="28"/>
          <w:szCs w:val="28"/>
          <w:lang w:bidi="fa-IR"/>
        </w:rPr>
        <w:t>1882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درگذشت و خانواده‌اش خواستند او را در حیات کلیسایی محلی خاک کنند، خواستۀ آنان بر اثر افکار عمومی مردم انگلیس نادیده گرفته شد و او را با احترام تمام تشییع کردند و در وست‌مینیستر آبی</w:t>
      </w:r>
      <w:r>
        <w:rPr>
          <w:rStyle w:val="FootnoteAnchor"/>
          <w:rtl w:val="true"/>
        </w:rPr>
        <w:footnoteReference w:id="335"/>
      </w:r>
      <w:r>
        <w:rPr>
          <w:rFonts w:ascii="IRNazanin" w:hAnsi="IRNazanin" w:eastAsia="IRNazanin"/>
          <w:color w:val="111111"/>
          <w:sz w:val="28"/>
          <w:sz w:val="28"/>
          <w:szCs w:val="28"/>
          <w:rtl w:val="true"/>
          <w:lang w:bidi="fa-IR"/>
        </w:rPr>
        <w:t>به خاک سپردند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دیگر نظریۀ او برای مسیحیت تهدیدی به شمار نمی‌رفت و کلیسای انگلیکان با او صلح کرده بود</w:t>
      </w:r>
      <w:r>
        <w:rPr>
          <w:rFonts w:eastAsia="IRNazanin" w:cs="IRNazanin"/>
          <w:color w:val="111111"/>
          <w:sz w:val="28"/>
          <w:szCs w:val="28"/>
          <w:rtl w:val="true"/>
          <w:lang w:bidi="fa-IR"/>
        </w:rPr>
        <w:t>.</w:t>
      </w:r>
      <w:r>
        <w:rPr>
          <w:rStyle w:val="FootnoteAnchor"/>
          <w:rtl w:val="true"/>
        </w:rPr>
        <w:footnoteReference w:id="336"/>
      </w:r>
      <w:r>
        <w:rPr>
          <w:rFonts w:eastAsia="Times New Roman" w:cs="Times New Roman" w:ascii="Times New Roman" w:hAnsi="Times New Roman"/>
          <w:color w:val="111111"/>
          <w:sz w:val="28"/>
          <w:szCs w:val="28"/>
          <w:rtl w:val="true"/>
          <w:lang w:val="en-US" w:bidi="en-US"/>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لذا در بحث علت رواج نظریۀ تکامل داروین نباید بلافاصله پای مسائل حاشیه‌ای را به میان کشید و ادعا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هدف، خرد کردن و له کردن دستگاه پاپ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ادعا درست نیست و اگر در پی دلایل رواج این نظریه باشیم، دلایل آشکارتری دارد که در اینجا به آن نمی‌پردازم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وانگهی در هر نظریه‌ای، از جمله نظریۀ تکامل داروین، کسانی ممکن است به دلایل سیاسی و اقتصادی جانب آن را بگیرند و رواجش</w:t>
      </w:r>
    </w:p>
    <w:p>
      <w:pPr>
        <w:pStyle w:val="BookText"/>
        <w:rPr/>
      </w:pPr>
      <w:r>
        <w:rPr>
          <w:rFonts w:ascii="IRNazanin" w:hAnsi="IRNazanin" w:eastAsia="IRNazanin"/>
          <w:color w:val="111111"/>
          <w:sz w:val="28"/>
          <w:sz w:val="28"/>
          <w:szCs w:val="28"/>
          <w:rtl w:val="true"/>
          <w:lang w:bidi="fa-IR"/>
        </w:rPr>
        <w:t>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متقابلاً عده‌ای ممکن است باز به دلایل سیاسی و اقتصادی با آن مخالفت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قضا، نظریۀ تکامل داروین چنین است و عده‌ای به دلایل سیاسی آن را رواج دادند و عده‌ای به دلایل سیاسی با آن مخالفت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درحالی‌که در نیمۀ اول قرن بیستم، تدریس تکامل در مدارس دولتی برخی ایالات امریکا ممنوع بود، به نوشتۀ شیخ‌رضایی و کرباسی‌زاده، در دورۀ جنگ سرد و در برابر پیشرفت‌های شوروی، این نظریه تدریس و منع آن نادیده گرفته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پایان جنگ سرد مجدداً تلاش شد تا این نظریه منع شود؛ اما به جای مواجهۀ صریح، نظریۀ خلقت‌گرایی پیشنهاد شد تا در کنار نظریۀ تکامل تدریس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پی آن، ایالت ارکانزاس در سال </w:t>
      </w:r>
      <w:r>
        <w:rPr>
          <w:rFonts w:eastAsia="IRNazanin" w:cs="IRNazanin"/>
          <w:color w:val="111111"/>
          <w:sz w:val="28"/>
          <w:szCs w:val="28"/>
          <w:lang w:bidi="fa-IR"/>
        </w:rPr>
        <w:t>1982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قانونی به سود این مسئله گذراند و خلقت‌گرایی نیز تدریس شد</w:t>
      </w:r>
      <w:r>
        <w:rPr>
          <w:rFonts w:eastAsia="IRNazanin" w:cs="IRNazanin"/>
          <w:color w:val="111111"/>
          <w:sz w:val="28"/>
          <w:szCs w:val="28"/>
          <w:rtl w:val="true"/>
          <w:lang w:bidi="fa-IR"/>
        </w:rPr>
        <w:t>.</w:t>
      </w:r>
      <w:r>
        <w:rPr>
          <w:rStyle w:val="FootnoteAnchor"/>
          <w:rtl w:val="true"/>
        </w:rPr>
        <w:footnoteReference w:id="337"/>
      </w:r>
    </w:p>
    <w:p>
      <w:pPr>
        <w:pStyle w:val="BookText"/>
        <w:rPr/>
      </w:pPr>
      <w:r>
        <w:rPr>
          <w:rFonts w:ascii="IRNazanin" w:hAnsi="IRNazanin" w:eastAsia="IRNazanin"/>
          <w:color w:val="111111"/>
          <w:sz w:val="28"/>
          <w:sz w:val="28"/>
          <w:szCs w:val="28"/>
          <w:rtl w:val="true"/>
          <w:lang w:bidi="fa-IR"/>
        </w:rPr>
        <w:t xml:space="preserve">آشنایی با فلسفۀ علم، ص </w:t>
      </w:r>
      <w:r>
        <w:rPr>
          <w:rFonts w:eastAsia="IRNazanin" w:cs="IRNazanin"/>
          <w:color w:val="111111"/>
          <w:sz w:val="28"/>
          <w:szCs w:val="28"/>
          <w:lang w:bidi="fa-IR"/>
        </w:rPr>
        <w:t>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حاصل آنکه در مباحث علمی باید بیاموزیم تا شعار قدیمی طلبگی همواره راهنمای عمل ما باشد و بگوییم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نحن ابناء الدلیل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رفتن سراغ مسائل دیگر و حواشی را بر متن مقدم داشتن، خلاف سنت علمی و ادب دینی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درس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سرمشق علم را جدی بگیریم، اما اسیر آن نشویم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اندیشوران دینی معاصر، به نظر می‌رسد دو شیوۀ مسلط وجود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تن دادن به سرمشق یا پارادایم علم و همه چیز را در چارچوب آن تفسیر کردن؛ دیگری تلاش برای حفظ فهم خود از دین، حتی به قیمت انکار علم و یافته‌های اساسی آن</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مسئله به‌خوبی در نظریۀ تکامل داروین آشکار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پیرو شیوۀ نخست هستند، گویی اعتقاد دارند که قرآن لزوماً 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علوم زمانه و نظریات علمی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سبب، کوشش می‌شود تا اصول نظریات علمی از دل قرآن استخراج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آن تلاش در جهت نشان دادن موافقت قرآن با نظریۀ تکامل است و کسانی که موفق به چنین فهمی نشده‌اند، متهم می‌شوند ناخواسته تحت تأثیر ادبیات اسرائیلی قرار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رویکرد تفسیر علمی قرآن، حاصل این نوع نگاه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دوره‌ای شاهد رواج این‌گونه تفسیرها بوده‌ایم تا جایی که ماهیت و انواع بادها و باران و بحث نبود اکسیژن در فضا از قرآن استخراج، و شیطان به افراد پلید و جن به میکروب تفسیر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مانند طنطاوی و در مواردی محمد عبده، از این شیوه استفاده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این نوع تکلفات و تحکیم اندیشه‌های علمی زمانه بر قرآن، عده‌ای به‌حق کوشیده‌اند قرآن را از این بند رها سازند، اما به قیمت بی‌اعتباری علم و یافته‌های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منظر، گاه نظریات علمی نوعی تعابیر شاعرانه یا قلم‌اندازی‌های نقاشانه تفسیر می‌شود که گویی هیچ اعتبار عینی ندارد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دانشمندان علوم طبیعی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نقاشانی تشبیه می‌شوند که در پی صورتگریِ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معشوقۀ نادیدۀ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برآمده‌اند و هرچه اتود می‌زنند، ممکن است سرانجام،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هیچ‌یک از آن‌ها با صورت واقعی او کاملاً تطبیق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نیز شرایط مضیقی برای قبول یک فرضیه وضع می‌کنند که نهایت آن نوعی شکاکیت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منظر، هر ادعا و نظریه‌ای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 قاطعی بر درستی یا نادرستی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دست نیامده است، فرضیه به شمار می‌رود و چون شاهد برخی نقض و ابرام‌ها در علم هستیم، نباید مانند زودباوران، نظریات علمی را پذیرا باشیم؛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به نام علم خوانده می‌شود، ممکن است گمانی بیش نباشد و دیری نپاید که بطلان آن ثابت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شکاکیتی است که امکان هر نوع علمی را از ما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از هزار سال مردم به نظریۀ زمین‌مرکزی باور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قرن شانزدهم میلادی به بعد، به‌تدریج کروی بودن زمین و چرخش آن به گرد خورشید یا نظریۀ خورشیدمرکزی پذیرفته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منطقاً ممکن است روزی این نظریه نیز ابطال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آیا کسی که این‌گونه استدلال می‌کند، حاضر است آن را در همه جا به کار برد؟</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نظر می‌رسد که راه حفظ باورهای دینی، نه کوشش در جهت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ساینتیفیک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ساختن آن‌هاست، نه کوس بی‌اعتباری علم و نظریات علمی را به صدا درآوردن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سویی باید بپذیریم که زبان دین و به طور خاصْ قرآن، زبان علم نیست</w:t>
      </w:r>
      <w:bookmarkStart w:id="294" w:name="pg14517_146332"/>
    </w:p>
    <w:p>
      <w:pPr>
        <w:pStyle w:val="BookText"/>
        <w:rPr/>
      </w:pPr>
      <w:bookmarkEnd w:id="294"/>
      <w:r>
        <w:rPr>
          <w:rFonts w:ascii="IRNazanin" w:hAnsi="IRNazanin" w:eastAsia="IRNazanin"/>
          <w:color w:val="111111"/>
          <w:sz w:val="28"/>
          <w:sz w:val="28"/>
          <w:szCs w:val="28"/>
          <w:rtl w:val="true"/>
          <w:lang w:bidi="fa-IR"/>
        </w:rPr>
        <w:t>و نباید لزوماً نظریات علمی از آن استخراج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نباید زبان قرآن مغایر و متضاد با علم زمانه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مطابقت با علم، امری است و عدم مخالفت با آن امری دیگر</w:t>
      </w:r>
      <w:r>
        <w:rPr>
          <w:rFonts w:eastAsia="IRNazanin" w:cs="IRNazanin"/>
          <w:color w:val="111111"/>
          <w:sz w:val="28"/>
          <w:szCs w:val="28"/>
          <w:rtl w:val="true"/>
          <w:lang w:bidi="fa-IR"/>
        </w:rPr>
        <w:t>.</w:t>
      </w:r>
    </w:p>
    <w:p>
      <w:pPr>
        <w:pStyle w:val="Heading3"/>
        <w:numPr>
          <w:ilvl w:val="2"/>
          <w:numId w:val="1"/>
        </w:numPr>
        <w:rPr/>
      </w:pPr>
      <w:bookmarkStart w:id="295" w:name="__RefHeading___Toc39814_1878427129"/>
      <w:bookmarkStart w:id="296" w:name="_Toc109"/>
      <w:bookmarkEnd w:id="295"/>
      <w:r>
        <w:rPr>
          <w:rtl w:val="true"/>
        </w:rPr>
        <w:t>کتاب نامه</w:t>
      </w:r>
      <w:bookmarkEnd w:id="29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آشنایی با فلسفۀ علم، حسین شیخ رضایی و امیراحسان کرباسی‌زاده، تهران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هرمس، </w:t>
      </w:r>
      <w:r>
        <w:rPr>
          <w:rFonts w:eastAsia="IRNazanin" w:cs="IRNazanin"/>
          <w:color w:val="111111"/>
          <w:sz w:val="28"/>
          <w:szCs w:val="28"/>
          <w:lang w:bidi="fa-IR"/>
        </w:rPr>
        <w:t>1391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نجفی و نقد فلسفه داروین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حامد ناجی اصفهانی، آینۀ پژوهش، شمارۀ </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 xml:space="preserve">، مهر و آبان </w:t>
      </w:r>
      <w:r>
        <w:rPr>
          <w:rFonts w:eastAsia="IRNazanin" w:cs="IRNazanin"/>
          <w:color w:val="111111"/>
          <w:sz w:val="28"/>
          <w:szCs w:val="28"/>
          <w:lang w:bidi="fa-IR"/>
        </w:rPr>
        <w:t>1390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اسس التقدم عند مفکری الاسلام، فهمی جدعان، عمان، اردن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الشروق للنشر و التوزیع، ویرایش دوم، </w:t>
      </w:r>
      <w:r>
        <w:rPr>
          <w:rFonts w:eastAsia="IRNazanin" w:cs="IRNazanin"/>
          <w:color w:val="111111"/>
          <w:sz w:val="28"/>
          <w:szCs w:val="28"/>
          <w:lang w:bidi="fa-IR"/>
        </w:rPr>
        <w:t>1988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اندیشه‌نامۀ علامه بلاغی، سید حسن اسلامی،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کنگرۀ بین‌المللی علامه بلاغی، </w:t>
      </w:r>
      <w:r>
        <w:rPr>
          <w:rFonts w:eastAsia="IRNazanin" w:cs="IRNazanin"/>
          <w:color w:val="111111"/>
          <w:sz w:val="28"/>
          <w:szCs w:val="28"/>
          <w:lang w:bidi="fa-IR"/>
        </w:rPr>
        <w:t>1386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بازسازی اندیشۀ دینی در اسلام، محمّد اقبال لاهوری، ترجمۀ محمد بقایی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فردوس،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بررسی‌های اسلامی، سید محمد حسین طباطبایی، به کوشش سید هادی خسروشاهی،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بوستان کتاب، </w:t>
      </w:r>
      <w:r>
        <w:rPr>
          <w:rFonts w:eastAsia="IRNazanin" w:cs="IRNazanin"/>
          <w:color w:val="111111"/>
          <w:sz w:val="28"/>
          <w:szCs w:val="28"/>
          <w:lang w:bidi="fa-IR"/>
        </w:rPr>
        <w:t>1387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نگرش جامعه‌شناختی به دین با تأکید بر نظریۀ دورکیم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سید حسن اسلامی، پژوهش و حوزه، شمارۀ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تابستان </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تاریخ علم و فن‌آوری، جمیز مک کِلیلَن و هَرولد دُرن، ترجمۀ عبد الحسین آذرنگ و نگار نادری،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w:t>
      </w:r>
      <w:r>
        <w:rPr>
          <w:rFonts w:eastAsia="IRNazanin" w:cs="IRNazanin"/>
          <w:color w:val="111111"/>
          <w:sz w:val="28"/>
          <w:szCs w:val="28"/>
          <w:lang w:bidi="fa-IR"/>
        </w:rPr>
        <w:t>1387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تفسیر نمونه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و بررسی تازه‌ای دربارۀ قرآن مجید با در نظر گرفتن نیازها، خواست‌ها، پرسش‌ها، مکتب‌ها و مسائل روز، با همکاری جمعی از نویسندگان، ویرایش دوم،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الاسلامیه،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تکامل، برایان چارلز ورث، و دبورا چارلز ورث، ترجمه عبدالمجید مهدوی دامغانی،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بصیرت، </w:t>
      </w:r>
      <w:r>
        <w:rPr>
          <w:rFonts w:eastAsia="IRNazanin" w:cs="IRNazanin"/>
          <w:color w:val="111111"/>
          <w:sz w:val="28"/>
          <w:szCs w:val="28"/>
          <w:lang w:bidi="fa-IR"/>
        </w:rPr>
        <w:t>1388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تکامل در قرآن، علی مشکینی،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حسین‌نژاد،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نشر فرهنگ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تکامل و رفتار انسان، جان کارترایت، ترجمۀ بهزاد سروری، ویراستۀ عبدالحسین وهابزاده، 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جهاد دانشگاهی، </w:t>
      </w:r>
      <w:r>
        <w:rPr>
          <w:rFonts w:eastAsia="IRNazanin" w:cs="IRNazanin"/>
          <w:color w:val="111111"/>
          <w:sz w:val="28"/>
          <w:szCs w:val="28"/>
          <w:lang w:bidi="fa-IR"/>
        </w:rPr>
        <w:t>1387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مسألۀ تحول و تطور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عبد الحسین زرین‌کوب، در حکایت همچنان باقی، تهران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سخن،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خلقت انسان از نظر قرآن، محمد تقی مصباح یزدی، نگارش محمود محمدی عراقی،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شفق،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خوابگردها، آرتور کوستلر، ترجمۀ منوچهر روحانی،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کتاب‌های جیبی، </w:t>
      </w:r>
      <w:r>
        <w:rPr>
          <w:rFonts w:eastAsia="IRNazanin" w:cs="IRNazanin"/>
          <w:color w:val="111111"/>
          <w:sz w:val="28"/>
          <w:szCs w:val="28"/>
          <w:lang w:bidi="fa-IR"/>
        </w:rPr>
        <w:t>1361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داروینیسم و مذهب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نبرد اندیشه‌ها در زیست‌شناسی، نور الدین فرهیخته،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1347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داروینیسم یا تکامل انواع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و تحلیل، جعفر سبحانی،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مؤسسۀ امام صادق علیه السلام، </w:t>
      </w:r>
      <w:r>
        <w:rPr>
          <w:rFonts w:eastAsia="IRNazanin" w:cs="IRNazanin"/>
          <w:color w:val="111111"/>
          <w:sz w:val="28"/>
          <w:szCs w:val="28"/>
          <w:lang w:bidi="fa-IR"/>
        </w:rPr>
        <w:t>1386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مواجهۀ ایرانیان با نظریۀ تکامل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محمد منصور هاشمی، دانش‌نامۀ جهان اسلام، زیر نظر غلامعلی حداد عادل، بنیاد دائرة المعارف اسلامی، </w:t>
      </w:r>
      <w:r>
        <w:rPr>
          <w:rFonts w:eastAsia="IRNazanin" w:cs="IRNazanin"/>
          <w:color w:val="111111"/>
          <w:sz w:val="28"/>
          <w:szCs w:val="28"/>
          <w:lang w:bidi="fa-IR"/>
        </w:rPr>
        <w:t>1383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 و 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دربارۀ دین، نانسی مورفی و النور استامپ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دیگران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ترجمۀ مالک حسینی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هرمس، </w:t>
      </w:r>
      <w:r>
        <w:rPr>
          <w:rFonts w:eastAsia="IRNazanin" w:cs="IRNazanin"/>
          <w:color w:val="111111"/>
          <w:sz w:val="28"/>
          <w:szCs w:val="28"/>
          <w:lang w:bidi="fa-IR"/>
        </w:rPr>
        <w:t>1383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رسائل اخوان الصفا و خلان الوفا، اخوان الصفا،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 الاعلام الاسلامی،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ج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سیر حکمت در اروپا، محمد علی فروغی،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زوار، </w:t>
      </w:r>
      <w:r>
        <w:rPr>
          <w:rFonts w:eastAsia="IRNazanin" w:cs="IRNazanin"/>
          <w:color w:val="111111"/>
          <w:sz w:val="28"/>
          <w:szCs w:val="28"/>
          <w:lang w:bidi="fa-IR"/>
        </w:rPr>
        <w:t>1344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علم و دین، ایان باربور، ترجمۀ بهاء الدین خرمشاهی،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نشر دانشگاهی، </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علم و دین از تعارض تا گفتگو، جان اف هات، ترجمۀ بتول نجفی،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طه،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فلسفه اولی یا مابعدالطبیعه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ابوالحسن شعرانی، در فرزانه ناشناخته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یادنامه علامه ابوالحسن شعرانی،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بوستان کتاب،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تکامل باوری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واینر، فیلیپ پی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ویراستار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فرهنگ تاریخ اندیشه‌ها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مطالعاتی دربارۀ گزیده‌ای از اندیشه‌های اساسی،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سعاد، </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فلسفۀ المشروع الحضاری، بین الاحیاء الاسلامی و التحدیث الغربی، احمد محمد جاد عبد الرازق، ویرجینیا، آمریکا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المعهد العالمی للفکر الاسلامی، </w:t>
      </w:r>
      <w:r>
        <w:rPr>
          <w:rFonts w:eastAsia="IRNazanin" w:cs="IRNazanin"/>
          <w:color w:val="111111"/>
          <w:sz w:val="28"/>
          <w:szCs w:val="28"/>
          <w:lang w:bidi="fa-IR"/>
        </w:rPr>
        <w:t>1995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راه‌های ارتباط علم و الاهیات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ایان باربور، در فیزیک، فلسفه، و الاهیات، ویراستۀ رابرت راسل، ویلیام، 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اشتوتگر و جرج،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کونیه، ترجمه همایون همتی،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پژوهشگاه فرهنگ و اندیشۀ اسلامی، </w:t>
      </w:r>
      <w:r>
        <w:rPr>
          <w:rFonts w:eastAsia="IRNazanin" w:cs="IRNazanin"/>
          <w:color w:val="111111"/>
          <w:sz w:val="28"/>
          <w:szCs w:val="28"/>
          <w:lang w:bidi="fa-IR"/>
        </w:rPr>
        <w:t>1384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فیلسوف‌نماها، ناصر مکارم شیرازی،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الاسلامیه،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مجید، یداللّه سحابی، تکامل و خلقت انسان،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بنیاد فرهنگی مهندس بازرگان، </w:t>
      </w:r>
      <w:r>
        <w:rPr>
          <w:rFonts w:eastAsia="IRNazanin" w:cs="IRNazanin"/>
          <w:color w:val="111111"/>
          <w:sz w:val="28"/>
          <w:szCs w:val="28"/>
          <w:lang w:bidi="fa-IR"/>
        </w:rPr>
        <w:t>1387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گالیله، استیلمن درَیک، ترجمۀ محمدرضا بهاری،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طرح نو،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مبانی انسان‌شناسی در قرآن، عبد اللّه نصری،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 و اندیشۀ معاصر،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مثنوی، جلال الدین محمّد بلخی، تصحیح محمد استعلامی،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زوار، </w:t>
      </w:r>
      <w:r>
        <w:rPr>
          <w:rFonts w:eastAsia="IRNazanin" w:cs="IRNazanin"/>
          <w:color w:val="111111"/>
          <w:sz w:val="28"/>
          <w:szCs w:val="28"/>
          <w:lang w:bidi="fa-IR"/>
        </w:rPr>
        <w:t>1372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گرایش به مادیگری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مجموعه آثار، مرتضی مطهری،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صدرا، ج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جاودانگی اصول اخلاقی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مرتضی مطهری، در مجموعه آثار،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صدرا، ج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مجموعه رسائل و مقالات سید جمال الدین حسینی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اسدآبادی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سید جمال الدین اسدآبادی، به کوشش سید هادی خسروشاهی،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کلبه شروق و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بررسی‌های اسلامی،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معارف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خداشناسی، محمد تقی مصباح یزدی، کیهان‌شناسی و انسان‌شناسی،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مؤسسۀ آموزشی و پژوهشی امام خمینی، </w:t>
      </w:r>
      <w:r>
        <w:rPr>
          <w:rFonts w:eastAsia="IRNazanin" w:cs="IRNazanin"/>
          <w:color w:val="111111"/>
          <w:sz w:val="28"/>
          <w:szCs w:val="28"/>
          <w:lang w:bidi="fa-IR"/>
        </w:rPr>
        <w:t>1384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 و تکامل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مرتضی مطهری، در مقالات فلسفی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 آثار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تهران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صدرا، ج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منشأ انواع، چارلز داروین، ترجمۀ نور الدین فرهیخته، ارومیه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انزلی، </w:t>
      </w:r>
      <w:r>
        <w:rPr>
          <w:rFonts w:eastAsia="IRNazanin" w:cs="IRNazanin"/>
          <w:color w:val="111111"/>
          <w:sz w:val="28"/>
          <w:szCs w:val="28"/>
          <w:lang w:bidi="fa-IR"/>
        </w:rPr>
        <w:t>1363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منشور جاوید، جعفر سبحانی،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امام صادق، </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انوار الهدی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محمد جواد بلاغی، تحقیق اسعد طیب، در موسوعه العلامه البلاغی، مجموعه من المحققین، اشراف علی اوسط الناطقی،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العلوم والثقافه الاسلامیه،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1428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موضع علم و دین در خلقت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داروینیسم و عدم تعارض آن با ادیان الهی، احد فرامرز قراملکی،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مؤسسۀ فرهنگی آرایه، </w:t>
      </w:r>
      <w:r>
        <w:rPr>
          <w:rFonts w:eastAsia="IRNazanin" w:cs="IRNazanin"/>
          <w:color w:val="111111"/>
          <w:sz w:val="28"/>
          <w:szCs w:val="28"/>
          <w:lang w:bidi="fa-IR"/>
        </w:rPr>
        <w:t>1373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مسئله، دو رویکرد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اولین مواجهۀ ایرانیان با نظریۀ تکامل داروین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هاشمی، محمد منصور، مهرنامه، شمارۀ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شهریور </w:t>
      </w:r>
      <w:r>
        <w:rPr>
          <w:rFonts w:eastAsia="IRNazanin" w:cs="IRNazanin"/>
          <w:color w:val="111111"/>
          <w:sz w:val="28"/>
          <w:szCs w:val="28"/>
          <w:lang w:bidi="fa-IR"/>
        </w:rPr>
        <w:t>1390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المیزان فی تفسیر القرآن، سید محمد حسین طباطبایی،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اسماعیلیان، </w:t>
      </w:r>
      <w:r>
        <w:rPr>
          <w:rFonts w:eastAsia="IRNazanin" w:cs="IRNazanin"/>
          <w:color w:val="111111"/>
          <w:sz w:val="28"/>
          <w:szCs w:val="28"/>
          <w:lang w:bidi="fa-IR"/>
        </w:rPr>
        <w:t>1371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نظریۀ تکامل از دیدگاه قرآن، مسیح مهاجری،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نشر فرهنگ اسلامی، </w:t>
      </w:r>
      <w:r>
        <w:rPr>
          <w:rFonts w:eastAsia="IRNazanin" w:cs="IRNazanin"/>
          <w:color w:val="111111"/>
          <w:sz w:val="28"/>
          <w:szCs w:val="28"/>
          <w:lang w:bidi="fa-IR"/>
        </w:rPr>
        <w:t>1363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درس‌نامۀ خدا و نظریۀ تکاملی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سید حسن اسلامی، هفت آسمان، شمارۀ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پاییز </w:t>
      </w:r>
      <w:r>
        <w:rPr>
          <w:rFonts w:eastAsia="IRNazanin" w:cs="IRNazanin"/>
          <w:color w:val="111111"/>
          <w:sz w:val="28"/>
          <w:szCs w:val="28"/>
          <w:lang w:bidi="fa-IR"/>
        </w:rPr>
        <w:t>1387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w:t>
      </w:r>
      <w:r>
        <w:rPr>
          <w:rFonts w:eastAsia="Times New Roman" w:cs="Times New Roman" w:ascii="Times New Roman" w:hAnsi="Times New Roman"/>
          <w:color w:val="111111"/>
          <w:sz w:val="28"/>
          <w:szCs w:val="28"/>
          <w:lang w:val="en-US" w:bidi="en-US"/>
        </w:rPr>
        <w:t>r cisco J, "The Evolution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ک </w:t>
      </w:r>
      <w:r>
        <w:rPr>
          <w:rFonts w:eastAsia="Times New Roman" w:cs="Times New Roman" w:ascii="Times New Roman" w:hAnsi="Times New Roman"/>
          <w:color w:val="111111"/>
          <w:sz w:val="28"/>
          <w:szCs w:val="28"/>
          <w:lang w:val="en-US" w:bidi="en-US"/>
        </w:rPr>
        <w:t>L</w:t>
      </w:r>
      <w:r>
        <w:rPr>
          <w:rFonts w:ascii="IRNazanin" w:hAnsi="IRNazanin" w:eastAsia="IRNazanin"/>
          <w:color w:val="111111"/>
          <w:sz w:val="28"/>
          <w:sz w:val="28"/>
          <w:szCs w:val="28"/>
          <w:rtl w:val="true"/>
          <w:lang w:bidi="fa-IR"/>
        </w:rPr>
        <w:t>ک</w:t>
      </w:r>
      <w:r>
        <w:rPr>
          <w:rFonts w:eastAsia="Times New Roman" w:cs="Times New Roman" w:ascii="Times New Roman" w:hAnsi="Times New Roman"/>
          <w:color w:val="111111"/>
          <w:sz w:val="28"/>
          <w:szCs w:val="28"/>
          <w:lang w:val="en-US" w:bidi="en-US"/>
        </w:rPr>
        <w:t>e: Overview", in God Evolution: Re er , edited by M y K hleenh m, London d New d Cunning York, Routl edge, 2007 47. B estr Dominic J, "Science d Religion", in</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Phil osophy</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ک </w:t>
      </w:r>
      <w:r>
        <w:rPr>
          <w:rFonts w:eastAsia="Times New Roman" w:cs="Times New Roman" w:ascii="Times New Roman" w:hAnsi="Times New Roman"/>
          <w:color w:val="111111"/>
          <w:sz w:val="28"/>
          <w:szCs w:val="28"/>
          <w:lang w:val="en-US" w:bidi="en-US"/>
        </w:rPr>
        <w:t>Religion: uide to the Subject , edited by Bri D ves OP, London, C sel, 1998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B bour, I G. Religion in 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ک </w:t>
      </w:r>
      <w:r>
        <w:rPr>
          <w:rFonts w:eastAsia="Times New Roman" w:cs="Times New Roman" w:ascii="Times New Roman" w:hAnsi="Times New Roman"/>
          <w:color w:val="111111"/>
          <w:sz w:val="28"/>
          <w:szCs w:val="28"/>
          <w:lang w:val="en-US" w:bidi="en-US"/>
        </w:rPr>
        <w:t>Science: The G</w:t>
      </w:r>
      <w:r>
        <w:rPr>
          <w:rFonts w:ascii="IRNazanin" w:hAnsi="IRNazanin" w:eastAsia="IRNazanin"/>
          <w:color w:val="111111"/>
          <w:sz w:val="28"/>
          <w:sz w:val="28"/>
          <w:szCs w:val="28"/>
          <w:rtl w:val="true"/>
          <w:lang w:bidi="fa-IR"/>
        </w:rPr>
        <w:t>ک</w:t>
      </w:r>
      <w:r>
        <w:rPr>
          <w:rFonts w:eastAsia="Times New Roman" w:cs="Times New Roman" w:ascii="Times New Roman" w:hAnsi="Times New Roman"/>
          <w:color w:val="111111"/>
          <w:sz w:val="28"/>
          <w:szCs w:val="28"/>
          <w:lang w:val="en-US" w:bidi="en-US"/>
        </w:rPr>
        <w:t>ford Lectures ,1989-1991, New York, H perC ollins Publishers, 1990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Behe, Mich l J</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D win's Bl k Box: The Bioch emic Ch lenges toEvo lution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ک</w:t>
      </w:r>
      <w:r>
        <w:rPr>
          <w:rFonts w:eastAsia="Times New Roman" w:cs="Times New Roman" w:ascii="Times New Roman" w:hAnsi="Times New Roman"/>
          <w:color w:val="111111"/>
          <w:sz w:val="28"/>
          <w:szCs w:val="28"/>
          <w:lang w:val="en-US" w:bidi="en-US"/>
        </w:rPr>
        <w:t>ree Press, New York, 2006.50. Dunb , Robin, Louise B rett, d John Lycett</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Evol ution y psychology: eginner's Guide , O</w:t>
      </w:r>
      <w:r>
        <w:rPr>
          <w:rFonts w:ascii="IRNazanin" w:hAnsi="IRNazanin" w:eastAsia="IRNazanin"/>
          <w:color w:val="111111"/>
          <w:sz w:val="28"/>
          <w:sz w:val="28"/>
          <w:szCs w:val="28"/>
          <w:rtl w:val="true"/>
          <w:lang w:bidi="fa-IR"/>
        </w:rPr>
        <w:t>ک</w:t>
      </w:r>
      <w:r>
        <w:rPr>
          <w:rFonts w:eastAsia="Times New Roman" w:cs="Times New Roman" w:ascii="Times New Roman" w:hAnsi="Times New Roman"/>
          <w:color w:val="111111"/>
          <w:sz w:val="28"/>
          <w:szCs w:val="28"/>
          <w:lang w:val="en-US" w:bidi="en-US"/>
        </w:rPr>
        <w:t>ord, O</w:t>
      </w:r>
      <w:r>
        <w:rPr>
          <w:rFonts w:ascii="IRNazanin" w:hAnsi="IRNazanin" w:eastAsia="IRNazanin"/>
          <w:color w:val="111111"/>
          <w:sz w:val="28"/>
          <w:sz w:val="28"/>
          <w:szCs w:val="28"/>
          <w:rtl w:val="true"/>
          <w:lang w:bidi="fa-IR"/>
        </w:rPr>
        <w:t>ک</w:t>
      </w:r>
      <w:r>
        <w:rPr>
          <w:rFonts w:eastAsia="Times New Roman" w:cs="Times New Roman" w:ascii="Times New Roman" w:hAnsi="Times New Roman"/>
          <w:color w:val="111111"/>
          <w:sz w:val="28"/>
          <w:szCs w:val="28"/>
          <w:lang w:val="en-US" w:bidi="en-US"/>
        </w:rPr>
        <w:t>ord, 2005.51. Gr ling, C, "D kins d The Virus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کک </w:t>
      </w:r>
      <w:r>
        <w:rPr>
          <w:rFonts w:eastAsia="Times New Roman" w:cs="Times New Roman" w:ascii="Times New Roman" w:hAnsi="Times New Roman"/>
          <w:color w:val="111111"/>
          <w:sz w:val="28"/>
          <w:szCs w:val="28"/>
          <w:lang w:val="en-US" w:bidi="en-US"/>
        </w:rPr>
        <w:t>th" in</w:t>
      </w:r>
    </w:p>
    <w:p>
      <w:pPr>
        <w:pStyle w:val="BookText"/>
        <w:rPr/>
      </w:pPr>
      <w:r>
        <w:rPr>
          <w:rFonts w:eastAsia="Times New Roman" w:cs="Times New Roman" w:ascii="Times New Roman" w:hAnsi="Times New Roman"/>
          <w:color w:val="111111"/>
          <w:sz w:val="28"/>
          <w:szCs w:val="28"/>
          <w:lang w:val="en-US" w:bidi="en-US"/>
        </w:rPr>
        <w:t>Rich d D kins: How Scientist Ch ged The W Think, R</w:t>
      </w:r>
      <w:r>
        <w:rPr>
          <w:rFonts w:ascii="IRNazanin" w:hAnsi="IRNazanin" w:eastAsia="IRNazanin"/>
          <w:color w:val="111111"/>
          <w:sz w:val="28"/>
          <w:sz w:val="28"/>
          <w:szCs w:val="28"/>
          <w:rtl w:val="true"/>
          <w:lang w:bidi="fa-IR"/>
        </w:rPr>
        <w:t>ک</w:t>
      </w:r>
      <w:r>
        <w:rPr>
          <w:rFonts w:eastAsia="Times New Roman" w:cs="Times New Roman" w:ascii="Times New Roman" w:hAnsi="Times New Roman"/>
          <w:color w:val="111111"/>
          <w:sz w:val="28"/>
          <w:szCs w:val="28"/>
          <w:lang w:val="en-US" w:bidi="en-US"/>
        </w:rPr>
        <w:t>le ctions by Scientists , Writers, dPhil osophers, edited by Gr</w:t>
      </w:r>
      <w:r>
        <w:rPr>
          <w:rFonts w:ascii="IRNazanin" w:hAnsi="IRNazanin" w:eastAsia="IRNazanin"/>
          <w:color w:val="111111"/>
          <w:sz w:val="28"/>
          <w:sz w:val="28"/>
          <w:szCs w:val="28"/>
          <w:rtl w:val="true"/>
          <w:lang w:bidi="fa-IR"/>
        </w:rPr>
        <w:t>ک</w:t>
      </w:r>
      <w:r>
        <w:rPr>
          <w:rFonts w:eastAsia="Times New Roman" w:cs="Times New Roman" w:ascii="Times New Roman" w:hAnsi="Times New Roman"/>
          <w:color w:val="111111"/>
          <w:sz w:val="28"/>
          <w:szCs w:val="28"/>
          <w:lang w:val="en-US" w:bidi="en-US"/>
        </w:rPr>
        <w:t>en d M k Ridley, O</w:t>
      </w:r>
      <w:r>
        <w:rPr>
          <w:rFonts w:ascii="IRNazanin" w:hAnsi="IRNazanin" w:eastAsia="IRNazanin"/>
          <w:color w:val="111111"/>
          <w:sz w:val="28"/>
          <w:sz w:val="28"/>
          <w:szCs w:val="28"/>
          <w:rtl w:val="true"/>
          <w:lang w:bidi="fa-IR"/>
        </w:rPr>
        <w:t>ک</w:t>
      </w:r>
      <w:r>
        <w:rPr>
          <w:rFonts w:eastAsia="Times New Roman" w:cs="Times New Roman" w:ascii="Times New Roman" w:hAnsi="Times New Roman"/>
          <w:color w:val="111111"/>
          <w:sz w:val="28"/>
          <w:szCs w:val="28"/>
          <w:lang w:val="en-US" w:bidi="en-US"/>
        </w:rPr>
        <w:t>ord Unive rsity Press, O</w:t>
      </w:r>
      <w:r>
        <w:rPr>
          <w:rFonts w:ascii="IRNazanin" w:hAnsi="IRNazanin" w:eastAsia="IRNazanin"/>
          <w:color w:val="111111"/>
          <w:sz w:val="28"/>
          <w:sz w:val="28"/>
          <w:szCs w:val="28"/>
          <w:rtl w:val="true"/>
          <w:lang w:bidi="fa-IR"/>
        </w:rPr>
        <w:t>ک</w:t>
      </w:r>
      <w:r>
        <w:rPr>
          <w:rFonts w:eastAsia="Times New Roman" w:cs="Times New Roman" w:ascii="Times New Roman" w:hAnsi="Times New Roman"/>
          <w:color w:val="111111"/>
          <w:sz w:val="28"/>
          <w:szCs w:val="28"/>
          <w:lang w:val="en-US" w:bidi="en-US"/>
        </w:rPr>
        <w:t>ord, 2006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Gould, Stephen J d Rich d C. Lewontin, "The Sp d rels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ک </w:t>
      </w:r>
      <w:r>
        <w:rPr>
          <w:rFonts w:eastAsia="Times New Roman" w:cs="Times New Roman" w:ascii="Times New Roman" w:hAnsi="Times New Roman"/>
          <w:color w:val="111111"/>
          <w:sz w:val="28"/>
          <w:szCs w:val="28"/>
          <w:lang w:val="en-US" w:bidi="en-US"/>
        </w:rPr>
        <w:t>S M co d the P gl ossi P igm: Critique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ک </w:t>
      </w:r>
      <w:r>
        <w:rPr>
          <w:rFonts w:eastAsia="Times New Roman" w:cs="Times New Roman" w:ascii="Times New Roman" w:hAnsi="Times New Roman"/>
          <w:color w:val="111111"/>
          <w:sz w:val="28"/>
          <w:szCs w:val="28"/>
          <w:lang w:val="en-US" w:bidi="en-US"/>
        </w:rPr>
        <w:t>the t ionist No,Progr me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Proce edings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ک </w:t>
      </w:r>
      <w:r>
        <w:rPr>
          <w:rFonts w:eastAsia="Times New Roman" w:cs="Times New Roman" w:ascii="Times New Roman" w:hAnsi="Times New Roman"/>
          <w:color w:val="111111"/>
          <w:sz w:val="28"/>
          <w:szCs w:val="28"/>
          <w:lang w:val="en-US" w:bidi="en-US"/>
        </w:rPr>
        <w:t>the Roy Society</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ک </w:t>
      </w:r>
      <w:r>
        <w:rPr>
          <w:rFonts w:eastAsia="Times New Roman" w:cs="Times New Roman" w:ascii="Times New Roman" w:hAnsi="Times New Roman"/>
          <w:color w:val="111111"/>
          <w:sz w:val="28"/>
          <w:szCs w:val="28"/>
          <w:lang w:val="en-US" w:bidi="en-US"/>
        </w:rPr>
        <w:t>London, Vol., 205, 1161,1979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 tm n St</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Evolut ionism " , in The Brill Dictio n y</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ک </w:t>
      </w:r>
      <w:r>
        <w:rPr>
          <w:rFonts w:eastAsia="Times New Roman" w:cs="Times New Roman" w:ascii="Times New Roman" w:hAnsi="Times New Roman"/>
          <w:color w:val="111111"/>
          <w:sz w:val="28"/>
          <w:szCs w:val="28"/>
          <w:lang w:val="en-US" w:bidi="en-US"/>
        </w:rPr>
        <w:t>Religion,edited by Kocku von Stuckr , Revised edition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ک </w:t>
      </w:r>
      <w:r>
        <w:rPr>
          <w:rFonts w:eastAsia="Times New Roman" w:cs="Times New Roman" w:ascii="Times New Roman" w:hAnsi="Times New Roman"/>
          <w:color w:val="111111"/>
          <w:sz w:val="28"/>
          <w:szCs w:val="28"/>
          <w:lang w:val="en-US" w:bidi="en-US"/>
        </w:rPr>
        <w:t>Metzler Lexicon Religion edited by Christoph f th, Jutt Bern d d Hubert Mohr, Tr sl ed</w:t>
      </w:r>
      <w:r>
        <w:rPr>
          <w:rFonts w:ascii="IRNazanin" w:hAnsi="IRNazanin" w:eastAsia="IRNazanin"/>
          <w:color w:val="111111"/>
          <w:sz w:val="28"/>
          <w:sz w:val="28"/>
          <w:szCs w:val="28"/>
          <w:rtl w:val="true"/>
          <w:lang w:bidi="fa-IR"/>
        </w:rPr>
        <w:t>ک</w:t>
      </w:r>
      <w:r>
        <w:rPr>
          <w:rFonts w:eastAsia="Times New Roman" w:cs="Times New Roman" w:ascii="Times New Roman" w:hAnsi="Times New Roman"/>
          <w:color w:val="111111"/>
          <w:sz w:val="28"/>
          <w:szCs w:val="28"/>
          <w:lang w:val="en-US" w:bidi="en-US"/>
        </w:rPr>
        <w:t>rom Germ by Robert, R . B r, Brill, leiden d Boston, 2007, Vol. 2 p. 687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 ker, Willi , "Theism d</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l, Leiden d Boston, 2007, Vol, 2.evoluti on y biology", in Comp ion to Philosophy</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ک </w:t>
      </w:r>
      <w:r>
        <w:rPr>
          <w:rFonts w:eastAsia="Times New Roman" w:cs="Times New Roman" w:ascii="Times New Roman" w:hAnsi="Times New Roman"/>
          <w:color w:val="111111"/>
          <w:sz w:val="28"/>
          <w:szCs w:val="28"/>
          <w:lang w:val="en-US" w:bidi="en-US"/>
        </w:rPr>
        <w:t>Religion , edited byPhilip L. Quinn d Ch les T i</w:t>
      </w:r>
      <w:r>
        <w:rPr>
          <w:rFonts w:ascii="IRNazanin" w:hAnsi="IRNazanin" w:eastAsia="IRNazanin"/>
          <w:color w:val="111111"/>
          <w:sz w:val="28"/>
          <w:sz w:val="28"/>
          <w:szCs w:val="28"/>
          <w:rtl w:val="true"/>
          <w:lang w:bidi="fa-IR"/>
        </w:rPr>
        <w:t>ک</w:t>
      </w:r>
      <w:r>
        <w:rPr>
          <w:rFonts w:eastAsia="Times New Roman" w:cs="Times New Roman" w:ascii="Times New Roman" w:hAnsi="Times New Roman"/>
          <w:color w:val="111111"/>
          <w:sz w:val="28"/>
          <w:szCs w:val="28"/>
          <w:lang w:val="en-US" w:bidi="en-US"/>
        </w:rPr>
        <w:t>erro, O</w:t>
      </w:r>
      <w:r>
        <w:rPr>
          <w:rFonts w:ascii="IRNazanin" w:hAnsi="IRNazanin" w:eastAsia="IRNazanin"/>
          <w:color w:val="111111"/>
          <w:sz w:val="28"/>
          <w:sz w:val="28"/>
          <w:szCs w:val="28"/>
          <w:rtl w:val="true"/>
          <w:lang w:bidi="fa-IR"/>
        </w:rPr>
        <w:t>ک</w:t>
      </w:r>
      <w:r>
        <w:rPr>
          <w:rFonts w:eastAsia="Times New Roman" w:cs="Times New Roman" w:ascii="Times New Roman" w:hAnsi="Times New Roman"/>
          <w:color w:val="111111"/>
          <w:sz w:val="28"/>
          <w:szCs w:val="28"/>
          <w:lang w:val="en-US" w:bidi="en-US"/>
        </w:rPr>
        <w:t>ord, Bl kwell Publi shing, 1997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Kitcher, Philip, "The M y-Sided Co</w:t>
      </w:r>
      <w:r>
        <w:rPr>
          <w:rFonts w:ascii="IRNazanin" w:hAnsi="IRNazanin" w:eastAsia="IRNazanin"/>
          <w:color w:val="111111"/>
          <w:sz w:val="28"/>
          <w:sz w:val="28"/>
          <w:szCs w:val="28"/>
          <w:rtl w:val="true"/>
          <w:lang w:bidi="fa-IR"/>
        </w:rPr>
        <w:t>ک</w:t>
      </w:r>
      <w:r>
        <w:rPr>
          <w:rFonts w:eastAsia="Times New Roman" w:cs="Times New Roman" w:ascii="Times New Roman" w:hAnsi="Times New Roman"/>
          <w:color w:val="111111"/>
          <w:sz w:val="28"/>
          <w:szCs w:val="28"/>
          <w:lang w:val="en-US" w:bidi="en-US"/>
        </w:rPr>
        <w:t>lict Between Science d Religion",in The Bl kwell Guide to the philoso phy</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ک </w:t>
      </w:r>
      <w:r>
        <w:rPr>
          <w:rFonts w:eastAsia="Times New Roman" w:cs="Times New Roman" w:ascii="Times New Roman" w:hAnsi="Times New Roman"/>
          <w:color w:val="111111"/>
          <w:sz w:val="28"/>
          <w:szCs w:val="28"/>
          <w:lang w:val="en-US" w:bidi="en-US"/>
        </w:rPr>
        <w:t>Religion , edited by Willi E.M n, Bl kwell Publishing, M den, US, 2005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L he , Willi</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The Voy 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ک </w:t>
      </w:r>
      <w:r>
        <w:rPr>
          <w:rFonts w:eastAsia="Times New Roman" w:cs="Times New Roman" w:ascii="Times New Roman" w:hAnsi="Times New Roman"/>
          <w:color w:val="111111"/>
          <w:sz w:val="28"/>
          <w:szCs w:val="28"/>
          <w:lang w:val="en-US" w:bidi="en-US"/>
        </w:rPr>
        <w:t>Discovery: History</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ک </w:t>
      </w:r>
      <w:r>
        <w:rPr>
          <w:rFonts w:eastAsia="Times New Roman" w:cs="Times New Roman" w:ascii="Times New Roman" w:hAnsi="Times New Roman"/>
          <w:color w:val="111111"/>
          <w:sz w:val="28"/>
          <w:szCs w:val="28"/>
          <w:lang w:val="en-US" w:bidi="en-US"/>
        </w:rPr>
        <w:t>Western Philo sophy , Belmont, W sworth Publishing Comp y, 1996.57. McGr h, ister 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Science &amp; Religion: New Introd uction , second edition,Wiley-Bl kwell, O</w:t>
      </w:r>
      <w:r>
        <w:rPr>
          <w:rFonts w:ascii="IRNazanin" w:hAnsi="IRNazanin" w:eastAsia="IRNazanin"/>
          <w:color w:val="111111"/>
          <w:sz w:val="28"/>
          <w:sz w:val="28"/>
          <w:szCs w:val="28"/>
          <w:rtl w:val="true"/>
          <w:lang w:bidi="fa-IR"/>
        </w:rPr>
        <w:t>ک</w:t>
      </w:r>
      <w:r>
        <w:rPr>
          <w:rFonts w:eastAsia="Times New Roman" w:cs="Times New Roman" w:ascii="Times New Roman" w:hAnsi="Times New Roman"/>
          <w:color w:val="111111"/>
          <w:sz w:val="28"/>
          <w:szCs w:val="28"/>
          <w:lang w:val="en-US" w:bidi="en-US"/>
        </w:rPr>
        <w:t>ord, UK, 2010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the Issues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Morvillo, N cy, Science d Religion: Unders t ding Wiley-Bl kwell, M den, US 2010.59. Pope P l II, John, "Mess e to Pont</w:t>
      </w:r>
      <w:r>
        <w:rPr>
          <w:rFonts w:ascii="IRNazanin" w:hAnsi="IRNazanin" w:eastAsia="IRNazanin"/>
          <w:color w:val="111111"/>
          <w:sz w:val="28"/>
          <w:sz w:val="28"/>
          <w:szCs w:val="28"/>
          <w:rtl w:val="true"/>
          <w:lang w:bidi="fa-IR"/>
        </w:rPr>
        <w:t>ک</w:t>
      </w:r>
      <w:r>
        <w:rPr>
          <w:rFonts w:eastAsia="Times New Roman" w:cs="Times New Roman" w:ascii="Times New Roman" w:hAnsi="Times New Roman"/>
          <w:color w:val="111111"/>
          <w:sz w:val="28"/>
          <w:szCs w:val="28"/>
          <w:lang w:val="en-US" w:bidi="en-US"/>
        </w:rPr>
        <w:t>ic emy</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ک </w:t>
      </w:r>
      <w:r>
        <w:rPr>
          <w:rFonts w:eastAsia="Times New Roman" w:cs="Times New Roman" w:ascii="Times New Roman" w:hAnsi="Times New Roman"/>
          <w:color w:val="111111"/>
          <w:sz w:val="28"/>
          <w:szCs w:val="28"/>
          <w:lang w:val="en-US" w:bidi="en-US"/>
        </w:rPr>
        <w:t>Sciences", V ic ,22 October 1996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Pope Pius XII, "Hum i Generis", V ic , gust, 12, 1950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Ruse, Mich l, "Biology", in The Routledge Comp ion to Ethics , edited byJohn Skorupski, London d New York, 2010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Ruse, Mich l, "Is There Limit to Our Knowledge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ک </w:t>
      </w:r>
      <w:r>
        <w:rPr>
          <w:rFonts w:eastAsia="Times New Roman" w:cs="Times New Roman" w:ascii="Times New Roman" w:hAnsi="Times New Roman"/>
          <w:color w:val="111111"/>
          <w:sz w:val="28"/>
          <w:szCs w:val="28"/>
          <w:lang w:val="en-US" w:bidi="en-US"/>
        </w:rPr>
        <w:t>Evolution?" in</w:t>
      </w:r>
    </w:p>
    <w:p>
      <w:pPr>
        <w:pStyle w:val="BookText"/>
        <w:rPr/>
      </w:pPr>
      <w:r>
        <w:rPr>
          <w:rFonts w:eastAsia="Times New Roman" w:cs="Times New Roman" w:ascii="Times New Roman" w:hAnsi="Times New Roman"/>
          <w:color w:val="111111"/>
          <w:sz w:val="28"/>
          <w:szCs w:val="28"/>
          <w:lang w:val="en-US" w:bidi="en-US"/>
        </w:rPr>
        <w:t>God d Evolution: Re er , edited by M y K hleen Cunningh , London d New York, Routledge, 2007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Ruse, Mich l</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Evol ution d Religion: Di ogue , Rowm d Little</w:t>
      </w:r>
      <w:r>
        <w:rPr>
          <w:rFonts w:ascii="IRNazanin" w:hAnsi="IRNazanin" w:eastAsia="IRNazanin"/>
          <w:color w:val="111111"/>
          <w:sz w:val="28"/>
          <w:sz w:val="28"/>
          <w:szCs w:val="28"/>
          <w:rtl w:val="true"/>
          <w:lang w:bidi="fa-IR"/>
        </w:rPr>
        <w:t>ک</w:t>
      </w:r>
      <w:r>
        <w:rPr>
          <w:rFonts w:eastAsia="Times New Roman" w:cs="Times New Roman" w:ascii="Times New Roman" w:hAnsi="Times New Roman"/>
          <w:color w:val="111111"/>
          <w:sz w:val="28"/>
          <w:szCs w:val="28"/>
          <w:lang w:val="en-US" w:bidi="en-US"/>
        </w:rPr>
        <w:t>ield Publishing, INC, London, 2008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Sweetm , Brend , Religion d Science: Intr oduction, Continuum,New York, 2010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Young, M t, d P l K. Strode</w:t>
      </w:r>
      <w:r>
        <w:rPr>
          <w:rFonts w:eastAsia="Times New Roman" w:cs="Times New Roman" w:ascii="Times New Roman" w:hAnsi="Times New Roman"/>
          <w:color w:val="111111"/>
          <w:sz w:val="28"/>
          <w:szCs w:val="28"/>
          <w:rtl w:val="true"/>
          <w:lang w:val="en-US" w:bidi="en-US"/>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Why Evol ution Works</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d Cre ionism</w:t>
      </w:r>
      <w:r>
        <w:rPr>
          <w:rFonts w:ascii="IRNazanin" w:hAnsi="IRNazanin" w:eastAsia="IRNazanin"/>
          <w:color w:val="111111"/>
          <w:sz w:val="28"/>
          <w:sz w:val="28"/>
          <w:szCs w:val="28"/>
          <w:rtl w:val="true"/>
          <w:lang w:bidi="fa-IR"/>
        </w:rPr>
        <w:t xml:space="preserve">ک </w:t>
      </w:r>
      <w:r>
        <w:rPr>
          <w:rFonts w:eastAsia="Times New Roman" w:cs="Times New Roman" w:ascii="Times New Roman" w:hAnsi="Times New Roman"/>
          <w:color w:val="111111"/>
          <w:sz w:val="28"/>
          <w:szCs w:val="28"/>
          <w:lang w:val="en-US" w:bidi="en-US"/>
        </w:rPr>
        <w:t>ls</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Rutgers Unive rsity Press, New Brunswick, p. 195, 2009</w:t>
      </w:r>
      <w:r>
        <w:rPr>
          <w:rFonts w:eastAsia="Times New Roman" w:cs="Times New Roman" w:ascii="Times New Roman" w:hAnsi="Times New Roman"/>
          <w:color w:val="111111"/>
          <w:sz w:val="28"/>
          <w:szCs w:val="28"/>
          <w:rtl w:val="true"/>
          <w:lang w:val="en-US" w:bidi="en-US"/>
        </w:rPr>
        <w:t>.</w:t>
      </w:r>
      <w:bookmarkStart w:id="297" w:name="pg14517_146338"/>
    </w:p>
    <w:p>
      <w:pPr>
        <w:pStyle w:val="Heading2"/>
        <w:numPr>
          <w:ilvl w:val="1"/>
          <w:numId w:val="1"/>
        </w:numPr>
        <w:rPr/>
      </w:pPr>
      <w:bookmarkStart w:id="298" w:name="__RefHeading___Toc39816_1878427129"/>
      <w:bookmarkStart w:id="299" w:name="_Toc110"/>
      <w:bookmarkEnd w:id="297"/>
      <w:bookmarkEnd w:id="298"/>
      <w:r>
        <w:rPr>
          <w:rtl w:val="true"/>
        </w:rPr>
        <w:t>آیت اللّه مشکینی و اعتقادات دینی</w:t>
      </w:r>
      <w:bookmarkEnd w:id="299"/>
    </w:p>
    <w:p>
      <w:pPr>
        <w:pStyle w:val="Heading3"/>
        <w:numPr>
          <w:ilvl w:val="2"/>
          <w:numId w:val="1"/>
        </w:numPr>
        <w:rPr/>
      </w:pPr>
      <w:bookmarkStart w:id="300" w:name="__RefHeading___Toc39818_1878427129"/>
      <w:bookmarkStart w:id="301" w:name="_Toc111"/>
      <w:bookmarkEnd w:id="300"/>
      <w:r>
        <w:rPr>
          <w:rtl w:val="true"/>
        </w:rPr>
        <w:t>اشاره</w:t>
      </w:r>
      <w:bookmarkEnd w:id="301"/>
    </w:p>
    <w:p>
      <w:pPr>
        <w:pStyle w:val="BookText"/>
        <w:rPr/>
      </w:pPr>
      <w:r>
        <w:rPr>
          <w:rFonts w:ascii="IRNazanin" w:hAnsi="IRNazanin" w:eastAsia="IRNazanin"/>
          <w:color w:val="111111"/>
          <w:sz w:val="28"/>
          <w:sz w:val="28"/>
          <w:szCs w:val="28"/>
          <w:rtl w:val="true"/>
          <w:lang w:bidi="fa-IR"/>
        </w:rPr>
        <w:t>رضا بابایی</w:t>
      </w:r>
      <w:r>
        <w:rPr>
          <w:rStyle w:val="FootnoteAnchor"/>
          <w:rtl w:val="true"/>
        </w:rPr>
        <w:footnoteReference w:id="338"/>
      </w:r>
    </w:p>
    <w:p>
      <w:pPr>
        <w:pStyle w:val="BookText"/>
        <w:rPr/>
      </w:pPr>
      <w:r>
        <w:rPr>
          <w:rFonts w:ascii="IRNazanin" w:hAnsi="IRNazanin" w:eastAsia="IRNazanin"/>
          <w:color w:val="111111"/>
          <w:sz w:val="28"/>
          <w:sz w:val="28"/>
          <w:szCs w:val="28"/>
          <w:rtl w:val="true"/>
          <w:lang w:bidi="fa-IR"/>
        </w:rPr>
        <w:t>نویسنده و پژوهشگر در حوزه معارف اسلامی</w:t>
      </w:r>
      <w:r>
        <w:rPr>
          <w:rFonts w:eastAsia="IRNazanin" w:cs="IRNazanin"/>
          <w:color w:val="111111"/>
          <w:sz w:val="28"/>
          <w:szCs w:val="28"/>
          <w:rtl w:val="true"/>
          <w:lang w:bidi="fa-IR"/>
        </w:rPr>
        <w:t>.</w:t>
      </w:r>
    </w:p>
    <w:p>
      <w:pPr>
        <w:pStyle w:val="Heading3"/>
        <w:numPr>
          <w:ilvl w:val="2"/>
          <w:numId w:val="1"/>
        </w:numPr>
        <w:rPr/>
      </w:pPr>
      <w:bookmarkStart w:id="302" w:name="__RefHeading___Toc39820_1878427129"/>
      <w:bookmarkStart w:id="303" w:name="_Toc112"/>
      <w:bookmarkEnd w:id="302"/>
      <w:r>
        <w:rPr>
          <w:rtl w:val="true"/>
        </w:rPr>
        <w:t>چکیده</w:t>
      </w:r>
      <w:bookmarkEnd w:id="303"/>
    </w:p>
    <w:p>
      <w:pPr>
        <w:pStyle w:val="BookText"/>
        <w:rPr/>
      </w:pPr>
      <w:r>
        <w:rPr>
          <w:rFonts w:ascii="IRNazanin" w:hAnsi="IRNazanin" w:eastAsia="IRNazanin"/>
          <w:color w:val="111111"/>
          <w:sz w:val="28"/>
          <w:sz w:val="28"/>
          <w:szCs w:val="28"/>
          <w:rtl w:val="true"/>
          <w:lang w:bidi="fa-IR"/>
        </w:rPr>
        <w:t>این نوشتار کوشیده است آیت‌اللّه مشکینی را از منظر باورهای اعتقادی او بنگرد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بدین‌رو نخست، روحیۀ علمی او را بررسیده و سپس از سرچشمه‌های عقاید دینی ایشان سخن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دیگر مقاله دربارۀ نسبت عقاید آیت‌اللّه مشکینی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ویژگی‌های عقیدتی ایشان، برخی نظریه‌های علمی متفاوت با گروهی دیگر از دانشمندان حوزوی است که در این نوشتار به‌اختصار به آن‌ها پرداخته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نگاه به مسائل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آیت‌اللّه مشکینی و روشنفکری 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بخش پایانی مقاله است که نشان می‌دهند آیت‌اللّه مشکینی، در آثار و تألیفات خود به مسائل روز و مستحدثات نظر داشته و نیز تعامل با روشنفکران را بر تقابل با آنان، برتری می‌داده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آیت‌اللّه مشکینی، اعتقادات دینی، علم کلام، روشنفکری دینی</w:t>
      </w:r>
    </w:p>
    <w:p>
      <w:pPr>
        <w:pStyle w:val="Heading3"/>
        <w:numPr>
          <w:ilvl w:val="2"/>
          <w:numId w:val="1"/>
        </w:numPr>
        <w:rPr/>
      </w:pPr>
      <w:bookmarkStart w:id="304" w:name="__RefHeading___Toc39822_1878427129"/>
      <w:bookmarkStart w:id="305" w:name="_Toc113"/>
      <w:bookmarkEnd w:id="304"/>
      <w:r>
        <w:rPr>
          <w:rtl w:val="true"/>
        </w:rPr>
        <w:t>مقدمه</w:t>
      </w:r>
      <w:bookmarkEnd w:id="305"/>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آیت‌اللّه علی مشکینی اردبیلی، از شمار کسانی است که آشنایی با اعتقادات و</w:t>
      </w:r>
    </w:p>
    <w:p>
      <w:pPr>
        <w:pStyle w:val="BookText"/>
        <w:rPr/>
      </w:pPr>
      <w:r>
        <w:rPr>
          <w:rFonts w:ascii="IRNazanin" w:hAnsi="IRNazanin" w:eastAsia="IRNazanin"/>
          <w:color w:val="111111"/>
          <w:sz w:val="28"/>
          <w:sz w:val="28"/>
          <w:szCs w:val="28"/>
          <w:rtl w:val="true"/>
          <w:lang w:bidi="fa-IR"/>
        </w:rPr>
        <w:t>باورهایشان، پژوهنده را از تحقیق دربارۀ همتایان و هم‌قطاران آنان بی‌نیاز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سخن دیگر، ایشان مبلّغ باورها و عقایدی بود که بیشتر آن‌ها میان دانشمندان دینی، مقبولیت عام دارد و شاذ و استثنا محسوب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بدین‌رو آگاهی از باورهای ایشان، آگاهی‌از باورهایی است که در دو صد سالۀ گذشته در حوزه‌های علمیۀ شیعی، بیش‌وکم رایج و شایع بوده است و ازهمین‌رو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آرای آیت‌اللّه مشکینی، عصارۀ اعتقادات شیعی، به‌ویژه در سده‌های اخیر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وجود این، به اقتضای طبیعت اجتهاد، وی نیز گاهی باورها و فتواهایی را به منصۀ ظهور درمی‌آورد که خلاف‌آمد عادت بود و رأی و نظری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شمار 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بدین‌رو لازم است که هرگاه دربارۀ عقاید آیت‌اللّه مشکینی رحمه الله می‌اندیشیم یا می‌نویسیم، دو نکته از یاد نبریم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اینکه ایشان، همچنان‌که در فروع فقهی اجتهاد می‌کرد، گاهی در باورهای کلامی نیز مجتهدانه به آرایی ویژه دست می‌یافت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آراء گرچه بی‌سابقه نبوده است، اما ابراز آن‌ها از سوی آیت‌اللّه مشکینی رحمه الله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می‌نشیند؛ دوم اینکه، با وجود برخی آرای متفاوت و حتی جنجالی در کارنامۀ علمی آیت‌اللّه مشکینی رحمه الله هرگز نمی‌توان ایشان را از جریان کلی حوزه‌های شیعی در زمینۀ فقه و تفسیر و کلام، جدا و از گروه نادره‌گویان و شذوذگرایان قلمداد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گفتیم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 وی را نماینده و سخنگوی قرائت رسمی و حوزوی از مذهب شیعۀ اثناعشری در زمانۀ انقلاب اسلامی ایران دانست</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آیت‌اللّه مشکینی، اگرچه فقاهت را وجهۀ همت خویش کردند و کمتر در حوزۀ کلام و فلسفه و دیگر علوم اسلامی و حوزوی قلم زدند، خود را در فقه و اجتهاد مصطلح محصور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اخلاق، تفسیر و حدیث از دیگر حوزه‌هایی است که همت آن فقیه بزرگوار را برانگیخت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اگر ضرورت‌های زمانه، به‌ویژه نیازهای جامعۀ انقلابی ایران پس از تشکیل حکومت اسلامی نبود، آیت‌اللّه مشکینی رحمه الله آثار بیشتری در تفسیر و کلام و اخلاق، در اختیار جامعۀ دینی می‌گذاشت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پیروزی انقلاب اسلامی‌در ایران و نیاز به فقیهان زمان‌شناس و دانا به</w:t>
      </w:r>
      <w:bookmarkStart w:id="306" w:name="pg14517_146340"/>
    </w:p>
    <w:p>
      <w:pPr>
        <w:pStyle w:val="BookText"/>
        <w:rPr/>
      </w:pPr>
      <w:bookmarkEnd w:id="306"/>
      <w:r>
        <w:rPr>
          <w:rFonts w:ascii="IRNazanin" w:hAnsi="IRNazanin" w:eastAsia="IRNazanin"/>
          <w:color w:val="111111"/>
          <w:sz w:val="28"/>
          <w:sz w:val="28"/>
          <w:szCs w:val="28"/>
          <w:rtl w:val="true"/>
          <w:lang w:bidi="fa-IR"/>
        </w:rPr>
        <w:t>ضرورت‌های اجتماعی، ایشان را واداشت که سال‌های پایانی عمر را یک‌سره صرف جهاد و اجتهاد کند و در حوزۀ اعتقادات یا تفسیر، کمتر قدم و قلم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 خطبه‌های نماز جمعه و سخنرانی‌های عمومی و درس‌های اخلاق ایشان در حوزه و نیز خطابه‌های کوتاهش در مجلس خبرگان، همگی حکایت از دغدغه‌های کلامی و اعتقادی ایشان دارد؛ به‌طوری‌که می‌توان آیت‌اللّه مشکینی را سخنگوی طلیق‌اللسان حوزۀ علمیۀ قم در بازگویی اعتقادات سنتی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در پی می‌آید، بازگویی و گزارشی است از باورهای اجتهادی آیت‌اللّه علی مشکینی، بر پایۀ آثار و آراء و فتاوای 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ورود به مرکز بحث، لازم است دربارۀ روحیۀ علمی و گرایش اجتماعی آن فقیه بزرگوار در تألیف و تدریس و زندگی، به‌اختصار اشارت رود</w:t>
      </w:r>
      <w:r>
        <w:rPr>
          <w:rFonts w:eastAsia="IRNazanin" w:cs="IRNazanin"/>
          <w:color w:val="111111"/>
          <w:sz w:val="28"/>
          <w:szCs w:val="28"/>
          <w:rtl w:val="true"/>
          <w:lang w:bidi="fa-IR"/>
        </w:rPr>
        <w:t>.</w:t>
      </w:r>
    </w:p>
    <w:p>
      <w:pPr>
        <w:pStyle w:val="Heading3"/>
        <w:numPr>
          <w:ilvl w:val="2"/>
          <w:numId w:val="1"/>
        </w:numPr>
        <w:rPr/>
      </w:pPr>
      <w:bookmarkStart w:id="307" w:name="__RefHeading___Toc39824_1878427129"/>
      <w:bookmarkStart w:id="308" w:name="_Toc114"/>
      <w:bookmarkEnd w:id="307"/>
      <w:r>
        <w:rPr>
          <w:rtl w:val="true"/>
        </w:rPr>
        <w:t>روحیۀ علمی</w:t>
      </w:r>
      <w:bookmarkEnd w:id="308"/>
    </w:p>
    <w:p>
      <w:pPr>
        <w:pStyle w:val="BookText"/>
        <w:rPr/>
      </w:pPr>
      <w:r>
        <w:rPr>
          <w:rFonts w:ascii="IRNazanin" w:hAnsi="IRNazanin" w:eastAsia="IRNazanin"/>
          <w:color w:val="111111"/>
          <w:sz w:val="28"/>
          <w:sz w:val="28"/>
          <w:szCs w:val="28"/>
          <w:rtl w:val="true"/>
          <w:lang w:bidi="fa-IR"/>
        </w:rPr>
        <w:t>آیت‌اللّه مشکینی، هیچ‌گاه از درس و دفتر و کتاب فاصله نگرفت؛ نه در اوج مبارزات انقلابی علیه شاه و نه در دوره‌هایی که سنگین‌ترین مسئولیت‌ها را در نظام جمهوری اسلامی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بیش از آنکه سیاسی یا انقلابی یا مبارز باشد، دانشی‌مرد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 است که وقتی فهرست اعضای جامعۀ مدرسین به دست ساواک افتاد و دستگاه‌های اطلاعاتی دانستند که این گروه در اندیشۀ تأسیس حکومت اسلامی است و ایشان به‌اجبار مدتی از نظرها مخفی شد و در خفا زیست، آیت‌اللّه طالقانی از ایشان خواست که زندان را بر تبعید خودخواسته ترجیح دهد و به میان زندانیان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آیت‌اللّه مشکینی به آیت‌اللّه طالقانی به‌خوبی روحیۀ وی را نشان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زندان، زمینه برای کار علمی وجود ندارد؛ اما در زندگی مخفیانه، دست‌کم این فرصت را دارم که مطالعه کنم و بنویسم و احیاناً درس و بحثی هم داشته باشم</w:t>
      </w:r>
      <w:r>
        <w:rPr>
          <w:rFonts w:eastAsia="IRNazanin" w:cs="IRNazanin"/>
          <w:color w:val="111111"/>
          <w:sz w:val="28"/>
          <w:szCs w:val="28"/>
          <w:rtl w:val="true"/>
          <w:lang w:bidi="fa-IR"/>
        </w:rPr>
        <w:t>».</w:t>
      </w:r>
      <w:r>
        <w:rPr>
          <w:rStyle w:val="FootnoteAnchor"/>
          <w:rtl w:val="true"/>
        </w:rPr>
        <w:footnoteReference w:id="339"/>
      </w:r>
    </w:p>
    <w:p>
      <w:pPr>
        <w:pStyle w:val="BookText"/>
        <w:rPr/>
      </w:pPr>
      <w:r>
        <w:rPr>
          <w:rFonts w:ascii="IRNazanin" w:hAnsi="IRNazanin" w:eastAsia="IRNazanin"/>
          <w:color w:val="111111"/>
          <w:sz w:val="28"/>
          <w:sz w:val="28"/>
          <w:szCs w:val="28"/>
          <w:rtl w:val="true"/>
          <w:lang w:bidi="fa-IR"/>
        </w:rPr>
        <w:t>اصل ماجرا را بنگرید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آیت‌اللّه مشکینی از نگاه دیگران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یادنامۀ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انتشارات الهادی، ص </w:t>
      </w:r>
      <w:r>
        <w:rPr>
          <w:rFonts w:eastAsia="IRNazanin" w:cs="IRNazanin"/>
          <w:color w:val="111111"/>
          <w:sz w:val="28"/>
          <w:szCs w:val="28"/>
          <w:lang w:bidi="fa-IR"/>
        </w:rPr>
        <w:t>29</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دشوار نیست اگر بگوییم آن فقید سعید، هرگز چشم از کتاب برنداشت و هیچ‌گاه</w:t>
      </w:r>
    </w:p>
    <w:p>
      <w:pPr>
        <w:pStyle w:val="BookText"/>
        <w:rPr/>
      </w:pPr>
      <w:r>
        <w:rPr>
          <w:rFonts w:ascii="IRNazanin" w:hAnsi="IRNazanin" w:eastAsia="IRNazanin"/>
          <w:color w:val="111111"/>
          <w:sz w:val="28"/>
          <w:sz w:val="28"/>
          <w:szCs w:val="28"/>
          <w:rtl w:val="true"/>
          <w:lang w:bidi="fa-IR"/>
        </w:rPr>
        <w:t>قلم بر زمین نگذاشت و همواره در اندیشۀ دانستن و به کار بستن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یاران و همراهان ایشان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یکی از نویسندگان خوش‌قلم و پُرکار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ویژگی‌هایشان این بود که به‌هیچ‌وجه اجازه نمی‌دادند که وقتشان به بطالت بگذرد، و از لحظات زندگی‌شان استفاده می‌کردند؛ چه در جهت خودسازی، یا تعلیم، مطالعه، و نوشتن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بی‌کار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در شدت مریضی که به فوتشان منجر شد، ایشان ترجمۀ ساده‌ای از قرآن را شروع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کسالت داشتند، واقعاً کار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وقت در تابستان‌ها که در تهران بودند، به دیدنشان می‌رفتم، می‌دیدم که مشغول این 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ترجمۀ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و متأسفانه به اتمام نرسید و حدود ده جزء قرآن را ترجمه کردند</w:t>
      </w:r>
      <w:r>
        <w:rPr>
          <w:rFonts w:eastAsia="IRNazanin" w:cs="IRNazanin"/>
          <w:color w:val="111111"/>
          <w:sz w:val="28"/>
          <w:szCs w:val="28"/>
          <w:rtl w:val="true"/>
          <w:lang w:bidi="fa-IR"/>
        </w:rPr>
        <w:t>.</w:t>
      </w:r>
      <w:r>
        <w:rPr>
          <w:rStyle w:val="FootnoteAnchor"/>
          <w:rtl w:val="true"/>
        </w:rPr>
        <w:footnoteReference w:id="340"/>
      </w:r>
    </w:p>
    <w:p>
      <w:pPr>
        <w:pStyle w:val="BookText"/>
        <w:rPr/>
      </w:pPr>
      <w:r>
        <w:rPr>
          <w:rFonts w:ascii="IRNazanin" w:hAnsi="IRNazanin" w:eastAsia="IRNazanin"/>
          <w:color w:val="111111"/>
          <w:sz w:val="28"/>
          <w:sz w:val="28"/>
          <w:szCs w:val="28"/>
          <w:rtl w:val="true"/>
          <w:lang w:bidi="fa-IR"/>
        </w:rPr>
        <w:t>آیت‌اللّه مشکینی از نگاه دیگران، گفت‌وگو با آیت‌اللّه محمدی گلپایگانی</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شمار آثار کتبی و سخنرانی‌های علمی وی به‌درستی نشان می‌دهد که آیت‌اللّه مشکینی تا پایان عمر، اهل درس و دفتر بود و هیچ حادثه یا مسئولیتی را بهانۀ کناره‌گیری از خواندن و دانستن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بدین‌روست که پس از پیروزی انقلاب نیز ماندن در قم و حضور فعال و مؤثر در حوزۀ علمیۀ قم را بر خود فرض دانست و همچنان خواند و نوشت و کوشید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از سی اثر علمی مکتوب از قلم و اندیشۀ ایشان باقی است که با نظر به موقعیت اجتماعی و انبوه فعالیت‌های مبارزاتی و سیاسی، رقم خوشایندی است؛ به‌ویژه آنکه برخی از این آثار، بیش از چند سال از عمر شریفشان را مصروف خود کرد؛ مانند ترجمۀ کامل قرآن کریم به زبان فارسی و کتاب‌هایی همچون اصطلاحات الاصول و مصطلحات الفقه</w:t>
      </w:r>
      <w:r>
        <w:rPr>
          <w:rStyle w:val="FootnoteAnchor"/>
          <w:rtl w:val="true"/>
        </w:rPr>
        <w:footnoteReference w:id="341"/>
      </w:r>
      <w:r>
        <w:rPr>
          <w:rFonts w:ascii="IRNazanin" w:hAnsi="IRNazanin" w:eastAsia="IRNazanin"/>
          <w:color w:val="111111"/>
          <w:sz w:val="28"/>
          <w:sz w:val="28"/>
          <w:szCs w:val="28"/>
          <w:rtl w:val="true"/>
          <w:lang w:bidi="fa-IR"/>
        </w:rPr>
        <w:t>و الهادی فی موضوعات نهج البلاغه</w:t>
      </w:r>
      <w:r>
        <w:rPr>
          <w:rFonts w:eastAsia="IRNazanin" w:cs="IRNazanin"/>
          <w:color w:val="111111"/>
          <w:sz w:val="28"/>
          <w:szCs w:val="28"/>
          <w:rtl w:val="true"/>
          <w:lang w:bidi="fa-IR"/>
        </w:rPr>
        <w:t>.</w:t>
      </w:r>
      <w:r>
        <w:rPr>
          <w:rStyle w:val="FootnoteAnchor"/>
          <w:rtl w:val="true"/>
        </w:rPr>
        <w:footnoteReference w:id="342"/>
      </w:r>
      <w:bookmarkStart w:id="309" w:name="pg14517_146342"/>
    </w:p>
    <w:p>
      <w:pPr>
        <w:pStyle w:val="BookText"/>
        <w:rPr/>
      </w:pPr>
      <w:bookmarkEnd w:id="309"/>
      <w:r>
        <w:rPr>
          <w:rFonts w:ascii="IRNazanin" w:hAnsi="IRNazanin" w:eastAsia="IRNazanin"/>
          <w:color w:val="111111"/>
          <w:sz w:val="28"/>
          <w:sz w:val="28"/>
          <w:szCs w:val="28"/>
          <w:rtl w:val="true"/>
          <w:lang w:bidi="fa-IR"/>
        </w:rPr>
        <w:t>اهتمام شگفت آیت‌اللّه مشکینی به درس و بحث حوزوی تا پایان عمر، وی را در مرکز توجهات اهل علم قرار داد؛ به‌طوری‌که درس‌های ایشان در حوزه، در شمار رونق‌مندترین دروس حوزه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گفتۀ آیت‌اللّه استادی، استقبال از درس فقه آیت‌اللّه مشکینی در حوزه تا آنجا بود که ایشان برای تدریس باید روی منبر می‌نشستند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از درس آیت‌اللّه‌العظمی بروجردی و بعضی مراجع دیگر، در درس‌های سطح، رسم نبود که مدرس منبر برود و همه روی زمین می‌نشستند و درس می‌گفتند؛ ولی درس ایشان، از همان تاریخ، به خاطر جمعیت زیاد، طوری بود که ایشان باید بالای منبر می‌رفتند</w:t>
      </w:r>
      <w:r>
        <w:rPr>
          <w:rFonts w:eastAsia="IRNazanin" w:cs="IRNazanin"/>
          <w:color w:val="111111"/>
          <w:sz w:val="28"/>
          <w:szCs w:val="28"/>
          <w:rtl w:val="true"/>
          <w:lang w:bidi="fa-IR"/>
        </w:rPr>
        <w:t>».</w:t>
      </w:r>
      <w:r>
        <w:rPr>
          <w:rStyle w:val="FootnoteAnchor"/>
          <w:rtl w:val="true"/>
        </w:rPr>
        <w:footnoteReference w:id="343"/>
      </w:r>
    </w:p>
    <w:p>
      <w:pPr>
        <w:pStyle w:val="BookText"/>
        <w:rPr/>
      </w:pPr>
      <w:r>
        <w:rPr>
          <w:rFonts w:ascii="IRNazanin" w:hAnsi="IRNazanin" w:eastAsia="IRNazanin"/>
          <w:color w:val="111111"/>
          <w:sz w:val="28"/>
          <w:sz w:val="28"/>
          <w:szCs w:val="28"/>
          <w:rtl w:val="true"/>
          <w:lang w:bidi="fa-IR"/>
        </w:rPr>
        <w:t xml:space="preserve">حضرت آیت‌اللّه مشکینی از نگاه دیگران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یادنامۀ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93</w:t>
      </w:r>
      <w:r>
        <w:rPr>
          <w:rFonts w:eastAsia="IRNazanin" w:cs="IRNazanin"/>
          <w:color w:val="111111"/>
          <w:sz w:val="28"/>
          <w:szCs w:val="28"/>
          <w:rtl w:val="true"/>
          <w:lang w:bidi="fa-IR"/>
        </w:rPr>
        <w:t>.</w:t>
      </w:r>
    </w:p>
    <w:p>
      <w:pPr>
        <w:pStyle w:val="Heading3"/>
        <w:numPr>
          <w:ilvl w:val="2"/>
          <w:numId w:val="1"/>
        </w:numPr>
        <w:rPr/>
      </w:pPr>
      <w:bookmarkStart w:id="310" w:name="__RefHeading___Toc39826_1878427129"/>
      <w:bookmarkStart w:id="311" w:name="_Toc115"/>
      <w:bookmarkEnd w:id="310"/>
      <w:r>
        <w:rPr>
          <w:rtl w:val="true"/>
        </w:rPr>
        <w:t>سرچشمه های عقاید در نظر آیت اللّه مشکینی رحمه الله</w:t>
      </w:r>
      <w:bookmarkEnd w:id="311"/>
    </w:p>
    <w:p>
      <w:pPr>
        <w:pStyle w:val="BookText"/>
        <w:rPr/>
      </w:pPr>
      <w:r>
        <w:rPr>
          <w:rFonts w:ascii="IRNazanin" w:hAnsi="IRNazanin" w:eastAsia="IRNazanin"/>
          <w:color w:val="111111"/>
          <w:sz w:val="28"/>
          <w:sz w:val="28"/>
          <w:szCs w:val="28"/>
          <w:rtl w:val="true"/>
          <w:lang w:bidi="fa-IR"/>
        </w:rPr>
        <w:t xml:space="preserve">آیت‌اللّه مشکینی رحمه الله در حوزۀ اعتقادات، متکی بر قرآن و اخبار معتبر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 از متواتر و آحاد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نه فلسفی است، و نه اخباری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اتکای ایشان به اخبار پس از این سخن خواهیم گفت؛ اما آنچه اکنون گفتنی است، مخالفت ایشان با اقتباس از فلسفه و عرفان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نظر ایشان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همچون بیشتر فقیهان و متکلمان معاصر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سرچشمه‌ای غیر از قرآن و اخبار، انحراف است؛ حتی اگر آن چشمه‌سار، فلسفه و عرفان یا کلام فلسفی باشد</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مشهور است که آیت‌اللّه مشکینی، تمایلی به فلسفه نداشت و هیچ‌گاه به علوم عقلی نپرداخت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گواهی هم‌قطاران و کارنامۀ علمی و برخی سخنان‌شان، این شهرت خالی از وجه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برای دانش‌های عقلی در مرحلۀ اجتهاد فقهی، سهمی قائل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گفتۀ آیت‌اللّه موسوی اردبیلی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آیت‌اللّه مشکینی، فلسفه اصلاً نخوانده بود و خوشش هم نمی‌آمد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که یک کلمۀ فلسفی از کتاب فقهی یا اصولی از ایشان پرسیده می‌شد،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که می‌دانید من فلسفه نخوانده‌ام؛ چرا می‌پرسید؟</w:t>
      </w:r>
      <w:r>
        <w:rPr>
          <w:rFonts w:eastAsia="IRNazanin" w:cs="IRNazanin"/>
          <w:color w:val="111111"/>
          <w:sz w:val="28"/>
          <w:szCs w:val="28"/>
          <w:rtl w:val="true"/>
          <w:lang w:bidi="fa-IR"/>
        </w:rPr>
        <w:t>».</w:t>
      </w:r>
      <w:r>
        <w:rPr>
          <w:rStyle w:val="FootnoteAnchor"/>
          <w:rtl w:val="true"/>
        </w:rPr>
        <w:footnoteReference w:id="344"/>
      </w:r>
      <w:r>
        <w:rPr>
          <w:rFonts w:ascii="IRNazanin" w:hAnsi="IRNazanin" w:eastAsia="IRNazanin"/>
          <w:color w:val="111111"/>
          <w:sz w:val="28"/>
          <w:sz w:val="28"/>
          <w:szCs w:val="28"/>
          <w:rtl w:val="true"/>
          <w:lang w:bidi="fa-IR"/>
        </w:rPr>
        <w:t>از آثار و شیوۀ مباحثات علمی ایشان نیز برمی‌آید که فلسفه‌دانی را</w:t>
      </w:r>
    </w:p>
    <w:p>
      <w:pPr>
        <w:pStyle w:val="BookText"/>
        <w:rPr/>
      </w:pPr>
      <w:r>
        <w:rPr>
          <w:rFonts w:ascii="IRNazanin" w:hAnsi="IRNazanin" w:eastAsia="IRNazanin"/>
          <w:color w:val="111111"/>
          <w:sz w:val="28"/>
          <w:sz w:val="28"/>
          <w:szCs w:val="28"/>
          <w:rtl w:val="true"/>
          <w:lang w:bidi="fa-IR"/>
        </w:rPr>
        <w:t xml:space="preserve">در فهم و اجتهاد فقهی لازم نمی‌دانست و ازاین‌رو با استادان فقه و اصول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عظام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 محقق داماد و بروجردی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همدلی بیشتری داشت تا با مراد سیاسی و اخلاقی و انقلابی خویش، امام خمینی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اندکی نیز با برنامۀ آیت‌اللّه بروجردی در فلسفه‌زدایی از حوزۀ قم همراهی کرد؛ اما در این راه چندان پای نفشرد که به استاد ضد فلسفه شهرت یابد</w:t>
      </w:r>
      <w:r>
        <w:rPr>
          <w:rFonts w:eastAsia="IRNazanin" w:cs="IRNazanin"/>
          <w:color w:val="111111"/>
          <w:sz w:val="28"/>
          <w:szCs w:val="28"/>
          <w:rtl w:val="true"/>
          <w:lang w:bidi="fa-IR"/>
        </w:rPr>
        <w:t>.</w:t>
      </w:r>
      <w:r>
        <w:rPr>
          <w:rStyle w:val="FootnoteAnchor"/>
          <w:rtl w:val="true"/>
        </w:rPr>
        <w:footnoteReference w:id="345"/>
      </w:r>
    </w:p>
    <w:p>
      <w:pPr>
        <w:pStyle w:val="BookText"/>
        <w:rPr/>
      </w:pPr>
      <w:r>
        <w:rPr>
          <w:rFonts w:ascii="IRNazanin" w:hAnsi="IRNazanin" w:eastAsia="IRNazanin"/>
          <w:color w:val="111111"/>
          <w:sz w:val="28"/>
          <w:sz w:val="28"/>
          <w:szCs w:val="28"/>
          <w:rtl w:val="true"/>
          <w:lang w:bidi="fa-IR"/>
        </w:rPr>
        <w:t>فلسفه‌گریزی آیت‌اللّه مشکینی، در همۀ آثار ایشان نمود دارد؛ به‌ویژه در مباحث تفسیری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مطالعۀ بیشتر دربارۀ سهم آیت‌اللّه مشکینی در همراهی با برنامۀ فلسفه‌زدایی‌از حوزه‌ها 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مرتضی ابطحی،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فلسفۀ اسلامی؛ از تکفیر تا پذیرش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تهران امروز، </w:t>
      </w:r>
      <w:r>
        <w:rPr>
          <w:rFonts w:eastAsia="IRNazanin" w:cs="IRNazanin"/>
          <w:color w:val="111111"/>
          <w:sz w:val="28"/>
          <w:szCs w:val="28"/>
          <w:lang w:bidi="fa-IR"/>
        </w:rPr>
        <w:t>1388/8/30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دانستن این نکته که آیت‌اللّه مشکینی رحمه الله تمایلی به فلسفه نداشت و بلکه می‌کوشید دامنۀ آن را در حوزه محدودتر کند، در فهم گفتمان اعتقادی ایشان کمک بسیاری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تکیۀ اصلی ایشان در اعتقادات، قرآن و اخبار بود و بدیهیات عقلی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بیش از این را برای کشف و درک باورهای دینی لازم نمی‌دانستند و طلاب مدارس را نیز به همین روش دعوت می‌کردند؛ به‌طوری که در برنامه‌های درسی مدارس زیر نظر ایشان، جایی برای دروس فلسفه نبود</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می‌توان اطمینان داشت که آنچه آن فقید سعید در باب اعتقادات گفته و نوشته است، برگرفته از دایرۀ نصوص دینی است و به‌هیچ‌روی، آغشته به اجتهادات عقلی و فلسفی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مسلکنا نیز که اعتقادنامۀ استدلالی ایشان است، هیچ اثری از رد پای فلسفه و برهان‌های عقلی نمی‌بینیم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به معنای نامحرمی عقل در حوزۀ اعتقادات، یا اخباری‌گری نیست؛ چنان‌که خود ایشان در کتاب پیش‌گفته، روایتی را از امام صادق علیه السلام نقل می‌کند و سپس در تفسیر روایت، نشان می‌دهند که هیچ تردیدی در جایگاه عقل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مطابق آن روایت، امام علیه السلام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بر مردم دو حجت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آنچه در وجودشان نهاده است، و دوم آنچه به آنان می‌شناساند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آیت‌اللّه مشکینی در شرح این سخن امام علیه السلام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مقصود از آنچه در وجودشان نهاده است، عقل است، و مراد از آنچه به</w:t>
      </w:r>
      <w:bookmarkStart w:id="312" w:name="pg14517_146344"/>
    </w:p>
    <w:p>
      <w:pPr>
        <w:pStyle w:val="BookText"/>
        <w:rPr/>
      </w:pPr>
      <w:bookmarkEnd w:id="312"/>
      <w:r>
        <w:rPr>
          <w:rFonts w:ascii="IRNazanin" w:hAnsi="IRNazanin" w:eastAsia="IRNazanin"/>
          <w:color w:val="111111"/>
          <w:sz w:val="28"/>
          <w:sz w:val="28"/>
          <w:szCs w:val="28"/>
          <w:rtl w:val="true"/>
          <w:lang w:bidi="fa-IR"/>
        </w:rPr>
        <w:t>آنان شناسانده است، کتاب‌های‌آسمانی است</w:t>
      </w:r>
      <w:r>
        <w:rPr>
          <w:rFonts w:eastAsia="IRNazanin" w:cs="IRNazanin"/>
          <w:color w:val="111111"/>
          <w:sz w:val="28"/>
          <w:szCs w:val="28"/>
          <w:rtl w:val="true"/>
          <w:lang w:bidi="fa-IR"/>
        </w:rPr>
        <w:t>».</w:t>
      </w:r>
      <w:r>
        <w:rPr>
          <w:rStyle w:val="FootnoteAnchor"/>
          <w:rtl w:val="true"/>
        </w:rPr>
        <w:footnoteReference w:id="34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ما، ص </w:t>
      </w:r>
      <w:r>
        <w:rPr>
          <w:rFonts w:eastAsia="IRNazanin" w:cs="IRNazanin"/>
          <w:color w:val="111111"/>
          <w:sz w:val="28"/>
          <w:szCs w:val="28"/>
          <w:lang w:bidi="fa-IR"/>
        </w:rPr>
        <w:t>34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همین کتاب، آن بخش مسائل اسلامی را که متکی به مستقلات عقلیه است، ثابت و تغییرناپذیر می‌شمارد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 قسمت از مسائل اسلامی ثابت است و قابل تغییر و تبدیل نیست؛ زیرا از مستقلات عقلی و از نوامیس شرع است؛ مانند خوبی عبادت و نیکی به بندگان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از همین عبارت و مانند آن که در دیگر آثار این قلم، بسیار است، برمی‌آید که نویسندۀ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و قبح عقلی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پذیرفته است و لوازم آن را نیز گردن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تسلیم در برابر مستقلات عقلیه، نشان می‌دهد که آیت‌اللّه مشکینی، به‌هیچ‌روی مشی اخباری نداشته است و در شمار مجتهدان اصولی است</w:t>
      </w:r>
      <w:r>
        <w:rPr>
          <w:rFonts w:eastAsia="IRNazanin" w:cs="IRNazanin"/>
          <w:color w:val="111111"/>
          <w:sz w:val="28"/>
          <w:szCs w:val="28"/>
          <w:rtl w:val="true"/>
          <w:lang w:bidi="fa-IR"/>
        </w:rPr>
        <w:t>.</w:t>
      </w:r>
    </w:p>
    <w:p>
      <w:pPr>
        <w:pStyle w:val="Heading3"/>
        <w:numPr>
          <w:ilvl w:val="2"/>
          <w:numId w:val="1"/>
        </w:numPr>
        <w:rPr/>
      </w:pPr>
      <w:bookmarkStart w:id="313" w:name="__RefHeading___Toc39828_1878427129"/>
      <w:bookmarkStart w:id="314" w:name="_Toc116"/>
      <w:bookmarkEnd w:id="313"/>
      <w:r>
        <w:rPr>
          <w:rtl w:val="true"/>
        </w:rPr>
        <w:t>عقاید و خبر واحد</w:t>
      </w:r>
      <w:bookmarkEnd w:id="314"/>
    </w:p>
    <w:p>
      <w:pPr>
        <w:pStyle w:val="BookText"/>
        <w:rPr/>
      </w:pPr>
      <w:r>
        <w:rPr>
          <w:rFonts w:ascii="IRNazanin" w:hAnsi="IRNazanin" w:eastAsia="IRNazanin"/>
          <w:color w:val="111111"/>
          <w:sz w:val="28"/>
          <w:sz w:val="28"/>
          <w:szCs w:val="28"/>
          <w:rtl w:val="true"/>
          <w:lang w:bidi="fa-IR"/>
        </w:rPr>
        <w:t xml:space="preserve">انکار اعتبار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کلام عقلی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پشتوانۀ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بحث‌های عقیدتی، پیامدهایی دارد که یکی از آن‌ها اعتماد به خبر واحد در حوزۀ عقاید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می‌دانیم که بزرگانی‌همچون آخوند خراسانی، خبر واحد را در اعتقادات معتبر نمی‌دانستند و همۀ اخبار مربوط به بی‌اعتباری ظن را، منصرف به اعتقادات می‌کردند</w:t>
      </w:r>
      <w:r>
        <w:rPr>
          <w:rFonts w:eastAsia="IRNazanin" w:cs="IRNazanin"/>
          <w:color w:val="111111"/>
          <w:sz w:val="28"/>
          <w:szCs w:val="28"/>
          <w:rtl w:val="true"/>
          <w:lang w:bidi="fa-IR"/>
        </w:rPr>
        <w:t>.</w:t>
      </w:r>
      <w:r>
        <w:rPr>
          <w:rStyle w:val="FootnoteAnchor"/>
          <w:rtl w:val="true"/>
        </w:rPr>
        <w:footnoteReference w:id="347"/>
      </w:r>
      <w:r>
        <w:rPr>
          <w:rFonts w:ascii="IRNazanin" w:hAnsi="IRNazanin" w:eastAsia="IRNazanin"/>
          <w:color w:val="111111"/>
          <w:sz w:val="28"/>
          <w:sz w:val="28"/>
          <w:szCs w:val="28"/>
          <w:rtl w:val="true"/>
          <w:lang w:bidi="fa-IR"/>
        </w:rPr>
        <w:t xml:space="preserve">کسانی همچون شیخ مفید و سید مرتضی نیز خبر واحد را در هیچ عرصه‌ای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 از احکام جزئی و عقاید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معتبر نمی‌شمردند</w:t>
      </w:r>
      <w:r>
        <w:rPr>
          <w:rFonts w:eastAsia="IRNazanin" w:cs="IRNazanin"/>
          <w:color w:val="111111"/>
          <w:sz w:val="28"/>
          <w:szCs w:val="28"/>
          <w:rtl w:val="true"/>
          <w:lang w:bidi="fa-IR"/>
        </w:rPr>
        <w:t>.</w:t>
      </w:r>
      <w:r>
        <w:rPr>
          <w:rStyle w:val="FootnoteAnchor"/>
          <w:rtl w:val="true"/>
        </w:rPr>
        <w:footnoteReference w:id="348"/>
      </w:r>
      <w:r>
        <w:rPr>
          <w:rFonts w:ascii="IRNazanin" w:hAnsi="IRNazanin" w:eastAsia="IRNazanin"/>
          <w:color w:val="111111"/>
          <w:sz w:val="28"/>
          <w:sz w:val="28"/>
          <w:szCs w:val="28"/>
          <w:rtl w:val="true"/>
          <w:lang w:bidi="fa-IR"/>
        </w:rPr>
        <w:t>علامۀ حلی نیز به‌شدت با طریقیت ظنون در عقاید مخالف بود و این نظر خود را در کتاب باب حادی عشر هم که مخاطب آن عموم و مبتدئین است، آورده است</w:t>
      </w:r>
      <w:r>
        <w:rPr>
          <w:rFonts w:eastAsia="IRNazanin" w:cs="IRNazanin"/>
          <w:color w:val="111111"/>
          <w:sz w:val="28"/>
          <w:szCs w:val="28"/>
          <w:rtl w:val="true"/>
          <w:lang w:bidi="fa-IR"/>
        </w:rPr>
        <w:t>.</w:t>
      </w:r>
      <w:r>
        <w:rPr>
          <w:rStyle w:val="FootnoteAnchor"/>
          <w:rtl w:val="true"/>
        </w:rPr>
        <w:footnoteReference w:id="349"/>
      </w:r>
      <w:r>
        <w:rPr>
          <w:rFonts w:ascii="IRNazanin" w:hAnsi="IRNazanin" w:eastAsia="IRNazanin"/>
          <w:color w:val="111111"/>
          <w:sz w:val="28"/>
          <w:sz w:val="28"/>
          <w:szCs w:val="28"/>
          <w:rtl w:val="true"/>
          <w:lang w:bidi="fa-IR"/>
        </w:rPr>
        <w:t>با وجود این مرحوم آیت‌اللّه مشکینی، حجیت اخبار آحاد را به‌طور مشروط می‌پذیرد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مسلکنا می‌نویسد</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مقصود از سنت، آن اخباری است که از پیغمبر صلی الله علیه و آله به‌طور متواتر رسیده یا ثقه خبر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ما واجب است که به آن اخبار عمل کنیم، همان‌طور</w:t>
      </w:r>
      <w:bookmarkStart w:id="315" w:name="pg14517_146345"/>
    </w:p>
    <w:p>
      <w:pPr>
        <w:pStyle w:val="BookText"/>
        <w:rPr/>
      </w:pPr>
      <w:bookmarkEnd w:id="315"/>
      <w:r>
        <w:rPr>
          <w:rFonts w:ascii="Amiri" w:hAnsi="Amiri" w:eastAsia="Amiri" w:cs="Amiri"/>
          <w:color w:val="111111"/>
          <w:sz w:val="28"/>
          <w:sz w:val="28"/>
          <w:szCs w:val="28"/>
          <w:rtl w:val="true"/>
          <w:lang w:bidi="ar-SA"/>
        </w:rPr>
        <w:t>که به قرآن باید عمل کنیم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آیۀ شریفۀ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آتَاکُمُ الرَّسُولُ فَخُذُوهُ وَ مَا نَهَاکُمْ عَنْهُ فَانْتَهُواْ وَ اتَّقُواْ اللَّهَ إِنَّ اللَّهَ شَدِیدُ الْعِقَابِ</w:t>
      </w:r>
      <w:r>
        <w:rPr>
          <w:rFonts w:eastAsia="Amiri" w:cs="Amiri" w:ascii="Amiri" w:hAnsi="Amiri"/>
          <w:color w:val="111111"/>
          <w:sz w:val="28"/>
          <w:szCs w:val="28"/>
          <w:rtl w:val="true"/>
          <w:lang w:bidi="ar-SA"/>
        </w:rPr>
        <w:t>»</w:t>
      </w:r>
      <w:r>
        <w:rPr>
          <w:rStyle w:val="FootnoteAnchor"/>
          <w:rtl w:val="true"/>
        </w:rPr>
        <w:footnoteReference w:id="35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حشر، آیۀ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دلیل این مطلب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 رجوع به 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در این مطلب باید دقیق شد که کدام قسم از اخبار، مشمول آیۀ مذکور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جهت در اخبار متواتر محرز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اخبار متواتر بر حجت بودن اخبار آحاد، اگر از ثقه و عدل صادر شده باشند، دلالت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ایشان در سیرۀ علمی خویش نیز همین‌گونه رفتار می‌کردند؛ یعنی اعتقادات را موقوف به اخبار متواتر نمی‌کردند و آنچه را که از طریق خبر معتبر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هرچند واحد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می‌یافتند، در شمار عقاید می‌آوردند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وی در این عقیده و شیوه، چونان دیگر فقیهان و متکلمان معاصر مشی کرده است</w:t>
      </w:r>
      <w:r>
        <w:rPr>
          <w:rFonts w:eastAsia="IRNazanin" w:cs="IRNazanin"/>
          <w:color w:val="111111"/>
          <w:sz w:val="28"/>
          <w:szCs w:val="28"/>
          <w:rtl w:val="true"/>
          <w:lang w:bidi="fa-IR"/>
        </w:rPr>
        <w:t>.</w:t>
      </w:r>
    </w:p>
    <w:p>
      <w:pPr>
        <w:pStyle w:val="Heading3"/>
        <w:numPr>
          <w:ilvl w:val="2"/>
          <w:numId w:val="1"/>
        </w:numPr>
        <w:rPr/>
      </w:pPr>
      <w:bookmarkStart w:id="316" w:name="__RefHeading___Toc39830_1878427129"/>
      <w:bookmarkStart w:id="317" w:name="_Toc117"/>
      <w:bookmarkEnd w:id="316"/>
      <w:r>
        <w:rPr>
          <w:rtl w:val="true"/>
        </w:rPr>
        <w:t>نگاه به مسائل روز</w:t>
      </w:r>
      <w:bookmarkEnd w:id="317"/>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بیشتر مسائل و موضوعاتی که ذهن و زبان آیت‌اللّه مشکینی را به خود مشغول کرده بودند، از امور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مبتلا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مستحدثه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محسوب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کارنامۀ علمی ایشان نیز سرشار از نوشته‌های ناظر به مسائل روز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برای مردم اخلاق می‌گفت، موضوعاتی را برمی‌گزید که در زندگی روزمرۀ شهری کارایی داشت؛ همچون مراعات حقوق یکدیگر و کمک به همنوعان و همگرایی در حل مسائل اجتماعی و تعامل سازنده یا انتقادی با حکومت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درس عقاید می‌داد، باورهایی را به بحث می‌گذاشت که چندان به گذشته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برخی حوادث تلخ تاریخی، همچون سقیفه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آینده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رجعت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مربوط نمی‌شد و بیشتر به 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می‌آمد؛ مانند توحید، امر به معروف و نهی از منکر، جهاد، حکومت دینی و رسالت منتظران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هر شبهه یا سؤال یا مسئلۀ دینی که میان مردم کوچه و بازار یا جوانان دانشگاهی پدید می‌آمد، وی خود را در برابر آن مسئول می‌دید و به اندازۀ توان و وقت و</w:t>
      </w:r>
      <w:bookmarkStart w:id="318" w:name="pg14517_146346"/>
    </w:p>
    <w:p>
      <w:pPr>
        <w:pStyle w:val="BookText"/>
        <w:rPr/>
      </w:pPr>
      <w:bookmarkEnd w:id="318"/>
      <w:r>
        <w:rPr>
          <w:rFonts w:ascii="IRNazanin" w:hAnsi="IRNazanin" w:eastAsia="IRNazanin"/>
          <w:color w:val="111111"/>
          <w:sz w:val="28"/>
          <w:sz w:val="28"/>
          <w:szCs w:val="28"/>
          <w:rtl w:val="true"/>
          <w:lang w:bidi="fa-IR"/>
        </w:rPr>
        <w:t>فرصت‌هایی که می‌یافت، دربارۀ آن سخن می‌گفت یا مقاله می‌نوشت یا کتاب تألیف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نیز دیگران را وادار و تشویق به پاسخ‌گویی به پرسش‌های روز می‌کرد و از این رهگذر، آرام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 حضور وی را در پهنۀ مبارزه با رژیم شاه، از همین منظر دانست؛ چه اینکه هماره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درد ما درد دین است؛ نه درد قدرت و زمامداری</w:t>
      </w:r>
      <w:r>
        <w:rPr>
          <w:rFonts w:eastAsia="IRNazanin" w:cs="IRNazanin"/>
          <w:color w:val="111111"/>
          <w:sz w:val="28"/>
          <w:szCs w:val="28"/>
          <w:rtl w:val="true"/>
          <w:lang w:bidi="fa-IR"/>
        </w:rPr>
        <w:t>.</w:t>
      </w:r>
    </w:p>
    <w:p>
      <w:pPr>
        <w:pStyle w:val="Heading3"/>
        <w:numPr>
          <w:ilvl w:val="2"/>
          <w:numId w:val="1"/>
        </w:numPr>
        <w:rPr/>
      </w:pPr>
      <w:bookmarkStart w:id="319" w:name="__RefHeading___Toc39832_1878427129"/>
      <w:bookmarkStart w:id="320" w:name="_Toc118"/>
      <w:bookmarkEnd w:id="319"/>
      <w:r>
        <w:rPr>
          <w:rtl w:val="true"/>
        </w:rPr>
        <w:t>باورهای اجتهادی</w:t>
      </w:r>
      <w:bookmarkEnd w:id="320"/>
    </w:p>
    <w:p>
      <w:pPr>
        <w:pStyle w:val="BookText"/>
        <w:rPr/>
      </w:pPr>
      <w:r>
        <w:rPr>
          <w:rFonts w:ascii="IRNazanin" w:hAnsi="IRNazanin" w:eastAsia="IRNazanin"/>
          <w:color w:val="111111"/>
          <w:sz w:val="28"/>
          <w:sz w:val="28"/>
          <w:szCs w:val="28"/>
          <w:rtl w:val="true"/>
          <w:lang w:bidi="fa-IR"/>
        </w:rPr>
        <w:t xml:space="preserve">آیت‌اللّه مشکینی، در هیچ‌یک از آثار خود، در قامت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متکلم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نشده است؛ اما بیش از آنچه بر عهدۀ فقیه و مفسر و مبارز سیاسی است، در باب عقاید، کتاب و رساله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پرکاری ازآن‌روست که وی، جامعه را در دهه‌های چهل و پنجاه، نیازمند آشنایی با آموزه‌های دینی می‌دید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قرآن و شرح نهج البلاغه و تعلیم اخلاق، از کوشش‌های دیگر آن فقید سعید است؛ اگرچه هیچ‌یک از این کوشش‌ها در شمار مسئولیت‌های تعریف‌شدۀ فقیهان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 در میان آثار ایشان، کتاب‌هایی است که مخاطب آن‌ها، نه مکلفان، که عموم مسلمانان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آثار، آیت‌اللّه مشکینی رحمه الله بیشتر کوشیده است دانستنی‌های لازم و ضروری را برای مردم بازگوید؛ اگرچه گه‌گاه مجتهدانه نیز وارد شده و اندکی خلاف جمهور، مشی کرده است</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متفکر و نویسنده‌ای گاه به رهیافت‌هایی می‌رسد که دور از آرای عمومی و مقبول در میان هم‌قطاران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به‌حتم اگر غیر از این باشد، معنایی جز این ندارد که آن متفکر یا نویسنده، تهی از تفکر اجتهادی است و بنابراین نمی‌توان او را اهل اندیشه و اجتهاد 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اجتهاد، برخلاف تقلید، قابل پیش‌بینی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اجتهاد می‌کند و با مغز خود می‌اندیشد و با دست خود می‌نویسد، ناگزیر گاه به راهی می‌رود که راه همگان یا اکثریت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مقلد است که چنان می‌رود که دیگران 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توصیۀ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 چنان رو که رهروان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سپهر دانش، توصیه به مقلدان</w:t>
      </w:r>
    </w:p>
    <w:p>
      <w:pPr>
        <w:pStyle w:val="BookText"/>
        <w:rPr/>
      </w:pPr>
      <w:r>
        <w:rPr>
          <w:rFonts w:ascii="IRNazanin" w:hAnsi="IRNazanin" w:eastAsia="IRNazanin"/>
          <w:color w:val="111111"/>
          <w:sz w:val="28"/>
          <w:sz w:val="28"/>
          <w:szCs w:val="28"/>
          <w:rtl w:val="true"/>
          <w:lang w:bidi="fa-IR"/>
        </w:rPr>
        <w:t>است نه مجتهدان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اجتهاد، پیوسته در بزنگاه‌های کلی و جزئی، تصمیم می‌گیرند و هر بار، راهی را برمی‌گزینند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همسانی و همسویی مطلق، نشانۀ نیندیشیدن و ترجیح تقلید بر اجتهاد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آیت‌اللّه مشکینی، اگرچه در حوزۀ عقاید، کمترین تفاوت را با دیگر عالمان شیعی معاصر دارد، گه‌گاه آراء و نظرگاه‌هایی نیز برگزیده است که هم‌رنگ جماعت نیست و همین آراء و اندیشه‌ها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فارغ از اینکه خطا باشند یا صواب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نشانۀ رویکرد اجتهادی ایشان در اصول و فروع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مشهورترین و جنجالی‌ترین آرای متفاوت ایشان، نظریۀ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خلقت تدریجی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در کتاب تکامل در قرآن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می‌توان مقدمۀ تأییدی ایشان را در ابتدای کتاب شهید جاوید نوشتۀ مرحوم آیت‌اللّه صالحی‌نجف‌آبادی نام برد که آن نیز منشأ منازعات بسیار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مسائل و مباحث دیگری نیز هست که گفت‌وگو دربارۀ همۀ آن‌ها در این نوشتار کوتاه ممکن نیست؛ اما به قدر وسع و امکان، شماری را بازخواهیم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تکامل انسان در قرآن از شمار تألیفاتی است که مؤلفش را در حوزه و میان دین‌پژوهان پیش از انقلاب زبانزد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که ناظر به یکی از جنجالی‌ترین نظریه‌های زیست‌شناختی است، می‌کوشد تفسیری از نظریۀ تکامل ارائه دهد که با مبانی قرآنی ناسازگار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آیت‌اللّه مشکینی، این کتاب را پس از انتشار خلقت انسان، نوشتۀ مرحوم یداللّه سحابی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چاپ کتاب خلقت انسان در سال </w:t>
      </w:r>
      <w:r>
        <w:rPr>
          <w:rFonts w:eastAsia="IRNazanin" w:cs="IRNazanin"/>
          <w:color w:val="111111"/>
          <w:sz w:val="28"/>
          <w:szCs w:val="28"/>
          <w:lang w:bidi="fa-IR"/>
        </w:rPr>
        <w:t>1340</w:t>
      </w:r>
      <w:r>
        <w:rPr>
          <w:rFonts w:ascii="IRNazanin" w:hAnsi="IRNazanin" w:eastAsia="IRNazanin"/>
          <w:color w:val="111111"/>
          <w:sz w:val="28"/>
          <w:sz w:val="28"/>
          <w:szCs w:val="28"/>
          <w:rtl w:val="true"/>
          <w:lang w:bidi="fa-IR"/>
        </w:rPr>
        <w:t>، گروه‌های بسیاری از جوانان و تحصیل‌کردگان در پی آن بودند که دربارۀ تلائم یا تضاد نظریۀ تکامل با نظریۀ خلقت در کتاب آسمانی بیشتر بدانند</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آیت‌اللّه مشکینی، کتاب خود را در تأیید ضمنی این اثر نگاشت و بر این ادعای سحابی صحه گذاشت که در قرآن کریم نیز شواهدی مبنی بر تأیید نظریۀ داروین به چشم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 این اثر آیت‌اللّه مشکینی موجب واکنش‌هایی از سوی برخی آیات و فضلای قم شد؛ تا آنجا که برخی از فضلا و استادان جوان حوزه، خواهان مباهله با نویسندۀ کتاب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مرحوم دکتر سحابی، ضمن پذیرش اصل تکامل و پیوستگی و اتصال همۀ موجودات، تقسیم‌بندی طبیعی موجودات را بر پایۀ نظریۀ داروین، از نظر علمی قطعی نمی‌دانست</w:t>
      </w:r>
      <w:r>
        <w:rPr>
          <w:rFonts w:eastAsia="IRNazanin" w:cs="IRNazanin"/>
          <w:color w:val="111111"/>
          <w:sz w:val="28"/>
          <w:szCs w:val="28"/>
          <w:rtl w:val="true"/>
          <w:lang w:bidi="fa-IR"/>
        </w:rPr>
        <w:t>.</w:t>
      </w:r>
      <w:r>
        <w:rPr>
          <w:rStyle w:val="FootnoteAnchor"/>
          <w:rtl w:val="true"/>
        </w:rPr>
        <w:footnoteReference w:id="351"/>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خلقت انسان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داروین، تنازع بقا را در انتخاب طبیعی و پیدایی گونه‌های تازه و تغییر تدریجی آن‌ها مؤثر می‌دانست؛ اما سپس تأثیر عوامل فرعی دیگری را هم در تغییر تدریجی انواع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نظریۀ داروین به فرض آنکه قطعی باشد، فقط بیانی است در علت تغییر تدریجی موجودات زنده؛ اما چنین نظریه‌ای در ابتدای خلقت که شاهد تنوع موجودات نبوده است، صادق و قابل انطباق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علوم زیستی روز ثابت می‌کند که موجودات زنده به‌تدریج تنوع یافته و نوع آن‌ها تکثیر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نظریه قادر نیست که داستان خلقت را بر پایۀ روایت کتب آسمانی مخدوش کند</w:t>
      </w:r>
      <w:r>
        <w:rPr>
          <w:rFonts w:eastAsia="IRNazanin" w:cs="IRNazanin"/>
          <w:color w:val="111111"/>
          <w:sz w:val="28"/>
          <w:szCs w:val="28"/>
          <w:rtl w:val="true"/>
          <w:lang w:bidi="fa-IR"/>
        </w:rPr>
        <w:t>.</w:t>
      </w:r>
      <w:r>
        <w:rPr>
          <w:rStyle w:val="FootnoteAnchor"/>
          <w:rtl w:val="true"/>
        </w:rPr>
        <w:footnoteReference w:id="352"/>
      </w:r>
      <w:r>
        <w:rPr>
          <w:rFonts w:ascii="IRNazanin" w:hAnsi="IRNazanin" w:eastAsia="IRNazanin"/>
          <w:color w:val="111111"/>
          <w:sz w:val="28"/>
          <w:sz w:val="28"/>
          <w:szCs w:val="28"/>
          <w:rtl w:val="true"/>
          <w:lang w:bidi="fa-IR"/>
        </w:rPr>
        <w:t xml:space="preserve">به هر روی مؤلف کتاب خلقت انسان، سرانجام به این نتیجه می‌رسد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ابوالبشر نبوده است؛ بلکه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از حضرت آدم، انسان‌هایی وجود داشته‌اند که تکامل نایافته بودند؛ اما از میان نرفتند؛ بلکه در بستر تکامل خود به مرحلۀ انسانیت رسیده، حضرت آدم علیه السلام نخستین انسان و نخستین پیامبر از نسل همۀ آدم‌ها بوده و یک‌باره خلق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نظریه، نظریۀ داروین نمی‌تواند قرائت و گزارش قرآن را از داستان خلقت انسان مخدوش کند</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آیت‌اللّه مشکینی نیز آیات مربوط به خلقت را به پنج دسته تقسیم کرد و نشان داد که بعضی از این آیات با نظریۀ تکامل انواع مخالفت ندارد؛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قرآن هرگز چیزی که مخالف عقل و منطق و قطعیت علمی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طریق مشاهده و تجربه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وجود ندارد و اگر موضوعی بدین روش و به طور قطع به اثبات رسید مسلّماً قرآن، موافق آن است نه متضاد و مغایر آن؛ ولی اگر برخلاف واقعیت موضوع گام برداشته باشیم، نهایت امر که نادرست بودن نتیجۀ تحقیق و اشتباه بودن نظریه معلوم خواهد شد، به خطای خود در این گونه برداشت و استفاده از قرآن، نیز پی خواهیم برد؛</w:t>
      </w:r>
    </w:p>
    <w:p>
      <w:pPr>
        <w:pStyle w:val="BookText"/>
        <w:rPr/>
      </w:pPr>
      <w:r>
        <w:rPr>
          <w:rFonts w:ascii="IRNazanin" w:hAnsi="IRNazanin" w:eastAsia="IRNazanin"/>
          <w:color w:val="111111"/>
          <w:sz w:val="28"/>
          <w:sz w:val="28"/>
          <w:szCs w:val="28"/>
          <w:rtl w:val="true"/>
          <w:lang w:bidi="fa-IR"/>
        </w:rPr>
        <w:t>مانند هیئت قدیم و جدید در علم نجوم</w:t>
      </w:r>
      <w:r>
        <w:rPr>
          <w:rFonts w:eastAsia="IRNazanin" w:cs="IRNazanin"/>
          <w:color w:val="111111"/>
          <w:sz w:val="28"/>
          <w:szCs w:val="28"/>
          <w:rtl w:val="true"/>
          <w:lang w:bidi="fa-IR"/>
        </w:rPr>
        <w:t>».</w:t>
      </w:r>
      <w:r>
        <w:rPr>
          <w:rStyle w:val="FootnoteAnchor"/>
          <w:rtl w:val="true"/>
        </w:rPr>
        <w:footnoteReference w:id="353"/>
      </w:r>
    </w:p>
    <w:p>
      <w:pPr>
        <w:pStyle w:val="BookText"/>
        <w:rPr/>
      </w:pPr>
      <w:r>
        <w:rPr>
          <w:rFonts w:ascii="IRNazanin" w:hAnsi="IRNazanin" w:eastAsia="IRNazanin"/>
          <w:color w:val="111111"/>
          <w:sz w:val="28"/>
          <w:sz w:val="28"/>
          <w:szCs w:val="28"/>
          <w:rtl w:val="true"/>
          <w:lang w:bidi="fa-IR"/>
        </w:rPr>
        <w:t xml:space="preserve">تکامل از دیدگاه قرآن، ص </w:t>
      </w:r>
      <w:r>
        <w:rPr>
          <w:rFonts w:eastAsia="IRNazanin" w:cs="IRNazanin"/>
          <w:color w:val="111111"/>
          <w:sz w:val="28"/>
          <w:szCs w:val="28"/>
          <w:lang w:bidi="fa-IR"/>
        </w:rPr>
        <w:t>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این کتاب را تا حدی هدف انتقاد گروهی از حوزویان کرد، پذیرش نظریۀ داروین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آیت‌اللّه مشکینی رحمه الله در این اثر کوشیده است که آیات را به گونه‌ای فهم و تفسیر کند که نظریۀ داروین قادر به نقض آن‌ها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لازمۀ چنین مشی عالمانه‌ای، توسعه در فهم سنتی متدینان از داستان خلقت در قرآن بود که به مذاق بسیاری از اهل حوزه در آن سال‌ها خوش نیامد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دیگر از باورهای اجتهادی آیت‌اللّه مشکینی رحمه الله در ضمن تأیید پرماجرای کتاب شهید جاوید، رخ می‌نماید</w:t>
      </w:r>
      <w:r>
        <w:rPr>
          <w:rFonts w:eastAsia="IRNazanin" w:cs="IRNazanin"/>
          <w:color w:val="111111"/>
          <w:sz w:val="28"/>
          <w:szCs w:val="28"/>
          <w:rtl w:val="true"/>
          <w:lang w:bidi="fa-IR"/>
        </w:rPr>
        <w:t>.</w:t>
      </w:r>
      <w:r>
        <w:rPr>
          <w:rStyle w:val="FootnoteAnchor"/>
          <w:rtl w:val="true"/>
        </w:rPr>
        <w:footnoteReference w:id="354"/>
      </w:r>
      <w:r>
        <w:rPr>
          <w:rFonts w:ascii="IRNazanin" w:hAnsi="IRNazanin" w:eastAsia="IRNazanin"/>
          <w:color w:val="111111"/>
          <w:sz w:val="28"/>
          <w:sz w:val="28"/>
          <w:szCs w:val="28"/>
          <w:rtl w:val="true"/>
          <w:lang w:bidi="fa-IR"/>
        </w:rPr>
        <w:t>در اوایل دهۀ پنجاه شمسی، آیت‌اللّه مشکینی رحمه الله، همراه آیت‌اللّه منتظری رحمه الله بر کتابی تقریظ نوشتند که پیامدهای آن تا امروز به چشم می‌خورد</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 شهید جاوید به دو دلیل، انتقادهای بسیاری برانگیخت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 ازآن‌رو که در هدف‌شناسی عاشورا، سخن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تشکیل حکومت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مطرح کرد؛ زیرا تا آن زمان بیشتر نظریۀ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 استشهادی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مقبول بود و نظریۀ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قائلان چندانی نداشت؛</w:t>
      </w:r>
      <w:r>
        <w:rPr>
          <w:rStyle w:val="FootnoteAnchor"/>
          <w:rtl w:val="true"/>
        </w:rPr>
        <w:footnoteReference w:id="355"/>
      </w:r>
      <w:r>
        <w:rPr>
          <w:rFonts w:ascii="IRNazanin" w:hAnsi="IRNazanin" w:eastAsia="IRNazanin"/>
          <w:color w:val="111111"/>
          <w:sz w:val="28"/>
          <w:sz w:val="28"/>
          <w:szCs w:val="28"/>
          <w:rtl w:val="true"/>
          <w:lang w:bidi="fa-IR"/>
        </w:rPr>
        <w:t>دوم از آن جهت که علم امام علیه السلام را نامحدود نخواند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اول، خلاف ذائقه و سلیقۀ اکثر دانشمندان دینی در آن سال‌ها و قرن‌های پیش از آن بود و جهت دوم نیز با واکنش‌های تند و غیرتمندانه‌ای از سوی بیشترینۀ حوزویان و دینداران رو در رو شد؛ چندان که کار به تظاهرات خیابانی نیز کشید و عملاً حوزه را به دو گروه اکثریت سنتی و اقلیت نواندیش تبدیل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اکنون نزاع بر سر</w:t>
      </w:r>
    </w:p>
    <w:p>
      <w:pPr>
        <w:pStyle w:val="BookText"/>
        <w:rPr/>
      </w:pPr>
      <w:r>
        <w:rPr>
          <w:rFonts w:ascii="IRNazanin" w:hAnsi="IRNazanin" w:eastAsia="IRNazanin"/>
          <w:color w:val="111111"/>
          <w:sz w:val="28"/>
          <w:sz w:val="28"/>
          <w:szCs w:val="28"/>
          <w:rtl w:val="true"/>
          <w:lang w:bidi="fa-IR"/>
        </w:rPr>
        <w:t>کتاب شهید جاوید فروکش کرده است، نقطۀ مرکزی نزاع که علم امام علیه السلام است، همچنان ادامه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تقریظ آیت‌اللّه مشکینی بر کتاب شهید جاوید، جهت دیگری نیز دارد که اگرچه ایشان به‌صراحت دربارۀ آن سخن می‌گوید، کمتر به آن توجه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سه جهت و دلیل بر آن تقریظ می‌توان نام برد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روحیۀ مبارزاتی و تعهد اجتماعی و اندیشه‌های سیاسی آیت‌اللّه مشکینی رحمه الله با این نظریه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 عاشورا برای تشکیل حکومت اسلامی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کاملاً تلائم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همدلی، در سخنرانی‌ها و خطبه‌های ایشان در سال‌های پس از پیروزی انقلاب، آشکارتر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دربارۀ علم امام علیه السلام در آثار ایشان، بحث مستوفایی دیده نمی‌شود؛ اما در کتاب واجب و حرام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شامل واجبات و محرمات اعتقادی و عملی در شرع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عبارتی است که تا حدی دیدگاه ایشان را به نظریۀ نامحدود بودن علم امام علیه السلام نزدیک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عبارت در قالب عنوان آمده و چنین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پیامبران و امامان به نحو وسیعی واجد علم غیب بوده‌اند</w:t>
      </w:r>
      <w:r>
        <w:rPr>
          <w:rFonts w:eastAsia="IRNazanin" w:cs="IRNazanin"/>
          <w:color w:val="111111"/>
          <w:sz w:val="28"/>
          <w:szCs w:val="28"/>
          <w:rtl w:val="true"/>
          <w:lang w:bidi="fa-IR"/>
        </w:rPr>
        <w:t>».</w:t>
      </w:r>
      <w:r>
        <w:rPr>
          <w:rStyle w:val="FootnoteAnchor"/>
          <w:rtl w:val="true"/>
        </w:rPr>
        <w:footnoteReference w:id="356"/>
      </w:r>
    </w:p>
    <w:p>
      <w:pPr>
        <w:pStyle w:val="BookText"/>
        <w:rPr/>
      </w:pPr>
      <w:r>
        <w:rPr>
          <w:rFonts w:ascii="IRNazanin" w:hAnsi="IRNazanin" w:eastAsia="IRNazanin"/>
          <w:color w:val="111111"/>
          <w:sz w:val="28"/>
          <w:sz w:val="28"/>
          <w:szCs w:val="28"/>
          <w:rtl w:val="true"/>
          <w:lang w:bidi="fa-IR"/>
        </w:rPr>
        <w:t>کتاب واجب و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شامل واجبات و محرمات اعتقادی و عملی در شرع اسلام، ص </w:t>
      </w:r>
      <w:r>
        <w:rPr>
          <w:rFonts w:eastAsia="IRNazanin" w:cs="IRNazanin"/>
          <w:color w:val="111111"/>
          <w:sz w:val="28"/>
          <w:szCs w:val="28"/>
          <w:lang w:bidi="fa-IR"/>
        </w:rPr>
        <w:t>43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ذیل این عنوان می‌نویسند</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مسئلۀ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مقتضای ادلۀ باب دربارۀ علم پیامبر اسلام صلی الله علیه و آله و امامان دوازده‌گانه علیه السلام در غیر احکام شرعی اصولی و فروعی، بلکه در جهت و بعدی که علم غیب خوانده می‌شود، این است که آنان به وراثت معارف وحی‌شده از پیامبر اسلام صلی الله علیه و آله، و به وسیلۀ الهام از پروردگار، و نه به نحو استقلال، به‌طور وسیعی، علم غیب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مدعای فوق، پس از بررسی معجزات و خبر دادن از غیب که در موارد زیادی از آنان صادر شده، گرچه غالباً در مورد تثبیت پایه‌های امامتشان بوده، به‌وضوح روشن می‌شود</w:t>
      </w:r>
      <w:r>
        <w:rPr>
          <w:rFonts w:eastAsia="IRNazanin" w:cs="IRNazanin"/>
          <w:color w:val="111111"/>
          <w:sz w:val="28"/>
          <w:szCs w:val="28"/>
          <w:rtl w:val="true"/>
          <w:lang w:bidi="fa-IR"/>
        </w:rPr>
        <w:t>.</w:t>
      </w:r>
      <w:r>
        <w:rPr>
          <w:rStyle w:val="FootnoteAnchor"/>
          <w:rtl w:val="true"/>
        </w:rPr>
        <w:footnoteReference w:id="357"/>
      </w:r>
    </w:p>
    <w:p>
      <w:pPr>
        <w:pStyle w:val="BookText"/>
        <w:rPr/>
      </w:pPr>
      <w:r>
        <w:rPr>
          <w:rFonts w:ascii="IRNazanin" w:hAnsi="IRNazanin" w:eastAsia="IRNazanin"/>
          <w:color w:val="111111"/>
          <w:sz w:val="28"/>
          <w:sz w:val="28"/>
          <w:szCs w:val="28"/>
          <w:rtl w:val="true"/>
          <w:lang w:bidi="fa-IR"/>
        </w:rPr>
        <w:t xml:space="preserve">سخن بر سر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طور وسیعی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ناقض اطلاق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نکته را ایشان در مسئلۀ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مسئلۀ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همراهی خود را با عقیدۀ علمای امامیه در علم کامل و مطلق امام علیه السلام در حوزۀ معارف و شرعیات، نشان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مستفاد از ادلۀ قطعی دربارۀ علم پیامبر اسلام صلی الله علیه و آله و امامان معصوم علیهم السلام این است که آنان کلیۀ معارف و احکام دینی که جامعۀ بشری از عصر ظهور اسلام تا دامنۀ قیامت، بدان نیازمند بوده و خواهند بود، واجد و دارا بودند؛ البته پیامبر صلی الله علیه و آله از طریق وحی، و امامان معصوم علیهم السلام از راه تعلم و وراثت از 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تعبیر دیگر، آنچه بشر در طریق حرکت ذات‌الابعاد خود به سوی تکامل معنوی، از نظر تعلیم و تربیت بدان احتیاج دارد، همه را به نحو تلقی از مبدأ وحی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 آموختن از غیر معصوم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دانا و عالم بودند</w:t>
      </w:r>
      <w:r>
        <w:rPr>
          <w:rFonts w:eastAsia="IRNazanin" w:cs="IRNazanin"/>
          <w:color w:val="111111"/>
          <w:sz w:val="28"/>
          <w:szCs w:val="28"/>
          <w:rtl w:val="true"/>
          <w:lang w:bidi="fa-IR"/>
        </w:rPr>
        <w:t>.</w:t>
      </w:r>
      <w:r>
        <w:rPr>
          <w:rStyle w:val="FootnoteAnchor"/>
          <w:rtl w:val="true"/>
        </w:rPr>
        <w:footnoteReference w:id="358"/>
      </w:r>
    </w:p>
    <w:p>
      <w:pPr>
        <w:pStyle w:val="BookText"/>
        <w:rPr/>
      </w:pP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42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جهت سوم در تأیید شهید جاوید که کمتر به آن توجه شده است، روزآمدی آن کتاب از حیث شیوۀ تحقیق و نثر نویسندۀ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خود ایشان نیز پس از درگیری‌ها بر سر کتاب گفته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دلایل تأیید کتابْ شیوه و روشمندی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آشکار است که این تأیید، فارغ از محتوای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ایشان در تقریظیه چنین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امتیازات این کتاب، تتبع وسیع و تحقیق و ابتکار و بررسی مسائل تاریخی بر اساس تجزیه و تحلیل دقیق علمی، با اسلوبی کاملاً تازه و بی‌سابقه و عقل‌پسند است و این اثر ارزنده، مبدأ یک تحول اصلاحی ثمربخش در مسائل مربوط به نهضت بزرگ حضرت سیدالشهداء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روحی فداه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گمان نگارنده، جهت سوم بسیار مهم است؛ زیرا در آن بر لزوم روشمندی در تحقیقات تاریخی تأکید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دانشمندی، کتابی را از حیث شیوۀ علمی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فارغ از نتایجی که به بار آورده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بستاید، نشان آن است که اسلوب‌های تازۀ تحقیق در نظر او ارج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می‌دانیم که کتاب شهید جاوید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فارغ از محتوای</w:t>
      </w:r>
    </w:p>
    <w:p>
      <w:pPr>
        <w:pStyle w:val="BookText"/>
        <w:rPr/>
      </w:pPr>
      <w:r>
        <w:rPr>
          <w:rFonts w:ascii="IRNazanin" w:hAnsi="IRNazanin" w:eastAsia="IRNazanin"/>
          <w:color w:val="111111"/>
          <w:sz w:val="28"/>
          <w:sz w:val="28"/>
          <w:szCs w:val="28"/>
          <w:rtl w:val="true"/>
          <w:lang w:bidi="fa-IR"/>
        </w:rPr>
        <w:t xml:space="preserve">تاریخی و عقیدتی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تاریخ حوزۀ علمیۀ قم را به دو دورۀ پیش و پس از خود تقسیم می‌کند؛ به‌ویژه به دلیل واکنش‌هایی که برانگیخت و پرسش و پاسخ‌هایی که پیرامون آن پدید آمد و نگاه‌های جدیدی که به روش تحقیق و شیوۀ حل مسائل تاریخی، پدیدار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این بحث، گفتنی است که پس از سوء استفادۀ ساواک از نزاع حوزویان بر سر کتاب شهید جاوید،</w:t>
      </w:r>
      <w:r>
        <w:rPr>
          <w:rStyle w:val="FootnoteAnchor"/>
          <w:rtl w:val="true"/>
        </w:rPr>
        <w:footnoteReference w:id="35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آیت‌اللّه العظمی گلپایگانی به روایت ساواک،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439</w:t>
      </w:r>
      <w:r>
        <w:rPr>
          <w:rFonts w:eastAsia="IRNazanin" w:cs="IRNazanin"/>
          <w:color w:val="111111"/>
          <w:sz w:val="28"/>
          <w:szCs w:val="28"/>
          <w:rtl w:val="true"/>
          <w:lang w:bidi="fa-IR"/>
        </w:rPr>
        <w:t>-</w:t>
      </w:r>
      <w:r>
        <w:rPr>
          <w:rFonts w:eastAsia="IRNazanin" w:cs="IRNazanin"/>
          <w:color w:val="111111"/>
          <w:sz w:val="28"/>
          <w:szCs w:val="28"/>
          <w:lang w:bidi="fa-IR"/>
        </w:rPr>
        <w:t>403</w:t>
      </w:r>
      <w:r>
        <w:rPr>
          <w:rFonts w:ascii="IRNazanin" w:hAnsi="IRNazanin" w:eastAsia="IRNazanin"/>
          <w:color w:val="111111"/>
          <w:sz w:val="28"/>
          <w:sz w:val="28"/>
          <w:szCs w:val="28"/>
          <w:rtl w:val="true"/>
          <w:lang w:bidi="fa-IR"/>
        </w:rPr>
        <w:t xml:space="preserve">؛ فقیه عالیقدر،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132</w:t>
      </w:r>
      <w:r>
        <w:rPr>
          <w:rFonts w:eastAsia="IRNazanin" w:cs="IRNazanin"/>
          <w:color w:val="111111"/>
          <w:sz w:val="28"/>
          <w:szCs w:val="28"/>
          <w:rtl w:val="true"/>
          <w:lang w:bidi="fa-IR"/>
        </w:rPr>
        <w:t>-</w:t>
      </w:r>
      <w:r>
        <w:rPr>
          <w:rFonts w:eastAsia="IRNazanin" w:cs="IRNazanin"/>
          <w:color w:val="111111"/>
          <w:sz w:val="28"/>
          <w:szCs w:val="28"/>
          <w:lang w:bidi="fa-IR"/>
        </w:rPr>
        <w:t>138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آیت‌اللّه مشکینی، صلاح را در آن دید که از تقریظ خود بر آن کتاب، دفاع مطلق نکند و از این رهگذر، منازعات خطرناکی را که آغاز شده بود، فرونشاند؛ زیرا در آن سال‌ها هیچ گفتار و رفتاری برای ایشان، به اندازۀ بازگرداندن آرامش به حوزه اهمیت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بدین‌رو در پاسخ به سؤال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جمعی از محصلین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این کتاب، می‌گوید تأیید یک اثر، به معنای تأیید همۀ مطالب و جزئیات آن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جمعی از محصلین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به ایشان نوشتند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محترماً خواهشمند است که جواب سؤال زیر را مرقوم 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همۀ مطالب و جزئیات کتاب شهید جاوید، که بر آن تقریظ نوشته‌اید، مورد تصدیق و اعتماد شما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آیت‌اللّه مشکینی، این‌گونه پاسخ دادند</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تقریظ نوشتن بر یک کتاب، معمولاً راجع به انتخاب موضوع بحث و روانی قلم و سبک جمع‌آوری و تنظیم مطالب است و ابداً مستلزم تصدیق تمام مطالب کتاب نیست؛ بلکه برای غالب نویسندگانِ تقریظ میسر نمی‌شود به همۀ مدارک و مآخذ مربوطه مراجعه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کسی بگوید کتاب مروج الذهب مسعودی، کتاب خوبی است، پر واضح است که این جمله به معنی تصدیق همۀ موضوعات آن کتاب نمی‌باشد و منافاتی ندارد که در بعضی از مطالب و مندرجاتش با او اختلاف‌نظر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مورد کتاب مورد سؤال، اگرچه نظریۀ این‌جانب در بعضی از مطالب و</w:t>
      </w:r>
    </w:p>
    <w:p>
      <w:pPr>
        <w:pStyle w:val="BookText"/>
        <w:rPr/>
      </w:pPr>
      <w:r>
        <w:rPr>
          <w:rFonts w:ascii="IRNazanin" w:hAnsi="IRNazanin" w:eastAsia="IRNazanin"/>
          <w:color w:val="111111"/>
          <w:sz w:val="28"/>
          <w:sz w:val="28"/>
          <w:szCs w:val="28"/>
          <w:rtl w:val="true"/>
          <w:lang w:bidi="fa-IR"/>
        </w:rPr>
        <w:t xml:space="preserve">موضوعات با روش کتاب توافق نداشت، چنان‌که پس از انتشار آن بر طبق بررسی و تحقیق عده‌ای از اساتید حوزۀ علمیۀ قم و رفقای محترم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دامت افاضاتهم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آمده که اشتباهاتی در آن موجود است، ولی از نظر اینکه در خود کتاب تصریح شده بود که ابحاث و مسائل آن به عنوان اظهار نظر و بیان فرضیه در اطراف نهضت مقدس حضرت حسین علیه السلام است، ما تصور کردیم که در آیندۀ نزدیک، افرادی از دانشمندان و نویسندگان در اطراف این موضوع تحقیق و تفحص نموده، مطالب مورد نظر خود را کاملاً بررسی و اشکالات متصوره را منصفانه حل خواهند کرد و کتاب‌هایی جالب‌تر و عمیق‌تر دراین‌باره خواهند نوشت، و مطمئنیم که به خواست خداوند عن‌قریبٍ این تصور ما جامۀ عمل می‌پوشد و همۀ اشکالات برطرف می‌شود</w:t>
      </w:r>
      <w:r>
        <w:rPr>
          <w:rFonts w:eastAsia="IRNazanin" w:cs="IRNazanin"/>
          <w:color w:val="111111"/>
          <w:sz w:val="28"/>
          <w:szCs w:val="28"/>
          <w:rtl w:val="true"/>
          <w:lang w:bidi="fa-IR"/>
        </w:rPr>
        <w:t>....</w:t>
      </w:r>
      <w:r>
        <w:rPr>
          <w:rStyle w:val="FootnoteAnchor"/>
          <w:rtl w:val="true"/>
        </w:rPr>
        <w:footnoteReference w:id="360"/>
      </w:r>
    </w:p>
    <w:p>
      <w:pPr>
        <w:pStyle w:val="BookText"/>
        <w:rPr/>
      </w:pPr>
      <w:r>
        <w:rPr>
          <w:rFonts w:ascii="IRNazanin" w:hAnsi="IRNazanin" w:eastAsia="IRNazanin"/>
          <w:color w:val="111111"/>
          <w:sz w:val="28"/>
          <w:sz w:val="28"/>
          <w:szCs w:val="28"/>
          <w:rtl w:val="true"/>
          <w:lang w:bidi="fa-IR"/>
        </w:rPr>
        <w:t>خاطرات مستند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دربارۀ آیت‌اللّه مشکینی، ص </w:t>
      </w:r>
      <w:r>
        <w:rPr>
          <w:rFonts w:eastAsia="IRNazanin" w:cs="IRNazanin"/>
          <w:color w:val="111111"/>
          <w:sz w:val="28"/>
          <w:szCs w:val="28"/>
          <w:lang w:bidi="fa-IR"/>
        </w:rPr>
        <w:t>85</w:t>
      </w:r>
      <w:r>
        <w:rPr>
          <w:rFonts w:eastAsia="IRNazanin" w:cs="IRNazanin"/>
          <w:color w:val="111111"/>
          <w:sz w:val="28"/>
          <w:szCs w:val="28"/>
          <w:rtl w:val="true"/>
          <w:lang w:bidi="fa-IR"/>
        </w:rPr>
        <w:t>-</w:t>
      </w:r>
      <w:r>
        <w:rPr>
          <w:rFonts w:eastAsia="IRNazanin" w:cs="IRNazanin"/>
          <w:color w:val="111111"/>
          <w:sz w:val="28"/>
          <w:szCs w:val="28"/>
          <w:lang w:bidi="fa-IR"/>
        </w:rPr>
        <w:t>86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پاسخ، بهانه را از دست مخالفان کتاب شهید جاوید، برای ادامۀ منازعات درون‌حوزوی، گرفت؛ اما دربارۀ اینکه تقریظنویس، چه بخش‌هایی از کتاب را پسندیده و چه بخش‌هایی را تأیید نمی‌کند، ساکت است، و این سکوت، بدان معناست که اگرچه وی تقریظ خود را تأیید مطلق کتاب نمی‌داند، نقدهای کتاب را هم تأیید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نکتۀ دیگر در این پاسخ، اشارۀ مجدد ایشان به اهمیت روشمندی در آثار علمی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آیت‌اللّه مشکینی، به‌درستی تأکید می‌کنند که تقریظ ایشان، معطوف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انتخاب موضوع بحث و روانی قلم و سبک جمع‌آوری و تنظیم مطالب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ممکن است یک اثر فقط به لحاظ شیوۀ بحث، ارزشمند باشد و نتایج آن در درجۀ دوم اهمیت قرار گیرد؛ چنان‌که این امکان وجود دارد که نویسنده‌ای، از شیوه و روش درست علمی در کتاب خود استفاده نکند، اما به نتایج درستی برسد</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نکتۀ دیگر در این پاسخ، اشارۀ ایشان به شیوۀ درست مواجهه با آثار دیگران</w:t>
      </w:r>
      <w:bookmarkStart w:id="321" w:name="pg14517_146354"/>
    </w:p>
    <w:p>
      <w:pPr>
        <w:pStyle w:val="BookText"/>
        <w:rPr/>
      </w:pPr>
      <w:bookmarkEnd w:id="321"/>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پاسخ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جمعی از محصلین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می‌آموزد که اگر با کتاب یا مقاله یا نظریه‌ای مخالفید، راه درست مخالفت، آن است که قلم به دست گیرید و نقد خود را منتشر کنید، یا کتابی بنویسید که مدعای شما را ثابت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حذف نظر دیگران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تصور کردیم که در آیندۀ نزدیک، افرادی از دانشمندان و نویسندگان در اطراف این موضوع تحقیق و تفحص نموده، مطالب مورد نظر خود را کاملاً بررسی و اشکالات متصوره را منصفانه حل خواهند کرد و کتاب‌هایی جالب‌تر و عمیق‌تر دراین‌باره خواهند نوشت، و مطمئنیم که به خواست خداوند عن‌قریبٍ این تصور ما جامۀ عمل می‌پوشد و همۀ اشکالات برطرف می‌شود</w:t>
      </w:r>
      <w:r>
        <w:rPr>
          <w:rFonts w:eastAsia="IRNazanin" w:cs="IRNazanin"/>
          <w:color w:val="111111"/>
          <w:sz w:val="28"/>
          <w:szCs w:val="28"/>
          <w:rtl w:val="true"/>
          <w:lang w:bidi="fa-IR"/>
        </w:rPr>
        <w:t>».</w:t>
      </w:r>
    </w:p>
    <w:p>
      <w:pPr>
        <w:pStyle w:val="Heading3"/>
        <w:numPr>
          <w:ilvl w:val="2"/>
          <w:numId w:val="1"/>
        </w:numPr>
        <w:rPr/>
      </w:pPr>
      <w:bookmarkStart w:id="322" w:name="__RefHeading___Toc39834_1878427129"/>
      <w:bookmarkStart w:id="323" w:name="_Toc119"/>
      <w:bookmarkEnd w:id="322"/>
      <w:r>
        <w:rPr>
          <w:rtl w:val="true"/>
        </w:rPr>
        <w:t>آیت اللّه مشکینی و روشنفکری دینی</w:t>
      </w:r>
      <w:bookmarkEnd w:id="323"/>
    </w:p>
    <w:p>
      <w:pPr>
        <w:pStyle w:val="BookText"/>
        <w:rPr/>
      </w:pPr>
      <w:r>
        <w:rPr>
          <w:rFonts w:ascii="IRNazanin" w:hAnsi="IRNazanin" w:eastAsia="IRNazanin"/>
          <w:color w:val="111111"/>
          <w:sz w:val="28"/>
          <w:sz w:val="28"/>
          <w:szCs w:val="28"/>
          <w:rtl w:val="true"/>
          <w:lang w:bidi="fa-IR"/>
        </w:rPr>
        <w:t>سابقۀ روشنفکری دینی در ایران، چندان دور و دراز نیست؛ شاید بتوان پدر روشنفکران دینی را در ایران سیدجمال‌الدین اسدآبادی دانست و نیز شاید بتوان مرحوم محمد نخشب را نخستین کسی دانست که روشنفکری را با دین آمیخت و به میدان مبارزه آورد و از آن ایدئولوژی انقلاب در عصر پهلوی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روحانیت آگاه و نواندیش نیز هماره مراقب بوده است که مبارزه با شاه، بهانه‌ای برای اهمال در اصول و فروع دین نشود و انقلاب در مسیری نیفتد که از ناکجاآباد سر برآورد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 همدلی با دانشگاهی‌های مذهبی، همواره در دستور کار روحانیون مبارز بود و برخی اختلاف نظرهای جزئی در مسائل عقیدتی، این پیوند را سست و پاره نکرد</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بدین‌رو نمی‌توان از آرای کلامی آیت‌اللّه مشکینی گفت، و ایستارهای ایشان را در برابر روشنفکران دینیِ پیش و پس از انقلاب نادیده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آرای کلامی و مشی سیاسی آن فقیه بزرگوار، نشانه‌هایی از همگرایی با نواندیشان دینی، در برخی مواضع اعتقادی دیده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همگرایی که تحت عنوان کلی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اصلاح اندیشۀ 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می‌گنجد، ویژۀ ایام جوانی ایشان نبود؛ بلکه تا واپسین سال‌های عمر،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اصلاح اندیشه‌های 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می‌اندیشید و در خرافه‌زدایی از ساحت دین، کوشا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نمونه را، وقتی‌گروهی از طلاب نظر ایشان را دربارۀ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قمه‌زنی، قفل بستن به بدن، خراشیدن و خون‌آلود کردن سر و صورت، سینه‌خیز برای زیارت رفتن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خواستند،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التسلیم و التحیة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امور مذکورۀ فوق، بنفسه در شرع اسلام مورد اشکال است و بلکه بعضی از آن‌ها ذاتا محرّم است</w:t>
      </w:r>
      <w:r>
        <w:rPr>
          <w:rFonts w:eastAsia="IRNazanin" w:cs="IRNazanin"/>
          <w:color w:val="111111"/>
          <w:sz w:val="28"/>
          <w:szCs w:val="28"/>
          <w:rtl w:val="true"/>
          <w:lang w:bidi="fa-IR"/>
        </w:rPr>
        <w:t>».</w:t>
      </w:r>
      <w:r>
        <w:rPr>
          <w:rStyle w:val="FootnoteAnchor"/>
          <w:rtl w:val="true"/>
        </w:rPr>
        <w:footnoteReference w:id="361"/>
      </w:r>
    </w:p>
    <w:p>
      <w:pPr>
        <w:pStyle w:val="BookText"/>
        <w:rPr/>
      </w:pP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107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میان روحانیان مبارز در پیش از انقلاب، بیشترین تعامل و همدلی با روشنفکران را آیت‌اللّه سید محمود طالقانی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نیز بودند که هیچ‌گونه همراهی و همدلی با آنان را به مصلحت نمی‌دیدند و جبهه‌ای دیگر گشودند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آیت‌اللّه مشکینی، در این مسیر حد میانه را برگزید؛ نه چونان آیت‌اللّه طالقانی با روشنفکران و تجددخواهان درآمیخت، و نه ستیز و درگیری با آنان را می‌پسندید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ازهمین‌رو، پس از پیروزی انقلاب اسلامی، جزء نزدیک‌ترین یاران امام خمینی باقی ماند؛ زیرا ایشان نیز همین مشی و روش را داشتند</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روش ایشان در مواجهه با روشنفکران دینی، تا پیش از انقلاب، تأیید و گاه نقدهای ناصحانه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علاقه‌مندان به دکتر علی شریعتی بود و در حمایت از وی کوشید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حمایت از شریعتی در آن سال‌ها، برای کسی که در حوزه جای و جایگاه داشت، آسان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 آیت‌اللّه مشکینی، شریعتی را دانشمندی می‌دانست که زبان و قلم او، در خدمت اسلام است؛ اگرچه خالی از خبط و خطا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بدین‌رو حمایت معنوی از او را بر خود لازم می‌دید و حتی گاه در جلسات سخنرانی وی در حسینیۀ ارشاد شرکت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آیت‌اللّه احمدی میانجی نقل می‌کند که پس از تبعید آیت‌اللّه مشکینی به گلپایگان، همراه مرحوم آیت‌اللّه سید مهدی روحانی و آیت‌اللّه میرمحمدی به تبعیدگاه آیت‌اللّه مشکینی رفتیم تا او را دربارۀ حمایتش از شریعتی بازخواست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آیت‌اللّه مشکینی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آقای شریعتی در جذب جوان‌ها به سوی انقلاب خیلی مفید بود، اما اشتباهات مذهبی بسیاری هم</w:t>
      </w:r>
    </w:p>
    <w:p>
      <w:pPr>
        <w:pStyle w:val="BookText"/>
        <w:rPr/>
      </w:pPr>
      <w:r>
        <w:rPr>
          <w:rFonts w:ascii="IRNazanin" w:hAnsi="IRNazanin" w:eastAsia="IRNazanin"/>
          <w:color w:val="111111"/>
          <w:sz w:val="28"/>
          <w:sz w:val="28"/>
          <w:szCs w:val="28"/>
          <w:rtl w:val="true"/>
          <w:lang w:bidi="fa-IR"/>
        </w:rPr>
        <w:t>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در بسیاری از مسایل اصولی هم اشتباه داشت</w:t>
      </w:r>
      <w:r>
        <w:rPr>
          <w:rFonts w:eastAsia="IRNazanin" w:cs="IRNazanin"/>
          <w:color w:val="111111"/>
          <w:sz w:val="28"/>
          <w:szCs w:val="28"/>
          <w:rtl w:val="true"/>
          <w:lang w:bidi="fa-IR"/>
        </w:rPr>
        <w:t>».</w:t>
      </w:r>
      <w:r>
        <w:rPr>
          <w:rStyle w:val="FootnoteAnchor"/>
          <w:rtl w:val="true"/>
        </w:rPr>
        <w:footnoteReference w:id="362"/>
      </w:r>
    </w:p>
    <w:p>
      <w:pPr>
        <w:pStyle w:val="BookText"/>
        <w:rPr/>
      </w:pPr>
      <w:r>
        <w:rPr>
          <w:rFonts w:ascii="IRNazanin" w:hAnsi="IRNazanin" w:eastAsia="IRNazanin"/>
          <w:color w:val="111111"/>
          <w:sz w:val="28"/>
          <w:sz w:val="28"/>
          <w:szCs w:val="28"/>
          <w:rtl w:val="true"/>
          <w:lang w:bidi="fa-IR"/>
        </w:rPr>
        <w:t xml:space="preserve">خاطرات آیت‌اللّه احمدی میانجی، ص </w:t>
      </w:r>
      <w:r>
        <w:rPr>
          <w:rFonts w:eastAsia="IRNazanin" w:cs="IRNazanin"/>
          <w:color w:val="111111"/>
          <w:sz w:val="28"/>
          <w:szCs w:val="28"/>
          <w:lang w:bidi="fa-IR"/>
        </w:rPr>
        <w:t>256</w:t>
      </w:r>
      <w:r>
        <w:rPr>
          <w:rFonts w:ascii="IRNazanin" w:hAnsi="IRNazanin" w:eastAsia="IRNazanin"/>
          <w:color w:val="111111"/>
          <w:sz w:val="28"/>
          <w:sz w:val="28"/>
          <w:szCs w:val="28"/>
          <w:rtl w:val="true"/>
          <w:lang w:bidi="fa-IR"/>
        </w:rPr>
        <w:t>؛ نیز 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241</w:t>
      </w:r>
      <w:r>
        <w:rPr>
          <w:rFonts w:eastAsia="IRNazanin" w:cs="IRNazanin"/>
          <w:color w:val="111111"/>
          <w:sz w:val="28"/>
          <w:szCs w:val="28"/>
          <w:rtl w:val="true"/>
          <w:lang w:bidi="fa-IR"/>
        </w:rPr>
        <w:t>-</w:t>
      </w:r>
      <w:r>
        <w:rPr>
          <w:rFonts w:eastAsia="IRNazanin" w:cs="IRNazanin"/>
          <w:color w:val="111111"/>
          <w:sz w:val="28"/>
          <w:szCs w:val="28"/>
          <w:lang w:bidi="fa-IR"/>
        </w:rPr>
        <w:t>245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به‌هرروی، در کارنامۀ کتبی و شفاهی ایشان، سخنی تند یا گزنده علیه هیچ‌یک از روشنفکران دینی آن سال‌ها، همچون شریعتی و بازرگان، دیده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پس از پیروزی انقلاب، شکاف میان روشنفکران دینی و بزرگان حوزه تا جایی پیش رفت که آیت‌اللّه مشکینی در خطبه‌های نماز جمعۀ قم، خواستار برخورد با آنان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روشنفکران دینی نیز در دو دهۀ اخیر نقدهایی بر گفته‌ها و نوشته‌های ایشان وارد کرده‌اند که بیشتر آن‌ها در اعتراض به آمیختن مقدسات دینی با مواضع سیاسی افراد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 آیت‌اللّه مشکینی آرایی نیز در حوزۀ اعتقادات داشتند که نواندیشان حوزوی را، بیش از سنت‌گرایان، خوش 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نمونه آیت اللّه مشکینی در شهریور سال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طی سخنرانی کوتاهی‌در مجلس خبرگان گفته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ولایت امر و سلطه بر انسان از دو منشأ ارادۀ خدا و ارادۀ امت نشأت گرفته است و خداوند در هیچ عصری انسان را بدون ولی امر نمی‌گذارد و امت نیز می‌توانند رهبر را تعیین کنند و این چیزی است که در کشور ما محقق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ولی امر انتخاب‌شده، از سوی امت و ناشی از خواست خداست و این مسئله مصداق مردم‌سالاری دینی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منشأ ولایت در کشورهای دیگر صرفاً خواست مردم است، به شرطی که انتخابات درستی برگزار شده باشد؛ اما در کشور ما منشأ ولایت خواست توأم مردم و خداست، همان‌طور که قانون اساسی ما هم بر اساس ارادۀ خلق و خداست اما قانون کشورهای دیگر ناشی از ارادۀ مردم و نشأت‌گرفته از مغزهای الکلیست‌هاست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آیت‌اللّه محمد یزدی در واکنش به این سخنانِ رئیس وقت مجلس خبرگان می‌گوید</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حق ولایت از سوی حضرت باری است و این غیر از انتخاب مصداق است اما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انتخاب نشود، مردم 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نخواهند بود، همان‌طور که در</w:t>
      </w:r>
      <w:bookmarkStart w:id="324" w:name="pg14517_146357"/>
    </w:p>
    <w:p>
      <w:pPr>
        <w:pStyle w:val="BookText"/>
        <w:rPr/>
      </w:pPr>
      <w:bookmarkEnd w:id="324"/>
      <w:r>
        <w:rPr>
          <w:rFonts w:ascii="IRNazanin" w:hAnsi="IRNazanin" w:eastAsia="IRNazanin"/>
          <w:color w:val="111111"/>
          <w:sz w:val="28"/>
          <w:sz w:val="28"/>
          <w:szCs w:val="28"/>
          <w:rtl w:val="true"/>
          <w:lang w:bidi="fa-IR"/>
        </w:rPr>
        <w:t xml:space="preserve">زمان رسول اکرم صلی الله علیه و آله قبل از انتخاب و معرفی ایشان مردم 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شرعی قبل از حمایت مردم هم وجود دارد و با حمایت مردم قدرت عمل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مشکینی یک بار دیگر هم این مسئله را در اجلاس دیگری مطرح کرده بودند که من تذکر دادم، اما به دلیل طرح دوبارۀ این مسئله از سوی ایشان تذکر را لازم دیدم</w:t>
      </w:r>
      <w:r>
        <w:rPr>
          <w:rFonts w:eastAsia="IRNazanin" w:cs="IRNazanin"/>
          <w:color w:val="111111"/>
          <w:sz w:val="28"/>
          <w:szCs w:val="28"/>
          <w:rtl w:val="true"/>
          <w:lang w:bidi="fa-IR"/>
        </w:rPr>
        <w:t>.</w:t>
      </w:r>
      <w:r>
        <w:rPr>
          <w:rStyle w:val="FootnoteAnchor"/>
          <w:rtl w:val="true"/>
        </w:rPr>
        <w:footnoteReference w:id="363"/>
      </w:r>
    </w:p>
    <w:p>
      <w:pPr>
        <w:pStyle w:val="BookText"/>
        <w:rPr/>
      </w:pP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روزنامه‌های </w:t>
      </w:r>
      <w:r>
        <w:rPr>
          <w:rFonts w:eastAsia="IRNazanin" w:cs="IRNazanin"/>
          <w:color w:val="111111"/>
          <w:sz w:val="28"/>
          <w:szCs w:val="28"/>
          <w:lang w:bidi="fa-IR"/>
        </w:rPr>
        <w:t>1392/6/16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11937</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swen</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ri.swenb /:ptth</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این‌گونه اختلافات جزئی در مسائل فرعی میان فقیهان، اگرچه بسیار طبیعی است و خللی نیز به مقام و جایگاه افراد در حوزه وارد نمی‌کند، اما نشانه‌هایی به شمار می‌آیند که می‌توان بر پایۀ آن، نظام فکری و عقیدتی دانشمندان دینی را بازسازی کرد و از رهگذر تنقیح مناط، رأی آنان را در مستحدثات دیگر حدس زد</w:t>
      </w:r>
      <w:r>
        <w:rPr>
          <w:rFonts w:eastAsia="IRNazanin" w:cs="IRNazanin"/>
          <w:color w:val="111111"/>
          <w:sz w:val="28"/>
          <w:szCs w:val="28"/>
          <w:rtl w:val="true"/>
          <w:lang w:bidi="fa-IR"/>
        </w:rPr>
        <w:t>.</w:t>
      </w:r>
    </w:p>
    <w:p>
      <w:pPr>
        <w:pStyle w:val="Heading3"/>
        <w:numPr>
          <w:ilvl w:val="2"/>
          <w:numId w:val="1"/>
        </w:numPr>
        <w:rPr/>
      </w:pPr>
      <w:bookmarkStart w:id="325" w:name="__RefHeading___Toc39836_1878427129"/>
      <w:bookmarkStart w:id="326" w:name="_Toc120"/>
      <w:bookmarkEnd w:id="325"/>
      <w:r>
        <w:rPr>
          <w:rtl w:val="true"/>
        </w:rPr>
        <w:t>پایان سخن</w:t>
      </w:r>
      <w:bookmarkEnd w:id="326"/>
    </w:p>
    <w:p>
      <w:pPr>
        <w:pStyle w:val="BookText"/>
        <w:rPr/>
      </w:pPr>
      <w:r>
        <w:rPr>
          <w:rFonts w:ascii="IRNazanin" w:hAnsi="IRNazanin" w:eastAsia="IRNazanin"/>
          <w:color w:val="111111"/>
          <w:sz w:val="28"/>
          <w:sz w:val="28"/>
          <w:szCs w:val="28"/>
          <w:rtl w:val="true"/>
          <w:lang w:bidi="fa-IR"/>
        </w:rPr>
        <w:t>آیت‌اللّه مشکینی رحمه الله در حوزۀ اعتقادیات، سه ویژگی داشت که او را ممتاز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مشی اعتدالی و متوازن در باورهای اصلی و فرعی؛ چندان که می‌توان ایشان را نماد و عصارۀ اعتقادات شیعۀ اثنی‌عشری در قرن حاضر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پاره‌ای از نزاع‌های علمی ایشان با دیگران، به لحاظ کمّ و کیف، آن اندازه نیست که بتوان آن فقیه باورمند را نماینده و سخنگوی جریانی جداگانه در حوزه انگاشت؛ بلکه همواره می‌کوشید که معتقدان و مجتهدان در مسیری یکسان و همسان طی طریق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از اعتقادات، آنچه حساب ایشان را تا حدی و در دوره‌ای خاص، از جریان کلی حوزه متفاوت کرد، سیاست‌ورزی و سیرۀ مبارزاتی ایشان بود که این نیز، پس از انقلاب، شیوۀ غالب در حوزه‌های علمیه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و عنایت ویژه به پرسش‌ها و مسائل نوپدید و ورود به مجادلات علمی، و اهتمام بسیار به حضور در مقام پاسخ‌گویی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آیت‌اللّه مشکینی، مخاطبان خود را بیشتر در میان جوانان جستجو می‌کرد و روی سخن با ایشان داشت</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ازاین‌رو زبانی ساده و مردمی را در آثار همگانی‌اش برگزید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موضوعات نوشته‌های</w:t>
      </w:r>
      <w:bookmarkStart w:id="327" w:name="pg14517_146358"/>
    </w:p>
    <w:p>
      <w:pPr>
        <w:pStyle w:val="BookText"/>
        <w:rPr/>
      </w:pPr>
      <w:bookmarkEnd w:id="327"/>
      <w:r>
        <w:rPr>
          <w:rFonts w:ascii="IRNazanin" w:hAnsi="IRNazanin" w:eastAsia="IRNazanin"/>
          <w:color w:val="111111"/>
          <w:sz w:val="28"/>
          <w:sz w:val="28"/>
          <w:szCs w:val="28"/>
          <w:rtl w:val="true"/>
          <w:lang w:bidi="fa-IR"/>
        </w:rPr>
        <w:t>اعتقادی ایشان نیز، بیشترْ از مسائلی است که دغدغه‌های ذهنی جوانان در دوره‌های مختلف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ترجمۀ قرآن کریم به زبان فارسی نیز، با همین انگیزه و جهت‌گیری، شکل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آیت‌اللّه مشکینی رحمه الله در آثار تخصصی نیز، به نیازها و ضرورت‌های جامعۀ دینی، توجهی ویژه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تلخیص کتب درسی حوزه، بر همین پایه و انگیزه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با عقاید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فقط مبلّغ باورها نبود؛ بلکه با آن‌ها می‌زیست و تا آنجا که در توان داشت، به اقتضای آن‌ها عمل می‌کرد؛ چنان‌که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گفتۀ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سیاست‌ورزی را نیز ازآن‌روی برگزید که آن را مصداق امر به معروف و نهی از منکر می‌دانست</w:t>
      </w:r>
      <w:r>
        <w:rPr>
          <w:rFonts w:eastAsia="IRNazanin" w:cs="IRNazanin"/>
          <w:color w:val="111111"/>
          <w:sz w:val="28"/>
          <w:szCs w:val="28"/>
          <w:rtl w:val="true"/>
          <w:lang w:bidi="fa-IR"/>
        </w:rPr>
        <w:t>.</w:t>
      </w:r>
    </w:p>
    <w:p>
      <w:pPr>
        <w:pStyle w:val="Heading3"/>
        <w:numPr>
          <w:ilvl w:val="2"/>
          <w:numId w:val="1"/>
        </w:numPr>
        <w:rPr/>
      </w:pPr>
      <w:bookmarkStart w:id="328" w:name="__RefHeading___Toc39838_1878427129"/>
      <w:bookmarkStart w:id="329" w:name="_Toc121"/>
      <w:bookmarkEnd w:id="328"/>
      <w:r>
        <w:rPr>
          <w:rtl w:val="true"/>
        </w:rPr>
        <w:t>کتاب نامه</w:t>
      </w:r>
      <w:bookmarkEnd w:id="32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آیت‌اللّه مشکینی از نگاه دیگران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یادنامۀ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الهادی، </w:t>
      </w:r>
      <w:r>
        <w:rPr>
          <w:rFonts w:eastAsia="IRNazanin" w:cs="IRNazanin"/>
          <w:color w:val="111111"/>
          <w:sz w:val="28"/>
          <w:szCs w:val="28"/>
          <w:lang w:bidi="fa-IR"/>
        </w:rPr>
        <w:t>1387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آیت‌اللّه مشکینی در مجلس خبرگان،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الهادی،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فلسفۀ اسلامی؛ از تکفیر تا پذیرش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سید مرتضی ابطحی، تهران امروز، </w:t>
      </w:r>
      <w:r>
        <w:rPr>
          <w:rFonts w:eastAsia="IRNazanin" w:cs="IRNazanin"/>
          <w:color w:val="111111"/>
          <w:sz w:val="28"/>
          <w:szCs w:val="28"/>
          <w:lang w:bidi="fa-IR"/>
        </w:rPr>
        <w:t>1388/8/30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راه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ترجمۀ فارسی مسلکنا فی العقائد و الأخلاق و العمل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علی مشکینی،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فدایی، قم</w:t>
      </w:r>
      <w:r>
        <w:rPr>
          <w:rFonts w:eastAsia="IRNazanin" w:cs="IRNazanin"/>
          <w:color w:val="111111"/>
          <w:sz w:val="28"/>
          <w:szCs w:val="28"/>
          <w:rtl w:val="true"/>
          <w:lang w:bidi="fa-IR"/>
        </w:rPr>
        <w:t xml:space="preserve">: </w:t>
      </w:r>
      <w:r>
        <w:rPr>
          <w:rFonts w:eastAsia="IRNazanin" w:cs="IRNazanin"/>
          <w:color w:val="111111"/>
          <w:sz w:val="28"/>
          <w:szCs w:val="28"/>
          <w:lang w:bidi="fa-IR"/>
        </w:rPr>
        <w:t>1358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کفایة الاُصول، محمّد کاظم بن حسین خراسانی،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مؤسّسۀ آل البیت علیهم السلام،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أجود التقریرات، محمّد حسین بن عبد الرحیم نائینی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تحریر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أبو القاسم موسوی خویی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مصطفوی، </w:t>
      </w:r>
      <w:r>
        <w:rPr>
          <w:rFonts w:eastAsia="IRNazanin" w:cs="IRNazanin"/>
          <w:color w:val="111111"/>
          <w:sz w:val="28"/>
          <w:szCs w:val="28"/>
          <w:lang w:bidi="fa-IR"/>
        </w:rPr>
        <w:t>1368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تصحیح اعتقادات الإمامیّة، ابو عبد اللّه محمّد بن محمّد بن نعمان معروف به شیخ مفید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درگاهی،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المفید،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سوم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الباب الحادی عشر، حسن بن یوسف حلّی </w:t>
      </w:r>
      <w:r>
        <w:rPr>
          <w:rFonts w:eastAsia="IRNazanin" w:cs="IRNazanin"/>
          <w:color w:val="111111"/>
          <w:sz w:val="28"/>
          <w:szCs w:val="28"/>
          <w:rtl w:val="true"/>
          <w:lang w:bidi="fa-IR"/>
        </w:rPr>
        <w:t>(</w:t>
      </w:r>
      <w:r>
        <w:rPr>
          <w:rFonts w:eastAsia="IRNazanin" w:cs="IRNazanin"/>
          <w:color w:val="111111"/>
          <w:sz w:val="28"/>
          <w:szCs w:val="28"/>
          <w:lang w:bidi="fa-IR"/>
        </w:rPr>
        <w:t>648</w:t>
      </w:r>
      <w:r>
        <w:rPr>
          <w:rFonts w:eastAsia="IRNazanin" w:cs="IRNazanin"/>
          <w:color w:val="111111"/>
          <w:sz w:val="28"/>
          <w:szCs w:val="28"/>
          <w:rtl w:val="true"/>
          <w:lang w:bidi="fa-IR"/>
        </w:rPr>
        <w:t>-</w:t>
      </w:r>
      <w:r>
        <w:rPr>
          <w:rFonts w:eastAsia="IRNazanin" w:cs="IRNazanin"/>
          <w:color w:val="111111"/>
          <w:sz w:val="28"/>
          <w:szCs w:val="28"/>
          <w:lang w:bidi="fa-IR"/>
        </w:rPr>
        <w:t>726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فاضل مقداد،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مصطفوی، </w:t>
      </w:r>
      <w:r>
        <w:rPr>
          <w:rFonts w:eastAsia="IRNazanin" w:cs="IRNazanin"/>
          <w:color w:val="111111"/>
          <w:sz w:val="28"/>
          <w:szCs w:val="28"/>
          <w:lang w:bidi="fa-IR"/>
        </w:rPr>
        <w:t>1399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تکامل از دیدگاه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ترجمۀ فارسی البحث حول نظریة التطور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علی</w:t>
      </w:r>
    </w:p>
    <w:p>
      <w:pPr>
        <w:pStyle w:val="BookText"/>
        <w:rPr/>
      </w:pPr>
      <w:r>
        <w:rPr>
          <w:rFonts w:ascii="IRNazanin" w:hAnsi="IRNazanin" w:eastAsia="IRNazanin"/>
          <w:color w:val="111111"/>
          <w:sz w:val="28"/>
          <w:sz w:val="28"/>
          <w:szCs w:val="28"/>
          <w:rtl w:val="true"/>
          <w:lang w:bidi="fa-IR"/>
        </w:rPr>
        <w:t>مشکینی،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حسین‌نژاد،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نشر فرهنگ اسلامی، </w:t>
      </w:r>
      <w:r>
        <w:rPr>
          <w:rFonts w:eastAsia="IRNazanin" w:cs="IRNazanin"/>
          <w:color w:val="111111"/>
          <w:sz w:val="28"/>
          <w:szCs w:val="28"/>
          <w:lang w:bidi="fa-IR"/>
        </w:rPr>
        <w:t>1370</w:t>
      </w:r>
      <w:r>
        <w:rPr>
          <w:rFonts w:ascii="IRNazanin" w:hAnsi="IRNazanin" w:eastAsia="IRNazanin"/>
          <w:color w:val="111111"/>
          <w:sz w:val="28"/>
          <w:sz w:val="28"/>
          <w:szCs w:val="28"/>
          <w:rtl w:val="true"/>
          <w:lang w:bidi="fa-IR"/>
        </w:rPr>
        <w:t>، دوم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زندگی و مبارزات آیت‌اللّه مشکینی، علی درازی،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اسناد انقلاب اسلامی، </w:t>
      </w:r>
      <w:r>
        <w:rPr>
          <w:rFonts w:eastAsia="IRNazanin" w:cs="IRNazanin"/>
          <w:color w:val="111111"/>
          <w:sz w:val="28"/>
          <w:szCs w:val="28"/>
          <w:lang w:bidi="fa-IR"/>
        </w:rPr>
        <w:t>1391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آیت‌اللّه سید محمدرضا گلپایگانی به روایت اسناد ساواک،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بررسی اسناد تاریخی وزارت اطلاعات، </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واجب و حرام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شامل واجبات و محرمات اعتقادی و عملی در شرع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علی مشکینی،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الهادی، </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 پنجم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شهید جاوید، نعمت اللّه صالحی نجف‌آبادی،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امید فردا، </w:t>
      </w:r>
      <w:r>
        <w:rPr>
          <w:rFonts w:eastAsia="IRNazanin" w:cs="IRNazanin"/>
          <w:color w:val="111111"/>
          <w:sz w:val="28"/>
          <w:szCs w:val="28"/>
          <w:lang w:bidi="fa-IR"/>
        </w:rPr>
        <w:t>1386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گذری بر اندیشه‌های فقیه عالیقدر آیت‌اللّه منتظری، مصطفی ایزدی،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نهضت زنان مسلمان،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خاطرات مستند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آیت‌اللّه مشکینی،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کلبۀ شروق، </w:t>
      </w:r>
      <w:r>
        <w:rPr>
          <w:rFonts w:eastAsia="IRNazanin" w:cs="IRNazanin"/>
          <w:color w:val="111111"/>
          <w:sz w:val="28"/>
          <w:szCs w:val="28"/>
          <w:lang w:bidi="fa-IR"/>
        </w:rPr>
        <w:t>1392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خاطرات آیت‌اللّه احمدی میانجی </w:t>
      </w:r>
      <w:r>
        <w:rPr>
          <w:rFonts w:eastAsia="IRNazanin" w:cs="IRNazanin"/>
          <w:color w:val="111111"/>
          <w:sz w:val="28"/>
          <w:szCs w:val="28"/>
          <w:rtl w:val="true"/>
          <w:lang w:bidi="fa-IR"/>
        </w:rPr>
        <w:t>(</w:t>
      </w:r>
      <w:r>
        <w:rPr>
          <w:rFonts w:eastAsia="IRNazanin" w:cs="IRNazanin"/>
          <w:color w:val="111111"/>
          <w:sz w:val="28"/>
          <w:szCs w:val="28"/>
          <w:lang w:bidi="fa-IR"/>
        </w:rPr>
        <w:t>1304</w:t>
      </w:r>
      <w:r>
        <w:rPr>
          <w:rFonts w:eastAsia="IRNazanin" w:cs="IRNazanin"/>
          <w:color w:val="111111"/>
          <w:sz w:val="28"/>
          <w:szCs w:val="28"/>
          <w:rtl w:val="true"/>
          <w:lang w:bidi="fa-IR"/>
        </w:rPr>
        <w:t>-</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عبد الرحیم اباذری، تهران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مرکز اسناد انقلاب اسلامی، </w:t>
      </w:r>
      <w:r>
        <w:rPr>
          <w:rFonts w:eastAsia="IRNazanin" w:cs="IRNazanin"/>
          <w:color w:val="111111"/>
          <w:sz w:val="28"/>
          <w:szCs w:val="28"/>
          <w:lang w:bidi="fa-IR"/>
        </w:rPr>
        <w:t>1380</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http</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ک</w:t>
      </w:r>
      <w:r>
        <w:rPr>
          <w:rFonts w:eastAsia="Times New Roman" w:cs="Times New Roman" w:ascii="Times New Roman" w:hAnsi="Times New Roman"/>
          <w:color w:val="111111"/>
          <w:sz w:val="28"/>
          <w:szCs w:val="28"/>
          <w:lang w:val="en-US" w:bidi="en-US"/>
        </w:rPr>
        <w:t>t news.ir</w:t>
      </w:r>
      <w:r>
        <w:rPr>
          <w:rFonts w:ascii="IRNazanin" w:hAnsi="IRNazanin" w:eastAsia="IRNazanin"/>
          <w:color w:val="111111"/>
          <w:sz w:val="28"/>
          <w:sz w:val="28"/>
          <w:szCs w:val="28"/>
          <w:rtl w:val="true"/>
          <w:lang w:bidi="fa-IR"/>
        </w:rPr>
        <w:t xml:space="preserve">ک </w:t>
      </w:r>
      <w:r>
        <w:rPr>
          <w:rFonts w:eastAsia="Times New Roman" w:cs="Times New Roman" w:ascii="Times New Roman" w:hAnsi="Times New Roman"/>
          <w:color w:val="111111"/>
          <w:sz w:val="28"/>
          <w:szCs w:val="28"/>
          <w:lang w:val="en-US" w:bidi="en-US"/>
        </w:rPr>
        <w:t>news/73911</w:t>
      </w:r>
      <w:r>
        <w:rPr>
          <w:rFonts w:eastAsia="Times New Roman" w:cs="Times New Roman" w:ascii="Times New Roman" w:hAnsi="Times New Roman"/>
          <w:color w:val="111111"/>
          <w:sz w:val="28"/>
          <w:szCs w:val="28"/>
          <w:rtl w:val="true"/>
          <w:lang w:val="en-US" w:bidi="en-US"/>
        </w:rPr>
        <w:t>. .</w:t>
      </w:r>
      <w:bookmarkStart w:id="330" w:name="pg14517_146360"/>
    </w:p>
    <w:p>
      <w:pPr>
        <w:pStyle w:val="Heading2"/>
        <w:numPr>
          <w:ilvl w:val="1"/>
          <w:numId w:val="1"/>
        </w:numPr>
        <w:rPr/>
      </w:pPr>
      <w:bookmarkStart w:id="331" w:name="__RefHeading___Toc39840_1878427129"/>
      <w:bookmarkStart w:id="332" w:name="_Toc122"/>
      <w:bookmarkEnd w:id="330"/>
      <w:bookmarkEnd w:id="331"/>
      <w:r>
        <w:rPr>
          <w:rtl w:val="true"/>
        </w:rPr>
        <w:t>نخستین گام در فرهنگ اصطلاحات اصول فقه</w:t>
      </w:r>
      <w:bookmarkEnd w:id="332"/>
    </w:p>
    <w:p>
      <w:pPr>
        <w:pStyle w:val="Heading3"/>
        <w:numPr>
          <w:ilvl w:val="2"/>
          <w:numId w:val="1"/>
        </w:numPr>
        <w:rPr/>
      </w:pPr>
      <w:bookmarkStart w:id="333" w:name="__RefHeading___Toc39842_1878427129"/>
      <w:bookmarkStart w:id="334" w:name="_Toc123"/>
      <w:bookmarkEnd w:id="333"/>
      <w:r>
        <w:rPr>
          <w:rtl w:val="true"/>
        </w:rPr>
        <w:t>اشاره</w:t>
      </w:r>
      <w:bookmarkEnd w:id="334"/>
    </w:p>
    <w:p>
      <w:pPr>
        <w:pStyle w:val="BookText"/>
        <w:rPr/>
      </w:pPr>
      <w:r>
        <w:rPr>
          <w:rFonts w:ascii="IRNazanin" w:hAnsi="IRNazanin" w:eastAsia="IRNazanin"/>
          <w:color w:val="111111"/>
          <w:sz w:val="28"/>
          <w:sz w:val="28"/>
          <w:szCs w:val="28"/>
          <w:rtl w:val="true"/>
          <w:lang w:bidi="fa-IR"/>
        </w:rPr>
        <w:t>محمدهادی یعقوب‌نژاد</w:t>
      </w:r>
      <w:r>
        <w:rPr>
          <w:rStyle w:val="FootnoteAnchor"/>
          <w:rtl w:val="true"/>
        </w:rPr>
        <w:footnoteReference w:id="364"/>
      </w:r>
    </w:p>
    <w:p>
      <w:pPr>
        <w:pStyle w:val="BookText"/>
        <w:rPr/>
      </w:pPr>
      <w:r>
        <w:rPr>
          <w:rFonts w:ascii="IRNazanin" w:hAnsi="IRNazanin" w:eastAsia="IRNazanin"/>
          <w:color w:val="111111"/>
          <w:sz w:val="28"/>
          <w:sz w:val="28"/>
          <w:szCs w:val="28"/>
          <w:rtl w:val="true"/>
          <w:lang w:bidi="fa-IR"/>
        </w:rPr>
        <w:t>استادیار پژوهشگاه علوم و فرهنگ اسلامی</w:t>
      </w:r>
      <w:r>
        <w:rPr>
          <w:rFonts w:eastAsia="IRNazanin" w:cs="IRNazanin"/>
          <w:color w:val="111111"/>
          <w:sz w:val="28"/>
          <w:szCs w:val="28"/>
          <w:rtl w:val="true"/>
          <w:lang w:bidi="fa-IR"/>
        </w:rPr>
        <w:t>.</w:t>
      </w:r>
    </w:p>
    <w:p>
      <w:pPr>
        <w:pStyle w:val="Heading3"/>
        <w:numPr>
          <w:ilvl w:val="2"/>
          <w:numId w:val="1"/>
        </w:numPr>
        <w:rPr/>
      </w:pPr>
      <w:bookmarkStart w:id="335" w:name="__RefHeading___Toc39844_1878427129"/>
      <w:bookmarkStart w:id="336" w:name="_Toc124"/>
      <w:bookmarkEnd w:id="335"/>
      <w:r>
        <w:rPr>
          <w:rtl w:val="true"/>
        </w:rPr>
        <w:t>چکیده</w:t>
      </w:r>
      <w:bookmarkEnd w:id="336"/>
    </w:p>
    <w:p>
      <w:pPr>
        <w:pStyle w:val="BookText"/>
        <w:rPr/>
      </w:pPr>
      <w:r>
        <w:rPr>
          <w:rFonts w:ascii="IRNazanin" w:hAnsi="IRNazanin" w:eastAsia="IRNazanin"/>
          <w:color w:val="111111"/>
          <w:sz w:val="28"/>
          <w:sz w:val="28"/>
          <w:szCs w:val="28"/>
          <w:rtl w:val="true"/>
          <w:lang w:bidi="fa-IR"/>
        </w:rPr>
        <w:t>اصول فقه، یکی از دانش‌های پایه در علوم اسلامی که از گسترۀ موضوعات تخصصی و دقیقی برخوردار است، به تألیف فرهنگ اصطلاحات به شیوه‌های نو نیازمند است؛ ازاین‌رو علما و مؤسسات پژوهشی به تدوین مجموعه‌هایی برای‌شرح مصطلحات اصول فقه همت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تدوین این نوع منابع مرجع که آگاهی‌های کوتاه، درست و مستند را در اختیار قرار دهد، در ردیف یکی از اولویت‌های مهم برای انتقال فرهنگ و دانش به شمار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آگاهی از این قبیل آثار در اصول فقه و معرفی اصطلاحات الاصول به مثابۀ اولین اقدام در شرح اصطلاحات اصولی، بیان ویژگی‌ها و کاستی‌ها و جز آن، موضوعی است که این مقاله به آن پرداخته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اصطلاحات الاصول و معظم ابحاثها، آیت‌اللّه علی مشکینی، فرهنگ‌نامه‌های تخصصی، اصول فقه، موسوعه‌های اصولی، کتابشناسی اصول فقه</w:t>
      </w:r>
      <w:r>
        <w:rPr>
          <w:rFonts w:eastAsia="IRNazanin" w:cs="IRNazanin"/>
          <w:color w:val="111111"/>
          <w:sz w:val="28"/>
          <w:szCs w:val="28"/>
          <w:rtl w:val="true"/>
          <w:lang w:bidi="fa-IR"/>
        </w:rPr>
        <w:t>.</w:t>
      </w:r>
    </w:p>
    <w:p>
      <w:pPr>
        <w:pStyle w:val="Heading3"/>
        <w:numPr>
          <w:ilvl w:val="2"/>
          <w:numId w:val="1"/>
        </w:numPr>
        <w:rPr/>
      </w:pPr>
      <w:bookmarkStart w:id="337" w:name="__RefHeading___Toc39846_1878427129"/>
      <w:bookmarkStart w:id="338" w:name="_Toc125"/>
      <w:bookmarkEnd w:id="337"/>
      <w:r>
        <w:rPr>
          <w:rtl w:val="true"/>
        </w:rPr>
        <w:t>مقدمه</w:t>
      </w:r>
      <w:bookmarkEnd w:id="338"/>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دهه‌های اخیر، تدوین آثاری از قبیل دائرة‌المعارف‌ها، موسوعه‌ها، اصطلاح‌نامه‌ها، فرهنگ‌نامه‌ها و عناوین مشابه دیگر، آهنگ رو به رشدی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رونق</w:t>
      </w:r>
    </w:p>
    <w:p>
      <w:pPr>
        <w:pStyle w:val="BookText"/>
        <w:rPr/>
      </w:pPr>
      <w:r>
        <w:rPr>
          <w:rFonts w:ascii="IRNazanin" w:hAnsi="IRNazanin" w:eastAsia="IRNazanin"/>
          <w:color w:val="111111"/>
          <w:sz w:val="28"/>
          <w:sz w:val="28"/>
          <w:szCs w:val="28"/>
          <w:rtl w:val="true"/>
          <w:lang w:bidi="fa-IR"/>
        </w:rPr>
        <w:t>دیرهنگام، حکایت از رویکرد امیدوارکنندۀ جامعۀ علمی به منابع مرجع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منابع مرجع</w:t>
      </w:r>
      <w:r>
        <w:rPr>
          <w:rFonts w:eastAsia="IRNazanin" w:cs="IRNazanin"/>
          <w:color w:val="111111"/>
          <w:sz w:val="28"/>
          <w:szCs w:val="28"/>
          <w:rtl w:val="true"/>
          <w:lang w:bidi="fa-IR"/>
        </w:rPr>
        <w:t>»</w:t>
      </w:r>
      <w:r>
        <w:rPr>
          <w:rStyle w:val="FootnoteAnchor"/>
          <w:rtl w:val="true"/>
        </w:rPr>
        <w:footnoteReference w:id="365"/>
      </w:r>
    </w:p>
    <w:p>
      <w:pPr>
        <w:pStyle w:val="BookText"/>
        <w:rPr/>
      </w:pPr>
      <w:r>
        <w:rPr>
          <w:rFonts w:eastAsia="Times New Roman" w:cs="Times New Roman" w:ascii="Times New Roman" w:hAnsi="Times New Roman"/>
          <w:color w:val="111111"/>
          <w:sz w:val="28"/>
          <w:szCs w:val="28"/>
          <w:lang w:val="en-US" w:bidi="en-US"/>
        </w:rPr>
        <w:t>R</w:t>
      </w:r>
      <w:r>
        <w:rPr>
          <w:rFonts w:ascii="IRNazanin" w:hAnsi="IRNazanin" w:eastAsia="IRNazanin"/>
          <w:color w:val="111111"/>
          <w:sz w:val="28"/>
          <w:sz w:val="28"/>
          <w:szCs w:val="28"/>
          <w:rtl w:val="true"/>
          <w:lang w:bidi="fa-IR"/>
        </w:rPr>
        <w:t>ک</w:t>
      </w:r>
      <w:r>
        <w:rPr>
          <w:rFonts w:eastAsia="Times New Roman" w:cs="Times New Roman" w:ascii="Times New Roman" w:hAnsi="Times New Roman"/>
          <w:color w:val="111111"/>
          <w:sz w:val="28"/>
          <w:szCs w:val="28"/>
          <w:lang w:val="en-US" w:bidi="en-US"/>
        </w:rPr>
        <w:t>erence M eri</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منابعی هستند که ماهیتاً برای پاسخ‌گویی به سؤالات لحظه‌ای و آنی تهیه شده‌اند و به همین دلیل جزء منابع سریع‌الارجاع به شمار می‌آیند و معمولاً خواننده از ابتدا تا انتهای آن را نمی‌خواند، بلکه در پی پرسشی که برایش پیش آمده، به منابع مرجع رجوع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منابع به دلیل استفادۀ همگانی و همیشگی، معمولاً امانت داده نمی‌شوند و در بخش مرجع نگهداری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مرجع، دردسترس‌ترین بخش هر کتابخانه است به جهت اینکه پاسخ‌گوی اولین پرسش‌های مراجعان باشد، و هر گونه نیاز ابتدایی اطلاعاتیِ آنان را رفع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منابع مرجع تخصصی، در مقابل منابع مرجع عمومی قرار دارند که دربردارندۀ شناخت‌های خاصی از دانشی خاص از علوم و معارف بشر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منابع به موضوع یا زمینه یا جنبه‌ای خاصی می‌پردازند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معمولاً مورد استفادۀ متخصصان آن رشته قرار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منابع مهم که از جنبۀ کاربردی، رتبۀ بالایی در میان آثار مرجع دارد، فرهنگ‌نامه است و اگر دربارۀ عنوان فرهنگ‌نامه، دانش‌نامه، دائرة‌المعارف، معجم مصطلحات، مصطلحات علوم، اصطلاحات علوم، فرهنگ اصطلاحات؛ چندوچون نکنیم و به این موضوع از زاویۀ محتوای فرهنگ‌نامه‌ای و دائرة‌المعارفی بودن آن‌ها بنگریم، تاکنون آثار فراوانی دراین‌باره نوشته شده، یا در حال نگارش و ارائه است</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چند سابقۀ تألیف فرهنگ‌نامه‌های تخصصی به زبان فارسی چندان طولانی نیست، تألیف این نوع منابع به زبان عربی پیشینۀ بیشتری در مقایسه با زبان فارسی‌دارد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اصطلاحات الاصول یکی از آثار ارزشمندی است که آیت‌اللّه مشکینی</w:t>
      </w:r>
      <w:bookmarkStart w:id="339" w:name="pg14517_146362"/>
    </w:p>
    <w:p>
      <w:pPr>
        <w:pStyle w:val="BookText"/>
        <w:rPr/>
      </w:pPr>
      <w:bookmarkEnd w:id="339"/>
      <w:r>
        <w:rPr>
          <w:rFonts w:ascii="IRNazanin" w:hAnsi="IRNazanin" w:eastAsia="IRNazanin"/>
          <w:color w:val="111111"/>
          <w:sz w:val="28"/>
          <w:sz w:val="28"/>
          <w:szCs w:val="28"/>
          <w:rtl w:val="true"/>
          <w:lang w:bidi="fa-IR"/>
        </w:rPr>
        <w:t>تدوین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مقاله سعی بر آن است ضمن معرفی اجمالی آثاری که در رشتۀ اصول فقه تدوین شده و از نظر موضوعی فرهنگ‌نامه‌ای بوده‌اند، به بیان ویژگی‌های این اثر بپردازیم؛ ازاین‌رو عناوینی 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معجم، موسوعه، شرح مصطلحات، مصطلحات علوم، فرهنگ مصطلحات، دایرة‌المعارف، دانش‌نامه، فرهنگ‌نامه، فرهنگ و جز آن، بررسی شده و عجالتاً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مقایسه شده است که عمدتاً محتوای فرهنگ‌نامه‌ای در علم اصول فقه داشته‌اند</w:t>
      </w:r>
      <w:r>
        <w:rPr>
          <w:rFonts w:eastAsia="IRNazanin" w:cs="IRNazanin"/>
          <w:color w:val="111111"/>
          <w:sz w:val="28"/>
          <w:szCs w:val="28"/>
          <w:rtl w:val="true"/>
          <w:lang w:bidi="fa-IR"/>
        </w:rPr>
        <w:t>.</w:t>
      </w:r>
    </w:p>
    <w:p>
      <w:pPr>
        <w:pStyle w:val="Heading3"/>
        <w:numPr>
          <w:ilvl w:val="2"/>
          <w:numId w:val="1"/>
        </w:numPr>
        <w:rPr/>
      </w:pPr>
      <w:bookmarkStart w:id="340" w:name="__RefHeading___Toc39848_1878427129"/>
      <w:bookmarkStart w:id="341" w:name="_Toc126"/>
      <w:bookmarkEnd w:id="340"/>
      <w:r>
        <w:rPr>
          <w:rtl w:val="true"/>
        </w:rPr>
        <w:t>تعاریف</w:t>
      </w:r>
      <w:bookmarkEnd w:id="341"/>
    </w:p>
    <w:p>
      <w:pPr>
        <w:pStyle w:val="BookText"/>
        <w:rPr/>
      </w:pPr>
      <w:r>
        <w:rPr>
          <w:rFonts w:ascii="IRNazanin" w:hAnsi="IRNazanin" w:eastAsia="IRNazanin"/>
          <w:color w:val="111111"/>
          <w:sz w:val="28"/>
          <w:sz w:val="28"/>
          <w:szCs w:val="28"/>
          <w:rtl w:val="true"/>
          <w:lang w:bidi="fa-IR"/>
        </w:rPr>
        <w:t>عناوینی مانند قاموس، معجم، دیکشنری، واژه‌نامه، لغت‌نامه، فرهنگ و فرهنگ لغت، مفهوم واحدی دارند که گاه دیده می‌شود در کاربرد عام، این عناوین را با دانش‌نامه، دائرة‌المعارف، اصطلاح‌نامه، معجم المصطلحات، فرهنگ‌نامه و اصطلاحات علوم هم‌معنی دانسته و برای عناوین کتاب‌هایی برگزیده‌اند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بتوان واژه‌های دستۀ دوم را کم‌وبیش نزدیک به هم و گاه هم‌معنی تلقی کرد؛ ولی میان این دسته و دستۀ اول، تفاوت‌های عمده‌ای وجود دارد که شایسته است از انتخاب نام هریک به جای دیگری پرهیز شود؛ ازاین‌رو نخست مفاهیم این عناوین را به‌اختصار توضیح می‌دهیم</w:t>
      </w:r>
      <w:r>
        <w:rPr>
          <w:rFonts w:eastAsia="IRNazanin" w:cs="IRNazanin"/>
          <w:color w:val="111111"/>
          <w:sz w:val="28"/>
          <w:szCs w:val="28"/>
          <w:rtl w:val="true"/>
          <w:lang w:bidi="fa-IR"/>
        </w:rPr>
        <w:t>.</w:t>
      </w:r>
    </w:p>
    <w:p>
      <w:pPr>
        <w:pStyle w:val="Heading3"/>
        <w:numPr>
          <w:ilvl w:val="2"/>
          <w:numId w:val="1"/>
        </w:numPr>
        <w:rPr/>
      </w:pPr>
      <w:bookmarkStart w:id="342" w:name="__RefHeading___Toc39850_1878427129"/>
      <w:bookmarkStart w:id="343" w:name="_Toc127"/>
      <w:bookmarkEnd w:id="342"/>
      <w:r>
        <w:rPr>
          <w:rtl w:val="true"/>
        </w:rPr>
        <w:t>فرهنگ فرهنگ لغت</w:t>
      </w:r>
      <w:bookmarkEnd w:id="343"/>
    </w:p>
    <w:p>
      <w:pPr>
        <w:pStyle w:val="BookText"/>
        <w:rPr/>
      </w:pPr>
      <w:r>
        <w:rPr>
          <w:rFonts w:ascii="IRNazanin" w:hAnsi="IRNazanin" w:eastAsia="IRNazanin"/>
          <w:color w:val="111111"/>
          <w:sz w:val="28"/>
          <w:sz w:val="28"/>
          <w:szCs w:val="28"/>
          <w:rtl w:val="true"/>
          <w:lang w:bidi="fa-IR"/>
        </w:rPr>
        <w:t xml:space="preserve">قاموس لغت، معجم لغات، واژه‌نامه، لغت‌نامه، فرهنگ، فرهنگ لغت، دیکشنری و عناوینی از این دست، مفهوم واحدی دارند و به اثری گفته می‌شوند که محتوایش لغت باشد و از این جهت برابرنهادۀ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Diction y</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 xml:space="preserve">در زبان انگلیسی، و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DICTIO NN RE</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در فرانسوی قرار می‌گیرد که محتوا و ساختار آن‌ها با فرهنگ‌نامه، دائرة‌المعارف، اصطلاح‌نامه و عناوینی از این دست کاملاً تفاوت دارد و معمولاً در عربی به آن قاموس و معجم گفته می‌شود</w:t>
      </w:r>
      <w:r>
        <w:rPr>
          <w:rFonts w:eastAsia="IRNazanin" w:cs="IRNazanin"/>
          <w:color w:val="111111"/>
          <w:sz w:val="28"/>
          <w:szCs w:val="28"/>
          <w:rtl w:val="true"/>
          <w:lang w:bidi="fa-IR"/>
        </w:rPr>
        <w:t>.</w:t>
      </w:r>
      <w:r>
        <w:rPr>
          <w:rStyle w:val="FootnoteAnchor"/>
          <w:rtl w:val="true"/>
        </w:rPr>
        <w:footnoteReference w:id="366"/>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نخستین فرهنگ‌نامه جامع نگر در اصول فقه؛ لغت‌نامه دهخدا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لغت</w:t>
      </w:r>
      <w:r>
        <w:rPr>
          <w:rFonts w:eastAsia="IRNazanin" w:cs="IRNazanin"/>
          <w:color w:val="111111"/>
          <w:sz w:val="28"/>
          <w:szCs w:val="28"/>
          <w:rtl w:val="true"/>
          <w:lang w:bidi="fa-IR"/>
        </w:rPr>
        <w:t>).</w:t>
      </w:r>
      <w:bookmarkStart w:id="344" w:name="pg14517_146363"/>
    </w:p>
    <w:p>
      <w:pPr>
        <w:pStyle w:val="BookText"/>
        <w:rPr/>
      </w:pPr>
      <w:bookmarkEnd w:id="344"/>
      <w:r>
        <w:rPr>
          <w:rFonts w:ascii="IRNazanin" w:hAnsi="IRNazanin" w:eastAsia="IRNazanin"/>
          <w:color w:val="111111"/>
          <w:sz w:val="28"/>
          <w:sz w:val="28"/>
          <w:szCs w:val="28"/>
          <w:rtl w:val="true"/>
          <w:lang w:bidi="fa-IR"/>
        </w:rPr>
        <w:t xml:space="preserve">البته ممکن است لغت‌نامۀ دهخدا را که در ضمن شرح لغات، به صورت تفصیلی به شرح اعلام تاریخی و جغرافیایی نیز توجه کرده است، بتوان هم لغت‌نامه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لغات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دائرة‌المعارف نامید</w:t>
      </w:r>
      <w:r>
        <w:rPr>
          <w:rFonts w:eastAsia="IRNazanin" w:cs="IRNazanin"/>
          <w:color w:val="111111"/>
          <w:sz w:val="28"/>
          <w:szCs w:val="28"/>
          <w:rtl w:val="true"/>
          <w:lang w:bidi="fa-IR"/>
        </w:rPr>
        <w:t>.</w:t>
      </w:r>
      <w:r>
        <w:rPr>
          <w:rStyle w:val="FootnoteAnchor"/>
          <w:rtl w:val="true"/>
        </w:rPr>
        <w:footnoteReference w:id="367"/>
      </w:r>
    </w:p>
    <w:p>
      <w:pPr>
        <w:pStyle w:val="BookText"/>
        <w:rPr/>
      </w:pP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Heading3"/>
        <w:numPr>
          <w:ilvl w:val="2"/>
          <w:numId w:val="1"/>
        </w:numPr>
        <w:rPr/>
      </w:pPr>
      <w:bookmarkStart w:id="345" w:name="__RefHeading___Toc39852_1878427129"/>
      <w:bookmarkStart w:id="346" w:name="_Toc128"/>
      <w:bookmarkEnd w:id="345"/>
      <w:r>
        <w:rPr>
          <w:rtl w:val="true"/>
        </w:rPr>
        <w:t>اصطلاح نامه</w:t>
      </w:r>
      <w:bookmarkEnd w:id="34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اصطلاح‌نامه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مرکب فارسی است به معنای کتابی که در آن اصطلاحات علوم به ترتیب خاصی نظام یافته‌اند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اصطلاح را برابر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Thes rus</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در انگلیسی قرار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اصطلاح‌نامه، مجموعۀ اصطلاحات علمی در حوزۀ دانش خاصی شناسایی شده و روابط معنایی و منطقی میان اصطلاحات، اعم از مترادف، سلسله‌مراتبی و وابستگی، به‌روشنی ارائه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اصطلاحی در علمی وارد نمی‌شود مگر اینکه یکی از ارتباطات مفهومی پیش‌گفته را داراست و این ارتباطات علمی میان واژگان در ساختاری شفاف در اصطلاح‌نامه نمایان می‌شود و سرانجام، نظام‌وارۀ واژگانیِ هر علم در بخش درختی اصطلاح‌نامه‌ها ترسیم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توضیحات واژگان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آن‌گونه که در لغت‌نامه‌ها و دائرة‌المعارف‌ها ارائه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اصطلاح‌نامه ارائه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تاکنون کاربردهای فراوانی برای اصطلاح‌نامه شناخته شده است؛ مانند استفاده در نمایه‌سازی موضوعی، فهرست‌نویسی، مدخل‌یابی فرهنگ‌نامه‌ها و دائرة‌المعارف‌ها، مدیریت اطلاعات الکترونیکی و دیجیتالی، علم‌سنجی، طبقه‌بندی درون‌علمی، هستی‌شناسی مفهومی علوم و جز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روی اصطلاح‌نامه‌ها با عناوین مرجع دیگر کاملاً تفاوت دارد</w:t>
      </w:r>
      <w:r>
        <w:rPr>
          <w:rFonts w:eastAsia="IRNazanin" w:cs="IRNazanin"/>
          <w:color w:val="111111"/>
          <w:sz w:val="28"/>
          <w:szCs w:val="28"/>
          <w:rtl w:val="true"/>
          <w:lang w:bidi="fa-IR"/>
        </w:rPr>
        <w:t>.</w:t>
      </w:r>
      <w:r>
        <w:rPr>
          <w:rStyle w:val="FootnoteAnchor"/>
          <w:rtl w:val="true"/>
        </w:rPr>
        <w:footnoteReference w:id="368"/>
      </w:r>
    </w:p>
    <w:p>
      <w:pPr>
        <w:pStyle w:val="Heading3"/>
        <w:numPr>
          <w:ilvl w:val="2"/>
          <w:numId w:val="1"/>
        </w:numPr>
        <w:rPr/>
      </w:pPr>
      <w:bookmarkStart w:id="347" w:name="__RefHeading___Toc39854_1878427129"/>
      <w:bookmarkStart w:id="348" w:name="_Toc129"/>
      <w:bookmarkEnd w:id="347"/>
      <w:r>
        <w:rPr>
          <w:rtl w:val="true"/>
        </w:rPr>
        <w:t>فرهنگ نامه</w:t>
      </w:r>
      <w:bookmarkEnd w:id="348"/>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مرکب فارسی است به معنای کتابی که در آن دانش و فرهنگ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اصطلاح را برابر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دائرة‌المعارف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عربی،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Encycl opedi</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 xml:space="preserve">در انگلیسی و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Encyc lopedie</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در فرانسوی قرار داده‌اند</w:t>
      </w:r>
      <w:r>
        <w:rPr>
          <w:rStyle w:val="FootnoteAnchor"/>
          <w:rtl w:val="true"/>
        </w:rPr>
        <w:footnoteReference w:id="369"/>
      </w:r>
      <w:r>
        <w:rPr>
          <w:rFonts w:ascii="IRNazanin" w:hAnsi="IRNazanin" w:eastAsia="IRNazanin"/>
          <w:color w:val="111111"/>
          <w:sz w:val="28"/>
          <w:sz w:val="28"/>
          <w:szCs w:val="28"/>
          <w:rtl w:val="true"/>
          <w:lang w:bidi="fa-IR"/>
        </w:rPr>
        <w:t>و آن اثری است که در آن آگاهی‌های</w:t>
      </w:r>
      <w:bookmarkStart w:id="349" w:name="pg14517_146364"/>
    </w:p>
    <w:p>
      <w:pPr>
        <w:pStyle w:val="BookText"/>
        <w:rPr/>
      </w:pPr>
      <w:bookmarkEnd w:id="349"/>
      <w:r>
        <w:rPr>
          <w:rFonts w:ascii="IRNazanin" w:hAnsi="IRNazanin" w:eastAsia="IRNazanin"/>
          <w:color w:val="111111"/>
          <w:sz w:val="28"/>
          <w:sz w:val="28"/>
          <w:szCs w:val="28"/>
          <w:rtl w:val="true"/>
          <w:lang w:bidi="fa-IR"/>
        </w:rPr>
        <w:t>گزیده و موثقی از همۀ رشته‌های علوم یا در رشته‌ای خاص از دانش بشر به صورت مقالاتی، حسب موضوع، کوتاه و بلند فراهم آمده است و مراجعه‌کننده به آن می‌تواند پاسخ سؤال خویش را در موضوع مورد نیاز به‌آسانی به‌دست آورد</w:t>
      </w:r>
      <w:r>
        <w:rPr>
          <w:rFonts w:eastAsia="IRNazanin" w:cs="IRNazanin"/>
          <w:color w:val="111111"/>
          <w:sz w:val="28"/>
          <w:szCs w:val="28"/>
          <w:rtl w:val="true"/>
          <w:lang w:bidi="fa-IR"/>
        </w:rPr>
        <w:t>.</w:t>
      </w:r>
      <w:r>
        <w:rPr>
          <w:rStyle w:val="FootnoteAnchor"/>
          <w:rtl w:val="true"/>
        </w:rPr>
        <w:footnoteReference w:id="370"/>
      </w:r>
    </w:p>
    <w:p>
      <w:pPr>
        <w:pStyle w:val="BookText"/>
        <w:rPr/>
      </w:pP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نخستین فرهنگ‌نامۀ جامع‌نگر در اصول فقه،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مقاله از نویسنده</w:t>
      </w:r>
      <w:r>
        <w:rPr>
          <w:rFonts w:eastAsia="IRNazanin" w:cs="IRNazanin"/>
          <w:color w:val="111111"/>
          <w:sz w:val="28"/>
          <w:szCs w:val="28"/>
          <w:rtl w:val="true"/>
          <w:lang w:bidi="fa-IR"/>
        </w:rPr>
        <w:t>).</w:t>
      </w:r>
    </w:p>
    <w:p>
      <w:pPr>
        <w:pStyle w:val="Heading3"/>
        <w:numPr>
          <w:ilvl w:val="2"/>
          <w:numId w:val="1"/>
        </w:numPr>
        <w:rPr/>
      </w:pPr>
      <w:bookmarkStart w:id="350" w:name="__RefHeading___Toc39856_1878427129"/>
      <w:bookmarkStart w:id="351" w:name="_Toc130"/>
      <w:bookmarkEnd w:id="350"/>
      <w:r>
        <w:rPr>
          <w:rtl w:val="true"/>
        </w:rPr>
        <w:t>دانش نامه</w:t>
      </w:r>
      <w:bookmarkEnd w:id="351"/>
    </w:p>
    <w:p>
      <w:pPr>
        <w:pStyle w:val="BookText"/>
        <w:rPr/>
      </w:pPr>
      <w:r>
        <w:rPr>
          <w:rFonts w:ascii="IRNazanin" w:hAnsi="IRNazanin" w:eastAsia="IRNazanin"/>
          <w:color w:val="111111"/>
          <w:sz w:val="28"/>
          <w:sz w:val="28"/>
          <w:szCs w:val="28"/>
          <w:rtl w:val="true"/>
          <w:lang w:bidi="fa-IR"/>
        </w:rPr>
        <w:t xml:space="preserve">این اصطلاح، اسم مرکب فارسی است برابر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cyclop di</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 xml:space="preserve">دانش‌نامه اثری است که حاوی اطلاعات به صورت مقاله دربارۀ بخشی خاص از دانش بشری باشد و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علم، کتاب حکمت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نامه‌ای که در آن از دانش سخن رفته باشد، تعریف شده است</w:t>
      </w:r>
      <w:r>
        <w:rPr>
          <w:rFonts w:eastAsia="IRNazanin" w:cs="IRNazanin"/>
          <w:color w:val="111111"/>
          <w:sz w:val="28"/>
          <w:szCs w:val="28"/>
          <w:rtl w:val="true"/>
          <w:lang w:bidi="fa-IR"/>
        </w:rPr>
        <w:t>.</w:t>
      </w:r>
      <w:r>
        <w:rPr>
          <w:rStyle w:val="FootnoteAnchor"/>
          <w:rtl w:val="true"/>
        </w:rPr>
        <w:footnoteReference w:id="371"/>
      </w:r>
    </w:p>
    <w:p>
      <w:pPr>
        <w:pStyle w:val="BookText"/>
        <w:rPr/>
      </w:pPr>
      <w:r>
        <w:rPr>
          <w:rFonts w:ascii="IRNazanin" w:hAnsi="IRNazanin" w:eastAsia="IRNazanin"/>
          <w:color w:val="111111"/>
          <w:sz w:val="28"/>
          <w:sz w:val="28"/>
          <w:szCs w:val="28"/>
          <w:rtl w:val="true"/>
          <w:lang w:bidi="fa-IR"/>
        </w:rPr>
        <w:t>دانش‌نامه‌ها خلاصۀ دانش بشری، عمدتاً در رشتۀ خاص هستند که در مجموعه‌ای گردآوری شده و برای عموم فرهیختگان قابل درک و فهم‌اند و استفاده از آن‌ها و یافتن پاسخ در زمینه‌های مورد نظر، سهل و آسان است</w:t>
      </w:r>
      <w:r>
        <w:rPr>
          <w:rFonts w:eastAsia="IRNazanin" w:cs="IRNazanin"/>
          <w:color w:val="111111"/>
          <w:sz w:val="28"/>
          <w:szCs w:val="28"/>
          <w:rtl w:val="true"/>
          <w:lang w:bidi="fa-IR"/>
        </w:rPr>
        <w:t>.</w:t>
      </w:r>
      <w:r>
        <w:rPr>
          <w:rStyle w:val="FootnoteAnchor"/>
          <w:rtl w:val="true"/>
        </w:rPr>
        <w:footnoteReference w:id="372"/>
      </w:r>
    </w:p>
    <w:p>
      <w:pPr>
        <w:pStyle w:val="Heading3"/>
        <w:numPr>
          <w:ilvl w:val="2"/>
          <w:numId w:val="1"/>
        </w:numPr>
        <w:rPr/>
      </w:pPr>
      <w:bookmarkStart w:id="352" w:name="__RefHeading___Toc39858_1878427129"/>
      <w:bookmarkStart w:id="353" w:name="_Toc131"/>
      <w:bookmarkEnd w:id="352"/>
      <w:r>
        <w:rPr>
          <w:rtl w:val="true"/>
        </w:rPr>
        <w:t>دائرة المعارف</w:t>
      </w:r>
      <w:bookmarkEnd w:id="35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دائرة‌المعارف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مرکب عربی است و برابرنهادۀ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Encyclo p di</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و به معنای کتابی است که مشتمل بر مجموعه‌ای از معارف بشری، فرهنگ و علوم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دائرة‌المعارف، خلاصه‌ای است از رشته‌های علوم که به‌سهولت قابل فهم و استفاده باشد</w:t>
      </w:r>
      <w:r>
        <w:rPr>
          <w:rFonts w:eastAsia="IRNazanin" w:cs="IRNazanin"/>
          <w:color w:val="111111"/>
          <w:sz w:val="28"/>
          <w:szCs w:val="28"/>
          <w:rtl w:val="true"/>
          <w:lang w:bidi="fa-IR"/>
        </w:rPr>
        <w:t>.</w:t>
      </w:r>
      <w:r>
        <w:rPr>
          <w:rStyle w:val="FootnoteAnchor"/>
          <w:rtl w:val="true"/>
        </w:rPr>
        <w:footnoteReference w:id="373"/>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همۀ تفاوت دقیقی که در تعریف این سه عنوان وجود دارد، در فارسی معاصر هر سه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فرهنگ‌نامه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دائرة‌المعارف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مفهوم واحد به‌کار می‌رود که البته با فرهنگ لغت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فاحشی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w:t>
      </w:r>
    </w:p>
    <w:p>
      <w:pPr>
        <w:pStyle w:val="BookText"/>
        <w:rPr/>
      </w:pPr>
      <w:r>
        <w:rPr>
          <w:rFonts w:ascii="IRNazanin" w:hAnsi="IRNazanin" w:eastAsia="IRNazanin"/>
          <w:color w:val="111111"/>
          <w:sz w:val="28"/>
          <w:sz w:val="28"/>
          <w:szCs w:val="28"/>
          <w:rtl w:val="true"/>
          <w:lang w:bidi="fa-IR"/>
        </w:rPr>
        <w:t xml:space="preserve">دائرة‌المعارف یا فرهنگ‌نامه، اطلاعات گزیده و آگاهی‌های دقیق، موثق و روزآمد در همۀ رشته‌های معارف بشر یا رشته‌ای خاص است که بر پایۀ دانش و زبان خوانندگان آن، توسط متخصصان و زبدگان رشته‌های گوناگون گردآوری شده و سپس برحسب نظامی خاص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بیشتر الفبایی یا موضوعی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نوع منابع، در ردیف منابع مرجع قرار دارند و خواننده می‌تواند به‌راحتی و باسرعت، پاسخ بعضی سؤالات خود را در زمینۀ مورد نیاز بیابد؛ درحالی‌که فرهنگ، واژه‌نامه یا لغت‌نامه، منبعی است که دربارۀ کلمات و لغات زبان محاوره‌ای عام، یا رشته‌ای خاص بر اساس نظم الفبایی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طور معمول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 می‌شود و به‌جز اطلاعات معنایی واژگان، مواردی مانند املا، هجامندی، تلفظ، ریشه‌شناسی، اشتقاق، کاربرد مترادف‌ها، دستور زبانی و گاه تصاویری را که دال بر واژه باشد ارائه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فرهنگ و فرهنگ‌نامه، هریک اطلاعات خاصی به خواننده می‌دهند و می‌توان گفت گسترۀ اطلاعات موجود در فرهنگ‌ها دربارۀ واژه‌های زبانی است؛ اما گسترۀ فرهنگ‌نامه‌ها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دائرة‌المعارف‌ها و دانش‌نامه‌ها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زمینه‌های دانش بشر است، افزون بر اینکه از نظر ساختار، فرهنگ‌نامه با فرهنگ متفاوت است؛ گرچه ممکن است هر دو بر اساس ترتیب الفبا تنظیم شده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به‌هرروی، فرهنگ‌نامه‌ها، منبع معتبر برای دستیابی به آگاهی‌های درست و مستند با دیدگاه‌های علمی، در ردیف پژوهش‌های زیربنایی در حوزه‌های دانشی شناخته می‌شود</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پدیدآورندگان فرهنگ‌نامه‌ها یا دانش‌نامه‌ها بنا به ذوق و سلایق خود، معمولاً عناوینی برگزیده‌اند که مراد آن‌ها همان محتوای یادشده است؛ مانند معجم المصطلحات، موسوعة المصطلحات، فرهنگ اصطلاحات و جز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اصطلاحات الاصول یکی از همین عناوین است که از سال‌های گذشته محل رجوع اهل فن در رشتۀ اصول فقه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نویسندۀ خوش‌ذوق این اثر علمی، آگاهی پایه و گزیده از دانش اصول فقه را در قالب مقاله‌های کوتاه و بسیار فشرده فراهم آورده است</w:t>
      </w:r>
      <w:r>
        <w:rPr>
          <w:rFonts w:eastAsia="IRNazanin" w:cs="IRNazanin"/>
          <w:color w:val="111111"/>
          <w:sz w:val="28"/>
          <w:szCs w:val="28"/>
          <w:rtl w:val="true"/>
          <w:lang w:bidi="fa-IR"/>
        </w:rPr>
        <w:t>.</w:t>
      </w:r>
      <w:bookmarkStart w:id="354" w:name="pg14517_146366"/>
    </w:p>
    <w:p>
      <w:pPr>
        <w:pStyle w:val="Heading3"/>
        <w:numPr>
          <w:ilvl w:val="2"/>
          <w:numId w:val="1"/>
        </w:numPr>
        <w:rPr/>
      </w:pPr>
      <w:bookmarkStart w:id="355" w:name="__RefHeading___Toc39860_1878427129"/>
      <w:bookmarkStart w:id="356" w:name="_Toc132"/>
      <w:bookmarkEnd w:id="354"/>
      <w:bookmarkEnd w:id="355"/>
      <w:r>
        <w:rPr>
          <w:rtl w:val="true"/>
        </w:rPr>
        <w:t>پیشینۀ تشریح اصطلاحات در اصول فقه</w:t>
      </w:r>
      <w:bookmarkEnd w:id="356"/>
    </w:p>
    <w:p>
      <w:pPr>
        <w:pStyle w:val="BookText"/>
        <w:rPr/>
      </w:pPr>
      <w:r>
        <w:rPr>
          <w:rFonts w:ascii="IRNazanin" w:hAnsi="IRNazanin" w:eastAsia="IRNazanin"/>
          <w:color w:val="111111"/>
          <w:sz w:val="28"/>
          <w:sz w:val="28"/>
          <w:szCs w:val="28"/>
          <w:rtl w:val="true"/>
          <w:lang w:bidi="fa-IR"/>
        </w:rPr>
        <w:t>اصول فقه، یکی از دانش‌های پایه در علوم و معارف اسلامی است و از گسترۀ عناوین موضوعات قابل ملاحظۀ تخصصی و دقیقی برخوردار است؛ ازاین‌رو تألیف فرهنگ اصطلاحات، دانش‌نامه و مشابه آن به شیوه‌های نو ضرورت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محققان و مؤسسات پژوهشی به تدوین مجموعه‌هایی با عناوین فرهنگ اصول فقه، فرهنگ‌نامۀ اصول فقه، اصطلاحات الاصول، مصطلحات الاصول، قاموس اصولی، موسوعه اصولی و امثال آن در دانش اصول فقه دست زده‌اند که همۀ این اسامی اشاره به مفهوم واحد دارد و آن عبارت است از گزینش مدخل‌هایی از دانش اصول و تدوین مطالبی کوتاه، مفید و مستند ذیل آن‌ها، به شکلی قابل دسترس و آسان‌یاب، که برخی از آن‌ها تا حدودی هم موفق بوده‌اند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پیشینۀ تشریح اصطلاحات در قلمرو اصول فقه به شیوه‌های نو، طولانی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قابل توجه است اینکه حضرت آیت‌اللّه مشکینی در میان آثار تدوین‌یافته با عناوین یادشده، گوی سبقت را از دیگران گرفته و نخستین اثر در رشتۀ علمی اصول فقه که تا حدودی با شیوه‌های نو همخوان باشد، اصطلاحات الاصول ایشان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بخش، آثاری را که تاکنون با عناوین اصطلاحات اصولی، فرهنگ اصطلاحات اصول، فرهنگ‌نامه، موسوعه، معجم اصولی یا هر نام دیگری که به منظور شناسایی و توضیح اصطلاحات اصولی به چاپ رسیده‌اند، به ترتیب زمان چاپ می‌آوریم و با یادکرد ویژگی‌هایی از آن‌ها به بررسی اصطلاحات الاصول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مورد 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بررسی به‌عمل آمده، تاکنون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با عناوین مرتبط با فرهنگ‌نامه‌نویسی در رشتۀ اصول فقه تدوین شده که در اینجا مقایسه شده‌اند</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جدول ضمیمه، به ترتیب تاریخ هجری شمسی، هجری قمری و میلادی، آثار پیش‌گفته تنظیم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معمول، تاریخی که در منابع ثبت می‌شود یک یا دو 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ثبت تاریخ دوم و سوم با استفاده از تقویم‌های تطبیقی یا گاه‌نامه‌های تطبیقی و برخی نرم‌افزارهای موجود در اینترنت که تبدیل تاریخ را انجام می‌دهند، صورت گرفته است که ممکن است گاه دقیق نباشد، به‌خصوص در تبدیل شمسی به</w:t>
      </w:r>
      <w:bookmarkStart w:id="357" w:name="pg14517_146367"/>
    </w:p>
    <w:p>
      <w:pPr>
        <w:pStyle w:val="BookText"/>
        <w:rPr/>
      </w:pPr>
      <w:bookmarkEnd w:id="357"/>
      <w:r>
        <w:rPr>
          <w:rFonts w:ascii="IRNazanin" w:hAnsi="IRNazanin" w:eastAsia="IRNazanin"/>
          <w:color w:val="111111"/>
          <w:sz w:val="28"/>
          <w:sz w:val="28"/>
          <w:szCs w:val="28"/>
          <w:rtl w:val="true"/>
          <w:lang w:bidi="fa-IR"/>
        </w:rPr>
        <w:t>قمری و برعکس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بااین‌حال دقت شده است که با خطای کمتری مواجه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اینکه اصطلاحات الاصول قدمت زمانی دارد و در ردیف دوم جدول قرار گرفته است، مباحث مرتبط با آن را در پایان قرار داده‌ایم، تا ضمن پیشگیری از تکرار، انسجام و هماهنگی حفظ شود و ویژگی‌ها، کاستی‌ها و پیشنهادهای مربوط به آن نیز بهتر کانون توجه قرار گیرد</w:t>
      </w:r>
      <w:r>
        <w:rPr>
          <w:rFonts w:eastAsia="IRNazanin" w:cs="IRNazanin"/>
          <w:color w:val="111111"/>
          <w:sz w:val="28"/>
          <w:szCs w:val="28"/>
          <w:rtl w:val="true"/>
          <w:lang w:bidi="fa-IR"/>
        </w:rPr>
        <w:t>.</w:t>
      </w:r>
    </w:p>
    <w:p>
      <w:pPr>
        <w:pStyle w:val="Heading3"/>
        <w:numPr>
          <w:ilvl w:val="2"/>
          <w:numId w:val="1"/>
        </w:numPr>
        <w:rPr/>
      </w:pPr>
      <w:bookmarkStart w:id="358" w:name="__RefHeading___Toc39862_1878427129"/>
      <w:bookmarkStart w:id="359" w:name="_Toc133"/>
      <w:bookmarkEnd w:id="358"/>
      <w:r>
        <w:rPr>
          <w:rtl w:val="true"/>
        </w:rPr>
        <w:t>جدول تطبیقی فرهنگ نامه های اصولی</w:t>
      </w:r>
      <w:bookmarkEnd w:id="359"/>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374"/>
      </w:r>
      <w:bookmarkStart w:id="360" w:name="pg14517_146368"/>
    </w:p>
    <w:p>
      <w:pPr>
        <w:pStyle w:val="Heading3"/>
        <w:numPr>
          <w:ilvl w:val="2"/>
          <w:numId w:val="1"/>
        </w:numPr>
        <w:rPr/>
      </w:pPr>
      <w:bookmarkStart w:id="361" w:name="__RefHeading___Toc39864_1878427129"/>
      <w:bookmarkStart w:id="362" w:name="_Toc134"/>
      <w:bookmarkEnd w:id="360"/>
      <w:bookmarkEnd w:id="361"/>
      <w:r>
        <w:rPr>
          <w:rtl w:val="true"/>
        </w:rPr>
        <w:t>عناوین الاصول</w:t>
      </w:r>
      <w:bookmarkEnd w:id="362"/>
    </w:p>
    <w:p>
      <w:pPr>
        <w:pStyle w:val="BookText"/>
        <w:rPr/>
      </w:pPr>
      <w:r>
        <w:rPr>
          <w:rFonts w:ascii="IRNazanin" w:hAnsi="IRNazanin" w:eastAsia="IRNazanin"/>
          <w:color w:val="111111"/>
          <w:sz w:val="28"/>
          <w:sz w:val="28"/>
          <w:szCs w:val="28"/>
          <w:rtl w:val="true"/>
          <w:lang w:bidi="fa-IR"/>
        </w:rPr>
        <w:t xml:space="preserve">نوشتۀ محمّد مهدی الکاظمی الخالصی الخراسانی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اولین ویرایش آن در سال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در مطبعه دارالسلام بغداد در دو جلد چاپ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فهرست مطالب دارد و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مهم اصولی را شرح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جلد اول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و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و جلد دوم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و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اینکه به صورت فرهنگ‌نامه تنظیم نشده، ما به دلیل تشابه نام، آن را معرفی کردیم</w:t>
      </w:r>
      <w:r>
        <w:rPr>
          <w:rFonts w:eastAsia="IRNazanin" w:cs="IRNazanin"/>
          <w:color w:val="111111"/>
          <w:sz w:val="28"/>
          <w:szCs w:val="28"/>
          <w:rtl w:val="true"/>
          <w:lang w:bidi="fa-IR"/>
        </w:rPr>
        <w:t>.</w:t>
      </w:r>
    </w:p>
    <w:p>
      <w:pPr>
        <w:pStyle w:val="Heading3"/>
        <w:numPr>
          <w:ilvl w:val="2"/>
          <w:numId w:val="1"/>
        </w:numPr>
        <w:rPr/>
      </w:pPr>
      <w:bookmarkStart w:id="363" w:name="__RefHeading___Toc39866_1878427129"/>
      <w:bookmarkStart w:id="364" w:name="_Toc135"/>
      <w:bookmarkEnd w:id="363"/>
      <w:r>
        <w:rPr>
          <w:rtl w:val="true"/>
        </w:rPr>
        <w:t>معجم المصطلحات الاصولیه</w:t>
      </w:r>
      <w:bookmarkEnd w:id="364"/>
    </w:p>
    <w:p>
      <w:pPr>
        <w:pStyle w:val="BookText"/>
        <w:rPr/>
      </w:pPr>
      <w:r>
        <w:rPr>
          <w:rFonts w:ascii="IRNazanin" w:hAnsi="IRNazanin" w:eastAsia="IRNazanin"/>
          <w:color w:val="111111"/>
          <w:sz w:val="28"/>
          <w:sz w:val="28"/>
          <w:szCs w:val="28"/>
          <w:rtl w:val="true"/>
          <w:lang w:bidi="fa-IR"/>
        </w:rPr>
        <w:t>نویسندۀ این کتاب محمد الحسینی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اولین بار در سال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eastAsia="IRNazanin" w:cs="IRNazanin"/>
          <w:color w:val="111111"/>
          <w:sz w:val="28"/>
          <w:szCs w:val="28"/>
          <w:lang w:bidi="fa-IR"/>
        </w:rPr>
        <w:t>1995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سوی مؤسسة المعارف للمطبوعات در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صفحۀ وزیری کوچک به چاپ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به زبان عربی و بسیار مختصر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پاورقی و فهرست منابع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در مقدمه متذکر شده است که از منابع فراوانی استفاده کرده و در داخل مقدمه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را نام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اثر، فقط به تعریف اصطلاح بسنده شده است و بیشتر شبیه کتاب لغت است</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آن اصطلاحات مترادف آورده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از شیوۀ ارجاع نیز استفاده کرده است</w:t>
      </w:r>
      <w:r>
        <w:rPr>
          <w:rFonts w:eastAsia="IRNazanin" w:cs="IRNazanin"/>
          <w:color w:val="111111"/>
          <w:sz w:val="28"/>
          <w:szCs w:val="28"/>
          <w:rtl w:val="true"/>
          <w:lang w:bidi="fa-IR"/>
        </w:rPr>
        <w:t>.</w:t>
      </w:r>
      <w:bookmarkStart w:id="365" w:name="pg14517_146369"/>
    </w:p>
    <w:p>
      <w:pPr>
        <w:pStyle w:val="Heading3"/>
        <w:numPr>
          <w:ilvl w:val="2"/>
          <w:numId w:val="1"/>
        </w:numPr>
        <w:rPr/>
      </w:pPr>
      <w:bookmarkStart w:id="366" w:name="__RefHeading___Toc39868_1878427129"/>
      <w:bookmarkStart w:id="367" w:name="_Toc136"/>
      <w:bookmarkEnd w:id="365"/>
      <w:bookmarkEnd w:id="366"/>
      <w:r>
        <w:rPr>
          <w:rtl w:val="true"/>
        </w:rPr>
        <w:t>العناوین</w:t>
      </w:r>
      <w:bookmarkEnd w:id="367"/>
    </w:p>
    <w:p>
      <w:pPr>
        <w:pStyle w:val="BookText"/>
        <w:rPr/>
      </w:pPr>
      <w:r>
        <w:rPr>
          <w:rFonts w:ascii="IRNazanin" w:hAnsi="IRNazanin" w:eastAsia="IRNazanin"/>
          <w:color w:val="111111"/>
          <w:sz w:val="28"/>
          <w:sz w:val="28"/>
          <w:szCs w:val="28"/>
          <w:rtl w:val="true"/>
          <w:lang w:bidi="fa-IR"/>
        </w:rPr>
        <w:t xml:space="preserve">نوشتۀ سید منیر عبدالفتاح الحسینی المراغی </w:t>
      </w:r>
      <w:r>
        <w:rPr>
          <w:rFonts w:eastAsia="IRNazanin" w:cs="IRNazanin"/>
          <w:color w:val="111111"/>
          <w:sz w:val="28"/>
          <w:szCs w:val="28"/>
          <w:rtl w:val="true"/>
          <w:lang w:bidi="fa-IR"/>
        </w:rPr>
        <w:t>(</w:t>
      </w:r>
      <w:r>
        <w:rPr>
          <w:rFonts w:eastAsia="IRNazanin" w:cs="IRNazanin"/>
          <w:color w:val="111111"/>
          <w:sz w:val="28"/>
          <w:szCs w:val="28"/>
          <w:lang w:bidi="fa-IR"/>
        </w:rPr>
        <w:t>1266</w:t>
      </w:r>
      <w:r>
        <w:rPr>
          <w:rFonts w:eastAsia="IRNazanin" w:cs="IRNazanin"/>
          <w:color w:val="111111"/>
          <w:sz w:val="28"/>
          <w:szCs w:val="28"/>
          <w:rtl w:val="true"/>
          <w:lang w:bidi="fa-IR"/>
        </w:rPr>
        <w:t>-</w:t>
      </w:r>
      <w:r>
        <w:rPr>
          <w:rFonts w:eastAsia="IRNazanin" w:cs="IRNazanin"/>
          <w:color w:val="111111"/>
          <w:sz w:val="28"/>
          <w:szCs w:val="28"/>
          <w:lang w:bidi="fa-IR"/>
        </w:rPr>
        <w:t>1274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اولین ویرایش آن در سال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 جلد وزیری توسط جامعۀ مدرسین به چاپ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کتاب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فقهی و اصولی تحقیق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جلد اول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و در جلد دوم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را به صورت مفصل بحث و بررسی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عناوین را در پایان کتاب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 العناوین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به صورت فرهنگ‌نامه‌ای تنظیم نشده است، پاورقی دارد و فهرست منابع ندارد</w:t>
      </w:r>
      <w:r>
        <w:rPr>
          <w:rFonts w:eastAsia="IRNazanin" w:cs="IRNazanin"/>
          <w:color w:val="111111"/>
          <w:sz w:val="28"/>
          <w:szCs w:val="28"/>
          <w:rtl w:val="true"/>
          <w:lang w:bidi="fa-IR"/>
        </w:rPr>
        <w:t>.</w:t>
      </w:r>
    </w:p>
    <w:p>
      <w:pPr>
        <w:pStyle w:val="Heading3"/>
        <w:numPr>
          <w:ilvl w:val="2"/>
          <w:numId w:val="1"/>
        </w:numPr>
        <w:rPr/>
      </w:pPr>
      <w:bookmarkStart w:id="368" w:name="__RefHeading___Toc39870_1878427129"/>
      <w:bookmarkStart w:id="369" w:name="_Toc137"/>
      <w:bookmarkEnd w:id="368"/>
      <w:r>
        <w:rPr>
          <w:rtl w:val="true"/>
        </w:rPr>
        <w:t>موسوعة مصطلحات اصول الفقه عند المسلمین</w:t>
      </w:r>
      <w:bookmarkEnd w:id="369"/>
    </w:p>
    <w:p>
      <w:pPr>
        <w:pStyle w:val="BookText"/>
        <w:rPr/>
      </w:pPr>
      <w:r>
        <w:rPr>
          <w:rFonts w:ascii="IRNazanin" w:hAnsi="IRNazanin" w:eastAsia="IRNazanin"/>
          <w:color w:val="111111"/>
          <w:sz w:val="28"/>
          <w:sz w:val="28"/>
          <w:szCs w:val="28"/>
          <w:rtl w:val="true"/>
          <w:lang w:bidi="fa-IR"/>
        </w:rPr>
        <w:t xml:space="preserve">این اثر را رفیق العجم تألیف کرده است و مکتبه ناشرون لبنان، آن را در دو جلد وزیری به سال </w:t>
      </w:r>
      <w:r>
        <w:rPr>
          <w:rFonts w:eastAsia="IRNazanin" w:cs="IRNazanin"/>
          <w:color w:val="111111"/>
          <w:sz w:val="28"/>
          <w:szCs w:val="28"/>
          <w:lang w:bidi="fa-IR"/>
        </w:rPr>
        <w:t>1998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1722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منتشر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با اینکه آینۀ تمام‌نمای علم اصول از منظر عالمان اسلامی است، عمدتاً با توجه به منابع اهل سنت فراهم آمده است؛ هر چند از چهار منبع شیعی نیز استفاده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کافی کلینی، اصول الفقه مظفر، الذریعه سید مرتضی، مبادی الوصول علامۀ حلی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پس از مقدمۀ اثر که به تاریخ تدوین، تطورات و روش‌های اصول فقه پرداخته، روش کار در موسوعه و منابع مورد نظر را بیان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موسوعه </w:t>
      </w:r>
      <w:r>
        <w:rPr>
          <w:rFonts w:eastAsia="IRNazanin" w:cs="IRNazanin"/>
          <w:color w:val="111111"/>
          <w:sz w:val="28"/>
          <w:szCs w:val="28"/>
          <w:lang w:bidi="fa-IR"/>
        </w:rPr>
        <w:t>1420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اصطلاح اصولی تشریح شده و معادل انگلیسی و فرانسوی مدخل‌ها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پایان کتاب، فهرست موضوعات یا مدخل‌های کتاب را در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به ترتیب الفبا آورده که برای مراجعه‌کننده بسیار مفید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موسوعه اثری مرجع و قابل استفادۀ فراوان است</w:t>
      </w:r>
      <w:r>
        <w:rPr>
          <w:rFonts w:eastAsia="IRNazanin" w:cs="IRNazanin"/>
          <w:color w:val="111111"/>
          <w:sz w:val="28"/>
          <w:szCs w:val="28"/>
          <w:rtl w:val="true"/>
          <w:lang w:bidi="fa-IR"/>
        </w:rPr>
        <w:t>.</w:t>
      </w:r>
    </w:p>
    <w:p>
      <w:pPr>
        <w:pStyle w:val="Heading3"/>
        <w:numPr>
          <w:ilvl w:val="2"/>
          <w:numId w:val="1"/>
        </w:numPr>
        <w:rPr/>
      </w:pPr>
      <w:bookmarkStart w:id="370" w:name="__RefHeading___Toc39872_1878427129"/>
      <w:bookmarkStart w:id="371" w:name="_Toc138"/>
      <w:bookmarkEnd w:id="370"/>
      <w:r>
        <w:rPr>
          <w:rtl w:val="true"/>
        </w:rPr>
        <w:t>معجم اصول الفقه</w:t>
      </w:r>
      <w:bookmarkEnd w:id="371"/>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اثر را خالد رمضان حسن به زبان عربی تدوین کرده و نشر روضه در قاهره، چاپ اول آن را در </w:t>
      </w:r>
      <w:r>
        <w:rPr>
          <w:rFonts w:eastAsia="IRNazanin" w:cs="IRNazanin"/>
          <w:color w:val="111111"/>
          <w:sz w:val="28"/>
          <w:szCs w:val="28"/>
          <w:lang w:bidi="fa-IR"/>
        </w:rPr>
        <w:t>1998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با حجم </w:t>
      </w:r>
      <w:r>
        <w:rPr>
          <w:rFonts w:eastAsia="IRNazanin" w:cs="IRNazanin"/>
          <w:color w:val="111111"/>
          <w:sz w:val="28"/>
          <w:szCs w:val="28"/>
          <w:lang w:bidi="fa-IR"/>
        </w:rPr>
        <w:t>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در یک جلد وزیری با</w:t>
      </w:r>
      <w:bookmarkStart w:id="372" w:name="pg14517_146370"/>
    </w:p>
    <w:p>
      <w:pPr>
        <w:pStyle w:val="BookText"/>
        <w:rPr/>
      </w:pPr>
      <w:bookmarkEnd w:id="372"/>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اصطلاح انجام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پس از مقدمه، در تشریح ساختار کلی علم اصول، نحوۀ ارتباط فقه و اصول را تبیین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از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اباحه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و به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واضح الدلاله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یافته است</w:t>
      </w:r>
      <w:r>
        <w:rPr>
          <w:rFonts w:eastAsia="IRNazanin" w:cs="IRNazanin"/>
          <w:color w:val="111111"/>
          <w:sz w:val="28"/>
          <w:szCs w:val="28"/>
          <w:rtl w:val="true"/>
          <w:lang w:bidi="fa-IR"/>
        </w:rPr>
        <w:t>.</w:t>
      </w:r>
    </w:p>
    <w:p>
      <w:pPr>
        <w:pStyle w:val="Heading3"/>
        <w:numPr>
          <w:ilvl w:val="2"/>
          <w:numId w:val="1"/>
        </w:numPr>
        <w:rPr/>
      </w:pPr>
      <w:bookmarkStart w:id="373" w:name="__RefHeading___Toc39874_1878427129"/>
      <w:bookmarkStart w:id="374" w:name="_Toc139"/>
      <w:bookmarkEnd w:id="373"/>
      <w:r>
        <w:rPr>
          <w:rtl w:val="true"/>
        </w:rPr>
        <w:t>معجم مصطلحات اصول الفقه</w:t>
      </w:r>
      <w:bookmarkEnd w:id="374"/>
    </w:p>
    <w:p>
      <w:pPr>
        <w:pStyle w:val="BookText"/>
        <w:rPr/>
      </w:pPr>
      <w:r>
        <w:rPr>
          <w:rFonts w:ascii="IRNazanin" w:hAnsi="IRNazanin" w:eastAsia="IRNazanin"/>
          <w:color w:val="111111"/>
          <w:sz w:val="28"/>
          <w:sz w:val="28"/>
          <w:szCs w:val="28"/>
          <w:rtl w:val="true"/>
          <w:lang w:bidi="fa-IR"/>
        </w:rPr>
        <w:t>نویسندۀ این کتاب، قطب مصطفی سانو، استاد فقه اسلامی در دانشگاه کویت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اولین ویرایش اثر را مؤسسۀ دارالفکر در </w:t>
      </w:r>
      <w:r>
        <w:rPr>
          <w:rFonts w:eastAsia="IRNazanin" w:cs="IRNazanin"/>
          <w:color w:val="111111"/>
          <w:sz w:val="28"/>
          <w:szCs w:val="28"/>
          <w:lang w:bidi="fa-IR"/>
        </w:rPr>
        <w:t>484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صفحۀ وزیری به سال </w:t>
      </w:r>
      <w:r>
        <w:rPr>
          <w:rFonts w:eastAsia="IRNazanin" w:cs="IRNazanin"/>
          <w:color w:val="111111"/>
          <w:sz w:val="28"/>
          <w:szCs w:val="28"/>
          <w:lang w:bidi="fa-IR"/>
        </w:rPr>
        <w:t>1420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قمری </w:t>
      </w:r>
      <w:r>
        <w:rPr>
          <w:rFonts w:eastAsia="IRNazanin" w:cs="IRNazanin"/>
          <w:color w:val="111111"/>
          <w:sz w:val="28"/>
          <w:szCs w:val="28"/>
          <w:rtl w:val="true"/>
          <w:lang w:bidi="fa-IR"/>
        </w:rPr>
        <w:t>(</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دمشق به چاپ رسانده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در این کتاب که به زبان عربی است، دیدگاه‌های اهل سنت را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قریب به </w:t>
      </w:r>
      <w:r>
        <w:rPr>
          <w:rFonts w:eastAsia="IRNazanin" w:cs="IRNazanin"/>
          <w:color w:val="111111"/>
          <w:sz w:val="28"/>
          <w:szCs w:val="28"/>
          <w:lang w:bidi="fa-IR"/>
        </w:rPr>
        <w:t>1600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اصطلاح را آورده و در موارد قابل توجهی به بیان معنای لغوی بسنده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توضیح اصطلاحات، از آیات قرآن کریم بسیار استفاده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ارجاع ندارد، مگر اندکی که به چشم نمی‌آید و داخل متن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اصطلاحات را به ترتیب الفبا آورده و نام معادل انگلیسی هر اصطلاح را مقابل آن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معجم تقریباً از اکثر منابع اصولی اهل سنت استفاده شده، ولی در پاورقی‌ها هیچ گونه آدرس‌دهی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مواردی فقط عنوان را ذکر کرده و هیچ توضیح یا ارجاعی برای آن نیاورده است؛ مثل المسند، المخصوص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اثر، فقط به اصطلاحات اصولی پرداخته نشده، بلکه اصطلاحات فقهی، ادبی، فلسفی و کلامی نیز یافت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مواردی عناوین محاوره‌ای را نیز آورده و معنای لغوی بسیار کوتاه در قالب یک یا دو کلمه برای آن ذکر کرده است؛ مثل الباب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حقیقة الشیء، المقصد، المستور، المستند، المرض، اللغه</w:t>
      </w:r>
      <w:r>
        <w:rPr>
          <w:rFonts w:eastAsia="IRNazanin" w:cs="IRNazanin"/>
          <w:color w:val="111111"/>
          <w:sz w:val="28"/>
          <w:szCs w:val="28"/>
          <w:rtl w:val="true"/>
          <w:lang w:bidi="fa-IR"/>
        </w:rPr>
        <w:t>.</w:t>
      </w:r>
    </w:p>
    <w:p>
      <w:pPr>
        <w:pStyle w:val="Heading3"/>
        <w:numPr>
          <w:ilvl w:val="2"/>
          <w:numId w:val="1"/>
        </w:numPr>
        <w:rPr/>
      </w:pPr>
      <w:bookmarkStart w:id="375" w:name="__RefHeading___Toc39876_1878427129"/>
      <w:bookmarkStart w:id="376" w:name="_Toc140"/>
      <w:bookmarkEnd w:id="375"/>
      <w:r>
        <w:rPr>
          <w:rtl w:val="true"/>
        </w:rPr>
        <w:t>المعجم الاصولی</w:t>
      </w:r>
      <w:bookmarkEnd w:id="376"/>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کتاب را الشیخ محمد صنقور علی حیدر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ویرایش اول آن به زبان عربی در سال </w:t>
      </w:r>
      <w:r>
        <w:rPr>
          <w:rFonts w:eastAsia="IRNazanin" w:cs="IRNazanin"/>
          <w:color w:val="111111"/>
          <w:sz w:val="28"/>
          <w:szCs w:val="28"/>
          <w:lang w:bidi="fa-IR"/>
        </w:rPr>
        <w:t>1421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در </w:t>
      </w:r>
      <w:r>
        <w:rPr>
          <w:rFonts w:eastAsia="IRNazanin" w:cs="IRNazanin"/>
          <w:color w:val="111111"/>
          <w:sz w:val="28"/>
          <w:szCs w:val="28"/>
          <w:lang w:bidi="fa-IR"/>
        </w:rPr>
        <w:t>640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صفحۀ وزیری در یک مجموعه منتشر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ناشر آن مؤلف است و چاپخانۀ عترت، چاپ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قریب </w:t>
      </w:r>
      <w:r>
        <w:rPr>
          <w:rFonts w:eastAsia="IRNazanin" w:cs="IRNazanin"/>
          <w:color w:val="111111"/>
          <w:sz w:val="28"/>
          <w:szCs w:val="28"/>
          <w:lang w:bidi="fa-IR"/>
        </w:rPr>
        <w:t>600</w:t>
      </w:r>
      <w:bookmarkStart w:id="377" w:name="pg14517_146371"/>
    </w:p>
    <w:p>
      <w:pPr>
        <w:pStyle w:val="BookText"/>
        <w:rPr/>
      </w:pPr>
      <w:bookmarkEnd w:id="377"/>
      <w:r>
        <w:rPr>
          <w:rFonts w:ascii="IRNazanin" w:hAnsi="IRNazanin" w:eastAsia="IRNazanin"/>
          <w:color w:val="111111"/>
          <w:sz w:val="28"/>
          <w:sz w:val="28"/>
          <w:szCs w:val="28"/>
          <w:rtl w:val="true"/>
          <w:lang w:bidi="fa-IR"/>
        </w:rPr>
        <w:t>اصطلاح اصولی را به صورت نسبتاً مبسوط در این کتاب به شیوۀ الفبایی توضیح داده و مهم‌ترین اصطلاحات اصولی را شرح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پاورقی ندارد، مگر اندکی که در پایان کتاب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و عمدتاً آدرس آیات و روایات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مواردی از اهل سنت مطالب و دیدگاه‌هایی بیان شده است؛ اما در فهرست منابع، منابع اهل سنت را نیاورده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پایان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را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مصادر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اثر فقط در مواردی به دیدگاه‌های اصولیان شیعه پرداخته است</w:t>
      </w:r>
      <w:r>
        <w:rPr>
          <w:rFonts w:eastAsia="IRNazanin" w:cs="IRNazanin"/>
          <w:color w:val="111111"/>
          <w:sz w:val="28"/>
          <w:szCs w:val="28"/>
          <w:rtl w:val="true"/>
          <w:lang w:bidi="fa-IR"/>
        </w:rPr>
        <w:t>.</w:t>
      </w:r>
    </w:p>
    <w:p>
      <w:pPr>
        <w:pStyle w:val="Heading3"/>
        <w:numPr>
          <w:ilvl w:val="2"/>
          <w:numId w:val="1"/>
        </w:numPr>
        <w:rPr/>
      </w:pPr>
      <w:bookmarkStart w:id="378" w:name="__RefHeading___Toc39878_1878427129"/>
      <w:bookmarkStart w:id="379" w:name="_Toc141"/>
      <w:bookmarkEnd w:id="378"/>
      <w:r>
        <w:rPr>
          <w:rtl w:val="true"/>
        </w:rPr>
        <w:t>فرهنگ اصطلاحات اصولی</w:t>
      </w:r>
      <w:bookmarkEnd w:id="379"/>
    </w:p>
    <w:p>
      <w:pPr>
        <w:pStyle w:val="BookText"/>
        <w:rPr/>
      </w:pPr>
      <w:r>
        <w:rPr>
          <w:rFonts w:ascii="IRNazanin" w:hAnsi="IRNazanin" w:eastAsia="IRNazanin"/>
          <w:color w:val="111111"/>
          <w:sz w:val="28"/>
          <w:sz w:val="28"/>
          <w:szCs w:val="28"/>
          <w:rtl w:val="true"/>
          <w:lang w:bidi="fa-IR"/>
        </w:rPr>
        <w:t xml:space="preserve">این کتاب اثر محمدحسین مختاری مازندرانی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متولد </w:t>
      </w:r>
      <w:r>
        <w:rPr>
          <w:rFonts w:eastAsia="IRNazanin" w:cs="IRNazanin"/>
          <w:color w:val="111111"/>
          <w:sz w:val="28"/>
          <w:szCs w:val="28"/>
          <w:lang w:bidi="fa-IR"/>
        </w:rPr>
        <w:t>1337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رئیس گروه مطالعات اسلامی دائرة‌المعارف انسان‌شناسی است که اولین ویرایش آن در سال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از سوی انتشارات انجمن قلم ایران به چاپ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اصطلاح اصولی به صورت الفبایی، به‌اختصار و به فارسی در این کتاب آورده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اثر در موارد اندکی دیدگاه اصولیان را آورده و زیرنویس‌های معدودی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فهرست منابع آن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منبع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کتاب فهرست مدخل‌ها را ذکر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مأخذی که از عامه آورده، کتاب المستصفی اثر غزالی است و چند اصطلاح اصولی از اهل سنت را نیز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شیوۀ ارجاع استفاده نشده و اصطلاحات مترادف ذکر نشده است</w:t>
      </w:r>
      <w:r>
        <w:rPr>
          <w:rFonts w:eastAsia="IRNazanin" w:cs="IRNazanin"/>
          <w:color w:val="111111"/>
          <w:sz w:val="28"/>
          <w:szCs w:val="28"/>
          <w:rtl w:val="true"/>
          <w:lang w:bidi="fa-IR"/>
        </w:rPr>
        <w:t>.</w:t>
      </w:r>
    </w:p>
    <w:p>
      <w:pPr>
        <w:pStyle w:val="Heading3"/>
        <w:numPr>
          <w:ilvl w:val="2"/>
          <w:numId w:val="1"/>
        </w:numPr>
        <w:rPr/>
      </w:pPr>
      <w:bookmarkStart w:id="380" w:name="__RefHeading___Toc39880_1878427129"/>
      <w:bookmarkStart w:id="381" w:name="_Toc142"/>
      <w:bookmarkEnd w:id="380"/>
      <w:r>
        <w:rPr>
          <w:rtl w:val="true"/>
        </w:rPr>
        <w:t>فرهنگ اصطلاحات اصول</w:t>
      </w:r>
      <w:bookmarkEnd w:id="381"/>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اثر با مقدمۀ آیت‌اللّه جعفر سبحانی، توسط مجتبی ملکی اصفهانی در دو جلد تدوین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عالمه در سال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منتشر کرده است و در سال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بین‌المللی ترجمه و نشر المصطفی آن را در قطع وزیری در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منتشر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اول </w:t>
      </w:r>
      <w:r>
        <w:rPr>
          <w:rFonts w:eastAsia="IRNazanin" w:cs="IRNazanin"/>
          <w:color w:val="111111"/>
          <w:sz w:val="28"/>
          <w:szCs w:val="28"/>
          <w:lang w:bidi="fa-IR"/>
        </w:rPr>
        <w:t>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و جلد دوم </w:t>
      </w:r>
      <w:r>
        <w:rPr>
          <w:rFonts w:eastAsia="IRNazanin" w:cs="IRNazanin"/>
          <w:color w:val="111111"/>
          <w:sz w:val="28"/>
          <w:szCs w:val="28"/>
          <w:lang w:bidi="fa-IR"/>
        </w:rPr>
        <w:t>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دارد و در مجموع </w:t>
      </w:r>
      <w:r>
        <w:rPr>
          <w:rFonts w:eastAsia="IRNazanin" w:cs="IRNazanin"/>
          <w:color w:val="111111"/>
          <w:sz w:val="28"/>
          <w:szCs w:val="28"/>
          <w:lang w:bidi="fa-IR"/>
        </w:rPr>
        <w:t>1513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اصطلاح را شرح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با اینکه فرهنگ اصطلاحات اصول</w:t>
      </w:r>
      <w:bookmarkStart w:id="382" w:name="pg14517_146372"/>
    </w:p>
    <w:p>
      <w:pPr>
        <w:pStyle w:val="BookText"/>
        <w:rPr/>
      </w:pPr>
      <w:bookmarkEnd w:id="382"/>
      <w:r>
        <w:rPr>
          <w:rFonts w:ascii="IRNazanin" w:hAnsi="IRNazanin" w:eastAsia="IRNazanin"/>
          <w:color w:val="111111"/>
          <w:sz w:val="28"/>
          <w:sz w:val="28"/>
          <w:szCs w:val="28"/>
          <w:rtl w:val="true"/>
          <w:lang w:bidi="fa-IR"/>
        </w:rPr>
        <w:t>نامیده شده است، عملاً اصطلاحات علوم دیگر مانند برخی اصطلاحات فقهی، کلامی و حتی ادبی، منطقی و فلسفی را نیز آورده و شرح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اصطلاحات بر اساس حروف الفباست و در مواردی به بیان اقوال عالمان نیز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منابع اهل سنت در کنار منابع علمای شیعه، از امتیازات این اثر علمی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جلد اول، فهرست آیات قرآن، احادیث و کتاب‌نامه و فهرست مطالب آمده است</w:t>
      </w:r>
      <w:r>
        <w:rPr>
          <w:rFonts w:eastAsia="IRNazanin" w:cs="IRNazanin"/>
          <w:color w:val="111111"/>
          <w:sz w:val="28"/>
          <w:szCs w:val="28"/>
          <w:rtl w:val="true"/>
          <w:lang w:bidi="fa-IR"/>
        </w:rPr>
        <w:t>.</w:t>
      </w:r>
    </w:p>
    <w:p>
      <w:pPr>
        <w:pStyle w:val="Heading3"/>
        <w:numPr>
          <w:ilvl w:val="2"/>
          <w:numId w:val="1"/>
        </w:numPr>
        <w:rPr/>
      </w:pPr>
      <w:bookmarkStart w:id="383" w:name="__RefHeading___Toc39882_1878427129"/>
      <w:bookmarkStart w:id="384" w:name="_Toc143"/>
      <w:bookmarkEnd w:id="383"/>
      <w:r>
        <w:rPr>
          <w:rtl w:val="true"/>
        </w:rPr>
        <w:t>واژه شناسی اصطلاحات اصول فقه</w:t>
      </w:r>
      <w:bookmarkEnd w:id="384"/>
    </w:p>
    <w:p>
      <w:pPr>
        <w:pStyle w:val="BookText"/>
        <w:rPr/>
      </w:pPr>
      <w:r>
        <w:rPr>
          <w:rFonts w:ascii="IRNazanin" w:hAnsi="IRNazanin" w:eastAsia="IRNazanin"/>
          <w:color w:val="111111"/>
          <w:sz w:val="28"/>
          <w:sz w:val="28"/>
          <w:szCs w:val="28"/>
          <w:rtl w:val="true"/>
          <w:lang w:bidi="fa-IR"/>
        </w:rPr>
        <w:t>این کتاب را احمد قلی‌زاده گردآوری و تدوین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ویرایش اول آن را بنیاد پژوهش‌های علمی و فرهنگی نور الاصفیاء در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وزیری در سال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چاپ رسانده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581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اصطلاح به ترتیب الفبا آورده و دربارۀ آن‌ها مطالبی ذکر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منابع ندارد و فقط به حدود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در برخی‌موارد زیرنویس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در مقدمه می‌نویسد از کتاب‌هایی همچون معالم الاصول و اصول الفقه و نیز شروح و کتب اصولی استاد محمدی بهره‌های بسیاری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تشریحی اصطلاحات اصول را کامل‌تر می‌دانسته و از آن در موارد بسیاری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نام کتاب حکایت می‌کند، بیشتر در صدد شناسایی واژه‌های اصول فقه بوده است</w:t>
      </w:r>
      <w:r>
        <w:rPr>
          <w:rFonts w:eastAsia="IRNazanin" w:cs="IRNazanin"/>
          <w:color w:val="111111"/>
          <w:sz w:val="28"/>
          <w:szCs w:val="28"/>
          <w:rtl w:val="true"/>
          <w:lang w:bidi="fa-IR"/>
        </w:rPr>
        <w:t>.</w:t>
      </w:r>
    </w:p>
    <w:p>
      <w:pPr>
        <w:pStyle w:val="Heading3"/>
        <w:numPr>
          <w:ilvl w:val="2"/>
          <w:numId w:val="1"/>
        </w:numPr>
        <w:rPr/>
      </w:pPr>
      <w:bookmarkStart w:id="385" w:name="__RefHeading___Toc39884_1878427129"/>
      <w:bookmarkStart w:id="386" w:name="_Toc144"/>
      <w:bookmarkEnd w:id="385"/>
      <w:r>
        <w:rPr>
          <w:rtl w:val="true"/>
        </w:rPr>
        <w:t>القاموس المبین فی اصطلاحات الاصولیین</w:t>
      </w:r>
      <w:bookmarkEnd w:id="386"/>
    </w:p>
    <w:p>
      <w:pPr>
        <w:pStyle w:val="BookText"/>
        <w:rPr/>
      </w:pPr>
      <w:r>
        <w:rPr>
          <w:rFonts w:ascii="IRNazanin" w:hAnsi="IRNazanin" w:eastAsia="IRNazanin"/>
          <w:color w:val="111111"/>
          <w:sz w:val="28"/>
          <w:sz w:val="28"/>
          <w:szCs w:val="28"/>
          <w:rtl w:val="true"/>
          <w:lang w:bidi="fa-IR"/>
        </w:rPr>
        <w:t xml:space="preserve">این کتاب را محمود حامد عثمان نوشته و دارالزاحم ریاض در </w:t>
      </w:r>
      <w:r>
        <w:rPr>
          <w:rFonts w:eastAsia="IRNazanin" w:cs="IRNazanin"/>
          <w:color w:val="111111"/>
          <w:sz w:val="28"/>
          <w:szCs w:val="28"/>
          <w:lang w:bidi="fa-IR"/>
        </w:rPr>
        <w:t>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صفحۀ وزیری در سال </w:t>
      </w:r>
      <w:r>
        <w:rPr>
          <w:rFonts w:eastAsia="IRNazanin" w:cs="IRNazanin"/>
          <w:color w:val="111111"/>
          <w:sz w:val="28"/>
          <w:szCs w:val="28"/>
          <w:lang w:bidi="fa-IR"/>
        </w:rPr>
        <w:t>1423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w:t>
      </w:r>
      <w:r>
        <w:rPr>
          <w:rFonts w:eastAsia="IRNazanin" w:cs="IRNazanin"/>
          <w:color w:val="111111"/>
          <w:sz w:val="28"/>
          <w:szCs w:val="28"/>
          <w:rtl w:val="true"/>
          <w:lang w:bidi="fa-IR"/>
        </w:rPr>
        <w:t>(</w:t>
      </w:r>
      <w:r>
        <w:rPr>
          <w:rFonts w:eastAsia="IRNazanin" w:cs="IRNazanin"/>
          <w:color w:val="111111"/>
          <w:sz w:val="28"/>
          <w:szCs w:val="28"/>
          <w:lang w:bidi="fa-IR"/>
        </w:rPr>
        <w:t>2002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اثر </w:t>
      </w:r>
      <w:r>
        <w:rPr>
          <w:rFonts w:eastAsia="IRNazanin" w:cs="IRNazanin"/>
          <w:color w:val="111111"/>
          <w:sz w:val="28"/>
          <w:szCs w:val="28"/>
          <w:lang w:bidi="fa-IR"/>
        </w:rPr>
        <w:t>435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اصطلاح اصولی به ترتیب الفبا شرح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توضیحاتی که مؤلف ذکر کرده، مستند به اقوال و آرای کتب اصولی است</w:t>
      </w:r>
      <w:r>
        <w:rPr>
          <w:rFonts w:eastAsia="IRNazanin" w:cs="IRNazanin"/>
          <w:color w:val="111111"/>
          <w:sz w:val="28"/>
          <w:szCs w:val="28"/>
          <w:rtl w:val="true"/>
          <w:lang w:bidi="fa-IR"/>
        </w:rPr>
        <w:t>.</w:t>
      </w:r>
    </w:p>
    <w:p>
      <w:pPr>
        <w:pStyle w:val="Heading3"/>
        <w:numPr>
          <w:ilvl w:val="2"/>
          <w:numId w:val="1"/>
        </w:numPr>
        <w:rPr/>
      </w:pPr>
      <w:bookmarkStart w:id="387" w:name="__RefHeading___Toc39886_1878427129"/>
      <w:bookmarkStart w:id="388" w:name="_Toc145"/>
      <w:bookmarkEnd w:id="387"/>
      <w:r>
        <w:rPr>
          <w:rtl w:val="true"/>
        </w:rPr>
        <w:t>فرهنگ تشریحی اصطلاحات اصول</w:t>
      </w:r>
      <w:bookmarkEnd w:id="388"/>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کتاب نوشتۀ عیسی ولایی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متولد </w:t>
      </w:r>
      <w:r>
        <w:rPr>
          <w:rFonts w:eastAsia="IRNazanin" w:cs="IRNazanin"/>
          <w:color w:val="111111"/>
          <w:sz w:val="28"/>
          <w:szCs w:val="28"/>
          <w:lang w:bidi="fa-IR"/>
        </w:rPr>
        <w:t>1329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اولین ویرایش آن در سال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انجام شده و چاپ دوم آن با تجدید نظر در سال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نشر نی در</w:t>
      </w:r>
    </w:p>
    <w:p>
      <w:pPr>
        <w:pStyle w:val="BookText"/>
        <w:rPr/>
      </w:pP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صفحۀ وزیری انتشار یافته، و از ویژگی‌ها و امتیازات خوبی برخوردار است؛ همچون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زبان فارسی، روان و قابل استفاده برای دانشجویان و طلاب؛ آوردن فهرست مدخل ها در ابتدای کتاب؛ آوردن منابع در پاورقی و ذیل هر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هرچند منابع محدود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ارجاع برخی مداخل به موارد لازم؛ آوردن مثال‌های حقوقی و مسائل روز اجتماعی برای شرح اصطلاحات؛ آوردن اصطلاحات و دیدگاه‌های اهل سنت، هر چند به صورت محدود؛ استفاده از منابع غیر اصولی، همانند کتب حقوقی، روایی، کلامی و تاریخی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حال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تعداد اصطلاحات آن اعم از مدخل‌ها و ارجاعات </w:t>
      </w:r>
      <w:r>
        <w:rPr>
          <w:rFonts w:eastAsia="IRNazanin" w:cs="IRNazanin"/>
          <w:color w:val="111111"/>
          <w:sz w:val="28"/>
          <w:szCs w:val="28"/>
          <w:lang w:bidi="fa-IR"/>
        </w:rPr>
        <w:t>511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ارجاعات آن کم است و به‌درستی مترادف‌ها و اعم و اخص‌ها معلوم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از اصطلاحات مهم در جایگاه الفبایی نیامده است، درحالی‌که برای آن توضیح قابل ملاحظه‌ای در جای دیگر داده شده است؛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حدود دو صفحه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نسخ و بداء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و اطلاعات ذکرشده تماماً به بداء مرتبط است، ولی استفاده‌کننده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به‌دست نمی‌آورد؛ چون در ردیف الفبایی نیامده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مؤلف بر رعایت کردن نظام الفبایی است، ولی در مواردی اصطلاحات مهمی را در ردیف الفبا آورده و توضیح آن را به جای دیگری موکول کرده است؛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ناسخ و منسوخ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ارجاع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اصطلاحات در لابه‌لای اصطلاح اعم خود مورد بحث قرار گرفته است؛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 تخصصی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 تخصیصی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 تعینی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 تعیینی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گاه در ردیف الفبایی ارجاع نیز صورت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اینکه نام کتاب فرهنگ تشریحی اصطلاحات است در موارد قابل توجهی تعریف و توضیح اصطلاح از یک یا دو سطر تجاوز نمی‌کند؛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ضد خاص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ضد عام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ظن مطلق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ظن موضوعی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ظن نوعی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فحوی الخطاب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ارجاعی مانند عناوین اصلی به عنوان مدخل انتخاب شده و</w:t>
      </w:r>
      <w:bookmarkStart w:id="389" w:name="pg14517_146374"/>
    </w:p>
    <w:p>
      <w:pPr>
        <w:pStyle w:val="BookText"/>
        <w:rPr/>
      </w:pPr>
      <w:bookmarkEnd w:id="389"/>
      <w:r>
        <w:rPr>
          <w:rFonts w:ascii="IRNazanin" w:hAnsi="IRNazanin" w:eastAsia="IRNazanin"/>
          <w:color w:val="111111"/>
          <w:sz w:val="28"/>
          <w:sz w:val="28"/>
          <w:szCs w:val="28"/>
          <w:rtl w:val="true"/>
          <w:lang w:bidi="fa-IR"/>
        </w:rPr>
        <w:t xml:space="preserve">ردیف مسلسل گرفته است؛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ظن اطمینانی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ظن قوی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صحت سلب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pStyle w:val="Heading3"/>
        <w:numPr>
          <w:ilvl w:val="2"/>
          <w:numId w:val="1"/>
        </w:numPr>
        <w:rPr/>
      </w:pPr>
      <w:bookmarkStart w:id="390" w:name="__RefHeading___Toc39888_1878427129"/>
      <w:bookmarkStart w:id="391" w:name="_Toc146"/>
      <w:bookmarkEnd w:id="390"/>
      <w:r>
        <w:rPr>
          <w:rtl w:val="true"/>
        </w:rPr>
        <w:t>معجم اصطلاحات اصول الفقه</w:t>
      </w:r>
      <w:bookmarkEnd w:id="391"/>
    </w:p>
    <w:p>
      <w:pPr>
        <w:pStyle w:val="BookText"/>
        <w:rPr/>
      </w:pPr>
      <w:r>
        <w:rPr>
          <w:rFonts w:ascii="IRNazanin" w:hAnsi="IRNazanin" w:eastAsia="IRNazanin"/>
          <w:color w:val="111111"/>
          <w:sz w:val="28"/>
          <w:sz w:val="28"/>
          <w:szCs w:val="28"/>
          <w:rtl w:val="true"/>
          <w:lang w:bidi="fa-IR"/>
        </w:rPr>
        <w:t xml:space="preserve">این اثر را عبدالمنان الراسخ گرد آورده است و دار ابن‌حزم بیروت در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صفحۀ رقعی در سال </w:t>
      </w:r>
      <w:r>
        <w:rPr>
          <w:rFonts w:eastAsia="IRNazanin" w:cs="IRNazanin"/>
          <w:color w:val="111111"/>
          <w:sz w:val="28"/>
          <w:szCs w:val="28"/>
          <w:lang w:bidi="fa-IR"/>
        </w:rPr>
        <w:t>1424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w:t>
      </w:r>
      <w:r>
        <w:rPr>
          <w:rFonts w:eastAsia="IRNazanin" w:cs="IRNazanin"/>
          <w:color w:val="111111"/>
          <w:sz w:val="28"/>
          <w:szCs w:val="28"/>
          <w:rtl w:val="true"/>
          <w:lang w:bidi="fa-IR"/>
        </w:rPr>
        <w:t>(</w:t>
      </w:r>
      <w:r>
        <w:rPr>
          <w:rFonts w:eastAsia="IRNazanin" w:cs="IRNazanin"/>
          <w:color w:val="111111"/>
          <w:sz w:val="28"/>
          <w:szCs w:val="28"/>
          <w:lang w:bidi="fa-IR"/>
        </w:rPr>
        <w:t>2003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مجموع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واژه را به‌اختصار توضیح داده است</w:t>
      </w:r>
      <w:r>
        <w:rPr>
          <w:rFonts w:eastAsia="IRNazanin" w:cs="IRNazanin"/>
          <w:color w:val="111111"/>
          <w:sz w:val="28"/>
          <w:szCs w:val="28"/>
          <w:rtl w:val="true"/>
          <w:lang w:bidi="fa-IR"/>
        </w:rPr>
        <w:t>.</w:t>
      </w:r>
    </w:p>
    <w:p>
      <w:pPr>
        <w:pStyle w:val="Heading3"/>
        <w:numPr>
          <w:ilvl w:val="2"/>
          <w:numId w:val="1"/>
        </w:numPr>
        <w:rPr/>
      </w:pPr>
      <w:bookmarkStart w:id="392" w:name="__RefHeading___Toc39890_1878427129"/>
      <w:bookmarkStart w:id="393" w:name="_Toc147"/>
      <w:bookmarkEnd w:id="392"/>
      <w:r>
        <w:rPr>
          <w:rtl w:val="true"/>
        </w:rPr>
        <w:t>معجم مصطلح الاصول</w:t>
      </w:r>
      <w:bookmarkEnd w:id="393"/>
    </w:p>
    <w:p>
      <w:pPr>
        <w:pStyle w:val="BookText"/>
        <w:rPr/>
      </w:pPr>
      <w:r>
        <w:rPr>
          <w:rFonts w:ascii="IRNazanin" w:hAnsi="IRNazanin" w:eastAsia="IRNazanin"/>
          <w:color w:val="111111"/>
          <w:sz w:val="28"/>
          <w:sz w:val="28"/>
          <w:szCs w:val="28"/>
          <w:rtl w:val="true"/>
          <w:lang w:bidi="fa-IR"/>
        </w:rPr>
        <w:t>این کتاب تألیف هیثم هلال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ویرایش اول آن را دارالجبل در بیروت در </w:t>
      </w:r>
      <w:r>
        <w:rPr>
          <w:rFonts w:eastAsia="IRNazanin" w:cs="IRNazanin"/>
          <w:color w:val="111111"/>
          <w:sz w:val="28"/>
          <w:szCs w:val="28"/>
          <w:lang w:bidi="fa-IR"/>
        </w:rPr>
        <w:t>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صفحۀ وزیری در سال </w:t>
      </w:r>
      <w:r>
        <w:rPr>
          <w:rFonts w:eastAsia="IRNazanin" w:cs="IRNazanin"/>
          <w:color w:val="111111"/>
          <w:sz w:val="28"/>
          <w:szCs w:val="28"/>
          <w:lang w:bidi="fa-IR"/>
        </w:rPr>
        <w:t>1424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w:t>
      </w:r>
      <w:r>
        <w:rPr>
          <w:rFonts w:eastAsia="IRNazanin" w:cs="IRNazanin"/>
          <w:color w:val="111111"/>
          <w:sz w:val="28"/>
          <w:szCs w:val="28"/>
          <w:rtl w:val="true"/>
          <w:lang w:bidi="fa-IR"/>
        </w:rPr>
        <w:t>(</w:t>
      </w:r>
      <w:r>
        <w:rPr>
          <w:rFonts w:eastAsia="IRNazanin" w:cs="IRNazanin"/>
          <w:color w:val="111111"/>
          <w:sz w:val="28"/>
          <w:szCs w:val="28"/>
          <w:lang w:bidi="fa-IR"/>
        </w:rPr>
        <w:t>2003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چاپ رسانده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کتاب عربی است و اصطلاحات غیر اصولی فراوان دارد و در بسیاری موارد به معنای لغوی اکتفا کرده است و بیشتر به فرهنگ لغت تخصصی شبیه است تا به فرهنگ‌نامه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اصطلاحات دارد و حدود </w:t>
      </w:r>
      <w:r>
        <w:rPr>
          <w:rFonts w:eastAsia="IRNazanin" w:cs="IRNazanin"/>
          <w:color w:val="111111"/>
          <w:sz w:val="28"/>
          <w:szCs w:val="28"/>
          <w:lang w:bidi="fa-IR"/>
        </w:rPr>
        <w:t>1845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را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ارجاع دارد و در پایان، فهرست منابع و فهرست آیات قرآن را ذکر کرده است</w:t>
      </w:r>
      <w:r>
        <w:rPr>
          <w:rFonts w:eastAsia="IRNazanin" w:cs="IRNazanin"/>
          <w:color w:val="111111"/>
          <w:sz w:val="28"/>
          <w:szCs w:val="28"/>
          <w:rtl w:val="true"/>
          <w:lang w:bidi="fa-IR"/>
        </w:rPr>
        <w:t>.</w:t>
      </w:r>
    </w:p>
    <w:p>
      <w:pPr>
        <w:pStyle w:val="Heading3"/>
        <w:numPr>
          <w:ilvl w:val="2"/>
          <w:numId w:val="1"/>
        </w:numPr>
        <w:rPr/>
      </w:pPr>
      <w:bookmarkStart w:id="394" w:name="__RefHeading___Toc39892_1878427129"/>
      <w:bookmarkStart w:id="395" w:name="_Toc148"/>
      <w:bookmarkEnd w:id="394"/>
      <w:r>
        <w:rPr>
          <w:rtl w:val="true"/>
        </w:rPr>
        <w:t>التعریفات الفقهیه، معجم شرح الالفاظ المصطلح علیها بین الفقهاء و الاصولیین</w:t>
      </w:r>
      <w:bookmarkEnd w:id="395"/>
    </w:p>
    <w:p>
      <w:pPr>
        <w:pStyle w:val="BookText"/>
        <w:rPr/>
      </w:pPr>
      <w:r>
        <w:rPr>
          <w:rFonts w:ascii="IRNazanin" w:hAnsi="IRNazanin" w:eastAsia="IRNazanin"/>
          <w:color w:val="111111"/>
          <w:sz w:val="28"/>
          <w:sz w:val="28"/>
          <w:szCs w:val="28"/>
          <w:rtl w:val="true"/>
          <w:lang w:bidi="fa-IR"/>
        </w:rPr>
        <w:t xml:space="preserve">این اثر را محمد عمیم الاحسان المجددی البرکتی نوشته است و دارالکتب العلمیه، در بیروت در </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صفحۀ وزیری به سال </w:t>
      </w:r>
      <w:r>
        <w:rPr>
          <w:rFonts w:eastAsia="IRNazanin" w:cs="IRNazanin"/>
          <w:color w:val="111111"/>
          <w:sz w:val="28"/>
          <w:szCs w:val="28"/>
          <w:lang w:bidi="fa-IR"/>
        </w:rPr>
        <w:t>1424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w:t>
      </w:r>
      <w:r>
        <w:rPr>
          <w:rFonts w:eastAsia="IRNazanin" w:cs="IRNazanin"/>
          <w:color w:val="111111"/>
          <w:sz w:val="28"/>
          <w:szCs w:val="28"/>
          <w:rtl w:val="true"/>
          <w:lang w:bidi="fa-IR"/>
        </w:rPr>
        <w:t>(</w:t>
      </w:r>
      <w:r>
        <w:rPr>
          <w:rFonts w:eastAsia="IRNazanin" w:cs="IRNazanin"/>
          <w:color w:val="111111"/>
          <w:sz w:val="28"/>
          <w:szCs w:val="28"/>
          <w:lang w:bidi="fa-IR"/>
        </w:rPr>
        <w:t>2003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چاپ رسانده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مختصری است از واژگان رایج میان فقها و اصولیان و فقط اصطلاحات اصولی نیست</w:t>
      </w:r>
      <w:r>
        <w:rPr>
          <w:rFonts w:eastAsia="IRNazanin" w:cs="IRNazanin"/>
          <w:color w:val="111111"/>
          <w:sz w:val="28"/>
          <w:szCs w:val="28"/>
          <w:rtl w:val="true"/>
          <w:lang w:bidi="fa-IR"/>
        </w:rPr>
        <w:t>.</w:t>
      </w:r>
    </w:p>
    <w:p>
      <w:pPr>
        <w:pStyle w:val="Heading3"/>
        <w:numPr>
          <w:ilvl w:val="2"/>
          <w:numId w:val="1"/>
        </w:numPr>
        <w:rPr/>
      </w:pPr>
      <w:bookmarkStart w:id="396" w:name="__RefHeading___Toc39894_1878427129"/>
      <w:bookmarkStart w:id="397" w:name="_Toc149"/>
      <w:bookmarkEnd w:id="396"/>
      <w:r>
        <w:rPr>
          <w:rtl w:val="true"/>
        </w:rPr>
        <w:t>مصطلحات الفقهاء و الاصولیین</w:t>
      </w:r>
      <w:bookmarkEnd w:id="397"/>
    </w:p>
    <w:p>
      <w:pPr>
        <w:pStyle w:val="BookText"/>
        <w:rPr/>
      </w:pPr>
      <w:r>
        <w:rPr>
          <w:rFonts w:ascii="IRNazanin" w:hAnsi="IRNazanin" w:eastAsia="IRNazanin"/>
          <w:color w:val="111111"/>
          <w:sz w:val="28"/>
          <w:sz w:val="28"/>
          <w:szCs w:val="28"/>
          <w:rtl w:val="true"/>
          <w:lang w:bidi="fa-IR"/>
        </w:rPr>
        <w:t xml:space="preserve">این کتاب را محمد ابراهیم الحفناوی نوشته است و چاپ دوم آن را دارالسلام للطباعة و النشر و التوزیع و الترجمه در مصر، در </w:t>
      </w:r>
      <w:r>
        <w:rPr>
          <w:rFonts w:eastAsia="IRNazanin" w:cs="IRNazanin"/>
          <w:color w:val="111111"/>
          <w:sz w:val="28"/>
          <w:szCs w:val="28"/>
          <w:lang w:bidi="fa-IR"/>
        </w:rPr>
        <w:t>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صفحۀ وزیری در سال </w:t>
      </w:r>
      <w:r>
        <w:rPr>
          <w:rFonts w:eastAsia="IRNazanin" w:cs="IRNazanin"/>
          <w:color w:val="111111"/>
          <w:sz w:val="28"/>
          <w:szCs w:val="28"/>
          <w:lang w:bidi="fa-IR"/>
        </w:rPr>
        <w:t>1428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w:t>
      </w:r>
      <w:r>
        <w:rPr>
          <w:rFonts w:eastAsia="IRNazanin" w:cs="IRNazanin"/>
          <w:color w:val="111111"/>
          <w:sz w:val="28"/>
          <w:szCs w:val="28"/>
          <w:rtl w:val="true"/>
          <w:lang w:bidi="fa-IR"/>
        </w:rPr>
        <w:t>(</w:t>
      </w:r>
      <w:r>
        <w:rPr>
          <w:rFonts w:eastAsia="IRNazanin" w:cs="IRNazanin"/>
          <w:color w:val="111111"/>
          <w:sz w:val="28"/>
          <w:szCs w:val="28"/>
          <w:lang w:bidi="fa-IR"/>
        </w:rPr>
        <w:t>2007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چاپ رسانده است</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کتاب عربی است و رموز و اصطلاحات خاصی را که علمای فقه و اصول بر</w:t>
      </w:r>
      <w:bookmarkStart w:id="398" w:name="pg14517_146375"/>
    </w:p>
    <w:p>
      <w:pPr>
        <w:pStyle w:val="BookText"/>
        <w:rPr/>
      </w:pPr>
      <w:bookmarkEnd w:id="398"/>
      <w:r>
        <w:rPr>
          <w:rFonts w:ascii="IRNazanin" w:hAnsi="IRNazanin" w:eastAsia="IRNazanin"/>
          <w:color w:val="111111"/>
          <w:sz w:val="28"/>
          <w:sz w:val="28"/>
          <w:szCs w:val="28"/>
          <w:rtl w:val="true"/>
          <w:lang w:bidi="fa-IR"/>
        </w:rPr>
        <w:t>مذاهب گوناگون به کار برده‌اند شرح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از چهار مذهب معروف اهل سنت، مصطلحات فقها و اصولیان زیدیه، امامیه، اباضیه و ظاهریه را نیز متذکر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شبیه کتاب است تا فرهنگ‌نامه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نظم الفبایی و ارجاع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پانوشت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منابع ندارد، ولی به تناسب هر مذهب، برخی کتاب‌های مهم را در فصل مربوط، در متن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اصطلاحات فقها و اصولیان است، نه اصطلاحات فقه و 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امامیه در چهار صفحه مطالبی ذکر کرده است که پس از تعریف امامیه، فقه شیعه را نزدیک به فقه شافعی دانسته و مهم‌ترین موارد اختلاف را در شش مورد بیان کرده و مهم‌ترین کتب شیعه را پنج عنوان ذکر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برخی مصطلحات خاص کتاب شرایع الاسلام را معنی کرده است؛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اصطلاح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الاشهر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الاشبه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الانسب</w:t>
      </w:r>
      <w:r>
        <w:rPr>
          <w:rFonts w:eastAsia="IRNazanin" w:cs="IRNazanin"/>
          <w:color w:val="111111"/>
          <w:sz w:val="28"/>
          <w:szCs w:val="28"/>
          <w:rtl w:val="true"/>
          <w:lang w:bidi="fa-IR"/>
        </w:rPr>
        <w:t>»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w:t>
      </w:r>
      <w:r>
        <w:rPr>
          <w:rFonts w:eastAsia="IRNazanin" w:cs="IRNazanin"/>
          <w:color w:val="111111"/>
          <w:sz w:val="28"/>
          <w:szCs w:val="28"/>
          <w:rtl w:val="true"/>
          <w:lang w:bidi="fa-IR"/>
        </w:rPr>
        <w:t>).</w:t>
      </w:r>
    </w:p>
    <w:p>
      <w:pPr>
        <w:pStyle w:val="Heading3"/>
        <w:numPr>
          <w:ilvl w:val="2"/>
          <w:numId w:val="1"/>
        </w:numPr>
        <w:rPr/>
      </w:pPr>
      <w:bookmarkStart w:id="399" w:name="__RefHeading___Toc39896_1878427129"/>
      <w:bookmarkStart w:id="400" w:name="_Toc150"/>
      <w:bookmarkEnd w:id="399"/>
      <w:r>
        <w:rPr>
          <w:rtl w:val="true"/>
        </w:rPr>
        <w:t>مبادی و اصطلاحات اصول فقه</w:t>
      </w:r>
      <w:bookmarkEnd w:id="400"/>
    </w:p>
    <w:p>
      <w:pPr>
        <w:pStyle w:val="BookText"/>
        <w:rPr/>
      </w:pPr>
      <w:r>
        <w:rPr>
          <w:rFonts w:ascii="IRNazanin" w:hAnsi="IRNazanin" w:eastAsia="IRNazanin"/>
          <w:color w:val="111111"/>
          <w:sz w:val="28"/>
          <w:sz w:val="28"/>
          <w:szCs w:val="28"/>
          <w:rtl w:val="true"/>
          <w:lang w:bidi="fa-IR"/>
        </w:rPr>
        <w:t xml:space="preserve">این کتاب نوشتۀ جلال جلالی‌زاده است که ویرایش اول آن در سال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شمسی در </w:t>
      </w:r>
      <w:r>
        <w:rPr>
          <w:rFonts w:eastAsia="IRNazanin" w:cs="IRNazanin"/>
          <w:color w:val="111111"/>
          <w:sz w:val="28"/>
          <w:szCs w:val="28"/>
          <w:lang w:bidi="fa-IR"/>
        </w:rPr>
        <w:t>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صفحۀ وزیری کوچک، از سوی نشر احسان در تهران منتشر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اثر پس از مقدمۀ سی صفحه‌ای، اصطلاحات اصول فقه را عمدتاً از منظر اهل سنت گرد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نویسنده روی جلد،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ویژۀ اهل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آورده و اصطلاحات خاص آنان را نیز شرح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اصطلاحات کتاب به ترتیب الفبا و به زبان فارسی است و فقط به توضیح کوتاه اصطلاحات اکتفا کرده و از نقل قول و دیدگاه‌های افراد پرهیز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ارجاعات و فهرست اصطلاحات و پانوشت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پایان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را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w:t>
      </w:r>
    </w:p>
    <w:p>
      <w:pPr>
        <w:pStyle w:val="Heading3"/>
        <w:numPr>
          <w:ilvl w:val="2"/>
          <w:numId w:val="1"/>
        </w:numPr>
        <w:rPr/>
      </w:pPr>
      <w:bookmarkStart w:id="401" w:name="__RefHeading___Toc39898_1878427129"/>
      <w:bookmarkStart w:id="402" w:name="_Toc151"/>
      <w:bookmarkEnd w:id="401"/>
      <w:r>
        <w:rPr>
          <w:rtl w:val="true"/>
        </w:rPr>
        <w:t>المعجم التطبیقی للقواعد الاصولیة فی فقه الامامیة</w:t>
      </w:r>
      <w:bookmarkEnd w:id="402"/>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کتاب را محمدحسن ربانی بیرجندی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متولد </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اول از جلد اول آن را بوستان کتاب قم در </w:t>
      </w:r>
      <w:r>
        <w:rPr>
          <w:rFonts w:eastAsia="IRNazanin" w:cs="IRNazanin"/>
          <w:color w:val="111111"/>
          <w:sz w:val="28"/>
          <w:szCs w:val="28"/>
          <w:lang w:bidi="fa-IR"/>
        </w:rPr>
        <w:t>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صفحۀ وزیری در سال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مدیریت علمی این اثر را دفتر تبلیغات اسلامی شعبۀ خراسان عهده‌دار بوده است</w:t>
      </w:r>
      <w:r>
        <w:rPr>
          <w:rFonts w:eastAsia="IRNazanin" w:cs="IRNazanin"/>
          <w:color w:val="111111"/>
          <w:sz w:val="28"/>
          <w:szCs w:val="28"/>
          <w:rtl w:val="true"/>
          <w:lang w:bidi="fa-IR"/>
        </w:rPr>
        <w:t>.</w:t>
      </w:r>
      <w:bookmarkStart w:id="403" w:name="pg14517_146376"/>
    </w:p>
    <w:p>
      <w:pPr>
        <w:pStyle w:val="BookText"/>
        <w:rPr/>
      </w:pPr>
      <w:bookmarkEnd w:id="403"/>
      <w:r>
        <w:rPr>
          <w:rFonts w:ascii="IRNazanin" w:hAnsi="IRNazanin" w:eastAsia="IRNazanin"/>
          <w:color w:val="111111"/>
          <w:sz w:val="28"/>
          <w:sz w:val="28"/>
          <w:szCs w:val="28"/>
          <w:rtl w:val="true"/>
          <w:lang w:bidi="fa-IR"/>
        </w:rPr>
        <w:t>این اثر در صدد است قواعد اصولی را در کتب فقهی شیعه به صورت تطبیقی ارائه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جلد اول آن موضوعات فقهی هجده کتاب معتبر و معروف فقه شیعه را استخراج کرده و قاعدۀ اصولی مربوط به هر موضوع را مشخص کرده است؛ اما به شرح اصطلاحات اصولی نپرداخته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دوم آن تاکنون منتشر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اثر با اینکه فرهنگ‌نامه تلقی نمی‌شد، از جهت تشابه نام، آن را معرفی کردیم</w:t>
      </w:r>
      <w:r>
        <w:rPr>
          <w:rFonts w:eastAsia="IRNazanin" w:cs="IRNazanin"/>
          <w:color w:val="111111"/>
          <w:sz w:val="28"/>
          <w:szCs w:val="28"/>
          <w:rtl w:val="true"/>
          <w:lang w:bidi="fa-IR"/>
        </w:rPr>
        <w:t>.</w:t>
      </w:r>
    </w:p>
    <w:p>
      <w:pPr>
        <w:pStyle w:val="Heading3"/>
        <w:numPr>
          <w:ilvl w:val="2"/>
          <w:numId w:val="1"/>
        </w:numPr>
        <w:rPr/>
      </w:pPr>
      <w:bookmarkStart w:id="404" w:name="__RefHeading___Toc39900_1878427129"/>
      <w:bookmarkStart w:id="405" w:name="_Toc152"/>
      <w:bookmarkEnd w:id="404"/>
      <w:r>
        <w:rPr>
          <w:rtl w:val="true"/>
        </w:rPr>
        <w:t>فرهنگ نامۀ اصول فقه</w:t>
      </w:r>
      <w:bookmarkEnd w:id="405"/>
    </w:p>
    <w:p>
      <w:pPr>
        <w:pStyle w:val="BookText"/>
        <w:rPr/>
      </w:pPr>
      <w:r>
        <w:rPr>
          <w:rFonts w:ascii="IRNazanin" w:hAnsi="IRNazanin" w:eastAsia="IRNazanin"/>
          <w:color w:val="111111"/>
          <w:sz w:val="28"/>
          <w:sz w:val="28"/>
          <w:szCs w:val="28"/>
          <w:rtl w:val="true"/>
          <w:lang w:bidi="fa-IR"/>
        </w:rPr>
        <w:t xml:space="preserve">این اثر را جمعی از محققان مرکز اطلاعات و مدارک اسلامی تدوین کرده‌اند و انتشارات پژوهشگاه علوم و فرهنگ اسلامی در </w:t>
      </w:r>
      <w:r>
        <w:rPr>
          <w:rFonts w:eastAsia="IRNazanin" w:cs="IRNazanin"/>
          <w:color w:val="111111"/>
          <w:sz w:val="28"/>
          <w:szCs w:val="28"/>
          <w:lang w:bidi="fa-IR"/>
        </w:rPr>
        <w:t>920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صفحۀ رحلی بزرگ در یک جلد به سال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 چاپ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کتاب آگاهی‌های پایه و گزیده از دانش اصول فقه با توجه به صحت علمی، در قالب مقاله‌های کوتاه و فشرده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طبقه‌بندی ردۀ شناختی، چون همۀ موضوعات اصول فقه </w:t>
      </w:r>
      <w:r>
        <w:rPr>
          <w:rFonts w:eastAsia="IRNazanin" w:cs="IRNazanin"/>
          <w:color w:val="111111"/>
          <w:sz w:val="28"/>
          <w:szCs w:val="28"/>
          <w:rtl w:val="true"/>
          <w:lang w:bidi="fa-IR"/>
        </w:rPr>
        <w:t>(</w:t>
      </w:r>
      <w:r>
        <w:rPr>
          <w:rFonts w:eastAsia="IRNazanin" w:cs="IRNazanin"/>
          <w:color w:val="111111"/>
          <w:sz w:val="28"/>
          <w:szCs w:val="28"/>
          <w:lang w:bidi="fa-IR"/>
        </w:rPr>
        <w:t>6000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اصطلاح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پوشش داده است، جامع‌ترین فرهنگ اصولی شناخته می‌شود</w:t>
      </w:r>
      <w:r>
        <w:rPr>
          <w:rFonts w:eastAsia="IRNazanin" w:cs="IRNazanin"/>
          <w:color w:val="111111"/>
          <w:sz w:val="28"/>
          <w:szCs w:val="28"/>
          <w:rtl w:val="true"/>
          <w:lang w:bidi="fa-IR"/>
        </w:rPr>
        <w:t>.</w:t>
      </w:r>
    </w:p>
    <w:p>
      <w:pPr>
        <w:pStyle w:val="Heading3"/>
        <w:numPr>
          <w:ilvl w:val="2"/>
          <w:numId w:val="1"/>
        </w:numPr>
        <w:rPr/>
      </w:pPr>
      <w:bookmarkStart w:id="406" w:name="__RefHeading___Toc39902_1878427129"/>
      <w:bookmarkStart w:id="407" w:name="_Toc153"/>
      <w:bookmarkEnd w:id="406"/>
      <w:r>
        <w:rPr>
          <w:rtl w:val="true"/>
        </w:rPr>
        <w:t>اصول فقه عمومی و قواعد آن، همراه با فرهنگ اصطلاحات اصول فقه</w:t>
      </w:r>
      <w:bookmarkEnd w:id="407"/>
    </w:p>
    <w:p>
      <w:pPr>
        <w:pStyle w:val="BookText"/>
        <w:rPr/>
      </w:pPr>
      <w:r>
        <w:rPr>
          <w:rFonts w:ascii="IRNazanin" w:hAnsi="IRNazanin" w:eastAsia="IRNazanin"/>
          <w:color w:val="111111"/>
          <w:sz w:val="28"/>
          <w:sz w:val="28"/>
          <w:szCs w:val="28"/>
          <w:rtl w:val="true"/>
          <w:lang w:bidi="fa-IR"/>
        </w:rPr>
        <w:t xml:space="preserve">این کتاب را حمید فرجی تألیف کرده است و ویرایش اول آن را انتشارات بهنامی تهران در </w:t>
      </w:r>
      <w:r>
        <w:rPr>
          <w:rFonts w:eastAsia="IRNazanin" w:cs="IRNazanin"/>
          <w:color w:val="111111"/>
          <w:sz w:val="28"/>
          <w:szCs w:val="28"/>
          <w:lang w:bidi="fa-IR"/>
        </w:rPr>
        <w:t>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در سال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چاپ رسانده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کتاب </w:t>
      </w:r>
      <w:r>
        <w:rPr>
          <w:rFonts w:eastAsia="IRNazanin" w:cs="IRNazanin"/>
          <w:color w:val="111111"/>
          <w:sz w:val="28"/>
          <w:szCs w:val="28"/>
          <w:lang w:bidi="fa-IR"/>
        </w:rPr>
        <w:t>2043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اصطلاح اصولی آمده است</w:t>
      </w:r>
      <w:r>
        <w:rPr>
          <w:rFonts w:eastAsia="IRNazanin" w:cs="IRNazanin"/>
          <w:color w:val="111111"/>
          <w:sz w:val="28"/>
          <w:szCs w:val="28"/>
          <w:rtl w:val="true"/>
          <w:lang w:bidi="fa-IR"/>
        </w:rPr>
        <w:t>.</w:t>
      </w:r>
    </w:p>
    <w:p>
      <w:pPr>
        <w:pStyle w:val="Heading3"/>
        <w:numPr>
          <w:ilvl w:val="2"/>
          <w:numId w:val="1"/>
        </w:numPr>
        <w:rPr/>
      </w:pPr>
      <w:bookmarkStart w:id="408" w:name="__RefHeading___Toc39904_1878427129"/>
      <w:bookmarkStart w:id="409" w:name="_Toc154"/>
      <w:bookmarkEnd w:id="408"/>
      <w:r>
        <w:rPr>
          <w:rtl w:val="true"/>
        </w:rPr>
        <w:t>اصطلاحات الاصول</w:t>
      </w:r>
      <w:bookmarkEnd w:id="409"/>
    </w:p>
    <w:p>
      <w:pPr>
        <w:pStyle w:val="BookText"/>
        <w:rPr/>
      </w:pPr>
      <w:r>
        <w:rPr>
          <w:rFonts w:ascii="IRNazanin" w:hAnsi="IRNazanin" w:eastAsia="IRNazanin"/>
          <w:color w:val="111111"/>
          <w:sz w:val="28"/>
          <w:sz w:val="28"/>
          <w:szCs w:val="28"/>
          <w:rtl w:val="true"/>
          <w:lang w:bidi="fa-IR"/>
        </w:rPr>
        <w:t xml:space="preserve">این اثر نگاشتۀ آیت‌اللّه مشکینی قدس سره </w:t>
      </w:r>
      <w:r>
        <w:rPr>
          <w:rFonts w:eastAsia="IRNazanin" w:cs="IRNazanin"/>
          <w:color w:val="111111"/>
          <w:sz w:val="28"/>
          <w:szCs w:val="28"/>
          <w:rtl w:val="true"/>
          <w:lang w:bidi="fa-IR"/>
        </w:rPr>
        <w:t>(</w:t>
      </w:r>
      <w:r>
        <w:rPr>
          <w:rFonts w:eastAsia="IRNazanin" w:cs="IRNazanin"/>
          <w:color w:val="111111"/>
          <w:sz w:val="28"/>
          <w:szCs w:val="28"/>
          <w:lang w:bidi="fa-IR"/>
        </w:rPr>
        <w:t>1300</w:t>
      </w:r>
      <w:r>
        <w:rPr>
          <w:rFonts w:eastAsia="IRNazanin" w:cs="IRNazanin"/>
          <w:color w:val="111111"/>
          <w:sz w:val="28"/>
          <w:szCs w:val="28"/>
          <w:rtl w:val="true"/>
          <w:lang w:bidi="fa-IR"/>
        </w:rPr>
        <w:t>-</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تلاشی است برای شرح مصطلحات اصولی و مهم‌ترین موضوعات مطرح در این علم به زبان عربی، با بیانی ساده، کوتاه، دقیق، علمی و به گونه‌ای که برای هر صنف از مخاطبانِ آشنا به زبان عربی مفید است</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طبق نسخۀ موجود در کتابخانۀ آستانۀ حضرت معصومه علیها السلام و کتابخانۀ ملی، اصطلاحات الاصول در سال </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 توسط انتشارات حکمت قم برای اولین</w:t>
      </w:r>
      <w:bookmarkStart w:id="410" w:name="pg14517_146377"/>
    </w:p>
    <w:p>
      <w:pPr>
        <w:pStyle w:val="BookText"/>
        <w:rPr/>
      </w:pPr>
      <w:bookmarkEnd w:id="410"/>
      <w:r>
        <w:rPr>
          <w:rFonts w:ascii="IRNazanin" w:hAnsi="IRNazanin" w:eastAsia="IRNazanin"/>
          <w:color w:val="111111"/>
          <w:sz w:val="28"/>
          <w:sz w:val="28"/>
          <w:szCs w:val="28"/>
          <w:rtl w:val="true"/>
          <w:lang w:bidi="fa-IR"/>
        </w:rPr>
        <w:t>بار در قطع وزیری، و در همان سال مجدداً توسط همان انتشارات به چاپ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نشر یاسر قم چاپ دوم آن را نیز بدون ذکر تاریخ انجام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چاپ چهارم آن را نشر الهادی قم در سال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انجام داده و گویا ادامۀ چاپ این اثر را بر عهده گرفته و چاپ دهم آن را در سال </w:t>
      </w:r>
      <w:r>
        <w:rPr>
          <w:rFonts w:eastAsia="IRNazanin" w:cs="IRNazanin"/>
          <w:color w:val="111111"/>
          <w:sz w:val="28"/>
          <w:szCs w:val="28"/>
          <w:lang w:bidi="fa-IR"/>
        </w:rPr>
        <w:t>1428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w:t>
      </w:r>
      <w:r>
        <w:rPr>
          <w:rFonts w:eastAsia="IRNazanin" w:cs="IRNazanin"/>
          <w:color w:val="111111"/>
          <w:sz w:val="28"/>
          <w:szCs w:val="28"/>
          <w:rtl w:val="true"/>
          <w:lang w:bidi="fa-IR"/>
        </w:rPr>
        <w:t>(</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و </w:t>
      </w:r>
      <w:r>
        <w:rPr>
          <w:rFonts w:eastAsia="IRNazanin" w:cs="IRNazanin"/>
          <w:color w:val="111111"/>
          <w:sz w:val="28"/>
          <w:szCs w:val="28"/>
          <w:lang w:bidi="fa-IR"/>
        </w:rPr>
        <w:t>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انجام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کتاب در طبقه‌بندی رده‌شناختی، از نظر گستره مختصر است، نه مفصل؛ چون در یک مجلد با حجم سیصد صفحه تنظیم شده است و از نظر پوشش موضوعی، همۀ موضوعات دانش اصول فقه را نیز دربر نگرفته است و از نظر سطح، ویژۀ بزرگسالان، و از نظر شمول تخصصی است و اصطلاحات و موضوعات آن به دانش اصول فقه اختصاص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سرفصل‌ها یا مدخل‌های کتاب اصطلاحات الاصول به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می‌رسد که به شیوۀ الفبایی ردیف شده و در ضمن بحث از اصطلاحات کلی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پاره‌ای اصطلاحات جزئی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پرداخته است؛ برای مثال، در مدخل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تشریح آن، اقسام امر را آورده است از قبیل امر مولوی، امر ارشادی، امر تعبدی، امر توصلی، و برای هریک به‌اختصار شناسه‌ای ذکر کرده است، ولی آن‌ها را مدخل قرار نداده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اثر افزون از چهارصد </w:t>
      </w:r>
      <w:r>
        <w:rPr>
          <w:rFonts w:eastAsia="IRNazanin" w:cs="IRNazanin"/>
          <w:color w:val="111111"/>
          <w:sz w:val="28"/>
          <w:szCs w:val="28"/>
          <w:rtl w:val="true"/>
          <w:lang w:bidi="fa-IR"/>
        </w:rPr>
        <w:t>(</w:t>
      </w:r>
      <w:r>
        <w:rPr>
          <w:rFonts w:eastAsia="IRNazanin" w:cs="IRNazanin"/>
          <w:color w:val="111111"/>
          <w:sz w:val="28"/>
          <w:szCs w:val="28"/>
          <w:lang w:bidi="fa-IR"/>
        </w:rPr>
        <w:t>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اصطلاح مطرح شده‌اند که عموماً شامل اصطلاحات مهم و متداول اصول فقه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تلاش مؤلف در توضیح عناوین با حسن تعبیر و پرهیز از اضافات و در مواردی ذکر مثال برای مراجعه‌کننده، بسیار کارساز است</w:t>
      </w:r>
      <w:r>
        <w:rPr>
          <w:rFonts w:eastAsia="IRNazanin" w:cs="IRNazanin"/>
          <w:color w:val="111111"/>
          <w:sz w:val="28"/>
          <w:szCs w:val="28"/>
          <w:rtl w:val="true"/>
          <w:lang w:bidi="fa-IR"/>
        </w:rPr>
        <w:t>.</w:t>
      </w:r>
    </w:p>
    <w:p>
      <w:pPr>
        <w:pStyle w:val="Heading3"/>
        <w:numPr>
          <w:ilvl w:val="2"/>
          <w:numId w:val="1"/>
        </w:numPr>
        <w:rPr/>
      </w:pPr>
      <w:bookmarkStart w:id="411" w:name="__RefHeading___Toc39906_1878427129"/>
      <w:bookmarkStart w:id="412" w:name="_Toc155"/>
      <w:bookmarkEnd w:id="411"/>
      <w:r>
        <w:rPr>
          <w:rtl w:val="true"/>
        </w:rPr>
        <w:t>ویژگی ها</w:t>
      </w:r>
      <w:bookmarkEnd w:id="412"/>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اصطلاحات الاصول، اولین اثر در شرح مصطلحات اصولی است که در سال </w:t>
      </w:r>
      <w:r>
        <w:rPr>
          <w:rFonts w:eastAsia="IRNazanin" w:cs="IRNazanin"/>
          <w:color w:val="111111"/>
          <w:sz w:val="28"/>
          <w:szCs w:val="28"/>
          <w:lang w:bidi="fa-IR"/>
        </w:rPr>
        <w:t>1338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شمسی، نخستین بار به چاپ رسید و چاپ دهم آن در سال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شمسی </w:t>
      </w:r>
      <w:r>
        <w:rPr>
          <w:rFonts w:eastAsia="IRNazanin" w:cs="IRNazanin"/>
          <w:color w:val="111111"/>
          <w:sz w:val="28"/>
          <w:szCs w:val="28"/>
          <w:rtl w:val="true"/>
          <w:lang w:bidi="fa-IR"/>
        </w:rPr>
        <w:t>(</w:t>
      </w:r>
      <w:r>
        <w:rPr>
          <w:rFonts w:eastAsia="IRNazanin" w:cs="IRNazanin"/>
          <w:color w:val="111111"/>
          <w:sz w:val="28"/>
          <w:szCs w:val="28"/>
          <w:lang w:bidi="fa-IR"/>
        </w:rPr>
        <w:t>1428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 مؤسسۀ نشر الهادی صورت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ویژگی‌های این اثر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دربردارندۀ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و حدود </w:t>
      </w:r>
      <w:r>
        <w:rPr>
          <w:rFonts w:eastAsia="IRNazanin" w:cs="IRNazanin"/>
          <w:color w:val="111111"/>
          <w:sz w:val="28"/>
          <w:szCs w:val="28"/>
          <w:lang w:bidi="fa-IR"/>
        </w:rPr>
        <w:t>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اصطلاح معروف اصولی؛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روانی بیان، کوتاه‌گویی، پرهیز از تفصیل مخل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استفاده از مثال‌های ذهن‌آشنا؛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اشاره به برخی اقوال به تناسب نیاز اصطلاح به توضیح بیشتر؛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برخورداری از گونه‌ای آسان‌یابی سریع اطلاعات، که یکی از ویژگی‌های مهم و مورد توجه در ارزیابی منابع مرجع پیشرفته به شمار می‌آید؛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رعایت ترتیب الفبایی؛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رسیدگی به معنای اصطلاحی و پرهیز از بحث‌های لغوی کم‌اثر، به‌جز موارد اندکی</w:t>
      </w:r>
      <w:r>
        <w:rPr>
          <w:rStyle w:val="FootnoteAnchor"/>
          <w:rtl w:val="true"/>
        </w:rPr>
        <w:footnoteReference w:id="37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اصطلاحات الاصول و معظم ابحاثها، مقدمه، ص </w:t>
      </w:r>
      <w:r>
        <w:rPr>
          <w:rFonts w:eastAsia="IRNazanin" w:cs="IRNazanin"/>
          <w:color w:val="111111"/>
          <w:sz w:val="28"/>
          <w:szCs w:val="28"/>
          <w:lang w:bidi="fa-IR"/>
        </w:rPr>
        <w:t>30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که شرح اصطلاح به آن وابسته بوده است؛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اجزاء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آن، دیدگاه مؤلف است که در آغاز مقدمه چنین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اصولیین الفاظی را در معانی مخصوصه‌ای به‌کار برده‌اند که با معنای حقیقی آن‌ها یا مغایر است و یا مباین؛ و این الفاظ بر اثر کثرت استعمال از سوی اصولیان، وضع خاص پیدا کرده و از معنای اولیه به معنای خاص جدید منتقل شده است و در حقیقت در معنای جدید، وضع تخصصی یا تخصیصی یافته است؛ و به دلیل این انتقال معنایی، دریافت مقصود اصولیان در معنای جدید برای محققان و کاربران مشکل شده است؛ و هدف نویسنده رفع همین مشکل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ازاین‌رو مؤلف عمدتاً، از بحث‌های لغوی و غیرضروری پرهیز کرده و مستقیماً به شرح معنای اصطلاح پرداخته است؛</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همان‌طور که از عنوان کتاب پیداست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اصطلاحات الاصول و معظم ابحاثها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مباحث مهم اصولی توجه داشته و با این نگاه، از تطویل اثر کاسته است؛</w:t>
      </w:r>
      <w:bookmarkStart w:id="413" w:name="pg14517_146379"/>
    </w:p>
    <w:p>
      <w:pPr>
        <w:pStyle w:val="BookText"/>
        <w:rPr/>
      </w:pPr>
      <w:bookmarkEnd w:id="413"/>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مشتمل بر </w:t>
      </w:r>
      <w:r>
        <w:rPr>
          <w:rFonts w:eastAsia="IRNazanin" w:cs="IRNazanin"/>
          <w:color w:val="111111"/>
          <w:sz w:val="28"/>
          <w:szCs w:val="28"/>
          <w:lang w:bidi="fa-IR"/>
        </w:rPr>
        <w:t>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با مقدمۀ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صفحه‌ای است که در مقدمه فقط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دربارۀ کتاب و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صفحۀ دیگر در بیان شرافت علم و عالم 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ختم شده 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ارائۀ مطالب در یک مجلد، که دسترسی را آسان‌تر کرده است</w:t>
      </w:r>
      <w:r>
        <w:rPr>
          <w:rFonts w:eastAsia="IRNazanin" w:cs="IRNazanin"/>
          <w:color w:val="111111"/>
          <w:sz w:val="28"/>
          <w:szCs w:val="28"/>
          <w:rtl w:val="true"/>
          <w:lang w:bidi="fa-IR"/>
        </w:rPr>
        <w:t>.</w:t>
      </w:r>
    </w:p>
    <w:p>
      <w:pPr>
        <w:pStyle w:val="Heading3"/>
        <w:numPr>
          <w:ilvl w:val="2"/>
          <w:numId w:val="1"/>
        </w:numPr>
        <w:rPr/>
      </w:pPr>
      <w:bookmarkStart w:id="414" w:name="__RefHeading___Toc39908_1878427129"/>
      <w:bookmarkStart w:id="415" w:name="_Toc156"/>
      <w:bookmarkEnd w:id="414"/>
      <w:r>
        <w:rPr>
          <w:rtl w:val="true"/>
        </w:rPr>
        <w:t>کاستی ها</w:t>
      </w:r>
      <w:bookmarkEnd w:id="415"/>
    </w:p>
    <w:p>
      <w:pPr>
        <w:pStyle w:val="Heading4"/>
        <w:numPr>
          <w:ilvl w:val="3"/>
          <w:numId w:val="1"/>
        </w:numPr>
        <w:rPr/>
      </w:pPr>
      <w:bookmarkStart w:id="416" w:name="__RefHeading___Toc39910_1878427129"/>
      <w:bookmarkStart w:id="417" w:name="_Toc157"/>
      <w:bookmarkEnd w:id="416"/>
      <w:r>
        <w:rPr>
          <w:rtl w:val="true"/>
        </w:rPr>
        <w:t xml:space="preserve">- </w:t>
      </w:r>
      <w:r>
        <w:rPr>
          <w:rtl w:val="true"/>
        </w:rPr>
        <w:t>عدم استناد به منابع</w:t>
      </w:r>
      <w:bookmarkEnd w:id="417"/>
    </w:p>
    <w:p>
      <w:pPr>
        <w:pStyle w:val="BookText"/>
        <w:rPr/>
      </w:pPr>
      <w:r>
        <w:rPr>
          <w:rFonts w:ascii="IRNazanin" w:hAnsi="IRNazanin" w:eastAsia="IRNazanin"/>
          <w:color w:val="111111"/>
          <w:sz w:val="28"/>
          <w:sz w:val="28"/>
          <w:szCs w:val="28"/>
          <w:rtl w:val="true"/>
          <w:lang w:bidi="fa-IR"/>
        </w:rPr>
        <w:t>یکی از مهم‌ترین نشانه‌های اعتبار و علمی بودن هر اثر، به‌خصوص اثر مرجع، ارائۀ مستندات و منابع اطلاعاتِ فراهم‌شده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اثر برای مطالب خود هیچ نوع آدرسی در اختیار قرار نداده است</w:t>
      </w:r>
      <w:r>
        <w:rPr>
          <w:rFonts w:eastAsia="IRNazanin" w:cs="IRNazanin"/>
          <w:color w:val="111111"/>
          <w:sz w:val="28"/>
          <w:szCs w:val="28"/>
          <w:rtl w:val="true"/>
          <w:lang w:bidi="fa-IR"/>
        </w:rPr>
        <w:t>.</w:t>
      </w:r>
    </w:p>
    <w:p>
      <w:pPr>
        <w:pStyle w:val="Heading4"/>
        <w:numPr>
          <w:ilvl w:val="3"/>
          <w:numId w:val="1"/>
        </w:numPr>
        <w:rPr/>
      </w:pPr>
      <w:bookmarkStart w:id="418" w:name="__RefHeading___Toc39912_1878427129"/>
      <w:bookmarkStart w:id="419" w:name="_Toc158"/>
      <w:bookmarkEnd w:id="418"/>
      <w:r>
        <w:rPr>
          <w:rtl w:val="true"/>
        </w:rPr>
        <w:t xml:space="preserve">- </w:t>
      </w:r>
      <w:r>
        <w:rPr>
          <w:rtl w:val="true"/>
        </w:rPr>
        <w:t>عدم پوشش موضوعی کامل</w:t>
      </w:r>
      <w:bookmarkEnd w:id="419"/>
    </w:p>
    <w:p>
      <w:pPr>
        <w:pStyle w:val="BookText"/>
        <w:rPr/>
      </w:pPr>
      <w:r>
        <w:rPr>
          <w:rFonts w:ascii="IRNazanin" w:hAnsi="IRNazanin" w:eastAsia="IRNazanin"/>
          <w:color w:val="111111"/>
          <w:sz w:val="28"/>
          <w:sz w:val="28"/>
          <w:szCs w:val="28"/>
          <w:rtl w:val="true"/>
          <w:lang w:bidi="fa-IR"/>
        </w:rPr>
        <w:t>بخش قابل ملاحظه‌ای از مسائل مهم اصولی، در این اثر مورد غفلت واقع شده است؛ مانند ملازمات عقلی و مدخل‌های مرتبط با آن، مستقلات عقلی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مستقلات عقلی از مباحث فراوان در اطراف ادله، فقط به دلیل عقلی و نقلی اکتفا شده است و مباحثی از قبیل ادلۀ استقرایی، ادلۀ شرعی، ادلۀ لفظی، ادلۀ لبّی، ادلۀ شأنی، و جز آن نیامده است</w:t>
      </w:r>
      <w:r>
        <w:rPr>
          <w:rFonts w:eastAsia="IRNazanin" w:cs="IRNazanin"/>
          <w:color w:val="111111"/>
          <w:sz w:val="28"/>
          <w:szCs w:val="28"/>
          <w:rtl w:val="true"/>
          <w:lang w:bidi="fa-IR"/>
        </w:rPr>
        <w:t>.</w:t>
      </w:r>
    </w:p>
    <w:p>
      <w:pPr>
        <w:pStyle w:val="Heading4"/>
        <w:numPr>
          <w:ilvl w:val="3"/>
          <w:numId w:val="1"/>
        </w:numPr>
        <w:rPr/>
      </w:pPr>
      <w:bookmarkStart w:id="420" w:name="__RefHeading___Toc39914_1878427129"/>
      <w:bookmarkStart w:id="421" w:name="_Toc159"/>
      <w:bookmarkEnd w:id="420"/>
      <w:r>
        <w:rPr>
          <w:rtl w:val="true"/>
        </w:rPr>
        <w:t xml:space="preserve">- </w:t>
      </w:r>
      <w:r>
        <w:rPr>
          <w:rtl w:val="true"/>
        </w:rPr>
        <w:t>ترکیب مدخل‌ها</w:t>
      </w:r>
      <w:bookmarkEnd w:id="421"/>
    </w:p>
    <w:p>
      <w:pPr>
        <w:pStyle w:val="BookText"/>
        <w:rPr/>
      </w:pPr>
      <w:r>
        <w:rPr>
          <w:rFonts w:ascii="IRNazanin" w:hAnsi="IRNazanin" w:eastAsia="IRNazanin"/>
          <w:color w:val="111111"/>
          <w:sz w:val="28"/>
          <w:sz w:val="28"/>
          <w:szCs w:val="28"/>
          <w:rtl w:val="true"/>
          <w:lang w:bidi="fa-IR"/>
        </w:rPr>
        <w:t xml:space="preserve">گاه در عناوین مدخل‌ها از فرم ترکیبی استفاده شده است؛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الناقل و المقرر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الموضوع و قد یقابله المتعلق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المجمل و المبین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الظاهر و المأول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المحکم و المتشابه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النص و الصریح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عمل با آسان‌یابی فرهنگ‌نامه که از عناصر اصلی این نوع آثار به شمار می‌آید منافات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عجیب این است که از اجزای دوم و سوم ترکیب‌های ساختگی، هیچ نوع ارجاعی به عنوان مرکب نداده است</w:t>
      </w:r>
      <w:r>
        <w:rPr>
          <w:rFonts w:eastAsia="IRNazanin" w:cs="IRNazanin"/>
          <w:color w:val="111111"/>
          <w:sz w:val="28"/>
          <w:szCs w:val="28"/>
          <w:rtl w:val="true"/>
          <w:lang w:bidi="fa-IR"/>
        </w:rPr>
        <w:t>.</w:t>
      </w:r>
    </w:p>
    <w:p>
      <w:pPr>
        <w:pStyle w:val="Heading4"/>
        <w:numPr>
          <w:ilvl w:val="3"/>
          <w:numId w:val="1"/>
        </w:numPr>
        <w:rPr/>
      </w:pPr>
      <w:bookmarkStart w:id="422" w:name="__RefHeading___Toc39916_1878427129"/>
      <w:bookmarkStart w:id="423" w:name="_Toc160"/>
      <w:bookmarkEnd w:id="422"/>
      <w:r>
        <w:rPr>
          <w:rtl w:val="true"/>
        </w:rPr>
        <w:t xml:space="preserve">- </w:t>
      </w:r>
      <w:r>
        <w:rPr>
          <w:rtl w:val="true"/>
        </w:rPr>
        <w:t>استفاده نکردن از ارجاع</w:t>
      </w:r>
      <w:bookmarkEnd w:id="423"/>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مهم‌ترین ابزارها برای مراجعه‌کنندگان، ارجاع اصطلاحات، واژگان و</w:t>
      </w:r>
      <w:bookmarkStart w:id="424" w:name="pg14517_146380"/>
    </w:p>
    <w:p>
      <w:pPr>
        <w:pStyle w:val="BookText"/>
        <w:rPr/>
      </w:pPr>
      <w:bookmarkEnd w:id="424"/>
      <w:r>
        <w:rPr>
          <w:rFonts w:ascii="IRNazanin" w:hAnsi="IRNazanin" w:eastAsia="IRNazanin"/>
          <w:color w:val="111111"/>
          <w:sz w:val="28"/>
          <w:sz w:val="28"/>
          <w:szCs w:val="28"/>
          <w:rtl w:val="true"/>
          <w:lang w:bidi="fa-IR"/>
        </w:rPr>
        <w:t>مدخل‌ها به جاهایی است که مؤلف از آن‌ها بحث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اطلاعات خوبی در متن اثر باشد که مراجعه‌کننده از آن آگاه نمی‌شود؛ مثلاً مؤلف از نص و صریح و لفظ محکم و متشابه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مجمل و مبین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کرده است، ولی چون ارجاعی تهیه نکرده، استفاده‌کننده به آن دسترسی پیدا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مؤلف در ذیل 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التعیین العقلیه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اصالة التعیین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بحث کرده است، ولی به دلیل ارجاع ندادن دوسویه، دسترس‌پذیری کاربر را فراهم نکرده است؛ یا بحث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حاضر و مبیح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ذیل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الناقل و المقرر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کرده است، ولی ارجاع آن‌ها را ایجاد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شیوه بخش مهمی از اطلاعات مفید برای استفاده‌کننده را در اختیار نمی‌گذارد و او فکر می‌کند که نویسنده به مباحث نپرداخته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به‌جز فهرست مطالب، هیچ فهرست تکمیلی وجود ندارد؛ مانند فهرست مدخل‌ها، نمایه‌های موضوعی کلی، منابع اصلی و تکمیلی</w:t>
      </w:r>
      <w:r>
        <w:rPr>
          <w:rFonts w:eastAsia="IRNazanin" w:cs="IRNazanin"/>
          <w:color w:val="111111"/>
          <w:sz w:val="28"/>
          <w:szCs w:val="28"/>
          <w:rtl w:val="true"/>
          <w:lang w:bidi="fa-IR"/>
        </w:rPr>
        <w:t>.</w:t>
      </w:r>
    </w:p>
    <w:p>
      <w:pPr>
        <w:pStyle w:val="Heading3"/>
        <w:numPr>
          <w:ilvl w:val="2"/>
          <w:numId w:val="1"/>
        </w:numPr>
        <w:rPr/>
      </w:pPr>
      <w:bookmarkStart w:id="425" w:name="__RefHeading___Toc39918_1878427129"/>
      <w:bookmarkStart w:id="426" w:name="_Toc161"/>
      <w:bookmarkEnd w:id="425"/>
      <w:r>
        <w:rPr>
          <w:rtl w:val="true"/>
        </w:rPr>
        <w:t>پیشنهادها</w:t>
      </w:r>
      <w:bookmarkEnd w:id="426"/>
    </w:p>
    <w:p>
      <w:pPr>
        <w:pStyle w:val="BookText"/>
        <w:rPr/>
      </w:pPr>
      <w:r>
        <w:rPr>
          <w:rFonts w:ascii="IRNazanin" w:hAnsi="IRNazanin" w:eastAsia="IRNazanin"/>
          <w:color w:val="111111"/>
          <w:sz w:val="28"/>
          <w:sz w:val="28"/>
          <w:szCs w:val="28"/>
          <w:rtl w:val="true"/>
          <w:lang w:bidi="fa-IR"/>
        </w:rPr>
        <w:t>با توجه به کاستی‌های پیش‌گفته، موارد ذیل پیشنهاد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تبدیل کار موجود به مجموعه‌ای فرهنگ‌نامه‌ای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عناوینی که گزینش شده است، عمدتاً مدخل به شمار نمی‌آیند، بلکه عناوینی بلند و جملاتی ترکیبی هستند که اصل کار را زیر سؤال برده‌اند و ممکن است با دقت‌نظر، این نوع تنظیم عنوانی را فرهنگ‌نامه یا شرح اصطلاحات ندانیم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عنوان‌گذاری درست مدخل‌های کتاب به صورت استاندارد و مطابق با شیوه‌های فرهنگ‌نامه‌ای ضروری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بازآرایی و ویرایش جدید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با گذشت بیش از چهل سال از تدوین این اثر گران‌سنگ، هیچ نوع تغییر و اضافه‌ای در آن رخ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ویرایش جدید اثر با استفاده از شیوه‌های نو در فرایند تدوین فرهنگ‌نامه، مانند گزینش مدخل‌های مناسب، تهیۀ ارجاعات دوسویه و چندسویه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حائز اهمیت فراوان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کشف مستندات مطالب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ثبت منابع در ذیل مقالات، اعتبار علمی این اثر را تثبیت کرده، به استفاده‌کنندگان برای بهره‌گیری بهتر و بیشتر، کمک شایانی خواهد کرد</w:t>
      </w:r>
      <w:r>
        <w:rPr>
          <w:rFonts w:eastAsia="IRNazanin" w:cs="IRNazanin"/>
          <w:color w:val="111111"/>
          <w:sz w:val="28"/>
          <w:szCs w:val="28"/>
          <w:rtl w:val="true"/>
          <w:lang w:bidi="fa-IR"/>
        </w:rPr>
        <w:t>.</w:t>
      </w:r>
      <w:bookmarkStart w:id="427" w:name="pg14517_146381"/>
    </w:p>
    <w:p>
      <w:pPr>
        <w:pStyle w:val="BookText"/>
        <w:rPr/>
      </w:pPr>
      <w:bookmarkEnd w:id="427"/>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ایجاد ارجاعات مناسب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مباحث مهم در این نوع آثار، ارجاعات مورد نیاز کاربران است که کشف مدخل‌های ارجاعی از داخل متن این اثر را برای خبرگان و کارشناسان زبده امکان‌پذیر می‌کند و ضمن ایجاد ورودی‌های متعدد برای استفاده‌کنندگان، باعث افزایش جامعیت اثر، و آسان‌یابیِ اطلاعات پنهان در متون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مقاله‌ها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افزودن اصطلاحات مهم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ویرایش جدید این اثر با رعایت نظر اصلی نویسنده که در صدد آوردن معظم مباحث اصولی بوده است، با افزودن بعضی مدخل‌های مهم اصولی که در این کتاب نیامده است، می‌توان پوشش موضوعی آن را افزایش داد و به وجهی، تطابق عنوان با معنون را برقرار و به تکمیل آن همت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متن اصلی این اثر عربی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فراهم کردن زمینۀ استفادۀ بهتر مخاطبان گوناگون، ترجمۀ آن به فارسی و بازآرایی آن به عربی جدید، کارساز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لازم است فهرست مدخل‌های اصلی و ارجاعی، در آغاز کتاب به ترتیب الفبایی تنظیم و افزوده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افزودن نمایه‌های موضوعی، کتاب‌نامه و مانند آن ضرورت دارد</w:t>
      </w:r>
      <w:r>
        <w:rPr>
          <w:rFonts w:eastAsia="IRNazanin" w:cs="IRNazanin"/>
          <w:color w:val="111111"/>
          <w:sz w:val="28"/>
          <w:szCs w:val="28"/>
          <w:rtl w:val="true"/>
          <w:lang w:bidi="fa-IR"/>
        </w:rPr>
        <w:t>.</w:t>
      </w:r>
    </w:p>
    <w:p>
      <w:pPr>
        <w:pStyle w:val="Heading3"/>
        <w:numPr>
          <w:ilvl w:val="2"/>
          <w:numId w:val="1"/>
        </w:numPr>
        <w:rPr/>
      </w:pPr>
      <w:bookmarkStart w:id="428" w:name="__RefHeading___Toc39920_1878427129"/>
      <w:bookmarkStart w:id="429" w:name="_Toc162"/>
      <w:bookmarkEnd w:id="428"/>
      <w:r>
        <w:rPr>
          <w:rtl w:val="true"/>
        </w:rPr>
        <w:t>کتاب نامه</w:t>
      </w:r>
      <w:bookmarkEnd w:id="42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اصطلاح‌نامۀ کتابداری، پوری سلطانی و فروردین راستین،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کتابخانۀ ملی جمهوری اسلامی ایران، </w:t>
      </w:r>
      <w:r>
        <w:rPr>
          <w:rFonts w:eastAsia="IRNazanin" w:cs="IRNazanin"/>
          <w:color w:val="111111"/>
          <w:sz w:val="28"/>
          <w:szCs w:val="28"/>
          <w:lang w:bidi="fa-IR"/>
        </w:rPr>
        <w:t>1365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نخستین فرهنگ‌نامۀ جامع‌نگر در اصول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محمدهادی یعقوب‌نژاد، آینۀ پژوهش، ش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xml:space="preserve">، آبان </w:t>
      </w:r>
      <w:r>
        <w:rPr>
          <w:rFonts w:eastAsia="IRNazanin" w:cs="IRNazanin"/>
          <w:color w:val="111111"/>
          <w:sz w:val="28"/>
          <w:szCs w:val="28"/>
          <w:lang w:bidi="fa-IR"/>
        </w:rPr>
        <w:t>1389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اصطلاح نامه اصول فقه، مرکز مطالعات و تحقیقات اسلامی، واحد اصطلاح نامه علوم اسلامی، مرکز انتشارات دفتر تبلیغات اسلامی قم،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لغت‌نامۀ دهخدا،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دانشگاه تهران، دورۀ جدید، </w:t>
      </w:r>
      <w:r>
        <w:rPr>
          <w:rFonts w:eastAsia="IRNazanin" w:cs="IRNazanin"/>
          <w:color w:val="111111"/>
          <w:sz w:val="28"/>
          <w:szCs w:val="28"/>
          <w:lang w:bidi="fa-IR"/>
        </w:rPr>
        <w:t>1373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کیهان فرهنگی، سال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ویژۀ دائرة‌المعارف‌ها و دانش‌نامه‌ها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مقالۀ</w:t>
      </w:r>
    </w:p>
    <w:p>
      <w:pPr>
        <w:pStyle w:val="BookText"/>
        <w:rPr/>
      </w:pPr>
      <w:r>
        <w:rPr>
          <w:rFonts w:ascii="IRNazanin" w:hAnsi="IRNazanin" w:eastAsia="IRNazanin"/>
          <w:color w:val="111111"/>
          <w:sz w:val="28"/>
          <w:sz w:val="28"/>
          <w:szCs w:val="28"/>
          <w:rtl w:val="true"/>
          <w:lang w:bidi="fa-IR"/>
        </w:rPr>
        <w:t>محمدحسین قرشی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فرهنگ فارسی، محمّد معین،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 کبیر، </w:t>
      </w:r>
      <w:r>
        <w:rPr>
          <w:rFonts w:eastAsia="IRNazanin" w:cs="IRNazanin"/>
          <w:color w:val="111111"/>
          <w:sz w:val="28"/>
          <w:szCs w:val="28"/>
          <w:lang w:bidi="fa-IR"/>
        </w:rPr>
        <w:t>1371</w:t>
      </w:r>
      <w:r>
        <w:rPr>
          <w:rFonts w:ascii="IRNazanin" w:hAnsi="IRNazanin" w:eastAsia="IRNazanin"/>
          <w:color w:val="111111"/>
          <w:sz w:val="28"/>
          <w:sz w:val="28"/>
          <w:szCs w:val="28"/>
          <w:rtl w:val="true"/>
          <w:lang w:bidi="fa-IR"/>
        </w:rPr>
        <w:t>، هفتم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یادداشت‌هایی در جهت دانشنامه‌ای جدید، وارن پرس،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مطالعات و تحقیقات فرهنگی، </w:t>
      </w:r>
      <w:r>
        <w:rPr>
          <w:rFonts w:eastAsia="IRNazanin" w:cs="IRNazanin"/>
          <w:color w:val="111111"/>
          <w:sz w:val="28"/>
          <w:szCs w:val="28"/>
          <w:lang w:bidi="fa-IR"/>
        </w:rPr>
        <w:t>1367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دائرة‌المعارف کتابداری و اطلاع رسانی،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کتابخانه ملی جمهوری اسلامی ایران،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تقویم تطبیقی هزار و پانصد سالۀ هجری قمری و میلادی، فردیناند وستنفلد و ادوارد ماهلر،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فرهنگ‌سرای نیاوران،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1982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اصطلاحات الاصول و معظم ابحاثها، علی مشکینی</w:t>
      </w:r>
      <w:r>
        <w:rPr>
          <w:rFonts w:eastAsia="IRNazanin" w:cs="IRNazanin"/>
          <w:color w:val="111111"/>
          <w:sz w:val="28"/>
          <w:szCs w:val="28"/>
          <w:rtl w:val="true"/>
          <w:lang w:bidi="fa-IR"/>
        </w:rPr>
        <w:t>.</w:t>
      </w:r>
      <w:bookmarkStart w:id="430" w:name="pg14517_146384"/>
    </w:p>
    <w:p>
      <w:pPr>
        <w:pStyle w:val="Heading2"/>
        <w:numPr>
          <w:ilvl w:val="1"/>
          <w:numId w:val="1"/>
        </w:numPr>
        <w:rPr/>
      </w:pPr>
      <w:bookmarkStart w:id="431" w:name="__RefHeading___Toc39922_1878427129"/>
      <w:bookmarkStart w:id="432" w:name="_Toc163"/>
      <w:bookmarkEnd w:id="430"/>
      <w:bookmarkEnd w:id="431"/>
      <w:r>
        <w:rPr>
          <w:rtl w:val="true"/>
        </w:rPr>
        <w:t>اقدامی مهم در سامان بخشی به علم فقه</w:t>
      </w:r>
      <w:bookmarkEnd w:id="432"/>
    </w:p>
    <w:p>
      <w:pPr>
        <w:pStyle w:val="Heading3"/>
        <w:numPr>
          <w:ilvl w:val="2"/>
          <w:numId w:val="1"/>
        </w:numPr>
        <w:rPr/>
      </w:pPr>
      <w:bookmarkStart w:id="433" w:name="__RefHeading___Toc39924_1878427129"/>
      <w:bookmarkStart w:id="434" w:name="_Toc164"/>
      <w:bookmarkEnd w:id="433"/>
      <w:r>
        <w:rPr>
          <w:rtl w:val="true"/>
        </w:rPr>
        <w:t>اشاره</w:t>
      </w:r>
      <w:bookmarkEnd w:id="434"/>
    </w:p>
    <w:p>
      <w:pPr>
        <w:pStyle w:val="BookText"/>
        <w:rPr/>
      </w:pPr>
      <w:r>
        <w:rPr>
          <w:rFonts w:ascii="IRNazanin" w:hAnsi="IRNazanin" w:eastAsia="IRNazanin"/>
          <w:color w:val="111111"/>
          <w:sz w:val="28"/>
          <w:sz w:val="28"/>
          <w:szCs w:val="28"/>
          <w:rtl w:val="true"/>
          <w:lang w:bidi="fa-IR"/>
        </w:rPr>
        <w:t>محمدهادی یعقوب‌نژاد</w:t>
      </w:r>
      <w:r>
        <w:rPr>
          <w:rStyle w:val="FootnoteAnchor"/>
          <w:rtl w:val="true"/>
        </w:rPr>
        <w:footnoteReference w:id="376"/>
      </w:r>
    </w:p>
    <w:p>
      <w:pPr>
        <w:pStyle w:val="BookText"/>
        <w:rPr/>
      </w:pPr>
      <w:r>
        <w:rPr>
          <w:rFonts w:ascii="IRNazanin" w:hAnsi="IRNazanin" w:eastAsia="IRNazanin"/>
          <w:color w:val="111111"/>
          <w:sz w:val="28"/>
          <w:sz w:val="28"/>
          <w:szCs w:val="28"/>
          <w:rtl w:val="true"/>
          <w:lang w:bidi="fa-IR"/>
        </w:rPr>
        <w:t>استادیار پژوهشگاه علوم و فرهنگ اسلامی، مرکز اطلاعات و مدارک اسلامی</w:t>
      </w:r>
      <w:r>
        <w:rPr>
          <w:rFonts w:eastAsia="IRNazanin" w:cs="IRNazanin"/>
          <w:color w:val="111111"/>
          <w:sz w:val="28"/>
          <w:szCs w:val="28"/>
          <w:rtl w:val="true"/>
          <w:lang w:bidi="fa-IR"/>
        </w:rPr>
        <w:t>.</w:t>
      </w:r>
    </w:p>
    <w:p>
      <w:pPr>
        <w:pStyle w:val="Heading3"/>
        <w:numPr>
          <w:ilvl w:val="2"/>
          <w:numId w:val="1"/>
        </w:numPr>
        <w:rPr/>
      </w:pPr>
      <w:bookmarkStart w:id="435" w:name="__RefHeading___Toc39926_1878427129"/>
      <w:bookmarkStart w:id="436" w:name="_Toc165"/>
      <w:bookmarkEnd w:id="435"/>
      <w:r>
        <w:rPr>
          <w:rtl w:val="true"/>
        </w:rPr>
        <w:t>چکیده</w:t>
      </w:r>
      <w:bookmarkEnd w:id="436"/>
    </w:p>
    <w:p>
      <w:pPr>
        <w:pStyle w:val="BookText"/>
        <w:rPr/>
      </w:pPr>
      <w:r>
        <w:rPr>
          <w:rFonts w:ascii="IRNazanin" w:hAnsi="IRNazanin" w:eastAsia="IRNazanin"/>
          <w:color w:val="111111"/>
          <w:sz w:val="28"/>
          <w:sz w:val="28"/>
          <w:szCs w:val="28"/>
          <w:rtl w:val="true"/>
          <w:lang w:bidi="fa-IR"/>
        </w:rPr>
        <w:t>یکی از مهم‌ترین شیوه‌هایی که می‌تواند میراث ارزشمند فقه اسلامی را هم‌تراز دانش‌های زندۀ موجود قرار دهد و به بازآفرینی آن و استفادۀ عام مخاطبان بینجامد، شیوۀ فرهنگ‌نامه‌ای و دانش‌نامه‌ای است که از عوامل اثربخش در نشر فرهنگ و دانش در سطح گستردۀ ملی و بین‌المللی به شمار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زمینۀ فقه، تدوین موسوعه‌ها و فرهنگ‌نامه‌هایی آغاز شده که معدودی از آن‌ها نیز به فرجام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تلاش ارزشمند آیت‌اللّه مشکینی برای تدوین مصطلحات الفقه به مثابۀ اولین فرهنگ فقهی بر مذهب شیعۀ امامی ستودنی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مقاله ضمن بررسی اجمالی آثار مشابه، به ترتیب تاریخ نگارش، ویژگی‌ها، کاستی‌ها و پیشنهادهایی دربارۀ مصطلحات الفقه ارائه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مصطلحات الفقه، مشکینی، فرهنگ‌نامه‌های تخصصی، فقه، فقه اهل بیت علیهم السلام، کتابشناسی فقه، موسوعه‌های فقهی</w:t>
      </w:r>
      <w:r>
        <w:rPr>
          <w:rFonts w:eastAsia="IRNazanin" w:cs="IRNazanin"/>
          <w:color w:val="111111"/>
          <w:sz w:val="28"/>
          <w:szCs w:val="28"/>
          <w:rtl w:val="true"/>
          <w:lang w:bidi="fa-IR"/>
        </w:rPr>
        <w:t>.</w:t>
      </w:r>
    </w:p>
    <w:p>
      <w:pPr>
        <w:pStyle w:val="Heading3"/>
        <w:numPr>
          <w:ilvl w:val="2"/>
          <w:numId w:val="1"/>
        </w:numPr>
        <w:rPr/>
      </w:pPr>
      <w:bookmarkStart w:id="437" w:name="__RefHeading___Toc39928_1878427129"/>
      <w:bookmarkStart w:id="438" w:name="_Toc166"/>
      <w:bookmarkEnd w:id="437"/>
      <w:r>
        <w:rPr>
          <w:rtl w:val="true"/>
        </w:rPr>
        <w:t>مقدمه</w:t>
      </w:r>
      <w:bookmarkEnd w:id="438"/>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تمدن اسلامی، تدوین آثار مرجع، بخشی از فعالیت‌های علمی اندیشمندان مسلمان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دانشمندان مسلمان در رشته‌های گوناگون آثار</w:t>
      </w:r>
    </w:p>
    <w:p>
      <w:pPr>
        <w:pStyle w:val="BookText"/>
        <w:rPr/>
      </w:pPr>
      <w:r>
        <w:rPr>
          <w:rFonts w:ascii="IRNazanin" w:hAnsi="IRNazanin" w:eastAsia="IRNazanin"/>
          <w:color w:val="111111"/>
          <w:sz w:val="28"/>
          <w:sz w:val="28"/>
          <w:szCs w:val="28"/>
          <w:rtl w:val="true"/>
          <w:lang w:bidi="fa-IR"/>
        </w:rPr>
        <w:t>ارزنده‌ای برای حفظ، نقل و رواج معارف الهی باقی گذاشته‌اند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عالمان شیعی به تناسب نیازهای زمان و مکان، مجموعه‌های غنی، ارزنده و سودمندی آفریده‌اند و بدین وسیله میراث جاودان اهل بیت علیهم السلام را در قالب آثار متقن و فاخر شکل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منابعی 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المقنع، الهدایه، المقنعه، النهایه، المبسوط، المهذب، السرائر، الشرایع، قواعد الاحکام، تحریر الاحکام، ارشاد الاذهان، منتهی، اللمعه، الروضه البهیه، مسالک الافهام، مجمع الفائده و البرهان، مدارک الاحکام، کشف الغطاء، جواهر الکلام، المکاسب و مستمسک عروة الوثقی و جز آن در علم فقه؛ و کتب اربعه و بحار الانوار و وسائل الشیعه و جز آن در حدیث؛ و همچنین منابع سایر رشته‌های علوم و معارف اسلامی، به نوعی از منابع مرجع در رشته‌های مربوطاند و دائرة‌المعارف‌های بزرگی به شمار می‌روند که هریک در زمان خود نیازهای جوامع اسلامی را پاسخ گفته‌اند، که هر چند به آن‌ها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دائرة المعارف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نمی‌شود، از جنبۀ کاربردی نقش همان دائرة‌المعارف‌ها و فرهنگ‌نامه‌های تخصصی را داشته‌اند</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توجه به آثار مرجع، از گذشتۀ دور در میان مسلمانان وجود داشته است؛ اما آسان‌یابی و سهولتی که در کتاب‌های مرجع کنونی دیده می‌شود، در تمدن قبل، بدین صورت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تحولات شگرف در جنبه‌های گوناگون زندگی بشر و تکامل حیرت‌انگیز دانش‌ها و صنایع و بهسازی شیوه‌های تدوین، کتابت و ارائۀ علوم، در دنیا فرهنگ‌نامه‌ها و دائرة المعارف‌هایی با ویژگی‌هایی تدوین شده که دستیابی به اطلاعات موجود در آن‌ها آسان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نفائس الفنون را مرحوم شمس‌الدین عاملی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معاصر حافظ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قرن هشتم نوشته است که مجموعه‌ای از معارف زمان اوست و هر کس بخواهد با معارف گذشته آشنا شود، باید این کتاب مهم را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بیش از صد علم را در آن کتاب به‌اجمال معرفی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به آن کتاب مراجعه کند، کلیتی از معارف تمدن اسلامی را در آن زمان دریافته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دستیابی به اطلاعات همین کتاب که به‌درستی تدوین شده، بسیار دشوار است و برای دسترسی به موضوعی خاص، باید وقت</w:t>
      </w:r>
      <w:bookmarkStart w:id="439" w:name="pg14517_146386"/>
    </w:p>
    <w:p>
      <w:pPr>
        <w:pStyle w:val="BookText"/>
        <w:rPr/>
      </w:pPr>
      <w:bookmarkEnd w:id="439"/>
      <w:r>
        <w:rPr>
          <w:rFonts w:ascii="IRNazanin" w:hAnsi="IRNazanin" w:eastAsia="IRNazanin"/>
          <w:color w:val="111111"/>
          <w:sz w:val="28"/>
          <w:sz w:val="28"/>
          <w:szCs w:val="28"/>
          <w:rtl w:val="true"/>
          <w:lang w:bidi="fa-IR"/>
        </w:rPr>
        <w:t>بسیاری صرف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شیوۀ دسته‌بندی و تنظیم و فرم ارائۀ اطلاعات، نقشی‌مهم و اساسی در انتقال به‌موقع و دسترسی سریع مراجعه کنندگان به دستاوردهای علمی را بر عهده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خوشبختانه یکی از ویژگی‌های برجسته و شایان توجهی که در کارنامۀ جنبش علمی جهان اسلام پس از انقلاب اسلامی ایران به چشم می‌خورد، اهتمام ویژه به عرضه و ارائۀ منابع جامع کاربردی از قبیل کتاب‌شناسی‌ها، مأخذشناسی‌ها، مقاله‌نامه‌ها، نمایه‌سازی موضوعی، اصطلاح‌نامه‌ها، فرهنگ‌نامه‌ها، موسوعه‌ها و دانش‌نامه‌هاست که متناسب با ضوابط علمی پذیرفته‌شدۀ جهانی در مراکز علمی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تحقیقاتی، به جامعۀ علمی تقدیم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آیت‌اللّه علی‌اکبر مشکینی از معدود عالمانی است که چنین دغدغه‌ای داشته و در فقه و اصول از سال‌های دور به تشریح اصطلاحات در قالب جدید فرهنگ‌نامه‌ای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مصطلحات الفقه از جمله آثار مرجع کارامد است که ایشان تدوین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مقال با بررسی برخی آثار مشابه آن، به ویژگی‌ها و کاستی‌هایش می‌پردازیم و پیشنهادهایی می‌دهیم</w:t>
      </w:r>
      <w:r>
        <w:rPr>
          <w:rFonts w:eastAsia="IRNazanin" w:cs="IRNazanin"/>
          <w:color w:val="111111"/>
          <w:sz w:val="28"/>
          <w:szCs w:val="28"/>
          <w:rtl w:val="true"/>
          <w:lang w:bidi="fa-IR"/>
        </w:rPr>
        <w:t>.</w:t>
      </w:r>
    </w:p>
    <w:p>
      <w:pPr>
        <w:pStyle w:val="Heading3"/>
        <w:numPr>
          <w:ilvl w:val="2"/>
          <w:numId w:val="1"/>
        </w:numPr>
        <w:rPr/>
      </w:pPr>
      <w:bookmarkStart w:id="440" w:name="__RefHeading___Toc39930_1878427129"/>
      <w:bookmarkStart w:id="441" w:name="_Toc167"/>
      <w:bookmarkEnd w:id="440"/>
      <w:r>
        <w:rPr>
          <w:rtl w:val="true"/>
        </w:rPr>
        <w:t>اهمیت تدوین فرهنگ تخصصی در فقه اسلامی</w:t>
      </w:r>
      <w:bookmarkEnd w:id="441"/>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ظهور اندیشه‌های ناب و ریشه‌دار در تاریخ هزارسالۀ فقه، گنجینه‌ای گران‌سنگ و بی‌نظیر را پدید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فقهی از متنوع‌ترین شیوه‌های تألیف، تصنیف و تدوین برخوردارند و فقهای مسلمان برای خلق آثار علمی خود به شیوه‌های گوناگون عمل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مانند شیخ طوسی رحمه الله در مواردی به تفصیل‌نویسی توجه خاص کرده‌اند و همۀ ابواب، مسائل و فروع فقهی را گرد آورده‌اند؛ و عده‌ای همچون علامه ابن‌فهد حلی به فشرده‌نویسی و اختصار رو آورده‌اند؛ همان‌طور که کسانی به بیان فتاوا و احکام شرعی توجه خاص کرده‌اند، مانند شیخ طوسی رحمه الله در نهایه؛ و عده‌ای افزون بر آن به راه و روش استدلال و بیان دلیل و مدرک احکام شرعی نیز عنایت خاص داشته‌اند؛ همان‌طور که از جنبۀ شیوۀ نگارش و بیان نیز، برخی نوشته‌های دیگران را شرح کرده‌اند؛ و عده‌ای به تصنیف، تألیف و تدوین</w:t>
      </w:r>
      <w:bookmarkStart w:id="442" w:name="pg14517_146387"/>
    </w:p>
    <w:p>
      <w:pPr>
        <w:pStyle w:val="BookText"/>
        <w:rPr/>
      </w:pPr>
      <w:bookmarkEnd w:id="442"/>
      <w:r>
        <w:rPr>
          <w:rFonts w:ascii="IRNazanin" w:hAnsi="IRNazanin" w:eastAsia="IRNazanin"/>
          <w:color w:val="111111"/>
          <w:sz w:val="28"/>
          <w:sz w:val="28"/>
          <w:szCs w:val="28"/>
          <w:rtl w:val="true"/>
          <w:lang w:bidi="fa-IR"/>
        </w:rPr>
        <w:t>مستقل پرداخته‌اند؛ و برخی نیز دارای شیوه‌های خاص خود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است که آثار فقهی مشتمل بر دیدگاه‌ها، گرایش‌ها و روش‌های متنوع و دربردارندۀ مطالب علمی و فقهی فراوان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پی آن اقدامات مؤثر، یکی از مهم‌ترین شیوه‌هایی که می‌تواند میراث ارزشمند فرهنگ فقه اسلامی را زنده نگاه دارد و آن را هم‌تراز دانش‌های زندۀ موجود قرار دهد و به بازآفرینی آن و استفادۀ عام مخاطبان بینجامد، شیوۀ فرهنگ‌نامه‌ای و دانش‌نامه‌ای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شیوه، از عوامل اثربخش در نشر فرهنگ و دانش در سطح گستردۀ ملی و بین‌المللی است؛ چرا که با گسترش و تحول سریع علوم، قابل گسترش، انعطاف، بازآرایی و تنظیم در فرمی جهانی، همه‌کس‌فهم، آسان‌یاب و سهل‌الوصول است و انعکاس هر نوع تحول، گسترش، تغییر نظریه‌ها، دیدگاه‌ها و اطلاعات شنونده را می‌پذیرد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انعکاس سریع و دسترسی روان و سهل تحولات علمی، استفاده کنندگان را نیز به‌موقع و به‌روز، از آنچه رخ داده است آگاه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توجه به این موضوع در فقه در دهه‌های اخیر فزونی چشمگیر یافته است</w:t>
      </w:r>
      <w:r>
        <w:rPr>
          <w:rFonts w:eastAsia="IRNazanin" w:cs="IRNazanin"/>
          <w:color w:val="111111"/>
          <w:sz w:val="28"/>
          <w:szCs w:val="28"/>
          <w:rtl w:val="true"/>
          <w:lang w:bidi="fa-IR"/>
        </w:rPr>
        <w:t>.</w:t>
      </w:r>
    </w:p>
    <w:p>
      <w:pPr>
        <w:pStyle w:val="Heading3"/>
        <w:numPr>
          <w:ilvl w:val="2"/>
          <w:numId w:val="1"/>
        </w:numPr>
        <w:rPr/>
      </w:pPr>
      <w:bookmarkStart w:id="443" w:name="__RefHeading___Toc39932_1878427129"/>
      <w:bookmarkStart w:id="444" w:name="_Toc168"/>
      <w:bookmarkEnd w:id="443"/>
      <w:r>
        <w:rPr>
          <w:rtl w:val="true"/>
        </w:rPr>
        <w:t>پیشینۀ فرهنگ تخصصی در فقه</w:t>
      </w:r>
      <w:bookmarkEnd w:id="444"/>
    </w:p>
    <w:p>
      <w:pPr>
        <w:pStyle w:val="BookText"/>
        <w:rPr/>
      </w:pPr>
      <w:r>
        <w:rPr>
          <w:rFonts w:ascii="IRNazanin" w:hAnsi="IRNazanin" w:eastAsia="IRNazanin"/>
          <w:color w:val="111111"/>
          <w:sz w:val="28"/>
          <w:sz w:val="28"/>
          <w:szCs w:val="28"/>
          <w:rtl w:val="true"/>
          <w:lang w:bidi="fa-IR"/>
        </w:rPr>
        <w:t>دانش فقه اسلامی بسیار گسترده است و عناوین، موضوعات، اصطلاحات و مدخل‌های متنوع و متکثری را شامل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تألیف دانش‌نامه، دایرة‌المعارف و فرهنگ‌نامۀ تخصصی و مواردی از این دست، کانون توجه دانشمندان مسلمان قرار گرفته است تا دستیابی سریع و آسان به اطلاعات متنوع و فراوانِ آن را فراهم کنند</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اندیشمندان مسلمان و مراکز پژوهشی، برای تدوین آثاری با عناوین موسوعۀ فقهی، مصطلحات فقهی، فرهنگ فقهی، دائرة‌المعارف و امثال آن‌ها دربارۀ فقه اسلامی، کارهای خوبی انجام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این میدان، مراکز پژوهشی اهل سنت پیشگام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دانشکدۀ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شریعت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دانشگاه دمشق سوریه در سال </w:t>
      </w:r>
      <w:r>
        <w:rPr>
          <w:rFonts w:eastAsia="IRNazanin" w:cs="IRNazanin"/>
          <w:color w:val="111111"/>
          <w:sz w:val="28"/>
          <w:szCs w:val="28"/>
          <w:lang w:bidi="fa-IR"/>
        </w:rPr>
        <w:t>1956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w:t>
      </w:r>
      <w:r>
        <w:rPr>
          <w:rFonts w:eastAsia="IRNazanin" w:cs="IRNazanin"/>
          <w:color w:val="111111"/>
          <w:sz w:val="28"/>
          <w:szCs w:val="28"/>
          <w:rtl w:val="true"/>
          <w:lang w:bidi="fa-IR"/>
        </w:rPr>
        <w:t>(</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طرح موسوعۀ فقهی را ارائه کرد، ولی نخستین مرحلۀ آنکه</w:t>
      </w:r>
    </w:p>
    <w:p>
      <w:pPr>
        <w:pStyle w:val="BookText"/>
        <w:rPr/>
      </w:pPr>
      <w:r>
        <w:rPr>
          <w:rFonts w:ascii="IRNazanin" w:hAnsi="IRNazanin" w:eastAsia="IRNazanin"/>
          <w:color w:val="111111"/>
          <w:sz w:val="28"/>
          <w:sz w:val="28"/>
          <w:szCs w:val="28"/>
          <w:rtl w:val="true"/>
          <w:lang w:bidi="fa-IR"/>
        </w:rPr>
        <w:t xml:space="preserve">جمع‌آوری مدخل‌های فقهی بود و آقای دکتر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زکی عبدالبر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هدایت می‌کرد، به پایان نرسید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با اتحاد سوریه و مصر در سال </w:t>
      </w:r>
      <w:r>
        <w:rPr>
          <w:rFonts w:eastAsia="IRNazanin" w:cs="IRNazanin"/>
          <w:color w:val="111111"/>
          <w:sz w:val="28"/>
          <w:szCs w:val="28"/>
          <w:lang w:bidi="fa-IR"/>
        </w:rPr>
        <w:t>1985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کمیته‌ای مشترک از فقه‌پژوهان سوری و مصری برای ادامۀ کار تعیین شدند و نتیجۀ این کار مشترک، دایرة‌المعارف فقهی جمال عبدالناصر بود که تابه‌حال چندین جزء آن منتشر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تیرگی روابط مصر و سوریه، کمیتۀ مزبور از هم پاشید و کار تدوین آن موسوعۀ فقهی ناتمام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اثر بزرگ، آرای مذاهب چهارگانۀ حنفی، مالکی، شافعی و حنبلی و همچنین مذهب شیعۀ دوازده‌امامی، زیدی، اباضی و ظاهری توجه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جمعیت دراسات اسلامی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مدیریت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أبوزهر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موسوعة الفقه الاسلامی المقارن</w:t>
      </w:r>
      <w:r>
        <w:rPr>
          <w:rStyle w:val="FootnoteAnchor"/>
          <w:rtl w:val="true"/>
        </w:rPr>
        <w:footnoteReference w:id="37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موسوعة الفقه الاسلامی المقارن، گروهی از استادان فقه اسلامی در مصر، المجلس الاعلی للشئون‌الاسلامی، قاهره،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 ادامه داد که البته آن نیز به پایان نرسید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بعدی را وزارت اوقاف کویت با طراحی و تدوین دایرة‌المعارف دیگری با عنوان الموسوعة الفقهیة الکویتیه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آغاز و در سال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اولین مجلد آن را منتشر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مجموعۀ ارزشمند در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 عرضه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موسوعه فقط به آرای مذاهب چهارگانۀ حنبلی، مالکی، شافعی و حنفی اشاره کرده است</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فقط دائرة‌المعارف فقهی کویت پیشرفت قابل قبولی کرد که البته از جامعیت مورد انتظار برخوردار نبود؛ چه اینکه اطلاعات غنی فقه شیعه و دیدگاه‌های فقهی اندیشمندان شیعه را دربر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روی تألیف آثاری دربارۀ واژگان و اصطلاحات فقه شیعه به‌خصوص در فرم فرهنگ‌نامه‌ای، پیشینۀ چندانی ندارد و معمولاً این نوع آثار مرجع در حوزۀ فرهنگ فقهی در کتابخانه‌ها به چشم نمی‌خورد؛ هر چند گاه، نام عناوینی مطرح می‌شود که احتمال می‌رود پیش از این دربارۀ اصطلاحات فقهی اثری تدوین شده باشد مانند المصطلحات الفقهیه که به محقق حلی قدس سره نسبت داده شده، ولی هنوز چاپ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در سال‌های اخیر، آثاری دربارۀ اصطلاحات فقهی با نظم الفبایی تدوین و منتشر شده است که</w:t>
      </w:r>
    </w:p>
    <w:p>
      <w:pPr>
        <w:pStyle w:val="BookText"/>
        <w:rPr/>
      </w:pPr>
      <w:r>
        <w:rPr>
          <w:rFonts w:ascii="IRNazanin" w:hAnsi="IRNazanin" w:eastAsia="IRNazanin"/>
          <w:color w:val="111111"/>
          <w:sz w:val="28"/>
          <w:sz w:val="28"/>
          <w:szCs w:val="28"/>
          <w:rtl w:val="true"/>
          <w:lang w:bidi="fa-IR"/>
        </w:rPr>
        <w:t>برخی فرهنگ‌نامه‌ای تلقی می‌شوند و بیشترِ آن‌ها چهرۀ دائرة‌المعارفی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به‌اختصار، به ترتیب تاریخی، به معرفی اجمالی اهم منابعی که عناوین مشابه و مرتبط با شرح مصطلحات فقهی را دارند می‌پردازیم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موسوعة الفقه الاسلامی المقارن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موسوعه جمال عبدالناصر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تدوین جمعی از محققان مجلس اعلای شئون اسلامی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وزارت اوقاف قاهره، اولین جلد آن را در سال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ارائه کرده و به سال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w:t>
      </w:r>
      <w:r>
        <w:rPr>
          <w:rFonts w:eastAsia="IRNazanin" w:cs="IRNazanin"/>
          <w:color w:val="111111"/>
          <w:sz w:val="28"/>
          <w:szCs w:val="28"/>
          <w:rtl w:val="true"/>
          <w:lang w:bidi="fa-IR"/>
        </w:rPr>
        <w:t>(</w:t>
      </w:r>
      <w:r>
        <w:rPr>
          <w:rFonts w:eastAsia="IRNazanin" w:cs="IRNazanin"/>
          <w:color w:val="111111"/>
          <w:sz w:val="28"/>
          <w:szCs w:val="28"/>
          <w:lang w:bidi="fa-IR"/>
        </w:rPr>
        <w:t>1989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را به چاپ رسانده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مجموعه حاوی آرای فقهی هشت مذهب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حنفی، مالکی، شافعی، حنبلی، ظاهری زیدی، امامی، اباضیه؛ و هنوز پایان نیافته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مجموعه تا مدخل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الابداع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رفته و سال </w:t>
      </w:r>
      <w:r>
        <w:rPr>
          <w:rFonts w:eastAsia="IRNazanin" w:cs="IRNazanin"/>
          <w:color w:val="111111"/>
          <w:sz w:val="28"/>
          <w:szCs w:val="28"/>
          <w:lang w:bidi="fa-IR"/>
        </w:rPr>
        <w:t>1429</w:t>
      </w:r>
      <w:r>
        <w:rPr>
          <w:rFonts w:eastAsia="IRNazanin" w:cs="IRNazanin"/>
          <w:color w:val="111111"/>
          <w:sz w:val="28"/>
          <w:szCs w:val="28"/>
          <w:rtl w:val="true"/>
          <w:lang w:bidi="fa-IR"/>
        </w:rPr>
        <w:t xml:space="preserve"> (</w:t>
      </w:r>
      <w:r>
        <w:rPr>
          <w:rFonts w:eastAsia="IRNazanin" w:cs="IRNazanin"/>
          <w:color w:val="111111"/>
          <w:sz w:val="28"/>
          <w:szCs w:val="28"/>
          <w:lang w:bidi="fa-IR"/>
        </w:rPr>
        <w:t>2008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منتشر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الموسوعة الفقهیة الکویتیه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تدوین جمعی از محققان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وزارة الاوقاف و الشئون الاسلامی، کویت، در سال </w:t>
      </w:r>
      <w:r>
        <w:rPr>
          <w:rFonts w:eastAsia="IRNazanin" w:cs="IRNazanin"/>
          <w:color w:val="111111"/>
          <w:sz w:val="28"/>
          <w:szCs w:val="28"/>
          <w:lang w:bidi="fa-IR"/>
        </w:rPr>
        <w:t>1427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w:t>
      </w:r>
      <w:r>
        <w:rPr>
          <w:rFonts w:eastAsia="IRNazanin" w:cs="IRNazanin"/>
          <w:color w:val="111111"/>
          <w:sz w:val="28"/>
          <w:szCs w:val="28"/>
          <w:rtl w:val="true"/>
          <w:lang w:bidi="fa-IR"/>
        </w:rPr>
        <w:t>(</w:t>
      </w:r>
      <w:r>
        <w:rPr>
          <w:rFonts w:eastAsia="IRNazanin" w:cs="IRNazanin"/>
          <w:color w:val="111111"/>
          <w:sz w:val="28"/>
          <w:szCs w:val="28"/>
          <w:lang w:bidi="fa-IR"/>
        </w:rPr>
        <w:t>2006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منتشر کرده که جلد اول آن در سال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eastAsia="IRNazanin" w:cs="IRNazanin"/>
          <w:color w:val="111111"/>
          <w:sz w:val="28"/>
          <w:szCs w:val="28"/>
          <w:lang w:bidi="fa-IR"/>
        </w:rPr>
        <w:t>1981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چاپ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موسوعه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النحر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ختم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مقدمۀ هفتادصفحه‌ای، تعاریفی از فقه ارائه و موسوعه را معرفی کرده است ولی به‌وضوح آمار مدخل‌های اصلی و ارجاعی را نیاورده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اثر، با شیوه‌ای قابل قبول و در ردیف موسوعه‌های مهم در حوزۀ فقه اهل سنت به شمار می‌رود</w:t>
      </w:r>
      <w:r>
        <w:rPr>
          <w:rFonts w:eastAsia="IRNazanin" w:cs="IRNazanin"/>
          <w:color w:val="111111"/>
          <w:sz w:val="28"/>
          <w:szCs w:val="28"/>
          <w:rtl w:val="true"/>
          <w:lang w:bidi="fa-IR"/>
        </w:rPr>
        <w:t>.</w:t>
      </w:r>
      <w:r>
        <w:rPr>
          <w:rStyle w:val="FootnoteAnchor"/>
          <w:rtl w:val="true"/>
        </w:rPr>
        <w:footnoteReference w:id="378"/>
      </w:r>
    </w:p>
    <w:p>
      <w:pPr>
        <w:pStyle w:val="BookText"/>
        <w:rPr/>
      </w:pPr>
      <w:r>
        <w:rPr>
          <w:rFonts w:ascii="IRNazanin" w:hAnsi="IRNazanin" w:eastAsia="IRNazanin"/>
          <w:color w:val="111111"/>
          <w:sz w:val="28"/>
          <w:sz w:val="28"/>
          <w:szCs w:val="28"/>
          <w:rtl w:val="true"/>
          <w:lang w:bidi="fa-IR"/>
        </w:rPr>
        <w:t>برای معرفی آثار، از اطلاعات کتابشناختی کتابخانۀ عمومی دفتر تبلیغات اسلامی حوزۀ علمیۀ قم، نوسا، نیز استفاده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موسوعة الفقهیة المیسره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محمدعلی انصاری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الفکر الاسلامی، چاپ نخست آن را در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w:t>
      </w:r>
      <w:r>
        <w:rPr>
          <w:rFonts w:eastAsia="IRNazanin" w:cs="IRNazanin"/>
          <w:color w:val="111111"/>
          <w:sz w:val="28"/>
          <w:szCs w:val="28"/>
          <w:rtl w:val="true"/>
          <w:lang w:bidi="fa-IR"/>
        </w:rPr>
        <w:t>(</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انجام داده است و جلد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تاریخ </w:t>
      </w:r>
      <w:r>
        <w:rPr>
          <w:rFonts w:eastAsia="IRNazanin" w:cs="IRNazanin"/>
          <w:color w:val="111111"/>
          <w:sz w:val="28"/>
          <w:szCs w:val="28"/>
          <w:lang w:bidi="fa-IR"/>
        </w:rPr>
        <w:t>1431</w:t>
      </w:r>
      <w:r>
        <w:rPr>
          <w:rFonts w:eastAsia="IRNazanin" w:cs="IRNazanin"/>
          <w:color w:val="111111"/>
          <w:sz w:val="28"/>
          <w:szCs w:val="28"/>
          <w:rtl w:val="true"/>
          <w:lang w:bidi="fa-IR"/>
        </w:rPr>
        <w:t xml:space="preserve">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جلد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1432</w:t>
      </w:r>
      <w:r>
        <w:rPr>
          <w:rFonts w:eastAsia="IRNazanin" w:cs="IRNazanin"/>
          <w:color w:val="111111"/>
          <w:sz w:val="28"/>
          <w:szCs w:val="28"/>
          <w:rtl w:val="true"/>
          <w:lang w:bidi="fa-IR"/>
        </w:rPr>
        <w:t xml:space="preserve">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شده و تا جلد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فقه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اصول ختم</w:t>
      </w:r>
    </w:p>
    <w:p>
      <w:pPr>
        <w:pStyle w:val="BookText"/>
        <w:rPr/>
      </w:pPr>
      <w:r>
        <w:rPr>
          <w:rFonts w:ascii="IRNazanin" w:hAnsi="IRNazanin" w:eastAsia="IRNazanin"/>
          <w:color w:val="111111"/>
          <w:sz w:val="28"/>
          <w:sz w:val="28"/>
          <w:szCs w:val="28"/>
          <w:rtl w:val="true"/>
          <w:lang w:bidi="fa-IR"/>
        </w:rPr>
        <w:t>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نویسنده به تعداد مدخل‌های مورد نظر اشاره نکرده است و در آخر هر جلد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الملحق الاصولی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بخشی از اصطلاحات اصول فقه را نیز شرح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اثر، از نظر تاریخی اولین موسوعۀ فقهی شیعه به شمار می‌رود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مصطلحات الفقه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را آیت‌اللّه علی‌اکبر مشکینی اردبیلی تدوین و نشر الهادی قم آن را در </w:t>
      </w:r>
      <w:r>
        <w:rPr>
          <w:rFonts w:eastAsia="IRNazanin" w:cs="IRNazanin"/>
          <w:color w:val="111111"/>
          <w:sz w:val="28"/>
          <w:szCs w:val="28"/>
          <w:lang w:bidi="fa-IR"/>
        </w:rPr>
        <w:t>580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در سال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w:t>
      </w:r>
      <w:r>
        <w:rPr>
          <w:rFonts w:eastAsia="IRNazanin" w:cs="IRNazanin"/>
          <w:color w:val="111111"/>
          <w:sz w:val="28"/>
          <w:szCs w:val="28"/>
          <w:rtl w:val="true"/>
          <w:lang w:bidi="fa-IR"/>
        </w:rPr>
        <w:t>(</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منتشر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مقاله به معرفی کامل آن می‌پردازیم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معجم المصطلحات و الالفاظ الفقهیه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عبدالمنعم محمود عبدالرحمن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مؤسسۀ دارالفضیله،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آن را در سال </w:t>
      </w:r>
      <w:r>
        <w:rPr>
          <w:rFonts w:eastAsia="IRNazanin" w:cs="IRNazanin"/>
          <w:color w:val="111111"/>
          <w:sz w:val="28"/>
          <w:szCs w:val="28"/>
          <w:lang w:bidi="fa-IR"/>
        </w:rPr>
        <w:t>1999</w:t>
      </w:r>
      <w:r>
        <w:rPr>
          <w:rFonts w:eastAsia="IRNazanin" w:cs="IRNazanin"/>
          <w:color w:val="111111"/>
          <w:sz w:val="28"/>
          <w:szCs w:val="28"/>
          <w:rtl w:val="true"/>
          <w:lang w:bidi="fa-IR"/>
        </w:rPr>
        <w:t xml:space="preserve"> (</w:t>
      </w:r>
      <w:r>
        <w:rPr>
          <w:rFonts w:eastAsia="IRNazanin" w:cs="IRNazanin"/>
          <w:color w:val="111111"/>
          <w:sz w:val="28"/>
          <w:szCs w:val="28"/>
          <w:lang w:bidi="fa-IR"/>
        </w:rPr>
        <w:t>1420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چاپ رسانده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فرهنگ اصطلاحات فقهی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اثر را محمدحسین مختاری مازندرانی و علی‌اصغر مرادی به زبان فارسی تدوین و انجمن قلم 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مؤسسۀ پژوهشی ابن‌سینا چاپ اول آن را در سال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حجم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در یک جلد وزیری انجام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اثر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اصطلاح فقهی به‌اختصار تعریف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از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 جاری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شده و به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المباهله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نمایه و فهرستی ندارد، و منبع یا مستندی برای مطالب نیاورده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کاری درخور تقدیر است، بیشتر به فرهنگ لغت شبیه است تا فرهنگ‌نامه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طلبه الطلبه فی الاصطلاحات الفقهیه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اثر نوشتۀ عمربن‌محمد نسفی است که مکتبة المثنی بغداد در سال </w:t>
      </w:r>
      <w:r>
        <w:rPr>
          <w:rFonts w:eastAsia="IRNazanin" w:cs="IRNazanin"/>
          <w:color w:val="111111"/>
          <w:sz w:val="28"/>
          <w:szCs w:val="28"/>
          <w:lang w:bidi="fa-IR"/>
        </w:rPr>
        <w:t>1311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آن را در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چاپ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اثر پاره‌ای از تعابیر و اصطلاحات فقهی اهل سنت را به‌اختصار بیان کرده است و فرم فرهنگ‌نامه‌ای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مصطلحات المذاهب الفقهیه و اسرار الفقه المرموز فی الاعلام و الکتب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را محمد محمدصالح ظفیری فراهم آورده و دار ابن‌حزم بیروت آن را در </w:t>
      </w:r>
      <w:r>
        <w:rPr>
          <w:rFonts w:eastAsia="IRNazanin" w:cs="IRNazanin"/>
          <w:color w:val="111111"/>
          <w:sz w:val="28"/>
          <w:szCs w:val="28"/>
          <w:lang w:bidi="fa-IR"/>
        </w:rPr>
        <w:t>457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در سال </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w:t>
      </w:r>
      <w:r>
        <w:rPr>
          <w:rFonts w:eastAsia="IRNazanin" w:cs="IRNazanin"/>
          <w:color w:val="111111"/>
          <w:sz w:val="28"/>
          <w:szCs w:val="28"/>
          <w:rtl w:val="true"/>
          <w:lang w:bidi="fa-IR"/>
        </w:rPr>
        <w:t>(</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اثر بیشتر به اصطلاحات خاص مذاهب فقهی و رموزی که آن‌ها در کتب خود به کار می‌برند توجه شده است و قالب فرهنگ‌نامه‌ای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فرهنگ فقه مطابق با مذهب اهل بیت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اثر به شرح مصطلحات فقهی</w:t>
      </w:r>
    </w:p>
    <w:p>
      <w:pPr>
        <w:pStyle w:val="BookText"/>
        <w:rPr/>
      </w:pPr>
      <w:r>
        <w:rPr>
          <w:rFonts w:ascii="IRNazanin" w:hAnsi="IRNazanin" w:eastAsia="IRNazanin"/>
          <w:color w:val="111111"/>
          <w:sz w:val="28"/>
          <w:sz w:val="28"/>
          <w:szCs w:val="28"/>
          <w:rtl w:val="true"/>
          <w:lang w:bidi="fa-IR"/>
        </w:rPr>
        <w:t>مطابق با مذهب اهل بیت علیهم السلام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نویسندۀ آن مؤسسۀ دائرة‌المعارف فقه اسلامی است که گروهی از نویسندگان، با اشراف و نظارت آیت‌اللّه سیدمحمود هاشمی شاهرودی آن را فراهم آورده‌اند و مؤسسۀ مزبور در سال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شمسی جلد اول و تا سال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جلد آن را چاپ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اول این اثر با </w:t>
      </w:r>
      <w:r>
        <w:rPr>
          <w:rFonts w:eastAsia="IRNazanin" w:cs="IRNazanin"/>
          <w:color w:val="111111"/>
          <w:sz w:val="28"/>
          <w:szCs w:val="28"/>
          <w:lang w:bidi="fa-IR"/>
        </w:rPr>
        <w:t>760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از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و به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ختم شده و جلد چهارم در </w:t>
      </w:r>
      <w:r>
        <w:rPr>
          <w:rFonts w:eastAsia="IRNazanin" w:cs="IRNazanin"/>
          <w:color w:val="111111"/>
          <w:sz w:val="28"/>
          <w:szCs w:val="28"/>
          <w:lang w:bidi="fa-IR"/>
        </w:rPr>
        <w:t>808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مجموعه اولین فرهنگ فقهی مطلوب و مطابق با شیوه‌های جدید فرهنگ‌نامه‌نویسی به شمار می‌آید که پیش‌بینی شده است بین شش تا هفت مجلد و بالغ بر هفت هزار عنوان و اصطلاح فقهی را شامل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موسوعة الفقه الاسلامی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مجموعه‌ای کامل به صورت دائرة‌المعارف که مشتمل بر همۀ ابواب، انظار و مؤلفات فقهای شیعه و با تأکید بر مذهب اهل بیت علیهم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اثر را مؤسسۀ دائرة‌المعارف فقه اسلامی زیرنظر آیت‌اللّه سیدمحمود هاشمی شاهرودی تدوین کرده و چاپ نخست آن را در سال </w:t>
      </w:r>
      <w:r>
        <w:rPr>
          <w:rFonts w:eastAsia="IRNazanin" w:cs="IRNazanin"/>
          <w:color w:val="111111"/>
          <w:sz w:val="28"/>
          <w:szCs w:val="28"/>
          <w:lang w:bidi="fa-IR"/>
        </w:rPr>
        <w:t>1423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w:t>
      </w:r>
      <w:r>
        <w:rPr>
          <w:rFonts w:eastAsia="IRNazanin" w:cs="IRNazanin"/>
          <w:color w:val="111111"/>
          <w:sz w:val="28"/>
          <w:szCs w:val="28"/>
          <w:rtl w:val="true"/>
          <w:lang w:bidi="fa-IR"/>
        </w:rPr>
        <w:t>(</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 xml:space="preserve">- </w:t>
      </w:r>
      <w:r>
        <w:rPr>
          <w:rFonts w:eastAsia="IRNazanin" w:cs="IRNazanin"/>
          <w:color w:val="111111"/>
          <w:sz w:val="28"/>
          <w:szCs w:val="28"/>
          <w:lang w:bidi="fa-IR"/>
        </w:rPr>
        <w:t>2003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انجام داده است که در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انتشار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مؤسسه با حکم رهبر معظم انقلاب اسلامی، حضرت آیت‌اللّه العظمی خامنه‌ای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تاریخ </w:t>
      </w:r>
      <w:r>
        <w:rPr>
          <w:rFonts w:eastAsia="IRNazanin" w:cs="IRNazanin"/>
          <w:color w:val="111111"/>
          <w:sz w:val="28"/>
          <w:szCs w:val="28"/>
          <w:lang w:bidi="fa-IR"/>
        </w:rPr>
        <w:t>1369/2/11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آیت‌اللّه سیدمحمود هاشمی شاهرودی بنا شد تا در حوزۀ دائرة‌المعارف فقه شیعه اقدام کند و تاکنون فعالیت‌های مهم و زیربنایی خوبی را برنامه‌ریزی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مصطلحات الفقهاء و الاصولیین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اثر را محمدابراهیم الحفناوی نوشته است و چاپ دوم آن را دارالسلام للطباعة و النشر و التوزیع و الترجمه قاهره در </w:t>
      </w:r>
      <w:r>
        <w:rPr>
          <w:rFonts w:eastAsia="IRNazanin" w:cs="IRNazanin"/>
          <w:color w:val="111111"/>
          <w:sz w:val="28"/>
          <w:szCs w:val="28"/>
          <w:lang w:bidi="fa-IR"/>
        </w:rPr>
        <w:t>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صفحۀ وزیری در سال </w:t>
      </w:r>
      <w:r>
        <w:rPr>
          <w:rFonts w:eastAsia="IRNazanin" w:cs="IRNazanin"/>
          <w:color w:val="111111"/>
          <w:sz w:val="28"/>
          <w:szCs w:val="28"/>
          <w:lang w:bidi="fa-IR"/>
        </w:rPr>
        <w:t>1428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w:t>
      </w:r>
      <w:r>
        <w:rPr>
          <w:rFonts w:eastAsia="IRNazanin" w:cs="IRNazanin"/>
          <w:color w:val="111111"/>
          <w:sz w:val="28"/>
          <w:szCs w:val="28"/>
          <w:rtl w:val="true"/>
          <w:lang w:bidi="fa-IR"/>
        </w:rPr>
        <w:t>(</w:t>
      </w:r>
      <w:r>
        <w:rPr>
          <w:rFonts w:eastAsia="IRNazanin" w:cs="IRNazanin"/>
          <w:color w:val="111111"/>
          <w:sz w:val="28"/>
          <w:szCs w:val="28"/>
          <w:lang w:bidi="fa-IR"/>
        </w:rPr>
        <w:t>2007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از مذاهب چهارگانۀ اهل سنت، مصطلحات فقها و اصولیان زیدیه، امامیه، اباضیه و ظاهریه را نیز متذکر شده و بیشتر شبیه کتاب است تا فرهنگ‌نامه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اثر نظم</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سایت مؤسسۀ دائرة‌المعارف اسلامی، اسفند </w:t>
      </w:r>
      <w:r>
        <w:rPr>
          <w:rFonts w:eastAsia="IRNazanin" w:cs="IRNazanin"/>
          <w:color w:val="111111"/>
          <w:sz w:val="28"/>
          <w:szCs w:val="28"/>
          <w:lang w:bidi="fa-IR"/>
        </w:rPr>
        <w:t>1391</w:t>
      </w:r>
      <w:r>
        <w:rPr>
          <w:rFonts w:eastAsia="IRNazanin" w:cs="IRNazanin"/>
          <w:color w:val="111111"/>
          <w:sz w:val="28"/>
          <w:szCs w:val="28"/>
          <w:rtl w:val="true"/>
          <w:lang w:bidi="fa-IR"/>
        </w:rPr>
        <w:t>.</w:t>
      </w:r>
      <w:bookmarkStart w:id="445" w:name="pg14517_146392"/>
    </w:p>
    <w:p>
      <w:pPr>
        <w:pStyle w:val="BookText"/>
        <w:rPr/>
      </w:pPr>
      <w:bookmarkEnd w:id="445"/>
      <w:r>
        <w:rPr>
          <w:rFonts w:ascii="IRNazanin" w:hAnsi="IRNazanin" w:eastAsia="IRNazanin"/>
          <w:color w:val="111111"/>
          <w:sz w:val="28"/>
          <w:sz w:val="28"/>
          <w:szCs w:val="28"/>
          <w:rtl w:val="true"/>
          <w:lang w:bidi="fa-IR"/>
        </w:rPr>
        <w:t>الفبایی، ارجاع و فهرست منابع ندارد، و فقط شامل اصطلاحات فقهی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موسوعة الفقه الاسلامی المقارن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اثر مجموعۀ فقه تطبیقی بر اساس نظام الفبایی است که در سال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 مؤسسۀ دایرة‌المعارف فقه اسلامی زیر نظر آیت‌اللّه سیدمحمود هاشمی شاهرودی در چهار جلد منتشر کرد</w:t>
      </w:r>
      <w:r>
        <w:rPr>
          <w:rFonts w:eastAsia="IRNazanin" w:cs="IRNazanin"/>
          <w:color w:val="111111"/>
          <w:sz w:val="28"/>
          <w:szCs w:val="28"/>
          <w:rtl w:val="true"/>
          <w:lang w:bidi="fa-IR"/>
        </w:rPr>
        <w:t>.</w:t>
      </w:r>
    </w:p>
    <w:p>
      <w:pPr>
        <w:pStyle w:val="Heading3"/>
        <w:numPr>
          <w:ilvl w:val="2"/>
          <w:numId w:val="1"/>
        </w:numPr>
        <w:rPr/>
      </w:pPr>
      <w:bookmarkStart w:id="446" w:name="__RefHeading___Toc39934_1878427129"/>
      <w:bookmarkStart w:id="447" w:name="_Toc169"/>
      <w:bookmarkEnd w:id="446"/>
      <w:r>
        <w:rPr>
          <w:rtl w:val="true"/>
        </w:rPr>
        <w:t xml:space="preserve">ویژگی های </w:t>
      </w:r>
      <w:r>
        <w:rPr>
          <w:rtl w:val="true"/>
        </w:rPr>
        <w:t>«</w:t>
      </w:r>
      <w:r>
        <w:rPr>
          <w:rtl w:val="true"/>
        </w:rPr>
        <w:t>مصطلحات الفقه</w:t>
      </w:r>
      <w:r>
        <w:rPr>
          <w:rtl w:val="true"/>
        </w:rPr>
        <w:t>»</w:t>
      </w:r>
      <w:bookmarkEnd w:id="447"/>
    </w:p>
    <w:p>
      <w:pPr>
        <w:pStyle w:val="BookText"/>
        <w:rPr/>
      </w:pPr>
      <w:r>
        <w:rPr>
          <w:rFonts w:ascii="IRNazanin" w:hAnsi="IRNazanin" w:eastAsia="IRNazanin"/>
          <w:color w:val="111111"/>
          <w:sz w:val="28"/>
          <w:sz w:val="28"/>
          <w:szCs w:val="28"/>
          <w:rtl w:val="true"/>
          <w:lang w:bidi="fa-IR"/>
        </w:rPr>
        <w:t>تلاش پرارج آیت‌اللّه علی مشکینی اردبیلی قدس سره برای تدوین مصطلحات الفقه که در آن مهم‌ترین عناوین فقهی، در فرمی ساده، روان و قابل دسترس برای همۀ علاقه‌مندان به فقه اهل بیت علیهم السلام شرح داده شده، ستودنی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به‌اختصار، شیوه و پاره‌ای ویژگی‌های این اثر ارزنده را برمی‌شماریم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اثر از نظر تاریخی بر بسیاری از آثار مشابه مقدم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اولین چاپ آن را نشر الهادی در مهر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شمسی </w:t>
      </w:r>
      <w:r>
        <w:rPr>
          <w:rFonts w:eastAsia="IRNazanin" w:cs="IRNazanin"/>
          <w:color w:val="111111"/>
          <w:sz w:val="28"/>
          <w:szCs w:val="28"/>
          <w:rtl w:val="true"/>
          <w:lang w:bidi="fa-IR"/>
        </w:rPr>
        <w:t>(</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 هزار نسخه انجام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چند در همان سال آقای مختاری فرهنگ اصطلاحات فقهی را تدوین کرده است، فقط به تعاریف واژگان بسنده کرده و به فرهنگ لغت اشبه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نویسنده افزون بر مقدمه‌ای کوتاه، حدود </w:t>
      </w:r>
      <w:r>
        <w:rPr>
          <w:rFonts w:eastAsia="IRNazanin" w:cs="IRNazanin"/>
          <w:color w:val="111111"/>
          <w:sz w:val="28"/>
          <w:szCs w:val="28"/>
          <w:lang w:bidi="fa-IR"/>
        </w:rPr>
        <w:t>650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مدخل فقهی را برگزیده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کتاب با مدخل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و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الیوم و اللیل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فرجام یافته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مهم‌ترین ویژگی‌های این نوع آثار مرجع آن است که نظر چهره‌های برجستۀ آن دانش را بنمایاند و از ارائۀ دیدگاه‌های شخصیِ نویسنده بپرهیزد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نویسنده با اینکه خود از صاحب‌نظران بوده است، به این نکتۀ اساسی پای‌بند بوده و بنا نداشته است نظریه‌های خود را در هر مسئله‌ای مطرح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ساده گویی، روان‌نویسی و پرهیز از پیچیدگی، از ویژگی‌های آثار مؤلف و از جمله، این اثر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گفتار و کلام شفاهی نیز مرحوم آیت‌اللّه مشکینی در این جهت زبانزد بودند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ذیل هر مدخل، ابتدا معنای لغوی و آنگاه معنای اصطلاحی را از منظر شرع یا متشرعه یا علمای فقه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 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نگاشته و سپس محل بحث مداخل را در</w:t>
      </w:r>
    </w:p>
    <w:p>
      <w:pPr>
        <w:pStyle w:val="BookText"/>
        <w:rPr/>
      </w:pPr>
      <w:r>
        <w:rPr>
          <w:rFonts w:ascii="IRNazanin" w:hAnsi="IRNazanin" w:eastAsia="IRNazanin"/>
          <w:color w:val="111111"/>
          <w:sz w:val="28"/>
          <w:sz w:val="28"/>
          <w:szCs w:val="28"/>
          <w:rtl w:val="true"/>
          <w:lang w:bidi="fa-IR"/>
        </w:rPr>
        <w:t>ابواب مختلف فقه یادآور شده است؛ همان‌طور که حکم یا احکام مترتب بر عناوین مداخل را تذکر داده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مؤلف، اشاراتی به موارد وفاق یا اختلاف علمای شیعه دربارۀ مباحث مداخل کرده و در موارد اندکی به نظر عامه نیز اشاره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ترتیب مدخل‌ها بر اساس ترتیب الفبا بر پایۀ هیئت مدخل‌هاست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مادۀ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واقع محور تنظیم مدخل‌ها شکل ظاهری عناوین است تا ساده‌یاب‌تر، و دسترسی به آن‌ها برای مراجعه‌کننده آسان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مؤلف، خود در مقدمه گفته است همان‌گونه که از نام کتاب پیداست، معظم مصطلحات فقهی را گرد آورده و مشروح عناوین فقهی و گسترش آن را به کتاب‌های مفصل و دائرة المعارف‌ها واگذاشته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 فرهنگ‌نامه به ذکر تعریف و تبیین عناوین بسنده کرده و به‌ندرت استدلال‌های مشهور فقها را آورده است و برای رعایت اختصار، از بیان همۀ وجوه موضوع و استدلال‌های گوناگون پرهیز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عنوانی دارای فروع مهمی باشد، به آن نیز توجه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ذکر نام اشخاص در میانۀ بحث‌ها خودداری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 اثر فقط مطالب فقهی ارائه شده و از تلفیق مباحث اصولی که در بعضی آثار مشابه به هم آمیخته‌اند خودداری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نویسنده از روش اختصاصی استفاده نکرده و به شیوۀ متعارف فرهنگ‌نویسی اکتفا کرده است؛ شیوه‌ای که برای کاربر راحت‌تر و آسان‌یاب‌تر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 اینکه حدود </w:t>
      </w:r>
      <w:r>
        <w:rPr>
          <w:rFonts w:eastAsia="IRNazanin" w:cs="IRNazanin"/>
          <w:color w:val="111111"/>
          <w:sz w:val="28"/>
          <w:szCs w:val="28"/>
          <w:lang w:bidi="fa-IR"/>
        </w:rPr>
        <w:t>650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اصطلاح را آورده است، همه را در یک مجلد تدوین و ارائه کرده که این عمل مراجعه کننده را به سختی نینداخته و دسترسی به همۀ مطالب در قالب مجموعه‌ای هماهنگ را ایجاد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مؤلف، خود در مقدمه گفته که این اثر فقه جامع کاملی است به ترتیب الفبا و با نظمی زیبا و بیانی بدیع و دارای همۀ ابواب فقهی، البته به نحو اجمال که در میان کتب اصحاب، مشابه آن را نیافته است</w:t>
      </w:r>
      <w:r>
        <w:rPr>
          <w:rFonts w:eastAsia="IRNazanin" w:cs="IRNazanin"/>
          <w:color w:val="111111"/>
          <w:sz w:val="28"/>
          <w:szCs w:val="28"/>
          <w:rtl w:val="true"/>
          <w:lang w:bidi="fa-IR"/>
        </w:rPr>
        <w:t>.</w:t>
      </w:r>
      <w:bookmarkStart w:id="448" w:name="pg14517_146394"/>
    </w:p>
    <w:p>
      <w:pPr>
        <w:pStyle w:val="BookText"/>
        <w:rPr/>
      </w:pPr>
      <w:bookmarkEnd w:id="448"/>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کتاب دربردارندۀ مهم‌ترین عناوین فقهی بر مذهب شیعۀ امامیه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کتاب دارای </w:t>
      </w:r>
      <w:r>
        <w:rPr>
          <w:rFonts w:eastAsia="IRNazanin" w:cs="IRNazanin"/>
          <w:color w:val="111111"/>
          <w:sz w:val="28"/>
          <w:szCs w:val="28"/>
          <w:lang w:bidi="fa-IR"/>
        </w:rPr>
        <w:t>580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است که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صفحۀ اول را به فهرست عناوین و مدخل‌ها اختصاص داده است و این فهرست، عنصری لازم است که دسترسی آسان به عناوین را ایجاد کرده است؛ هر چند به نظر می‌رسد این فهرست بعداً فراهم شده باشد، چون ارجاعات فهرست در متن وجود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جنبۀ تاریخی، اولین فرهنگ فقهی بر مذهب شیعۀ امامیه است که به شیوۀ الفبایی تنظیم شده، همان‌طور که موسوعة الفقهیة المیسره اولین موسوعۀ فقهی شیعی است که آقای محمدعلی انصاری نگارش آن را بر عهده دارد</w:t>
      </w:r>
      <w:r>
        <w:rPr>
          <w:rFonts w:eastAsia="IRNazanin" w:cs="IRNazanin"/>
          <w:color w:val="111111"/>
          <w:sz w:val="28"/>
          <w:szCs w:val="28"/>
          <w:rtl w:val="true"/>
          <w:lang w:bidi="fa-IR"/>
        </w:rPr>
        <w:t>.</w:t>
      </w:r>
    </w:p>
    <w:p>
      <w:pPr>
        <w:pStyle w:val="Heading3"/>
        <w:numPr>
          <w:ilvl w:val="2"/>
          <w:numId w:val="1"/>
        </w:numPr>
        <w:rPr/>
      </w:pPr>
      <w:bookmarkStart w:id="449" w:name="__RefHeading___Toc39936_1878427129"/>
      <w:bookmarkStart w:id="450" w:name="_Toc170"/>
      <w:bookmarkEnd w:id="449"/>
      <w:r>
        <w:rPr>
          <w:rtl w:val="true"/>
        </w:rPr>
        <w:t>کاستی ها</w:t>
      </w:r>
      <w:bookmarkEnd w:id="450"/>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ارجاعات دوسویه در متن وجود ندارد؛ هر چند در فهرست آغاز کتاب ارجاع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نگاه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ثبت شده است، در داخل کتاب به صورت مشخصی برجسته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 از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ارجاع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وجود دارد که در متن مشخص نشده 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مدخل‌هایی در فهرست کتاب ذکر شده که در متن وجود ندارد؛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اجازه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احتضار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بیش از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نمایۀ اعلام، کتاب‌نامه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ندارد؛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هیچ نوع آدرس‌دهی و مأخذی در متن اثر، پاورقی یا پایان آن نیامده 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مؤلف شیوۀ خود و احیاناً نمادهایی را که به کار برده متذکر نشده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برخی جنبه‌های فنی در چاپ و نشر این اثر رعایت نشده است؛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عناوین هر مدخل بالای صفحات ذکر شود تا مراجعه به آن و پیدا کردن عنوان مورد نظر راحت‌تر باشد؛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سال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 که این اثر نگارش یافته، هیچ نوع ویرایش یا اصلاح و اضافاتی روی آن صورت نگرفته است؛</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عناوین ترکیبی و بلند به عنوان مدخل، گزینش شده‌اند که خلاف شیوۀ</w:t>
      </w:r>
      <w:bookmarkStart w:id="451" w:name="pg14517_146395"/>
    </w:p>
    <w:p>
      <w:pPr>
        <w:pStyle w:val="BookText"/>
        <w:rPr/>
      </w:pPr>
      <w:bookmarkEnd w:id="451"/>
      <w:r>
        <w:rPr>
          <w:rFonts w:ascii="IRNazanin" w:hAnsi="IRNazanin" w:eastAsia="IRNazanin"/>
          <w:color w:val="111111"/>
          <w:sz w:val="28"/>
          <w:sz w:val="28"/>
          <w:szCs w:val="28"/>
          <w:rtl w:val="true"/>
          <w:lang w:bidi="fa-IR"/>
        </w:rPr>
        <w:t xml:space="preserve">فرهنگ‌نامه‌ای است؛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جنین الانسان و الحیوان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فراوان وجود دارد</w:t>
      </w:r>
      <w:r>
        <w:rPr>
          <w:rFonts w:eastAsia="IRNazanin" w:cs="IRNazanin"/>
          <w:color w:val="111111"/>
          <w:sz w:val="28"/>
          <w:szCs w:val="28"/>
          <w:rtl w:val="true"/>
          <w:lang w:bidi="fa-IR"/>
        </w:rPr>
        <w:t>.</w:t>
      </w:r>
    </w:p>
    <w:p>
      <w:pPr>
        <w:pStyle w:val="Heading3"/>
        <w:numPr>
          <w:ilvl w:val="2"/>
          <w:numId w:val="1"/>
        </w:numPr>
        <w:rPr/>
      </w:pPr>
      <w:bookmarkStart w:id="452" w:name="__RefHeading___Toc39938_1878427129"/>
      <w:bookmarkStart w:id="453" w:name="_Toc171"/>
      <w:bookmarkEnd w:id="452"/>
      <w:r>
        <w:rPr>
          <w:rtl w:val="true"/>
        </w:rPr>
        <w:t>پیشنهادها</w:t>
      </w:r>
      <w:bookmarkEnd w:id="45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بازآرایی مجدد این اثر از جنبۀ مدخل‌های جدید؛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مستندسازی مقالات و مطالب ذیل هر مدخل و ارائۀ آدرس آن‌ها؛</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افزودن مطالب ذیل مدخل‌های موجود؛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تهیۀ فهرست‌ها و نمایه‌های موضوعی در پایان کتاب؛</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قالب‌ریزی و تنظیم اطلاعات ذیل مدخل‌ها با ترتیبی منظم و هماهنگ؛</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افزودن شناسه برای هر مدخل در آغاز مقاله‌ها؛</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فراهم کردن زمینۀ استفاده از این‌گونه آثار کوتاه و مفید در بسترهای مجازی و محیطهای جدید الکترونیکی با ارائۀ کتاب الکترونیک، افزونه‌های دیجیتالی، موبایل و تحت وب؛</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افزودن بیش از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مدخل موجود در فهرست، به متن کتاب و ایجاد ارجاع درست؛</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افزودن ارجاعات جدید با بررسی متن کتاب؛</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تجزیۀ عناوین ترکیبی یا عطفی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الذباحه و الذبح و الزکاة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السفر و المسافر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الشجاج و اقسامها و مراتبها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الوکالة و النیابة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درج آن‌ها در فهرست مدخل‌ها و ایجاد ارجاعات لازم؛</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تدوین این اثر به فارسی و عربی جدید؛</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افزودن مدخل‌های مهم فقهی و تدوین مقالاتی برای آن‌ها که در این اثر نیامده است؛ مثلاً در بخش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مدخل ذکر شده و بسیاری از اصطلاحات فقهی وجود ندارد؛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اباحه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اجماع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احتیاط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امور حسبه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ایام البیض و</w:t>
      </w:r>
      <w:r>
        <w:rPr>
          <w:rFonts w:eastAsia="IRNazanin" w:cs="IRNazanin"/>
          <w:color w:val="111111"/>
          <w:sz w:val="28"/>
          <w:szCs w:val="28"/>
          <w:rtl w:val="true"/>
          <w:lang w:bidi="fa-IR"/>
        </w:rPr>
        <w:t>...».</w:t>
      </w:r>
      <w:bookmarkStart w:id="454" w:name="pg14517_146396"/>
    </w:p>
    <w:p>
      <w:pPr>
        <w:pStyle w:val="Heading2"/>
        <w:numPr>
          <w:ilvl w:val="1"/>
          <w:numId w:val="1"/>
        </w:numPr>
        <w:rPr/>
      </w:pPr>
      <w:bookmarkStart w:id="455" w:name="__RefHeading___Toc39940_1878427129"/>
      <w:bookmarkStart w:id="456" w:name="_Toc172"/>
      <w:bookmarkEnd w:id="454"/>
      <w:bookmarkEnd w:id="455"/>
      <w:r>
        <w:rPr>
          <w:rtl w:val="true"/>
        </w:rPr>
        <w:t xml:space="preserve">نیم نگاهی به </w:t>
      </w:r>
      <w:r>
        <w:rPr>
          <w:rtl w:val="true"/>
        </w:rPr>
        <w:t>«</w:t>
      </w:r>
      <w:r>
        <w:rPr>
          <w:rtl w:val="true"/>
        </w:rPr>
        <w:t>الفقه المأثور</w:t>
      </w:r>
      <w:r>
        <w:rPr>
          <w:rtl w:val="true"/>
        </w:rPr>
        <w:t>»</w:t>
      </w:r>
      <w:bookmarkEnd w:id="456"/>
    </w:p>
    <w:p>
      <w:pPr>
        <w:pStyle w:val="Heading3"/>
        <w:numPr>
          <w:ilvl w:val="2"/>
          <w:numId w:val="1"/>
        </w:numPr>
        <w:rPr/>
      </w:pPr>
      <w:bookmarkStart w:id="457" w:name="__RefHeading___Toc39942_1878427129"/>
      <w:bookmarkStart w:id="458" w:name="_Toc173"/>
      <w:bookmarkEnd w:id="457"/>
      <w:r>
        <w:rPr>
          <w:rtl w:val="true"/>
        </w:rPr>
        <w:t>اشاره</w:t>
      </w:r>
      <w:bookmarkEnd w:id="458"/>
    </w:p>
    <w:p>
      <w:pPr>
        <w:pStyle w:val="BookText"/>
        <w:rPr/>
      </w:pPr>
      <w:r>
        <w:rPr>
          <w:rFonts w:ascii="IRNazanin" w:hAnsi="IRNazanin" w:eastAsia="IRNazanin"/>
          <w:color w:val="111111"/>
          <w:sz w:val="28"/>
          <w:sz w:val="28"/>
          <w:szCs w:val="28"/>
          <w:rtl w:val="true"/>
          <w:lang w:bidi="fa-IR"/>
        </w:rPr>
        <w:t xml:space="preserve">نیم نگاهی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الفقه المأثور</w:t>
      </w:r>
      <w:r>
        <w:rPr>
          <w:rFonts w:eastAsia="IRNazanin" w:cs="IRNazanin"/>
          <w:color w:val="111111"/>
          <w:sz w:val="28"/>
          <w:szCs w:val="28"/>
          <w:rtl w:val="true"/>
          <w:lang w:bidi="fa-IR"/>
        </w:rPr>
        <w:t>»</w:t>
      </w:r>
      <w:r>
        <w:rPr>
          <w:rStyle w:val="FootnoteAnchor"/>
          <w:rtl w:val="true"/>
        </w:rPr>
        <w:footnoteReference w:id="379"/>
      </w:r>
    </w:p>
    <w:p>
      <w:pPr>
        <w:pStyle w:val="BookText"/>
        <w:rPr/>
      </w:pPr>
      <w:r>
        <w:rPr>
          <w:rFonts w:ascii="IRNazanin" w:hAnsi="IRNazanin" w:eastAsia="IRNazanin"/>
          <w:color w:val="111111"/>
          <w:sz w:val="28"/>
          <w:sz w:val="28"/>
          <w:szCs w:val="28"/>
          <w:rtl w:val="true"/>
          <w:lang w:bidi="fa-IR"/>
        </w:rPr>
        <w:t>دکتر سیدحسن اسلامی</w:t>
      </w:r>
      <w:r>
        <w:rPr>
          <w:rStyle w:val="FootnoteAnchor"/>
          <w:rtl w:val="true"/>
        </w:rPr>
        <w:footnoteReference w:id="38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محمدمهدی خوش‌قلب</w:t>
      </w:r>
      <w:r>
        <w:rPr>
          <w:rStyle w:val="FootnoteAnchor"/>
          <w:rtl w:val="true"/>
        </w:rPr>
        <w:footnoteReference w:id="381"/>
      </w:r>
    </w:p>
    <w:p>
      <w:pPr>
        <w:pStyle w:val="Heading3"/>
        <w:numPr>
          <w:ilvl w:val="2"/>
          <w:numId w:val="1"/>
        </w:numPr>
        <w:rPr/>
      </w:pPr>
      <w:bookmarkStart w:id="459" w:name="__RefHeading___Toc39944_1878427129"/>
      <w:bookmarkStart w:id="460" w:name="_Toc174"/>
      <w:bookmarkEnd w:id="459"/>
      <w:r>
        <w:rPr>
          <w:rtl w:val="true"/>
        </w:rPr>
        <w:t>چکیده</w:t>
      </w:r>
      <w:bookmarkEnd w:id="460"/>
    </w:p>
    <w:p>
      <w:pPr>
        <w:pStyle w:val="BookText"/>
        <w:rPr/>
      </w:pPr>
      <w:r>
        <w:rPr>
          <w:rFonts w:ascii="IRNazanin" w:hAnsi="IRNazanin" w:eastAsia="IRNazanin"/>
          <w:color w:val="111111"/>
          <w:sz w:val="28"/>
          <w:sz w:val="28"/>
          <w:szCs w:val="28"/>
          <w:rtl w:val="true"/>
          <w:lang w:bidi="fa-IR"/>
        </w:rPr>
        <w:t>الفقه المأثور یکی از آثار فقهی آیت‌اللّه علی مشکینی رحمه الله است که اکنون سومین چاپ آن به مناسبت همایش بزرگداشت آن مرحوم با تحقیق جدید منتشر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نوشتار کوتاه، کتاب یادشده از زوایای گوناگون بررسی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نگاهی کلی به انواع آثار فقهی شیعه شده است و در ادامه پس از بیان روش تألیف الفقه المأثور، در مجموع به هفت ویژگی مهم این کتاب پرداخته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فقهی، فقه مأثور، فقه روایی، احادیث فقهی، آیت‌اللّه مشکینی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کتاب‌های فقهی شیعه در نگاه کلّی به سه دسته تقسیم می‌شوند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آثار استدلالی؛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 روایات فقهی؛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رساله‌های عملیه</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گروه نخست، دربرگیرندۀ آثاری است که احکام شریعت را به‌تفصیل برمی‌رسند و ادلۀ آن‌ها را از منابع چهارگانه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سنّت، اجماع و عقل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نقل و نقد می‌کنند و می‌کوشند از میان اقوال و فتاوای گوناگون، قوی‌ترینِ آن‌ها را برگزینند و به عنوان</w:t>
      </w:r>
    </w:p>
    <w:p>
      <w:pPr>
        <w:pStyle w:val="BookText"/>
        <w:rPr/>
      </w:pPr>
      <w:r>
        <w:rPr>
          <w:rFonts w:ascii="IRNazanin" w:hAnsi="IRNazanin" w:eastAsia="IRNazanin"/>
          <w:color w:val="111111"/>
          <w:sz w:val="28"/>
          <w:sz w:val="28"/>
          <w:szCs w:val="28"/>
          <w:rtl w:val="true"/>
          <w:lang w:bidi="fa-IR"/>
        </w:rPr>
        <w:t>نظر مختار، بیان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آثاری را مجتهدان می‌نویسند و مخاطبان آن‌ها نیز مجتهدان و یا کسانی هستند که در این راه، گام گذاشته‌اند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آثار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اجتهادی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نامیده می‌شوند، بخش سترگ میراث شیعه را تشکیل می‌دهند و از آثار یک‌جلدی و مختصر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 شرائع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آثار دائرة المعارف‌گونه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جواهرالکلام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دربر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آثاری، حلقۀ اتّصال مجتهدان خلف به مجتهدان سلف و معصومان علیهم السلام هستند و اگر این آثار نبودند، اجتهاد دیرپای شیعه تا کنون چنین ریشه نمی‌دواند و بر بسیط زمین، سایه نمی‌گسترد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دستۀ دوم، به ارائۀ مجموعۀ احادیث فقهی در ابواب گوناگون اختصاص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این‌گونه آثار، برخی فقط به گردآوری و تبویب روایات همّت گماشته‌اند؛ مانند من لایحضره الفقیه و تهذیب الأحکام، و برخی نیز با حذف اسناد روایات و نیز تقطیع یا تلفیق آن‌ها، متنی جدید به دست داده‌اند؛ مانند المقنع و الهدایة شیخ صدوق و النهایة شیخ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آثار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آثار فقهی مأثور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می‌شود، منابع دست اول فقه شیعه و بخش بزرگی از میراث گران‌سنگ آن به حساب می‌آیند</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کنار آثار یادشده، دستۀ سوم آثار فقهی، از نظر ماهیت با آثار دستۀ دوم همانندی دارند؛ اما سازوکار و هدف آن‌ها اندکی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این‌گونه آثار، پس از طرح مسائل فقهی مورد ابتلای مکلّفان، یکی از احکام پنج‌گانۀ وجوب، حرمت، استحباب، کراهت و اباحه بر آن‌ها بار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چنین متونی، که از آن‌ها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رسالۀ عملیه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توضیح‌المسائل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می‌شود، هدف، تعیین تکلیف مکلّف است و در نتیجه، از ادلّۀ احکام و تعارض اقوال و فتاوا سخنی به میان نمی‌آید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مخاطبان این آثار، همۀ کسانی هستند که می‌خواهند بدانند شارع از آنان چه خواسته است و کیفیت اجرای خواسته‌های شارع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مخاطبان این آثار غالباً عموم مردم هستند؛ اگرچه خواصّ نیز از آن‌ها بی‌بهره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آثار علی‌رغم برطرف کردن نیازهای فقهی عموم مردم، با اشکالی اساسی مواجه هستند و آن اینکه در این آثار، هیچ اشاره‌ای به سرچشمه‌های احکام، یعنی آیات قرآن کریم و گفتار و</w:t>
      </w:r>
      <w:bookmarkStart w:id="461" w:name="pg14517_146398"/>
    </w:p>
    <w:p>
      <w:pPr>
        <w:pStyle w:val="BookText"/>
        <w:rPr/>
      </w:pPr>
      <w:bookmarkEnd w:id="461"/>
      <w:r>
        <w:rPr>
          <w:rFonts w:ascii="IRNazanin" w:hAnsi="IRNazanin" w:eastAsia="IRNazanin"/>
          <w:color w:val="111111"/>
          <w:sz w:val="28"/>
          <w:sz w:val="28"/>
          <w:szCs w:val="28"/>
          <w:rtl w:val="true"/>
          <w:lang w:bidi="fa-IR"/>
        </w:rPr>
        <w:t>رفتار معصومان دین،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مجتهد، عمدتاً برداشت خود را از حکم شریعت، به صورت فتوا یا احتیاط و بدون ارجاع به مبنای حکم، بیان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چنین کاری اجتناب‌ناپذیر است و اگر هر مجتهدی بخواهد در رسالۀ عملیۀ خود، راهی را بیان کند که برای رسیدن به فتوای مختارش طی کرده است، اثرش رسالۀ عملیه نخواهد بود و مخاطبان آن نیز عامه نخواهند بود و نحوۀ استفاده از آن دگرگون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بااین‌همه اگر بتوان میان این سه‌گونه آثار پل زد و مخاطبان را از این سنخ آثار به آن سنخ ارجاع داد، مزایا و قوّت‌های هر سه نوع آثار در کنار یکدیگر جمع خواهند شد و بیشترین بهره حاصل خواهد شد؛ هدفی که کتاب الفقه المأثور در پی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مؤلف این کتاب، آیت‌اللّه علی مشکینی رحمه الله که از معاریف حوزه و مدرّسانِ بنام و مبرّز و مجتهدان صاحب‌نظر بود، با اشراف بر متون و منابع فقهی و با تسلّط بر مسیر اجتهاد، کوشید در این اثر، یک دوره فقه استدلالی را به صورت غیراستدلالی گردآورَد و رساله‌ای علمی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عملی ارائه کند</w:t>
      </w:r>
      <w:r>
        <w:rPr>
          <w:rFonts w:eastAsia="IRNazanin" w:cs="IRNazanin"/>
          <w:color w:val="111111"/>
          <w:sz w:val="28"/>
          <w:szCs w:val="28"/>
          <w:rtl w:val="true"/>
          <w:lang w:bidi="fa-IR"/>
        </w:rPr>
        <w:t>.</w:t>
      </w:r>
    </w:p>
    <w:p>
      <w:pPr>
        <w:pStyle w:val="Heading3"/>
        <w:numPr>
          <w:ilvl w:val="2"/>
          <w:numId w:val="1"/>
        </w:numPr>
        <w:rPr/>
      </w:pPr>
      <w:bookmarkStart w:id="462" w:name="__RefHeading___Toc39946_1878427129"/>
      <w:bookmarkStart w:id="463" w:name="_Toc175"/>
      <w:bookmarkEnd w:id="462"/>
      <w:r>
        <w:rPr>
          <w:rtl w:val="true"/>
        </w:rPr>
        <w:t>شیوۀ کار مؤلف</w:t>
      </w:r>
      <w:bookmarkEnd w:id="463"/>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مؤلف یکایک ابواب فقهی را کاویده و مدرک هر مسئله را از نصوص اصلی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اقوال معصومان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آورده و در صورت تعارض اقوال، قول مختار را برگزیده و آنگاه، فتوای خود را براساس آن بیان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اینجا کار ایشان با کار دیگر مجتهدانْ همانند است؛ امّا مهم‌ترین ویژگی کار ایشان در این اثر، آن است که به جای بیان فتوا از زبان خود و با قلم خویش، کوشیده است نصّ قول معصوم را ذکر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هم نظر خویش را بیان داشته که کاری است عملی و برای استفادۀ مکلّفان، و هم منبع قول خود را آورده که کاری علمی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نتیجه اینکه حلقۀ مفقود میان رساله‌های عملی صرف و آثار اجتهادی و روایی صرف، در این اثر پیدا شده است و حاصل آنکه فراروی ماست،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فقهی، از طهارت تا دیات، در قالب </w:t>
      </w:r>
      <w:r>
        <w:rPr>
          <w:rFonts w:eastAsia="IRNazanin" w:cs="IRNazanin"/>
          <w:color w:val="111111"/>
          <w:sz w:val="28"/>
          <w:szCs w:val="28"/>
          <w:lang w:bidi="fa-IR"/>
        </w:rPr>
        <w:t>2648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است</w:t>
      </w:r>
      <w:r>
        <w:rPr>
          <w:rFonts w:eastAsia="IRNazanin" w:cs="IRNazanin"/>
          <w:color w:val="111111"/>
          <w:sz w:val="28"/>
          <w:szCs w:val="28"/>
          <w:rtl w:val="true"/>
          <w:lang w:bidi="fa-IR"/>
        </w:rPr>
        <w:t>.</w:t>
      </w:r>
      <w:bookmarkStart w:id="464" w:name="pg14517_146399"/>
    </w:p>
    <w:p>
      <w:pPr>
        <w:pStyle w:val="Heading3"/>
        <w:numPr>
          <w:ilvl w:val="2"/>
          <w:numId w:val="1"/>
        </w:numPr>
        <w:rPr/>
      </w:pPr>
      <w:bookmarkStart w:id="465" w:name="__RefHeading___Toc39948_1878427129"/>
      <w:bookmarkStart w:id="466" w:name="_Toc176"/>
      <w:bookmarkEnd w:id="464"/>
      <w:bookmarkEnd w:id="465"/>
      <w:r>
        <w:rPr>
          <w:rtl w:val="true"/>
        </w:rPr>
        <w:t>ویژگی های این کتاب</w:t>
      </w:r>
      <w:bookmarkEnd w:id="466"/>
    </w:p>
    <w:p>
      <w:pPr>
        <w:pStyle w:val="BookText"/>
        <w:rPr/>
      </w:pPr>
      <w:r>
        <w:rPr>
          <w:rFonts w:ascii="IRNazanin" w:hAnsi="IRNazanin" w:eastAsia="IRNazanin"/>
          <w:color w:val="111111"/>
          <w:sz w:val="28"/>
          <w:sz w:val="28"/>
          <w:szCs w:val="28"/>
          <w:rtl w:val="true"/>
          <w:lang w:bidi="fa-IR"/>
        </w:rPr>
        <w:t>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گران‌قدر پیش از پرداختن به مسائل فقهی، کلّیاتی را در قالب پنج مقدمه طرح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مقدمۀ اول، چرایی و زمینۀ تألیف این اثر را توضیح داده است و در مقدمۀ دوم پس از تعریف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إفتاء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اصطلاح فقها، اشاره‌ای به شیوۀ تبویب کتاب‌های فقهی کرده و تقسیم مورد نظر خود را بیان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این مقدمه نیز، به مدارک و مصادر فقه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مسائل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مقدمۀ سوم آورده و در مقدمۀ چهارم به صورت مفصّل، ابعاد گوناگون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مسائل مرتبط با آن دو را بیان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مقدمۀ پایانی، دیدگاه خود را دربارۀ موضوعاتی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شرایط عمومی مکلّف، قصد تقرّب، صحّت و بطلان عبادت، ارتداد و مسائل دربارۀ آن، عقل و قطع و ظنّ ارائه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فقید، کوشیده است ساختاری نو و متفاوت با نظام آثار دیگر را برای این اثر اعمال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مسائل فقه رایج شیعی را ذیل شش عنوان اصلی تعریف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عبادات، یعنی اعمالی که قصد تقرّب الاهی در آن شرط است؛ مثل طهارت‌های سه‌گانه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وضو، غسل وتیمم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اعتکاف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 و عمره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شئون فردی، یعنی اعمالی که مترتّب بر تصرف مالی نیست و هیچ ربطی به مسائل جامعه ندارد؛ بلکه اعمالی است که اصالتاً وظایف خاص مکلف در برابر پروردگار است؛ مثل عناوین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نجاسات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ظرف‌ها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مطهّرات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اطعمه و اشربه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دفاع از نفس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شئون عائلیه که متکفّل رفتار با اهل و ارحام و نظایر آن است؛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تجهیز اموات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اموال فردی که مشتمل بر انحای قیام به امر این اموال و تصرّف در آن از جهت تحصیل، حفظ و مبادله است؛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احیای موات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صید و ذباحه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لقطه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تکسّب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مضاربه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شرکت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مزارعه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مساقات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ودیعه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عاریه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غصب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ولایات، یعنی آنچه مربوط به حاکم و امت در جامعۀ اسلامی است؛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به معروف و نهی از منکر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زکات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سبق و رمایه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شئون قضائیه و جزائیه، یعنی آنچه به نزاع‌ها و تجاوز به حدود الهی مربوط می‌شود؛ نظیر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برای بیان احکام فقهی، اغلب از عبارت‌های گویا و جامعِ نصوصِ مأثور برگزیده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مواردی که این کار میسور نبوده، حداقلّ از عین واژه‌های به‌کاررفته در روایات بهره برده است؛ برای مثال، مؤلف دربارۀ وجوب نماز جمعه، سه مسئله نقل می‌کند که اولینِ آن‌ها به این شرح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اللّه فرض علی النّاس من الجمعة إلی الجمعة خمساً و ثلاثین صلاة منها صلاة واحدة و هی الجمعة، فرضها اللّه فی جماعة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فریضة واجبة إلی یوم القیامة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حقّ علی کلّ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حجّ للمساکین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أتاها استأنف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خفّف علیه أهوال یوم القیامة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یعذر فیها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ترکها من غیر عذر ثلاثاً فهو منافق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اللّه علی قلبه بخاتم النّفاق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ترک حضور الأضحی عشر مرّات، أهون من ترک حضورها مرّةً من غیر علّة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یک مسئله دربارۀ وجوب و اهمیت نماز جمعه است که درحقیقت، ترکیبی است از قطعات نُه حدیث که به صورتی منسجم، کنار یکدیگر گذاشته شده‌اند و نشانی همۀ قطعات، با دقت در پانوشت کتاب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حکم هر مسئله و فروع آن، از زبان معصوم آمده است</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منبع روایی استفاده‌شده در این اثر، کتاب وسائل الشیعة، اثر شیخ حرّ عاملی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مواردی نادر به الکافی و موسوعۀ فقهی جواهر الکلام استناد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استفاده از نصّ اقوال معصومان دین، اغلب و هر جا که مناسب بوده است، به آیات قرآن کریم نیز استناد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ترتیب می‌توان گفت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آیات‌الأحکام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بیش از چهارصد آیه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تناسب در جای‌جای این کتاب گنجانده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مولّف در استناد به قول معصوم علیه السلام، به سند روایات نیز توجه داشته است، به گونه‌ای که یا اصلاً به روایات ضعیف‌السند ارجاع نداده است، یا این‌گونه روایات را به منزلۀ مؤید پس از روایات موثق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پویندگان مسیر اجتهاد، این اثر می‌تواند دستمایه و رهتوشۀ مناسبی باشد تا بتوانند این راه پر پیچ‌وخم را به گونه‌ای روشمند و باضابطه طی کنند</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به‌هررو، اصل کار، فراتر از آن است که بتوان حق آن را در چند صفحه ادا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این اثر که فلسفه‌اش مأنوس کردن ذهن خوانندگان با زبان و بیان معصومان علیهم السلام است، به زبان فارسی نیز ترجمه شود تا نفع آن، همگانی‌تر شود</w:t>
      </w:r>
      <w:r>
        <w:rPr>
          <w:rFonts w:eastAsia="IRNazanin" w:cs="IRNazanin"/>
          <w:color w:val="111111"/>
          <w:sz w:val="28"/>
          <w:szCs w:val="28"/>
          <w:rtl w:val="true"/>
          <w:lang w:bidi="fa-IR"/>
        </w:rPr>
        <w:t>.</w:t>
      </w:r>
      <w:bookmarkStart w:id="467" w:name="pg14517_146402"/>
    </w:p>
    <w:p>
      <w:pPr>
        <w:pStyle w:val="Heading2"/>
        <w:numPr>
          <w:ilvl w:val="1"/>
          <w:numId w:val="1"/>
        </w:numPr>
        <w:rPr/>
      </w:pPr>
      <w:bookmarkStart w:id="468" w:name="__RefHeading___Toc39950_1878427129"/>
      <w:bookmarkStart w:id="469" w:name="_Toc177"/>
      <w:bookmarkEnd w:id="467"/>
      <w:bookmarkEnd w:id="468"/>
      <w:r>
        <w:rPr>
          <w:rtl w:val="true"/>
        </w:rPr>
        <w:t>ولایت فقیه در اندیشۀ سیاسی آیت اللّه مشکینی</w:t>
      </w:r>
      <w:bookmarkEnd w:id="469"/>
    </w:p>
    <w:p>
      <w:pPr>
        <w:pStyle w:val="Heading3"/>
        <w:numPr>
          <w:ilvl w:val="2"/>
          <w:numId w:val="1"/>
        </w:numPr>
        <w:rPr/>
      </w:pPr>
      <w:bookmarkStart w:id="470" w:name="__RefHeading___Toc39952_1878427129"/>
      <w:bookmarkStart w:id="471" w:name="_Toc178"/>
      <w:bookmarkEnd w:id="470"/>
      <w:r>
        <w:rPr>
          <w:rtl w:val="true"/>
        </w:rPr>
        <w:t>اشاره</w:t>
      </w:r>
      <w:bookmarkEnd w:id="471"/>
    </w:p>
    <w:p>
      <w:pPr>
        <w:pStyle w:val="BookText"/>
        <w:rPr/>
      </w:pPr>
      <w:r>
        <w:rPr>
          <w:rFonts w:ascii="IRNazanin" w:hAnsi="IRNazanin" w:eastAsia="IRNazanin"/>
          <w:color w:val="111111"/>
          <w:sz w:val="28"/>
          <w:sz w:val="28"/>
          <w:szCs w:val="28"/>
          <w:rtl w:val="true"/>
          <w:lang w:bidi="fa-IR"/>
        </w:rPr>
        <w:t>علی‌اکبر عالمیان</w:t>
      </w:r>
      <w:r>
        <w:rPr>
          <w:rStyle w:val="FootnoteAnchor"/>
          <w:rtl w:val="true"/>
        </w:rPr>
        <w:footnoteReference w:id="382"/>
      </w:r>
    </w:p>
    <w:p>
      <w:pPr>
        <w:pStyle w:val="BookText"/>
        <w:rPr/>
      </w:pPr>
      <w:r>
        <w:rPr>
          <w:rFonts w:ascii="IRNazanin" w:hAnsi="IRNazanin" w:eastAsia="IRNazanin"/>
          <w:color w:val="111111"/>
          <w:sz w:val="28"/>
          <w:sz w:val="28"/>
          <w:szCs w:val="28"/>
          <w:rtl w:val="true"/>
          <w:lang w:bidi="fa-IR"/>
        </w:rPr>
        <w:t>محقق و پژوهشگر حوزه و دانشگاه، کارشناس ارشد اندیشۀ سیاسی، کارشناس ارشد تاریخ و تمدن اسلامی، سطح چهار حوزۀ علمیه</w:t>
      </w:r>
      <w:r>
        <w:rPr>
          <w:rFonts w:eastAsia="IRNazanin" w:cs="IRNazanin"/>
          <w:color w:val="111111"/>
          <w:sz w:val="28"/>
          <w:szCs w:val="28"/>
          <w:rtl w:val="true"/>
          <w:lang w:bidi="fa-IR"/>
        </w:rPr>
        <w:t>.</w:t>
      </w:r>
    </w:p>
    <w:p>
      <w:pPr>
        <w:pStyle w:val="Heading3"/>
        <w:numPr>
          <w:ilvl w:val="2"/>
          <w:numId w:val="1"/>
        </w:numPr>
        <w:rPr/>
      </w:pPr>
      <w:bookmarkStart w:id="472" w:name="__RefHeading___Toc39954_1878427129"/>
      <w:bookmarkStart w:id="473" w:name="_Toc179"/>
      <w:bookmarkEnd w:id="472"/>
      <w:r>
        <w:rPr>
          <w:rtl w:val="true"/>
        </w:rPr>
        <w:t>چکیده</w:t>
      </w:r>
      <w:bookmarkEnd w:id="473"/>
    </w:p>
    <w:p>
      <w:pPr>
        <w:pStyle w:val="BookText"/>
        <w:rPr/>
      </w:pPr>
      <w:r>
        <w:rPr>
          <w:rFonts w:ascii="IRNazanin" w:hAnsi="IRNazanin" w:eastAsia="IRNazanin"/>
          <w:color w:val="111111"/>
          <w:sz w:val="28"/>
          <w:sz w:val="28"/>
          <w:szCs w:val="28"/>
          <w:rtl w:val="true"/>
          <w:lang w:bidi="fa-IR"/>
        </w:rPr>
        <w:t>تحقیق حاضر، به بررسی مسئلۀ ولایت فقیه در اندیشۀ سیاسی آیت‌اللّه مشکینی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آیت‌اللّه مشکینی، ولایت فقیه را حکومت مطلقۀ قانون بر ملت و بهترین طرز ممکن برای جریان قانون آسمانی در شریان اجتماع دانسته، ولایت را دارای شاخه‌های ولایت تکوینی، ولایت تشریعی فی‌الجمله و ولایت تشریعی خاص قلمداد می‌کند و ولایت فقیه را زیرمجموعۀ شق سوم، ذکر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منظر وی، ولی فقیه باید دارای شرایط ویژه‌ای باشد تا بتواند کارکردهای خود از قبیل تشکیل حکومت، تسلط بر انفال، ولایت بر اموال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احسن وجه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به ادلۀ نقلی و عقلی در اثبات ولایت فقیه معتقد بوده، به مؤلفه‌هایی ازاین‌دست اشاره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آیت‌اللّه مشکینی، ولی فقیه را منصوب از جانب خداوند می‌داند و رأی و نظر مردم را تأکید ولایت می‌داند، و نه شرط آن</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آیت‌اللّه مشکینی، ولایت فقیه، مرجعیت و ولایت، نصب و مشروعیت الهی، رأی مردمی، اختیارات ولی فقیه</w:t>
      </w:r>
      <w:r>
        <w:rPr>
          <w:rFonts w:eastAsia="IRNazanin" w:cs="IRNazanin"/>
          <w:color w:val="111111"/>
          <w:sz w:val="28"/>
          <w:szCs w:val="28"/>
          <w:rtl w:val="true"/>
          <w:lang w:bidi="fa-IR"/>
        </w:rPr>
        <w:t>.</w:t>
      </w:r>
      <w:bookmarkStart w:id="474" w:name="pg14517_146403"/>
    </w:p>
    <w:p>
      <w:pPr>
        <w:pStyle w:val="Heading3"/>
        <w:numPr>
          <w:ilvl w:val="2"/>
          <w:numId w:val="1"/>
        </w:numPr>
        <w:rPr/>
      </w:pPr>
      <w:bookmarkStart w:id="475" w:name="__RefHeading___Toc39956_1878427129"/>
      <w:bookmarkStart w:id="476" w:name="_Toc180"/>
      <w:bookmarkEnd w:id="474"/>
      <w:bookmarkEnd w:id="475"/>
      <w:r>
        <w:rPr>
          <w:rtl w:val="true"/>
        </w:rPr>
        <w:t>مقدمه</w:t>
      </w:r>
      <w:bookmarkEnd w:id="476"/>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جامع علم و عمل، جهاد و زُهد، تشخیص و سلوک صائب و مستقیم و بدون انحراف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جمله را شاید بتوان کامل‌ترین جمله در وصف مرحوم آیت‌اللّه مشکینی به شمار آورد؛ جمله‌ای که به مناسبت رحلت این فقیه مجاهد و پارسا در پیام مقام معظم رهبری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که به تعبیر رهبری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فقیه جامع‌الاطرافی بود که همۀ جهات در او جمع و با تمام وجود، مغز، جسم، زبان، قلم، زندگی و رفتارش در خدمت اسلام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مدت عمر هشتاد و شش سالۀ خود، خدمات فراوان و بی‌شائبه‌ای برای اعتلای دین مبذول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عرصۀ علم و اخلاق، سرآمد دوران و محل رجوع بسیاری از طلاب جوان و فاضل بود؛ اما وجوه شخصیت ممتازش، به این عرصه منحصر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بر اهمیت ابعاد شخصیتی وی می‌افزاید، افزون بر مقام علمی و اخلاقی، شخصیت سیاسی و اجتماعی آیت‌اللّه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دورانی که زهد، گوشه‌نشینی، تحصیل و تدریس به مثابۀ وظیفه و شأن قطعی روحانیان به شمار می‌آمد، بودند شخصیت‌های متعددی که با شکستن این حصار تنگ، افکار متصلبانه و متحجرانه‌ای نظیر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عزلت و گوشه‌نشینی روحانی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پستوی حجره‌ها درآورده و به دور افکندند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جملۀ این افراد، امام خمینی بود که علی‌رغم فضای محدود و بستۀ حوزه‌ها در آن زمان، ثابت کرد که روحانی می‌تواند عالم و مهذب باشد و در عین حال به مسائل سیاسی وارد شود؛ چرا که دیانت از سیاست جدا نیست و سیرۀ ائمۀ اطهار و صلحا، بر مبارزه با ظلم و جور استوار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آیت‌اللّه مشکینی در محضر امام روح‌اللّه خمینی تلمذ نکرد و بدان صورت شاگرد علمی ایشان به شمار نمی‌رفت؛ اما از آغازین روزهای شنیدن ندای مجاهدانۀ رهبر نهضت اسلامی ملت ایران، به ایشان پیوست و در زمرۀ هم‌رکابان و سربازان خالص امام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گذشته از تحمل مصائب تبعید و شکنجۀ رژیم پهلوی، تلاش مخلصانۀ آیت‌اللّه مشکینی در همراهی امام، آنجا رخ نمود که وی یکی از نظریه‌پردازان انقلاب و حکومت اسلامی به شمار آمد و مجدّانه سعی کرد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w:t>
      </w:r>
    </w:p>
    <w:p>
      <w:pPr>
        <w:pStyle w:val="BookText"/>
        <w:rPr/>
      </w:pPr>
      <w:r>
        <w:rPr>
          <w:rFonts w:ascii="IRNazanin" w:hAnsi="IRNazanin" w:eastAsia="IRNazanin"/>
          <w:color w:val="111111"/>
          <w:sz w:val="28"/>
          <w:sz w:val="28"/>
          <w:szCs w:val="28"/>
          <w:rtl w:val="true"/>
          <w:lang w:bidi="fa-IR"/>
        </w:rPr>
        <w:t>ولایت 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نظامِ حکومتیِ پس از انقلاب اسلامی، تئوریزه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این‌گونه شد که علی‌رغم مخالفت شدید لیبرال‌ها و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مذهبی‌ها، او با چند تن دیگر از یاران امام، این اصل را در شاکلۀ قانون اساسی جمهوری اسلامی ایران گنجاندند و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آرزوی دیرینۀ صالحان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شکل عینی به خود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همه اما، دغدغه‌مندی آیت‌اللّه مشکینی پایان نیافت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ولایت 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منزلۀ اصلی اصولی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حاکم عادل اسلامی، بر مسند امور قرار گرفته شد؛ اما این، همۀ مسائل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دغدغۀ آیت‌اللّه، شناخت نداشتن جامعه دربارۀ این اصل مترقی بود؛ دغدغه‌ای که درست به نظر می‌رسید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سخنرانی خود در اجلاس هفتم مجلس خبرگان رهبری، در تاریخ </w:t>
      </w:r>
      <w:r>
        <w:rPr>
          <w:rFonts w:eastAsia="IRNazanin" w:cs="IRNazanin"/>
          <w:color w:val="111111"/>
          <w:sz w:val="28"/>
          <w:szCs w:val="28"/>
          <w:lang w:bidi="fa-IR"/>
        </w:rPr>
        <w:t>1375/11/23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دغدغۀ خود را پنهان نکرد و به صورت علنی، بیان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آیت‌اللّه در آن سخنرانی مهم اشاره کرد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یک هشدار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دوستان می‌دهم که در نظر من واقعاً یک مسئله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مسئلۀ ولایت الفقیه علی الجامعه، حکومة الفقیه الواجد للشرائط علی الجامعه، در میان روحانیت ما، حتی در حوزۀ علمیۀ ما هم خوب جا نیفتاده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علت این مسئله را نیز به‌خوبی بیان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سال‌های متمادی، بزرگان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با یأس کامل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 قضیه نگاه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الان هم، در بعضی کتاب‌ها، انسان می‌خواند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ولایت، تا حال که نبوده است و بعداً هم قطعاً نخواهد بود تا حضرت بقیة‌اللّه ظهور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چنین اظهار یأسی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این قضیه در یک چنین جوّی بوده، فلذا تازه از این جوّ بیرون آمده‌اند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یک عده‌ای، ولایت فقیه ممکن است جا نیفتاده باشد</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به همین دلیل، خود از هر فرصت مغتنم بهره می‌جست تا برای تبیین مقولۀ ولایت فقیه، گام مؤثر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حاضر، دقیقاً در همین راستا به نگارش درآمده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اینکه اندیشۀ آیت‌اللّه مشکینی، دربارۀ ولایت فقیه، به صورت پراکنده و بیشتر در قالب سخنرانی و بیانات مطرح شده است، در این تحقیق بر آن شدیم تا با مطالعۀ مباحث گوناگون مطرح‌شده از سوی آیت‌اللّه، بحثی منسجم</w:t>
      </w:r>
      <w:bookmarkStart w:id="477" w:name="pg14517_146405"/>
    </w:p>
    <w:p>
      <w:pPr>
        <w:pStyle w:val="BookText"/>
        <w:rPr/>
      </w:pPr>
      <w:bookmarkEnd w:id="477"/>
      <w:r>
        <w:rPr>
          <w:rFonts w:ascii="IRNazanin" w:hAnsi="IRNazanin" w:eastAsia="IRNazanin"/>
          <w:color w:val="111111"/>
          <w:sz w:val="28"/>
          <w:sz w:val="28"/>
          <w:szCs w:val="28"/>
          <w:rtl w:val="true"/>
          <w:lang w:bidi="fa-IR"/>
        </w:rPr>
        <w:t>دربارۀ ولایت فقیه در اندیشۀ سیاسی ایشان را ارائه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گفته شد، غیر از دو کتاب که به صورت جزیی، اندیشۀ آیت‌اللّه را دربارۀ این بحث مطرح کرده بود، منبع مکتوب دیگری یافت نشد؛ ازاین‌رو با بررسی سخنرانی‌های وی که همگی در اجلاس‌های گوناگون مجلس خبرگان ایراد شده‌اند، به تبیین این مسئله همت گماشته‌ایم</w:t>
      </w:r>
      <w:r>
        <w:rPr>
          <w:rFonts w:eastAsia="IRNazanin" w:cs="IRNazanin"/>
          <w:color w:val="111111"/>
          <w:sz w:val="28"/>
          <w:szCs w:val="28"/>
          <w:rtl w:val="true"/>
          <w:lang w:bidi="fa-IR"/>
        </w:rPr>
        <w:t>.</w:t>
      </w:r>
    </w:p>
    <w:p>
      <w:pPr>
        <w:pStyle w:val="Heading3"/>
        <w:numPr>
          <w:ilvl w:val="2"/>
          <w:numId w:val="1"/>
        </w:numPr>
        <w:rPr/>
      </w:pPr>
      <w:bookmarkStart w:id="478" w:name="__RefHeading___Toc39958_1878427129"/>
      <w:bookmarkStart w:id="479" w:name="_Toc181"/>
      <w:bookmarkEnd w:id="478"/>
      <w:r>
        <w:rPr/>
        <w:t>1</w:t>
      </w:r>
      <w:r>
        <w:rPr>
          <w:rtl w:val="true"/>
        </w:rPr>
        <w:t xml:space="preserve">. </w:t>
      </w:r>
      <w:r>
        <w:rPr>
          <w:rtl w:val="true"/>
        </w:rPr>
        <w:t>کلیات</w:t>
      </w:r>
      <w:bookmarkEnd w:id="479"/>
    </w:p>
    <w:p>
      <w:pPr>
        <w:pStyle w:val="Heading4"/>
        <w:numPr>
          <w:ilvl w:val="3"/>
          <w:numId w:val="1"/>
        </w:numPr>
        <w:rPr/>
      </w:pPr>
      <w:bookmarkStart w:id="480" w:name="__RefHeading___Toc39960_1878427129"/>
      <w:bookmarkStart w:id="481" w:name="_Toc182"/>
      <w:bookmarkEnd w:id="480"/>
      <w:r>
        <w:rPr/>
        <w:t>1.1</w:t>
      </w:r>
      <w:r>
        <w:rPr>
          <w:rtl w:val="true"/>
        </w:rPr>
        <w:t xml:space="preserve">. </w:t>
      </w:r>
      <w:r>
        <w:rPr>
          <w:rtl w:val="true"/>
        </w:rPr>
        <w:t>اهمیت ولایت و رهبری</w:t>
      </w:r>
      <w:bookmarkEnd w:id="481"/>
    </w:p>
    <w:p>
      <w:pPr>
        <w:pStyle w:val="BookText"/>
        <w:rPr/>
      </w:pPr>
      <w:r>
        <w:rPr>
          <w:rFonts w:ascii="IRNazanin" w:hAnsi="IRNazanin" w:eastAsia="IRNazanin"/>
          <w:color w:val="111111"/>
          <w:sz w:val="28"/>
          <w:sz w:val="28"/>
          <w:szCs w:val="28"/>
          <w:rtl w:val="true"/>
          <w:lang w:bidi="fa-IR"/>
        </w:rPr>
        <w:t>اهمیت فراوان مسئلۀ ولایت و رهبری در اسلام، انکارناپذیر به‌شمار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برای هدایت جامعۀ اسلامی و بلکه همۀ جوامع، وجود ولایت و رهبری را ضروری می‌شمارد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جامعه، عبادت الهی و پرهیز از طاغوت، از مؤلفه‌هایی است که قرآن در تعلیل ضرورت ولایت و رهبری بیان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وَلَقَدْ بَعَثْنَا فِی کُلِّ أُمَّةٍ رَسُولًا أَنِ اعْبُدُوا اللَّهَ وَاجْتَنِبُوا الطَّاغُوتَ</w:t>
      </w:r>
      <w:r>
        <w:rPr>
          <w:rFonts w:eastAsia="IRNazanin" w:cs="IRNazanin"/>
          <w:color w:val="111111"/>
          <w:sz w:val="28"/>
          <w:szCs w:val="28"/>
          <w:rtl w:val="true"/>
          <w:lang w:bidi="fa-IR"/>
        </w:rPr>
        <w:t>».</w:t>
      </w:r>
      <w:r>
        <w:rPr>
          <w:rStyle w:val="FootnoteAnchor"/>
          <w:rtl w:val="true"/>
        </w:rPr>
        <w:footnoteReference w:id="38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نحل، آیۀ </w:t>
      </w:r>
      <w:r>
        <w:rPr>
          <w:rFonts w:eastAsia="IRNazanin" w:cs="IRNazanin"/>
          <w:color w:val="111111"/>
          <w:sz w:val="28"/>
          <w:szCs w:val="28"/>
          <w:lang w:bidi="fa-IR"/>
        </w:rPr>
        <w:t>36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قطعاً مؤلفه‌های اشاره‌شده، خروجی مشترکی دارند که سعادت و رستگاری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می‌توان گفت اهمیت مسئلۀ رهبری و ولایت در اسلام، بیش از هر چیز ناشی از دغدغۀ دین ما برای سعادتمندی بشر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آیت‌اللّه مشکینی نیز با توجه به همین اهمیت، به موضوع ولایت و رهبری در اسلام نگریسته و آن را از اصول مهمه می‌داند، و نه مسئله‌ای فرعی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معتقد است که این اهمیت فراوان و تقریباً بی‌بدیل، نشئت‌گرفته از نقشی است که رهبری در سعادت و فلاح جامعه دارد</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مسئلۀ رهبری، یکی از مهم‌ترین مسائلی است که از روز اول در اسلام مطرح بوده و سخن‌ها و صحبت‌ها و جنگ‌ها و خونریزی‌ها و اختلافات پس از نبی اکرم صلی الله علیه و آله برای رهبری زیاد دیده شده؛ زیرا که سعادت همۀ ملت</w:t>
      </w:r>
      <w:bookmarkStart w:id="482" w:name="pg14517_146406"/>
    </w:p>
    <w:p>
      <w:pPr>
        <w:pStyle w:val="BookText"/>
        <w:rPr/>
      </w:pPr>
      <w:bookmarkEnd w:id="482"/>
      <w:r>
        <w:rPr>
          <w:rFonts w:ascii="IRNazanin" w:hAnsi="IRNazanin" w:eastAsia="IRNazanin"/>
          <w:color w:val="111111"/>
          <w:sz w:val="28"/>
          <w:sz w:val="28"/>
          <w:szCs w:val="28"/>
          <w:rtl w:val="true"/>
          <w:lang w:bidi="fa-IR"/>
        </w:rPr>
        <w:t>و سعادت تمام جامعه و خیر دنیا و خیر آخرت جامعه در سایۀ رهبری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فلذا در اسلام برای این مقام و منصب و برای این قسمت، آثار بسیار زیاد و اهمیت بسیار زیادی داده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نقش رهبری در سعادتمندی یا شقاوتمندی هر جامعه، مسئله‌ای نیست که بتوان از آن چشم پوشید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دقیقاً به همین دلیل است که در نگاه آیت‌اللّه مشکینی، امر ولایت و رهبری جدا از اهمیت آن، مسئله‌ای خطیر به شمار می‌آید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مقام ولایت، بسیار خطیر است؛ امری است هم خطیر، و هم خطرناک، و هم بزرگ؛ برای اینکه امور یک کشور عظیمی و اگر ممکن شود، یک مملکت‌هایی را زیر نظر او قرار می‌دهد</w:t>
      </w:r>
      <w:r>
        <w:rPr>
          <w:rFonts w:eastAsia="IRNazanin" w:cs="IRNazanin"/>
          <w:color w:val="111111"/>
          <w:sz w:val="28"/>
          <w:szCs w:val="28"/>
          <w:rtl w:val="true"/>
          <w:lang w:bidi="fa-IR"/>
        </w:rPr>
        <w:t>...».</w:t>
      </w:r>
      <w:r>
        <w:rPr>
          <w:rStyle w:val="FootnoteAnchor"/>
          <w:rtl w:val="true"/>
        </w:rPr>
        <w:footnoteReference w:id="38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آیت‌اللّه مشکینی در مجلس خبرگان،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سخنرانی در اجلاس پنجم، دورۀ سوم، جلسۀ اول، </w:t>
      </w:r>
      <w:r>
        <w:rPr>
          <w:rFonts w:eastAsia="IRNazanin" w:cs="IRNazanin"/>
          <w:color w:val="111111"/>
          <w:sz w:val="28"/>
          <w:szCs w:val="28"/>
          <w:lang w:bidi="fa-IR"/>
        </w:rPr>
        <w:t>1379/11/24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می‌توان نتیجه گرفت که در اندیشۀ آیت‌اللّه مشکینی، ولایت و رهبری از دو جهت دارای اهمیت و ویژگی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اول، اداره و تدبیر جامعه و ایجاد نظم و امنیت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و جهت دوم و مهم‌تر، هدایت 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منظر آیت‌اللّه، ولایت و رهبری، هم ادارۀ جامعه است، و هم هدایت آن، و مدیریت و هدایت جامعه بر خطیر و بزرگ بودن مسئلۀ رهبری صحه می‌گذارد</w:t>
      </w:r>
      <w:r>
        <w:rPr>
          <w:rFonts w:eastAsia="IRNazanin" w:cs="IRNazanin"/>
          <w:color w:val="111111"/>
          <w:sz w:val="28"/>
          <w:szCs w:val="28"/>
          <w:rtl w:val="true"/>
          <w:lang w:bidi="fa-IR"/>
        </w:rPr>
        <w:t>.</w:t>
      </w:r>
    </w:p>
    <w:p>
      <w:pPr>
        <w:pStyle w:val="Heading4"/>
        <w:numPr>
          <w:ilvl w:val="3"/>
          <w:numId w:val="1"/>
        </w:numPr>
        <w:rPr/>
      </w:pPr>
      <w:bookmarkStart w:id="483" w:name="__RefHeading___Toc39962_1878427129"/>
      <w:bookmarkStart w:id="484" w:name="_Toc183"/>
      <w:bookmarkEnd w:id="483"/>
      <w:r>
        <w:rPr/>
        <w:t>1.2</w:t>
      </w:r>
      <w:r>
        <w:rPr>
          <w:rtl w:val="true"/>
        </w:rPr>
        <w:t xml:space="preserve">. </w:t>
      </w:r>
      <w:r>
        <w:rPr>
          <w:rtl w:val="true"/>
        </w:rPr>
        <w:t>انواع ولایت</w:t>
      </w:r>
      <w:bookmarkEnd w:id="484"/>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آشکار است که پیش از تبیین سایر مؤلفه‌های مربوط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 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قبیل شرایط، نصوص، منشأ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 است تا به صورت اجمالی، به انواع ولایت در اندیشۀ سیاسی آیت‌اللّه مشکینی اشاره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ثمرۀ این بحث آنجا رخ می‌نماید که ولایت فقیه، شعبه‌ای از یکی از اقسام این ولایت به شمار آمده، تبیین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دیدگاه آیت‌اللّه مشکینی، ولی امر مردم گاه معصوم است و گاه غیرمعصوم</w:t>
      </w:r>
      <w:r>
        <w:rPr>
          <w:rFonts w:eastAsia="IRNazanin" w:cs="IRNazanin"/>
          <w:color w:val="111111"/>
          <w:sz w:val="28"/>
          <w:szCs w:val="28"/>
          <w:rtl w:val="true"/>
          <w:lang w:bidi="fa-IR"/>
        </w:rPr>
        <w:t>.</w:t>
      </w:r>
      <w:r>
        <w:rPr>
          <w:rStyle w:val="FootnoteAnchor"/>
          <w:rtl w:val="true"/>
        </w:rPr>
        <w:footnoteReference w:id="385"/>
      </w:r>
      <w:r>
        <w:rPr>
          <w:rFonts w:ascii="IRNazanin" w:hAnsi="IRNazanin" w:eastAsia="IRNazanin"/>
          <w:color w:val="111111"/>
          <w:sz w:val="28"/>
          <w:sz w:val="28"/>
          <w:szCs w:val="28"/>
          <w:rtl w:val="true"/>
          <w:lang w:bidi="fa-IR"/>
        </w:rPr>
        <w:t>به دیگر سخن، ولایت، گاه شاکلۀ عصمت دارد و متعلق به معصومین است، و گاه شاکلۀ عصمت نداشته و در اختیار افراد غیرمعصوم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سان که ولایت،</w:t>
      </w:r>
    </w:p>
    <w:p>
      <w:pPr>
        <w:pStyle w:val="BookText"/>
        <w:rPr/>
      </w:pPr>
      <w:r>
        <w:rPr>
          <w:rFonts w:ascii="IRNazanin" w:hAnsi="IRNazanin" w:eastAsia="IRNazanin"/>
          <w:color w:val="111111"/>
          <w:sz w:val="28"/>
          <w:sz w:val="28"/>
          <w:szCs w:val="28"/>
          <w:rtl w:val="true"/>
          <w:lang w:bidi="fa-IR"/>
        </w:rPr>
        <w:t>به معصوم متعلق باشد، سه نوع ولایت از سوی خداوند برای معصوم جعل می‌شود و این سه نوع ولایت از این قرار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تکوینی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ولایت از مسائلی است که بحثی در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اسلام و ائمه علیهم السلام و انبیای گذشته، دارای این ولایت بودند؛ اما ولایتشان نه بر همۀ عالم، بلکه بر چیزهای مختصری از اجزای عالم بود</w:t>
      </w:r>
      <w:r>
        <w:rPr>
          <w:rFonts w:eastAsia="IRNazanin" w:cs="IRNazanin"/>
          <w:color w:val="111111"/>
          <w:sz w:val="28"/>
          <w:szCs w:val="28"/>
          <w:rtl w:val="true"/>
          <w:lang w:bidi="fa-IR"/>
        </w:rPr>
        <w:t>.</w:t>
      </w:r>
      <w:r>
        <w:rPr>
          <w:rStyle w:val="FootnoteAnchor"/>
          <w:rtl w:val="true"/>
        </w:rPr>
        <w:footnoteReference w:id="38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آیت‌اللّه مشکینی جهت توضیح این معنا، به مثال‌هایی از برخی پیامبران از قبیل حضرت ابراهیم، حضرت موسی و حضرت عیسی علیهم السلام اشاره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دربارۀ حضرت ابراهیم علیه السلام می‌گوید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حضرت ابراهیم علیه السلام درباره‌اش وارد شده است که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اجعَل علی کلِّ مِنهُنَّ جُزأً ثُمَّ ادعُهُنَّ یأتینکَ سَعیاً</w:t>
      </w:r>
      <w:r>
        <w:rPr>
          <w:rFonts w:eastAsia="Amiri" w:cs="Amiri" w:ascii="Amiri" w:hAnsi="Amiri"/>
          <w:color w:val="111111"/>
          <w:sz w:val="28"/>
          <w:szCs w:val="28"/>
          <w:rtl w:val="true"/>
          <w:lang w:bidi="ar-SA"/>
        </w:rPr>
        <w:t>»</w:t>
      </w:r>
      <w:r>
        <w:rPr>
          <w:rStyle w:val="FootnoteAnchor"/>
          <w:rtl w:val="true"/>
        </w:rPr>
        <w:footnoteReference w:id="38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ادعهن یأتینک سعیاً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بخوان آن‌ها را، آن اجزایی که اجزای میته است، همۀ آن‌ها را بخوان؛ که اگر تو بخوانی، آن‌ها دعوت تو را اجابت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ولایت تکوینی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ادعهنّ یأتینک سعیاً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 و آن‌ها هم زنده شدند و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یکی از مصادیق روشن ولایت تکوینی بر چیزی از اجزای عالم است</w:t>
      </w:r>
      <w:r>
        <w:rPr>
          <w:rFonts w:eastAsia="IRNazanin" w:cs="IRNazanin"/>
          <w:color w:val="111111"/>
          <w:sz w:val="28"/>
          <w:szCs w:val="28"/>
          <w:rtl w:val="true"/>
          <w:lang w:bidi="fa-IR"/>
        </w:rPr>
        <w:t>.</w:t>
      </w:r>
      <w:r>
        <w:rPr>
          <w:rStyle w:val="FootnoteAnchor"/>
          <w:rtl w:val="true"/>
        </w:rPr>
        <w:footnoteReference w:id="388"/>
      </w:r>
    </w:p>
    <w:p>
      <w:pPr>
        <w:pStyle w:val="BookText"/>
        <w:rPr/>
      </w:pPr>
      <w:r>
        <w:rPr>
          <w:rFonts w:ascii="IRNazanin" w:hAnsi="IRNazanin" w:eastAsia="IRNazanin"/>
          <w:color w:val="111111"/>
          <w:sz w:val="28"/>
          <w:sz w:val="28"/>
          <w:szCs w:val="28"/>
          <w:rtl w:val="true"/>
          <w:lang w:bidi="fa-IR"/>
        </w:rPr>
        <w:t>در این نوع از ولایت بحثی نیست و محل کلام به‌شمار نمی‌آید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تشریعی فی‌الجمله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دیگر ولایت، ولایت تشریعی فی‌الجمله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تشریعی آن است که بر مجموعۀ قوانین و دین، ولایت دارد</w:t>
      </w:r>
      <w:r>
        <w:rPr>
          <w:rFonts w:eastAsia="IRNazanin" w:cs="IRNazanin"/>
          <w:color w:val="111111"/>
          <w:sz w:val="28"/>
          <w:szCs w:val="28"/>
          <w:rtl w:val="true"/>
          <w:lang w:bidi="fa-IR"/>
        </w:rPr>
        <w:t>.</w:t>
      </w:r>
      <w:r>
        <w:rPr>
          <w:rStyle w:val="FootnoteAnchor"/>
          <w:rtl w:val="true"/>
        </w:rPr>
        <w:footnoteReference w:id="389"/>
      </w:r>
      <w:r>
        <w:rPr>
          <w:rFonts w:ascii="IRNazanin" w:hAnsi="IRNazanin" w:eastAsia="IRNazanin"/>
          <w:color w:val="111111"/>
          <w:sz w:val="28"/>
          <w:sz w:val="28"/>
          <w:szCs w:val="28"/>
          <w:rtl w:val="true"/>
          <w:lang w:bidi="fa-IR"/>
        </w:rPr>
        <w:t>این نوع از ولایت تشریعی بدان معناست که خداوند، مجموعه‌ای از قوانین را از طریق پیامبر صلی الله علیه و آله به ائمه واگذار کرده، به آن‌ها ولایت می‌دهد که چیزی از آن را کم یا زیاد کنند؛ نه آن تصرفاتی که ارکان را تغییر دهد، بلکه تصرفاتی فی‌الجمله در این احکام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آیت‌اللّه مشکینی در تبیین این قسم از ولایت می‌گوید</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ولایت تشریعی هم دارند که باز مختص به آن‌هاست، و آن، ولایت</w:t>
      </w:r>
    </w:p>
    <w:p>
      <w:pPr>
        <w:pStyle w:val="BookText"/>
        <w:rPr/>
      </w:pPr>
      <w:r>
        <w:rPr>
          <w:rFonts w:ascii="IRNazanin" w:hAnsi="IRNazanin" w:eastAsia="IRNazanin"/>
          <w:color w:val="111111"/>
          <w:sz w:val="28"/>
          <w:sz w:val="28"/>
          <w:szCs w:val="28"/>
          <w:rtl w:val="true"/>
          <w:lang w:bidi="fa-IR"/>
        </w:rPr>
        <w:t>بر احکام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دین را در اختیار پیامبر گذاشته و یک ولایتی بر این قوانین به او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ولایت بر احکام دارد، آن هم فی‌الجمله است؛ یعنی چنین نیست که ارکان احکام را بتوانند بردارند، نماز را لغو کنند، تحریم خمر را بردارند؛ نه، فی‌الجمله فروعاتی می‌توانند اضافه کنند یا فروعاتی را تبدیل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قضا پیامبر گرامی صلی الله علیه و آله به این ولایت عمل کرده است و بر طبق این ولایت، کارهایی را اجراء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از روایات دارد که بعد از اینکه حکمی را جعل می‌کند، حضرت، عرضه می‌دارد به ساحت اقدس الهی و خدا اجازه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به‌هرحال، یک چنین ولایتی دارد</w:t>
      </w:r>
      <w:r>
        <w:rPr>
          <w:rFonts w:eastAsia="IRNazanin" w:cs="IRNazanin"/>
          <w:color w:val="111111"/>
          <w:sz w:val="28"/>
          <w:szCs w:val="28"/>
          <w:rtl w:val="true"/>
          <w:lang w:bidi="fa-IR"/>
        </w:rPr>
        <w:t>.</w:t>
      </w:r>
      <w:r>
        <w:rPr>
          <w:rStyle w:val="FootnoteAnchor"/>
          <w:rtl w:val="true"/>
        </w:rPr>
        <w:footnoteReference w:id="390"/>
      </w:r>
    </w:p>
    <w:p>
      <w:pPr>
        <w:pStyle w:val="BookText"/>
        <w:rPr/>
      </w:pP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سخنرانی در اجلاس هفتم، دورۀ دوم، جلسۀ اول، </w:t>
      </w:r>
      <w:r>
        <w:rPr>
          <w:rFonts w:eastAsia="IRNazanin" w:cs="IRNazanin"/>
          <w:color w:val="111111"/>
          <w:sz w:val="28"/>
          <w:szCs w:val="28"/>
          <w:lang w:bidi="fa-IR"/>
        </w:rPr>
        <w:t>1375/11/23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آنچه از دیدگاه آیت‌اللّه مشکینی محل بحث ماست، این دو نوع از ولایت نیست و بحث ما دربارۀ ولایت تشریعی خاص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تشریعی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سوم از انواع ولایت، ولایت تشریعی خاص است که در اندیشۀ آیت‌اللّه مشکینی مطرح شده و مشمول ولایتِ فقیهان نیز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دراین‌باره معتقد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که محل صحبت است، یک ولایت تشریعی خاصی است که پیامبر صلی الله علیه و آله و ائمه علیهم السلام آن ولایت را دارند وآن، ولایت بر نفوس جامعه و ولایت بر اموال عامۀ جامعه است</w:t>
      </w:r>
      <w:r>
        <w:rPr>
          <w:rFonts w:eastAsia="IRNazanin" w:cs="IRNazanin"/>
          <w:color w:val="111111"/>
          <w:sz w:val="28"/>
          <w:szCs w:val="28"/>
          <w:rtl w:val="true"/>
          <w:lang w:bidi="fa-IR"/>
        </w:rPr>
        <w:t>».</w:t>
      </w:r>
      <w:r>
        <w:rPr>
          <w:rStyle w:val="FootnoteAnchor"/>
          <w:rtl w:val="true"/>
        </w:rPr>
        <w:footnoteReference w:id="391"/>
      </w:r>
      <w:r>
        <w:rPr>
          <w:rFonts w:ascii="IRNazanin" w:hAnsi="IRNazanin" w:eastAsia="IRNazanin"/>
          <w:color w:val="111111"/>
          <w:sz w:val="28"/>
          <w:sz w:val="28"/>
          <w:szCs w:val="28"/>
          <w:rtl w:val="true"/>
          <w:lang w:bidi="fa-IR"/>
        </w:rPr>
        <w:t>این نوع از ولایت، البته موجب پرسش‌هایی نیز دربارۀ جامعه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 اول آن است که ولایت تشریعی خاص، آیا فقط مشمول اموال عامه می‌شود و شامل اموال خاصه نمی‌شود؟ آیت‌اللّه مشکینی، به این پرسش این‌گونه پاسخ می‌دهد</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اموال خاصه، مورد بحث نیست و خود ائمه علیهم السلام هم با اموال خاصه، کاری نداشتند مگر اینکه اتفاقاً لضرورة؛ و لذا برخی خیال کرده‌اند که اگر این طور ولایتی، ائمه علیهم السلام دارند، پس می‌توانند زن کسی را طلاق دهند و خودشان ازدواج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ولایت، ولایت بر اموال خاصه نیست؛ ولایت بر اموال</w:t>
      </w:r>
      <w:bookmarkStart w:id="485" w:name="pg14517_146409"/>
    </w:p>
    <w:p>
      <w:pPr>
        <w:pStyle w:val="BookText"/>
        <w:rPr/>
      </w:pPr>
      <w:bookmarkEnd w:id="485"/>
      <w:r>
        <w:rPr>
          <w:rFonts w:ascii="IRNazanin" w:hAnsi="IRNazanin" w:eastAsia="IRNazanin"/>
          <w:color w:val="111111"/>
          <w:sz w:val="28"/>
          <w:sz w:val="28"/>
          <w:szCs w:val="28"/>
          <w:rtl w:val="true"/>
          <w:lang w:bidi="fa-IR"/>
        </w:rPr>
        <w:t>عام، نفوس و اموال عام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فی‌الجمله، بر اموال خاصه هم ولایت دارند که محل بحث ما نیست</w:t>
      </w:r>
      <w:r>
        <w:rPr>
          <w:rFonts w:eastAsia="IRNazanin" w:cs="IRNazanin"/>
          <w:color w:val="111111"/>
          <w:sz w:val="28"/>
          <w:szCs w:val="28"/>
          <w:rtl w:val="true"/>
          <w:lang w:bidi="fa-IR"/>
        </w:rPr>
        <w:t>.</w:t>
      </w:r>
      <w:r>
        <w:rPr>
          <w:rStyle w:val="FootnoteAnchor"/>
          <w:rtl w:val="true"/>
        </w:rPr>
        <w:footnoteReference w:id="392"/>
      </w:r>
    </w:p>
    <w:p>
      <w:pPr>
        <w:pStyle w:val="BookText"/>
        <w:rPr/>
      </w:pP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97</w:t>
      </w:r>
      <w:r>
        <w:rPr>
          <w:rFonts w:eastAsia="IRNazanin" w:cs="IRNazanin"/>
          <w:color w:val="111111"/>
          <w:sz w:val="28"/>
          <w:szCs w:val="28"/>
          <w:rtl w:val="true"/>
          <w:lang w:bidi="fa-IR"/>
        </w:rPr>
        <w:t>-</w:t>
      </w:r>
      <w:r>
        <w:rPr>
          <w:rFonts w:eastAsia="IRNazanin" w:cs="IRNazanin"/>
          <w:color w:val="111111"/>
          <w:sz w:val="28"/>
          <w:szCs w:val="28"/>
          <w:lang w:bidi="fa-IR"/>
        </w:rPr>
        <w:t>98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 دوم نیز این است که گسترۀ این ولایت چه مقدار است‌؟ آیا این نوع از ولایت، فقط مختص معصوم است، یا آنکه گسترۀ آن بیشتر بوده، شامل غیرمعصوم هم می‌شود؟ مثلاً آیا مالک اشتر نخعی که در زمان حضور معصوم می‌زیست و افرادی که در عصر حیات معصوم نبودند و اکنون به نصب عام، ولایت دارند، سعۀ ولایتشان به همان اندازۀ معصوم است‌؟ آیت‌اللّه مشکینی در پاسخ به این پرسش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آنانی که از قِبل المعصوم، منصوب هستند، چه در زمان حضورشان باشند، مانند مالک اشتر و سلمان فارسی و عبداللّه بن عباس و عبیداللّه بن عباس و چه در زمان غیبت باشند، اینان را که نصب می‌کند، اینان، ولایت تشریعی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طرف معصوم، قابل جعل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اینان، همان ولایت است و سعه و ضیق آن، همان است که معصوم داشته است</w:t>
      </w:r>
      <w:r>
        <w:rPr>
          <w:rFonts w:eastAsia="IRNazanin" w:cs="IRNazanin"/>
          <w:color w:val="111111"/>
          <w:sz w:val="28"/>
          <w:szCs w:val="28"/>
          <w:rtl w:val="true"/>
          <w:lang w:bidi="fa-IR"/>
        </w:rPr>
        <w:t>....</w:t>
      </w:r>
      <w:r>
        <w:rPr>
          <w:rStyle w:val="FootnoteAnchor"/>
          <w:rtl w:val="true"/>
        </w:rPr>
        <w:footnoteReference w:id="393"/>
      </w:r>
    </w:p>
    <w:p>
      <w:pPr>
        <w:pStyle w:val="BookText"/>
        <w:rPr/>
      </w:pPr>
      <w:r>
        <w:rPr>
          <w:rFonts w:ascii="IRNazanin" w:hAnsi="IRNazanin" w:eastAsia="IRNazanin"/>
          <w:color w:val="111111"/>
          <w:sz w:val="28"/>
          <w:sz w:val="28"/>
          <w:szCs w:val="28"/>
          <w:rtl w:val="true"/>
          <w:lang w:bidi="fa-IR"/>
        </w:rPr>
        <w:t>بر همین اساس، و بعد از تقسیم‌بندی سه‌گانۀ آیت‌اللّه دربارۀ بحث ولایت، ولایتِ فقیهان را در عِداد قسم سوم ذکرشده دانسته،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ولایتی که بر فقیه ثابت می‌شود، شعبه‌ای از این قسم سوم از ولایت است؛ یعنی ولایت تشریعیه‌ای که معصوم نسبت به جامعه دارد، و الولایة علی الانفس و الاموال شعبه‌ای از این ولایت، برای فقیه ثابت شده است</w:t>
      </w:r>
      <w:r>
        <w:rPr>
          <w:rFonts w:eastAsia="IRNazanin" w:cs="IRNazanin"/>
          <w:color w:val="111111"/>
          <w:sz w:val="28"/>
          <w:szCs w:val="28"/>
          <w:rtl w:val="true"/>
          <w:lang w:bidi="fa-IR"/>
        </w:rPr>
        <w:t>».</w:t>
      </w:r>
      <w:r>
        <w:rPr>
          <w:rStyle w:val="FootnoteAnchor"/>
          <w:rtl w:val="true"/>
        </w:rPr>
        <w:footnoteReference w:id="394"/>
      </w:r>
    </w:p>
    <w:p>
      <w:pPr>
        <w:pStyle w:val="Heading4"/>
        <w:numPr>
          <w:ilvl w:val="3"/>
          <w:numId w:val="1"/>
        </w:numPr>
        <w:rPr/>
      </w:pPr>
      <w:bookmarkStart w:id="486" w:name="__RefHeading___Toc39964_1878427129"/>
      <w:bookmarkStart w:id="487" w:name="_Toc184"/>
      <w:bookmarkEnd w:id="486"/>
      <w:r>
        <w:rPr/>
        <w:t>1.3</w:t>
      </w:r>
      <w:r>
        <w:rPr>
          <w:rtl w:val="true"/>
        </w:rPr>
        <w:t xml:space="preserve">. </w:t>
      </w:r>
      <w:r>
        <w:rPr>
          <w:rtl w:val="true"/>
        </w:rPr>
        <w:t>مفهوم و معنای ولایت فقیه</w:t>
      </w:r>
      <w:bookmarkEnd w:id="487"/>
    </w:p>
    <w:p>
      <w:pPr>
        <w:pStyle w:val="BookText"/>
        <w:rPr/>
      </w:pPr>
      <w:r>
        <w:rPr>
          <w:rFonts w:ascii="IRNazanin" w:hAnsi="IRNazanin" w:eastAsia="IRNazanin"/>
          <w:color w:val="111111"/>
          <w:sz w:val="28"/>
          <w:sz w:val="28"/>
          <w:szCs w:val="28"/>
          <w:rtl w:val="true"/>
          <w:lang w:bidi="fa-IR"/>
        </w:rPr>
        <w:t xml:space="preserve">آیت‌اللّه مشکینی جهت تبیین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 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چهار مقدمه تمسک می‌جوید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مقدمۀ اول، ولایت به معنای عام را از لحاظ لغوی و اصطلاحی بررسی می‌کند</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ولایت از منظر لغت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آیت‌اللّه،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به معنای پیروی و تبعیت</w:t>
      </w:r>
    </w:p>
    <w:p>
      <w:pPr>
        <w:pStyle w:val="BookText"/>
        <w:rPr/>
      </w:pPr>
      <w:r>
        <w:rPr>
          <w:rFonts w:ascii="IRNazanin" w:hAnsi="IRNazanin" w:eastAsia="IRNazanin"/>
          <w:color w:val="111111"/>
          <w:sz w:val="28"/>
          <w:sz w:val="28"/>
          <w:szCs w:val="28"/>
          <w:rtl w:val="true"/>
          <w:lang w:bidi="fa-IR"/>
        </w:rPr>
        <w:t>بدون فاصله از شیء است</w:t>
      </w:r>
      <w:r>
        <w:rPr>
          <w:rFonts w:eastAsia="IRNazanin" w:cs="IRNazanin"/>
          <w:color w:val="111111"/>
          <w:sz w:val="28"/>
          <w:szCs w:val="28"/>
          <w:rtl w:val="true"/>
          <w:lang w:bidi="fa-IR"/>
        </w:rPr>
        <w:t>.</w:t>
      </w:r>
      <w:r>
        <w:rPr>
          <w:rStyle w:val="FootnoteAnchor"/>
          <w:rtl w:val="true"/>
        </w:rPr>
        <w:footnoteReference w:id="39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واجب و حرام، ص </w:t>
      </w:r>
      <w:r>
        <w:rPr>
          <w:rFonts w:eastAsia="IRNazanin" w:cs="IRNazanin"/>
          <w:color w:val="111111"/>
          <w:sz w:val="28"/>
          <w:szCs w:val="28"/>
          <w:lang w:bidi="fa-IR"/>
        </w:rPr>
        <w:t>70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البته غیر از این معنا، بر معنای لغوی دیگری نیز تأکید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وی معنای دوم ولایت عبارت است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سلطه و استیلاء بر شیء و یا کار، که مسلط طبق ارادۀ خود در مسلط علیه تصرف و تدبیر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ولایت از منظر اصطلاح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تبیین دو معنای لغوی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آیت‌اللّه مشکینی به بیان مفهوم اصطلاحی این واژه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وی، ولایت در اصطلاح فقهی، از مصادیق معنای دوم، یعنی سلطه و استیلاء بر شیء یا کار به شمار می‌آید و از مناصب قابل جعل و انشاء محسوب می‌شود و حقیقت آن، سلطه و حاکمیتی است که از طرف خداوند دربارۀ معصوم، یا از طرف معصوم دربارۀ غیرمعصوم انشاء و اعطاء شود</w:t>
      </w:r>
      <w:r>
        <w:rPr>
          <w:rFonts w:eastAsia="IRNazanin" w:cs="IRNazanin"/>
          <w:color w:val="111111"/>
          <w:sz w:val="28"/>
          <w:szCs w:val="28"/>
          <w:rtl w:val="true"/>
          <w:lang w:bidi="fa-IR"/>
        </w:rPr>
        <w:t>.</w:t>
      </w:r>
      <w:r>
        <w:rPr>
          <w:rStyle w:val="FootnoteAnchor"/>
          <w:rtl w:val="true"/>
        </w:rPr>
        <w:footnoteReference w:id="396"/>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ذکر مقدمۀ اول که بیان مفهوم لغوی و اصطلاحی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آیت‌اللّه به ذکر مقدمۀ دوم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مقدمۀ دوم عبارت از آن است که جوامع پس از پیمودن راه توحش و رسیدن به مرحلۀ تعاون و تمدن، برحسب اقتضای طبیعت و سنت تکوین، نیازمند تشکیل حکومت و در نتیجه نیازمند تعیین و انتخاب حاکم شدند و کتب آسمانی و شرایع الهی نیز بر طبق سنت تکوین نازل شد و سنت تشریعی الهی با سنت جاریۀ تکوین توافق یافت و در نتیجه، انبیاء عظام از طرف حضرت حق برای منصب ولایت امت و حاکمیت جامعه انتصاب شدند و آنان نیز اوصیاء خویش را انتخاب کردند</w:t>
      </w:r>
      <w:r>
        <w:rPr>
          <w:rFonts w:eastAsia="IRNazanin" w:cs="IRNazanin"/>
          <w:color w:val="111111"/>
          <w:sz w:val="28"/>
          <w:szCs w:val="28"/>
          <w:rtl w:val="true"/>
          <w:lang w:bidi="fa-IR"/>
        </w:rPr>
        <w:t>.</w:t>
      </w:r>
      <w:r>
        <w:rPr>
          <w:rStyle w:val="FootnoteAnchor"/>
          <w:rtl w:val="true"/>
        </w:rPr>
        <w:footnoteReference w:id="397"/>
      </w:r>
      <w:r>
        <w:rPr>
          <w:rFonts w:ascii="IRNazanin" w:hAnsi="IRNazanin" w:eastAsia="IRNazanin"/>
          <w:color w:val="111111"/>
          <w:sz w:val="28"/>
          <w:sz w:val="28"/>
          <w:szCs w:val="28"/>
          <w:rtl w:val="true"/>
          <w:lang w:bidi="fa-IR"/>
        </w:rPr>
        <w:t>پس از ذکر این مقدمه، مقدمۀ سوم نیز شکل می‌پذیرد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مقدمۀ سوم، بر مقدمۀ دوم مبتنی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گرامی اسلام صلی الله علیه و آله، ائمۀ معصوم علیهم السلام را در جایگاه امامت و ولایت بر جوامع تعیین و انتخاب فرمود و ائمه، فقهاء واجد شرایط افتاء و ولایت را حاکم و ولی امر مسلمین در ازمنۀ غیبت انتخاب و نصب کردند</w:t>
      </w:r>
      <w:r>
        <w:rPr>
          <w:rFonts w:eastAsia="IRNazanin" w:cs="IRNazanin"/>
          <w:color w:val="111111"/>
          <w:sz w:val="28"/>
          <w:szCs w:val="28"/>
          <w:rtl w:val="true"/>
          <w:lang w:bidi="fa-IR"/>
        </w:rPr>
        <w:t>.</w:t>
      </w:r>
      <w:r>
        <w:rPr>
          <w:rStyle w:val="FootnoteAnchor"/>
          <w:rtl w:val="true"/>
        </w:rPr>
        <w:footnoteReference w:id="398"/>
      </w:r>
      <w:r>
        <w:rPr>
          <w:rFonts w:ascii="IRNazanin" w:hAnsi="IRNazanin" w:eastAsia="IRNazanin"/>
          <w:color w:val="111111"/>
          <w:sz w:val="28"/>
          <w:sz w:val="28"/>
          <w:szCs w:val="28"/>
          <w:rtl w:val="true"/>
          <w:lang w:bidi="fa-IR"/>
        </w:rPr>
        <w:t>با ذکر این سه مقدمه، طبق آنچه از ادله استفاده می‌شود، آیت‌اللّه مشکینی به ذکر مقدمۀ</w:t>
      </w:r>
      <w:bookmarkStart w:id="488" w:name="pg14517_146411"/>
    </w:p>
    <w:p>
      <w:pPr>
        <w:pStyle w:val="BookText"/>
        <w:rPr/>
      </w:pPr>
      <w:bookmarkEnd w:id="488"/>
      <w:r>
        <w:rPr>
          <w:rFonts w:ascii="IRNazanin" w:hAnsi="IRNazanin" w:eastAsia="IRNazanin"/>
          <w:color w:val="111111"/>
          <w:sz w:val="28"/>
          <w:sz w:val="28"/>
          <w:szCs w:val="28"/>
          <w:rtl w:val="true"/>
          <w:lang w:bidi="fa-IR"/>
        </w:rPr>
        <w:t>چهارم و درواقع منظور و مرادش از معنای ولایت فقیه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منظر وی، ولایت فقیه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وراثت نظام عدالت از مقام عصمت، حاکمیت اصلح و الیق بر افراد جامعه در زمان غیبت، تحقق مرتبه‌ای از وعدۀ الهی بر امامت مستضعفان، گوشه‌ای از تجلی حاکمیت خلیفة‌اللّه بر عباداللّه، حکومت مطلقۀ قانون بر ملت، تابش آفتاب امامت از پشت پردۀ غیبت، انتخاب اصلح برای اجرای قوانین الهی، و بهترین طرز ممکن برای جریان قانون آسمانی در شریان اجتماع</w:t>
      </w:r>
      <w:r>
        <w:rPr>
          <w:rFonts w:eastAsia="IRNazanin" w:cs="IRNazanin"/>
          <w:color w:val="111111"/>
          <w:sz w:val="28"/>
          <w:szCs w:val="28"/>
          <w:rtl w:val="true"/>
          <w:lang w:bidi="fa-IR"/>
        </w:rPr>
        <w:t>.</w:t>
      </w:r>
      <w:r>
        <w:rPr>
          <w:rStyle w:val="FootnoteAnchor"/>
          <w:rtl w:val="true"/>
        </w:rPr>
        <w:footnoteReference w:id="39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طور خلاصه، آیت‌اللّه مشکینی از مقدماتی برای تعریف مقولۀ ولایت فقیه بهره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مقدمات عبارت‌اند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ولایت به معنای انشاء و اعطاء حاکمیت از خداوند به معصوم و از معصوم به غیرمعصوم؛ دوم، مدنی‌بالطبع بودن بشر و نیاز به حکومت و توجه اسلام به برطرف کردن این نیاز با ارسال پیامبر و حاکمیت او؛ سوم، انتقال حکومت از پیامبر به جانشینان معصومش و از سوی معصومین به واجدین شرایط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عصر غیبت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سه مقدمه، ولایت فقیهان استنباط و تعریف می‌شود</w:t>
      </w:r>
      <w:r>
        <w:rPr>
          <w:rFonts w:eastAsia="IRNazanin" w:cs="IRNazanin"/>
          <w:color w:val="111111"/>
          <w:sz w:val="28"/>
          <w:szCs w:val="28"/>
          <w:rtl w:val="true"/>
          <w:lang w:bidi="fa-IR"/>
        </w:rPr>
        <w:t>.</w:t>
      </w:r>
    </w:p>
    <w:p>
      <w:pPr>
        <w:pStyle w:val="Heading4"/>
        <w:numPr>
          <w:ilvl w:val="3"/>
          <w:numId w:val="1"/>
        </w:numPr>
        <w:rPr/>
      </w:pPr>
      <w:bookmarkStart w:id="489" w:name="__RefHeading___Toc39966_1878427129"/>
      <w:bookmarkStart w:id="490" w:name="_Toc185"/>
      <w:bookmarkEnd w:id="489"/>
      <w:r>
        <w:rPr/>
        <w:t>1.4</w:t>
      </w:r>
      <w:r>
        <w:rPr>
          <w:rtl w:val="true"/>
        </w:rPr>
        <w:t xml:space="preserve">. </w:t>
      </w:r>
      <w:r>
        <w:rPr>
          <w:rtl w:val="true"/>
        </w:rPr>
        <w:t>معنا و مفهوم ولایت مطلقۀ فقیه</w:t>
      </w:r>
      <w:bookmarkEnd w:id="490"/>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ذیل تبیین مفهوم ولایت و ولایت فقیه، معنا و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 مطلقۀ 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ضروری به نظر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این روزها برخی منتقدان دربارۀ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بحث ولایت فقیه پیش می‌کشند، تطبیق این مفهوم با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استبداد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دیکتاتوری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درصورتی‌که مطلق بودن ولایت، به معنای استبداد فقیه نیست، بلکه از منظر بسیاری از اندیشمندان مسلمان، به این معناست که اولاً فقیه ملتزم است همۀ احکام اسلام را تبیین کند؛ و ثانیاً، همۀ آن‌ها را اجرا کند؛ زیرا هیچ حکمی از احکام الهی در عصر غیبت، تعطیل‌پذیر نیست؛ و ثالثاً، برای تزاحم احکام، چاره‌ای بیندیشد؛ یعنی هنگام اجرای احکام، اگر دو حکم خداوند با یکدیگر تزاحم داشته باشند به گونه‌ای که انجام دادن یکی، سبب ترک دیگری شود و این دو حکم</w:t>
      </w:r>
    </w:p>
    <w:p>
      <w:pPr>
        <w:pStyle w:val="BookText"/>
        <w:rPr/>
      </w:pPr>
      <w:r>
        <w:rPr>
          <w:rFonts w:ascii="IRNazanin" w:hAnsi="IRNazanin" w:eastAsia="IRNazanin"/>
          <w:color w:val="111111"/>
          <w:sz w:val="28"/>
          <w:sz w:val="28"/>
          <w:szCs w:val="28"/>
          <w:rtl w:val="true"/>
          <w:lang w:bidi="fa-IR"/>
        </w:rPr>
        <w:t xml:space="preserve">را در یک زمان نتوان با هم اجرا کرد، فقیه جامع‌الشرایط و رهبر جامعۀ اسلامی، 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اجرا می‌کند و برای امکان اجرای آن حکم اهمّ، 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صورت موقت تعطیل می‌کند</w:t>
      </w:r>
      <w:r>
        <w:rPr>
          <w:rFonts w:eastAsia="IRNazanin" w:cs="IRNazanin"/>
          <w:color w:val="111111"/>
          <w:sz w:val="28"/>
          <w:szCs w:val="28"/>
          <w:rtl w:val="true"/>
          <w:lang w:bidi="fa-IR"/>
        </w:rPr>
        <w:t>.</w:t>
      </w:r>
      <w:r>
        <w:rPr>
          <w:rStyle w:val="FootnoteAnchor"/>
          <w:rtl w:val="true"/>
        </w:rPr>
        <w:footnoteReference w:id="40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ولایت فقیه، ولایت فقاهت و عدالت، ص </w:t>
      </w:r>
      <w:r>
        <w:rPr>
          <w:rFonts w:eastAsia="IRNazanin" w:cs="IRNazanin"/>
          <w:color w:val="111111"/>
          <w:sz w:val="28"/>
          <w:szCs w:val="28"/>
          <w:lang w:bidi="fa-IR"/>
        </w:rPr>
        <w:t>463</w:t>
      </w:r>
      <w:r>
        <w:rPr>
          <w:rFonts w:eastAsia="IRNazanin" w:cs="IRNazanin"/>
          <w:color w:val="111111"/>
          <w:sz w:val="28"/>
          <w:szCs w:val="28"/>
          <w:rtl w:val="true"/>
          <w:lang w:bidi="fa-IR"/>
        </w:rPr>
        <w:t>-</w:t>
      </w:r>
      <w:r>
        <w:rPr>
          <w:rFonts w:eastAsia="IRNazanin" w:cs="IRNazanin"/>
          <w:color w:val="111111"/>
          <w:sz w:val="28"/>
          <w:szCs w:val="28"/>
          <w:lang w:bidi="fa-IR"/>
        </w:rPr>
        <w:t>464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دیدگاه آیت‌اللّه مشکینی نیز در قالب همین تعریف و مؤلفه‌ها، معنا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با طرح شبهه‌ای که شبهه‌افکنان دربارۀ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 مطلقه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کرده‌اند، به این تعریف اشتباه منتقدان پاسخ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معنای ولایت مطلقۀ فقیه این نیست که خیال می‌کنند که ولی امر و فقیه در امور و اموال خاصۀ مردم که گاهی در فکر بعضی‌ها هست یا در اعمال اختصاصی مردم تصرف کند یا بلکه ولی امر، بر قانون اساسی، بر مواد اولیۀ قانون اساسی، ولایت داشته باشد و هرجا بخواهد، تغییر بدهد، بر احکام، ولایت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چنین ولایتی را، ما برای معصوم هم خیلی مورد قبولمان نیست یا چنین ولایتی را معصومان علیهم السلام انجام نداده‌اند</w:t>
      </w:r>
      <w:r>
        <w:rPr>
          <w:rFonts w:eastAsia="IRNazanin" w:cs="IRNazanin"/>
          <w:color w:val="111111"/>
          <w:sz w:val="28"/>
          <w:szCs w:val="28"/>
          <w:rtl w:val="true"/>
          <w:lang w:bidi="fa-IR"/>
        </w:rPr>
        <w:t>....</w:t>
      </w:r>
      <w:r>
        <w:rPr>
          <w:rStyle w:val="FootnoteAnchor"/>
          <w:rtl w:val="true"/>
        </w:rPr>
        <w:footnoteReference w:id="401"/>
      </w:r>
    </w:p>
    <w:p>
      <w:pPr>
        <w:pStyle w:val="BookText"/>
        <w:rPr/>
      </w:pPr>
      <w:r>
        <w:rPr>
          <w:rFonts w:ascii="IRNazanin" w:hAnsi="IRNazanin" w:eastAsia="IRNazanin"/>
          <w:color w:val="111111"/>
          <w:sz w:val="28"/>
          <w:sz w:val="28"/>
          <w:szCs w:val="28"/>
          <w:rtl w:val="true"/>
          <w:lang w:bidi="fa-IR"/>
        </w:rPr>
        <w:t xml:space="preserve">او این شبهه را رد می‌کند و در تعریف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ولایت فقیه به دو مؤلفۀ مهم اشاره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مؤلفه عبارت‌اند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حل معضلات پیچیده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آیت‌اللّه مشکینی معنای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حل معضلات پیچیده و تقریباً لاینحل جامعه می‌داند</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موارد حساسی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در خطر است، یا دین مورد خطر قرار گرفته است و یک مسئله‌ای پیش آمده که انگشتان قانون نمی‌تواند آن را به‌زودی حل کند و باید یک قدرت و اراده و فوق اراده باشد که به دست او، آن معضل حل بشود و به قانون نمی‌رسد یا تأخیر دارد تا بیاید قضیۀ قانونی شود، باید فردی باشد که آن را حل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ولایت مطلقۀ فقیه است</w:t>
      </w:r>
      <w:r>
        <w:rPr>
          <w:rFonts w:eastAsia="IRNazanin" w:cs="IRNazanin"/>
          <w:color w:val="111111"/>
          <w:sz w:val="28"/>
          <w:szCs w:val="28"/>
          <w:rtl w:val="true"/>
          <w:lang w:bidi="fa-IR"/>
        </w:rPr>
        <w:t>.</w:t>
      </w:r>
      <w:r>
        <w:rPr>
          <w:rStyle w:val="FootnoteAnchor"/>
          <w:rtl w:val="true"/>
        </w:rPr>
        <w:footnoteReference w:id="402"/>
      </w:r>
      <w:bookmarkStart w:id="491" w:name="pg14517_146413"/>
    </w:p>
    <w:p>
      <w:pPr>
        <w:pStyle w:val="BookText"/>
        <w:rPr/>
      </w:pPr>
      <w:bookmarkEnd w:id="491"/>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رعایت مصلحت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اندیشۀ آیت‌اللّه مشکینی را باید در مفهوم ولایت بر امور بر اساس مصالح ارزیابی کرد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معنای اطلاق، این نیست که بعضی خیال می‌کنند که یعنی در تمام زندگی مردم ولایت داشته باشد و دخالت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مطلقه، یعنی ولی امر مسلمانان، در هرچه به صلاح ملت است، در هرچه که حسن تدبیر امور ملت تقاضا می‌کند، نسبت به آن ولایت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وی این اطلاق را مقتضای قاعده و حکم عقل می‌داند و بر آن تأکید می‌ورزد</w:t>
      </w:r>
      <w:r>
        <w:rPr>
          <w:rFonts w:eastAsia="IRNazanin" w:cs="IRNazanin"/>
          <w:color w:val="111111"/>
          <w:sz w:val="28"/>
          <w:szCs w:val="28"/>
          <w:rtl w:val="true"/>
          <w:lang w:bidi="fa-IR"/>
        </w:rPr>
        <w:t>.</w:t>
      </w:r>
    </w:p>
    <w:p>
      <w:pPr>
        <w:pStyle w:val="Heading3"/>
        <w:numPr>
          <w:ilvl w:val="2"/>
          <w:numId w:val="1"/>
        </w:numPr>
        <w:rPr/>
      </w:pPr>
      <w:bookmarkStart w:id="492" w:name="__RefHeading___Toc39968_1878427129"/>
      <w:bookmarkStart w:id="493" w:name="_Toc186"/>
      <w:bookmarkEnd w:id="492"/>
      <w:r>
        <w:rPr/>
        <w:t>2</w:t>
      </w:r>
      <w:r>
        <w:rPr>
          <w:rtl w:val="true"/>
        </w:rPr>
        <w:t xml:space="preserve">. </w:t>
      </w:r>
      <w:r>
        <w:rPr>
          <w:rtl w:val="true"/>
        </w:rPr>
        <w:t>ادلۀ اثبات ولایت فقیه</w:t>
      </w:r>
      <w:bookmarkEnd w:id="493"/>
    </w:p>
    <w:p>
      <w:pPr>
        <w:pStyle w:val="BookText"/>
        <w:rPr/>
      </w:pPr>
      <w:r>
        <w:rPr>
          <w:rFonts w:ascii="IRNazanin" w:hAnsi="IRNazanin" w:eastAsia="IRNazanin"/>
          <w:color w:val="111111"/>
          <w:sz w:val="28"/>
          <w:sz w:val="28"/>
          <w:szCs w:val="28"/>
          <w:rtl w:val="true"/>
          <w:lang w:bidi="fa-IR"/>
        </w:rPr>
        <w:t>در باب اثبات ولایت از منظر عقل و نقل، در کتب متعدد سخن به‌تفصیل آمده و ادلۀ عقلی و نقلی گوناگون، مطرح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پرداختن به این ادله، ما را از مدار بحث خارج می‌کند؛ زیرا بحث بر سر تبیین اندیشۀ آیت‌اللّه مشکینی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اندیشۀ وی، می‌توان اثبات ولایت فقیه از منظر عقل و نقل را این‌گونه بیان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منظر 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منظر عقلی، وی به امری بدیهی و درعین‌حال منطقی و قابل اتکا اشاره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معتقد است که در عصر غیبت، و از زمان آغاز غیبت کبری تا زمان ظهور، هیچ‌گاه امور امت بلاتکلیف نمی‌ماند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آیت‌اللّه به این پرسش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از طرف شرع، در این زمان، دربارۀ ملت اسلامی، ملل دیگر، ولی امری، رهبری، قائدی، حاکمی، تعیین شده یا نشده‌؟ آیا شرع نسبت به این ازمنه، ساکت بوده و هیچ نگفته‌؟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اینکه نه، برای زمان غیبت، چیزی تعیین کرده است‌؟</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r>
        <w:rPr>
          <w:rFonts w:ascii="IRNazanin" w:hAnsi="IRNazanin" w:eastAsia="IRNazanin"/>
          <w:color w:val="111111"/>
          <w:sz w:val="28"/>
          <w:sz w:val="28"/>
          <w:szCs w:val="28"/>
          <w:rtl w:val="true"/>
          <w:lang w:bidi="fa-IR"/>
        </w:rPr>
        <w:t>این‌گونه پاسخ می‌دهد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مدعای ما در این مسئله، این است که از طرف شرع اسلام، برای زمان غیبت، دستوری تعیین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مدعا این است که افرادی تعیین شده‌اند</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r>
        <w:rPr>
          <w:rFonts w:ascii="IRNazanin" w:hAnsi="IRNazanin" w:eastAsia="IRNazanin"/>
          <w:color w:val="111111"/>
          <w:sz w:val="28"/>
          <w:sz w:val="28"/>
          <w:szCs w:val="28"/>
          <w:rtl w:val="true"/>
          <w:lang w:bidi="fa-IR"/>
        </w:rPr>
        <w:t>به دیگر سخن، آیت‌اللّه مشکینی در صدد است بگوید از آنجا که دین اسلام و شرع مقدس، دربارۀ امور امت، حساسیت ویژه دارد، هیچ‌گاه آنان را به حال خود رها</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159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105</w:t>
      </w:r>
      <w:r>
        <w:rPr>
          <w:rFonts w:eastAsia="IRNazanin" w:cs="IRNazanin"/>
          <w:color w:val="111111"/>
          <w:sz w:val="28"/>
          <w:szCs w:val="28"/>
          <w:rtl w:val="true"/>
          <w:lang w:bidi="fa-IR"/>
        </w:rPr>
        <w:t>-</w:t>
      </w:r>
      <w:r>
        <w:rPr>
          <w:rFonts w:eastAsia="IRNazanin" w:cs="IRNazanin"/>
          <w:color w:val="111111"/>
          <w:sz w:val="28"/>
          <w:szCs w:val="28"/>
          <w:lang w:bidi="fa-IR"/>
        </w:rPr>
        <w:t>106</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106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نکرده است و با اتخاذ راهکاری به نام ولایتِ فقیهان و نصب فقیه جامع‌الشرائط در مقام جانشین معصوم، امور شرعی، سیاسی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مدیریت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مسئله را می‌توان دلیل عقلی ولایت فقیه دانست که برخی صاحب‌نظران، از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برهان ضرورت نظم در جامعۀ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کرده‌اند؛ برهانی که مختص زمین یا زمان خاصی نیست؛ چرا که هم شامل زمان انبیاء علیهم السلام می‌شود که نتیجه‌اش ضرورت نبوت است، و هم شامل زمان پس از نبوت رسول خاتم صلی الله علیه و آله است که ضرورت امامت را نتیجه می‌دهد، و هم ناظر به عصر غیبت امام معصوم است که حاصلش، ضرورت ولایت فقیه است</w:t>
      </w:r>
      <w:r>
        <w:rPr>
          <w:rFonts w:eastAsia="IRNazanin" w:cs="IRNazanin"/>
          <w:color w:val="111111"/>
          <w:sz w:val="28"/>
          <w:szCs w:val="28"/>
          <w:rtl w:val="true"/>
          <w:lang w:bidi="fa-IR"/>
        </w:rPr>
        <w:t>.</w:t>
      </w:r>
      <w:r>
        <w:rPr>
          <w:rStyle w:val="FootnoteAnchor"/>
          <w:rtl w:val="true"/>
        </w:rPr>
        <w:footnoteReference w:id="403"/>
      </w:r>
    </w:p>
    <w:p>
      <w:pPr>
        <w:pStyle w:val="BookText"/>
        <w:rPr/>
      </w:pPr>
      <w:r>
        <w:rPr>
          <w:rFonts w:ascii="IRNazanin" w:hAnsi="IRNazanin" w:eastAsia="IRNazanin"/>
          <w:color w:val="111111"/>
          <w:sz w:val="28"/>
          <w:sz w:val="28"/>
          <w:szCs w:val="28"/>
          <w:rtl w:val="true"/>
          <w:lang w:bidi="fa-IR"/>
        </w:rPr>
        <w:t xml:space="preserve">ولایت فقیه، ولایت فقاهت و عدالت، ص </w:t>
      </w:r>
      <w:r>
        <w:rPr>
          <w:rFonts w:eastAsia="IRNazanin" w:cs="IRNazanin"/>
          <w:color w:val="111111"/>
          <w:sz w:val="28"/>
          <w:szCs w:val="28"/>
          <w:lang w:bidi="fa-IR"/>
        </w:rPr>
        <w:t>151</w:t>
      </w:r>
      <w:r>
        <w:rPr>
          <w:rFonts w:eastAsia="IRNazanin" w:cs="IRNazanin"/>
          <w:color w:val="111111"/>
          <w:sz w:val="28"/>
          <w:szCs w:val="28"/>
          <w:rtl w:val="true"/>
          <w:lang w:bidi="fa-IR"/>
        </w:rPr>
        <w:t>-</w:t>
      </w:r>
      <w:r>
        <w:rPr>
          <w:rFonts w:eastAsia="IRNazanin" w:cs="IRNazanin"/>
          <w:color w:val="111111"/>
          <w:sz w:val="28"/>
          <w:szCs w:val="28"/>
          <w:lang w:bidi="fa-IR"/>
        </w:rPr>
        <w:t>152</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آیت‌اللّه مشکینی در کنار این دلیل عقلی، البته به اقوال مرتبط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عصر غیبت می‌پردازد و چهار قول را بیان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اول آن است که پس از غیبت معصوم، حکومت الهی و حقه، خودبه‌خود به پایان می‌رسد و تا زمان ظهور معصوم، این حکومت تعطیل است؛ قول دوم آن است که ولایت بر مردم از امور حسبیه به شمار می‌رود و برای این امور، شخص خاصی نصب نکرده‌اند؛ نظر سوم این است که در دین، شرائط نایب معصوم مشخص شده است و مسئلۀ تعیین ولی امر به خودِ مردم واگذار شده است؛ قول چهارم این است که بر اساس نصوص موجود، افرادی به نصب عام و به صورت کل به عنوان ولی امر مردم، نصب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آیت‌اللّه مشکینی قول اول و دوم را به این دلیل که هیچ فقیهِ آشنا به احکام اجتماعی و سیاسی آن را نمی‌پذیرد و از آنجا که جداییِ دین و احکام آن از سیاست و امور اجتماعی، امکان ندارد، رد می‌کند و از میان قول سوم و چهارم، ارجحیت را به قول چهارم می‌دهد</w:t>
      </w:r>
      <w:r>
        <w:rPr>
          <w:rFonts w:eastAsia="IRNazanin" w:cs="IRNazanin"/>
          <w:color w:val="111111"/>
          <w:sz w:val="28"/>
          <w:szCs w:val="28"/>
          <w:rtl w:val="true"/>
          <w:lang w:bidi="fa-IR"/>
        </w:rPr>
        <w:t>.</w:t>
      </w:r>
      <w:r>
        <w:rPr>
          <w:rStyle w:val="FootnoteAnchor"/>
          <w:rtl w:val="true"/>
        </w:rPr>
        <w:footnoteReference w:id="404"/>
      </w:r>
      <w:r>
        <w:rPr>
          <w:rFonts w:ascii="IRNazanin" w:hAnsi="IRNazanin" w:eastAsia="IRNazanin"/>
          <w:color w:val="111111"/>
          <w:sz w:val="28"/>
          <w:sz w:val="28"/>
          <w:szCs w:val="28"/>
          <w:rtl w:val="true"/>
          <w:lang w:bidi="fa-IR"/>
        </w:rPr>
        <w:t>وی دراین‌باره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شخصی که برای ولایت امر تعیین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قهراً، کلی تعیین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 زیرا که نصب خاص،</w:t>
      </w:r>
    </w:p>
    <w:p>
      <w:pPr>
        <w:pStyle w:val="BookText"/>
        <w:rPr/>
      </w:pPr>
      <w:r>
        <w:rPr>
          <w:rFonts w:ascii="IRNazanin" w:hAnsi="IRNazanin" w:eastAsia="IRNazanin"/>
          <w:color w:val="111111"/>
          <w:sz w:val="28"/>
          <w:sz w:val="28"/>
          <w:szCs w:val="28"/>
          <w:rtl w:val="true"/>
          <w:lang w:bidi="fa-IR"/>
        </w:rPr>
        <w:t>در صورت حضور معصوم علیه السلام است</w:t>
      </w:r>
      <w:r>
        <w:rPr>
          <w:rFonts w:eastAsia="IRNazanin" w:cs="IRNazanin"/>
          <w:color w:val="111111"/>
          <w:sz w:val="28"/>
          <w:szCs w:val="28"/>
          <w:rtl w:val="true"/>
          <w:lang w:bidi="fa-IR"/>
        </w:rPr>
        <w:t>».</w:t>
      </w:r>
      <w:r>
        <w:rPr>
          <w:rStyle w:val="FootnoteAnchor"/>
          <w:rtl w:val="true"/>
        </w:rPr>
        <w:footnoteReference w:id="40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آیت‌اللّه مشکینی در مجلس خبرگان، ص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سخنرانی در اجلاس هشتم، دورۀ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سپس این پرسش را مطرح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حالا اگر منصوب عام، در چنین عصری، منحصربه‌فرد باشد، آن فردی که با یک خصوصیاتی تعیین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منحصر در مصداق خاص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تکلیفش روشن است و اگر فرض کردیم که آن کسی که تعیین شده به نحو کلی، دارای مصادیق کثیر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درصورتی‌که کلی، دارای مصادیق باشد و مصادیق هم مساوی باشند و یک رجحان معینی در کار نباشد، در عصر غیبت، برای تعیین یکی‌از آن‌ها و خلاصه برای پیاده کردن منظور و خواستۀ شارع از طرف عقل، مطلبی داریم یا نداریم‌؟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این‌گونه پاسخ می‌دهد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می‌گوییم برای زمان غیبت ولی امر، به نحو کلی، تعیین شده و اگر هم متعدد باشند، در کیفیت پیدا کردن آن فرد و انتخاب پیدا کردن آن فرد و انتخاب یکی از آن‌ها، باز هم دلیل داریم بر اینکه تعیین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وی پس از طرح این پرسش و پاسخ، به ادلۀ روایی دربارۀ اثبات وجود ولی امر در عصر غیبت می‌پردازد که در ادامه، در قالب دلیل نقلی بدان می‌پردازیم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منظر نقل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آیت‌اللّه مشکینی در تبیین ادلۀ نقلیِ ولایت امر، به پنج طایفه از روایات اشاره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طایفۀ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لسان طایفۀ اول، حکایت از این دارد که هر ملتی نیازمند رئیس و ولی امر است؛ چه این رئیس، خوب باشد و چه 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تعبیر آیت‌اللّه مشکینی، این مسئله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عقلی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هست</w:t>
      </w:r>
      <w:r>
        <w:rPr>
          <w:rFonts w:eastAsia="IRNazanin" w:cs="IRNazanin"/>
          <w:color w:val="111111"/>
          <w:sz w:val="28"/>
          <w:szCs w:val="28"/>
          <w:rtl w:val="true"/>
          <w:lang w:bidi="fa-IR"/>
        </w:rPr>
        <w:t>.</w:t>
      </w:r>
      <w:r>
        <w:rPr>
          <w:rStyle w:val="FootnoteAnchor"/>
          <w:rtl w:val="true"/>
        </w:rPr>
        <w:footnoteReference w:id="406"/>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طایفۀ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آیت‌اللّه مشکینی، طایفۀ دوم را عمدۀ مطلب دانسته و روایات این طائفه را مشتمل بر این مسئله می‌داند که برای هر ملتی در دورۀ غیبت معصوم علیه السلام، افرادی تعیین شده‌اند و شرع مقدس برای مردم در زمانی که به معصوم دسترسی</w:t>
      </w:r>
    </w:p>
    <w:p>
      <w:pPr>
        <w:pStyle w:val="BookText"/>
        <w:rPr/>
      </w:pPr>
      <w:r>
        <w:rPr>
          <w:rFonts w:ascii="IRNazanin" w:hAnsi="IRNazanin" w:eastAsia="IRNazanin"/>
          <w:color w:val="111111"/>
          <w:sz w:val="28"/>
          <w:sz w:val="28"/>
          <w:szCs w:val="28"/>
          <w:rtl w:val="true"/>
          <w:lang w:bidi="fa-IR"/>
        </w:rPr>
        <w:t>نداشته باشند، افرادی تعیین کرده است</w:t>
      </w:r>
      <w:r>
        <w:rPr>
          <w:rFonts w:eastAsia="IRNazanin" w:cs="IRNazanin"/>
          <w:color w:val="111111"/>
          <w:sz w:val="28"/>
          <w:szCs w:val="28"/>
          <w:rtl w:val="true"/>
          <w:lang w:bidi="fa-IR"/>
        </w:rPr>
        <w:t>.</w:t>
      </w:r>
      <w:r>
        <w:rPr>
          <w:rStyle w:val="FootnoteAnchor"/>
          <w:rtl w:val="true"/>
        </w:rPr>
        <w:footnoteReference w:id="407"/>
      </w:r>
    </w:p>
    <w:p>
      <w:pPr>
        <w:pStyle w:val="BookText"/>
        <w:rPr/>
      </w:pP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طایفۀ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لسان این روایات، بیان شرط است؛ یعنی می‌گوید اگر کسی می‌خواهد متولی امور مسلمانان باشد، باید دارای این شروط باشد</w:t>
      </w:r>
      <w:r>
        <w:rPr>
          <w:rFonts w:eastAsia="IRNazanin" w:cs="IRNazanin"/>
          <w:color w:val="111111"/>
          <w:sz w:val="28"/>
          <w:szCs w:val="28"/>
          <w:rtl w:val="true"/>
          <w:lang w:bidi="fa-IR"/>
        </w:rPr>
        <w:t>.</w:t>
      </w:r>
      <w:r>
        <w:rPr>
          <w:rStyle w:val="FootnoteAnchor"/>
          <w:rtl w:val="true"/>
        </w:rPr>
        <w:footnoteReference w:id="408"/>
      </w:r>
    </w:p>
    <w:p>
      <w:pPr>
        <w:pStyle w:val="BookText"/>
        <w:rPr/>
      </w:pPr>
      <w:r>
        <w:rPr>
          <w:rFonts w:ascii="IRNazanin" w:hAnsi="IRNazanin" w:eastAsia="IRNazanin"/>
          <w:color w:val="111111"/>
          <w:sz w:val="28"/>
          <w:sz w:val="28"/>
          <w:szCs w:val="28"/>
          <w:rtl w:val="true"/>
          <w:lang w:bidi="fa-IR"/>
        </w:rPr>
        <w:t>طایفۀ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لسان این طائفه از روایات نیز عبارت از این است که چنانچه رهبر و ولی امر ملتی از دنیا رفت، بر آن ملت لازم است تا سریعاً، رهبر و ولی امر خود را انتخاب کنند</w:t>
      </w:r>
      <w:r>
        <w:rPr>
          <w:rFonts w:eastAsia="IRNazanin" w:cs="IRNazanin"/>
          <w:color w:val="111111"/>
          <w:sz w:val="28"/>
          <w:szCs w:val="28"/>
          <w:rtl w:val="true"/>
          <w:lang w:bidi="fa-IR"/>
        </w:rPr>
        <w:t>.</w:t>
      </w:r>
      <w:r>
        <w:rPr>
          <w:rStyle w:val="FootnoteAnchor"/>
          <w:rtl w:val="true"/>
        </w:rPr>
        <w:footnoteReference w:id="409"/>
      </w:r>
    </w:p>
    <w:p>
      <w:pPr>
        <w:pStyle w:val="BookText"/>
        <w:rPr/>
      </w:pPr>
      <w:r>
        <w:rPr>
          <w:rFonts w:ascii="IRNazanin" w:hAnsi="IRNazanin" w:eastAsia="IRNazanin"/>
          <w:color w:val="111111"/>
          <w:sz w:val="28"/>
          <w:sz w:val="28"/>
          <w:szCs w:val="28"/>
          <w:rtl w:val="true"/>
          <w:lang w:bidi="fa-IR"/>
        </w:rPr>
        <w:t>طایفۀ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دسته از روایات، ناظر به این مسئله هستند که اگر شخص غیرصالح بخواهد رهبر امت شود و نیز هر ملتی بخواهد افراد غیر واجد شرائط را به رهبری خود برگزیند، آن ملت و جامعه، گمراه و رو به انحطاط و سقوط هستند</w:t>
      </w:r>
      <w:r>
        <w:rPr>
          <w:rFonts w:eastAsia="IRNazanin" w:cs="IRNazanin"/>
          <w:color w:val="111111"/>
          <w:sz w:val="28"/>
          <w:szCs w:val="28"/>
          <w:rtl w:val="true"/>
          <w:lang w:bidi="fa-IR"/>
        </w:rPr>
        <w:t>.</w:t>
      </w:r>
      <w:r>
        <w:rPr>
          <w:rStyle w:val="FootnoteAnchor"/>
          <w:rtl w:val="true"/>
        </w:rPr>
        <w:footnoteReference w:id="410"/>
      </w:r>
      <w:r>
        <w:rPr>
          <w:rFonts w:ascii="IRNazanin" w:hAnsi="IRNazanin" w:eastAsia="IRNazanin"/>
          <w:color w:val="111111"/>
          <w:sz w:val="28"/>
          <w:sz w:val="28"/>
          <w:szCs w:val="28"/>
          <w:rtl w:val="true"/>
          <w:lang w:bidi="fa-IR"/>
        </w:rPr>
        <w:t>وی پس از بیان این پنج طایفه از روایات، به تبیین روایت‌های مربوطه در طایفۀ اول و دوم و به‌ویژه طایفۀ دوم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طایفۀ اول، به دو روایت اشاره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آیت‌اللّه در بیان روایت اول، به کلام حضرت امیرالمؤمنین علیه السلام بعد از شنیدن جملۀ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حکم الا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خوارج، اشاره می‌کند که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کلمة حق یراد بها الباطل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این کلمه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حکم الا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ولی این‌ها مرادشان این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این‌ها نمی‌گویند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حکم الا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که حکم از آن پروردگار است را قبول داریم؛ بلکه این‌ها می‌خواهند بگویند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مربوط به خداست و علی و غیر علی، هیچ کدام، حق ولایت ندارند؛ درحالی‌که این سخن باطل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انه لابد للناس من امیر برٍّ او فاجرٍ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باید امیر داشته باشند</w:t>
      </w:r>
      <w:r>
        <w:rPr>
          <w:rFonts w:eastAsia="IRNazanin" w:cs="IRNazanin"/>
          <w:color w:val="111111"/>
          <w:sz w:val="28"/>
          <w:szCs w:val="28"/>
          <w:rtl w:val="true"/>
          <w:lang w:bidi="fa-IR"/>
        </w:rPr>
        <w:t>.</w:t>
      </w:r>
      <w:r>
        <w:rPr>
          <w:rStyle w:val="FootnoteAnchor"/>
          <w:rtl w:val="true"/>
        </w:rPr>
        <w:footnoteReference w:id="411"/>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روایت دوم از طایفۀ اول نیز عبارت از کلام حضرت امیر است که فرموده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 ظلوم غشوم خیرٌ من فتنة تدوم</w:t>
      </w:r>
      <w:r>
        <w:rPr>
          <w:rFonts w:eastAsia="IRNazanin" w:cs="IRNazanin"/>
          <w:color w:val="111111"/>
          <w:sz w:val="28"/>
          <w:szCs w:val="28"/>
          <w:rtl w:val="true"/>
          <w:lang w:bidi="fa-IR"/>
        </w:rPr>
        <w:t>»</w:t>
      </w:r>
      <w:r>
        <w:rPr>
          <w:rStyle w:val="FootnoteAnchor"/>
          <w:rtl w:val="true"/>
        </w:rPr>
        <w:footnoteReference w:id="41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غرر الحکم، ح </w:t>
      </w:r>
      <w:r>
        <w:rPr>
          <w:rFonts w:eastAsia="IRNazanin" w:cs="IRNazanin"/>
          <w:color w:val="111111"/>
          <w:sz w:val="28"/>
          <w:szCs w:val="28"/>
          <w:lang w:bidi="fa-IR"/>
        </w:rPr>
        <w:t>10672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ولی امر، هرچه ظالم باشد، از نبودش که هرج‌ومرج شود، از فتنه‌ای که همیشگی باشد، بسیار بهتر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آیت‌اللّه مشکینی پس از بیان روایات طایفۀ اول، به‌تفصیل به روایات طایفۀ دوم می‌پردازد؛ چرا که طایفۀ دوم، عمدۀ مطلب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دراین‌باره به دو روایت مهم اشاره و به آن‌ها استدلال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روایت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مرحوم صدوق در علل و عیون است که از فضل‌بن‌شاذان، از نزدیکان و یاران حضرت علی‌بن‌موسی‌الرضا علیه السلام،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علیه السلام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قال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جُعلَ اولوالامر امِرَ بطاعتهم‌؟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لِعلَلٍ کثیرة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الخلقَ لَمّا وُقفوا علی حدٍّ محدودٍ و امرِوا انْ لایَتَعَدّوا تِلکَ الحدودَ، لما فیه مِنْ فِسادِهم لَمْ یَکُنْ یَثْبُتُ ذلک ولا یَقومُ الاّ بِاَنْ یَجْعلَ علیهم فیها امیناً یأخُذُهم</w:t>
      </w:r>
      <w:r>
        <w:rPr>
          <w:rFonts w:eastAsia="Amiri" w:cs="Amiri" w:ascii="Amiri" w:hAnsi="Amiri"/>
          <w:color w:val="111111"/>
          <w:sz w:val="28"/>
          <w:szCs w:val="28"/>
          <w:rtl w:val="true"/>
          <w:lang w:bidi="ar-SA"/>
        </w:rPr>
        <w:t>»</w:t>
      </w:r>
      <w:r>
        <w:rPr>
          <w:rStyle w:val="FootnoteAnchor"/>
          <w:rtl w:val="true"/>
        </w:rPr>
        <w:footnoteReference w:id="413"/>
      </w:r>
      <w:r>
        <w:rPr>
          <w:rFonts w:ascii="IRNazanin" w:hAnsi="IRNazanin" w:eastAsia="IRNazanin"/>
          <w:color w:val="111111"/>
          <w:sz w:val="28"/>
          <w:sz w:val="28"/>
          <w:szCs w:val="28"/>
          <w:rtl w:val="true"/>
          <w:lang w:bidi="fa-IR"/>
        </w:rPr>
        <w:t>یعنی اگر کسی سؤال کرد چرا خداوند برای هر عصر، ولی امر قرار داده است و امر به پیروی از او را داده است، چند علت ذکر شده است که یکی از آن‌ها عبارت است از اینکه خداوند، برای مردم احکامی قرار داده است؛ واجبات و محرمات، همۀ این‌ها را برای مردم قرار داده است و برای متخلفان هم حدود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می‌داند که این احکام، در میان جامعه پیاده نمی‌شود مگر اینکه ولی امری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خداوند برای مردم ولی امر قرار داده است</w:t>
      </w:r>
      <w:r>
        <w:rPr>
          <w:rFonts w:eastAsia="IRNazanin" w:cs="IRNazanin"/>
          <w:color w:val="111111"/>
          <w:sz w:val="28"/>
          <w:szCs w:val="28"/>
          <w:rtl w:val="true"/>
          <w:lang w:bidi="fa-IR"/>
        </w:rPr>
        <w:t>.</w:t>
      </w:r>
      <w:r>
        <w:rPr>
          <w:rStyle w:val="FootnoteAnchor"/>
          <w:rtl w:val="true"/>
        </w:rPr>
        <w:footnoteReference w:id="414"/>
      </w:r>
      <w:r>
        <w:rPr>
          <w:rFonts w:ascii="IRNazanin" w:hAnsi="IRNazanin" w:eastAsia="IRNazanin"/>
          <w:color w:val="111111"/>
          <w:sz w:val="28"/>
          <w:sz w:val="28"/>
          <w:szCs w:val="28"/>
          <w:rtl w:val="true"/>
          <w:lang w:bidi="fa-IR"/>
        </w:rPr>
        <w:t>آیت‌اللّه مشکینی با استناد به این روایت و روایاتی شبیه آن، برای لزوم وجود ولی امر سه قرینه و دلیل ذکر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اول، آنکه در این حدیث از مسئله‌ای مهم سخن به میان آمده است</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اجرای احکام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دراین‌باره می‌گوید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 لحن، اختصاص به زمانی ندارد، اختصاص به مکانی ندارد؛ خدا برای همۀ ملل و همۀ مردم، احکام قرار داده است و می‌خواهد اجرا شود و اجرا نمی‌شود مگر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تعیین ولی امر</w:t>
      </w:r>
      <w:r>
        <w:rPr>
          <w:rFonts w:eastAsia="IRNazanin" w:cs="IRNazanin"/>
          <w:color w:val="111111"/>
          <w:sz w:val="28"/>
          <w:szCs w:val="28"/>
          <w:rtl w:val="true"/>
          <w:lang w:bidi="fa-IR"/>
        </w:rPr>
        <w:t>]».</w:t>
      </w:r>
      <w:r>
        <w:rPr>
          <w:rStyle w:val="FootnoteAnchor"/>
          <w:rtl w:val="true"/>
        </w:rPr>
        <w:footnoteReference w:id="415"/>
      </w:r>
      <w:r>
        <w:rPr>
          <w:rFonts w:ascii="IRNazanin" w:hAnsi="IRNazanin" w:eastAsia="IRNazanin"/>
          <w:color w:val="111111"/>
          <w:sz w:val="28"/>
          <w:sz w:val="28"/>
          <w:szCs w:val="28"/>
          <w:rtl w:val="true"/>
          <w:lang w:bidi="fa-IR"/>
        </w:rPr>
        <w:t>دلیل دوم که بر</w:t>
      </w:r>
    </w:p>
    <w:p>
      <w:pPr>
        <w:pStyle w:val="BookText"/>
        <w:rPr/>
      </w:pPr>
      <w:r>
        <w:rPr>
          <w:rFonts w:ascii="IRNazanin" w:hAnsi="IRNazanin" w:eastAsia="IRNazanin"/>
          <w:color w:val="111111"/>
          <w:sz w:val="28"/>
          <w:sz w:val="28"/>
          <w:szCs w:val="28"/>
          <w:rtl w:val="true"/>
          <w:lang w:bidi="fa-IR"/>
        </w:rPr>
        <w:t xml:space="preserve">وجود ولی امر در جامعه صحه می‌گذارد و بر آن تأکید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حفاظت از احکام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دراین‌باره می‌گوید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دلیل دوم هم این است که حضرت علیه السلام فرموده که خدا، این احکام را به ما داده است و این احکام، احکام موقتی نیست، احکام دائمی است و خدا می‌داند اگر ولی امری، حافظ این احکام نباشد، این احکام از بین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فلذا خداوند، تعیین ولی امر را فرموده است</w:t>
      </w:r>
      <w:r>
        <w:rPr>
          <w:rFonts w:eastAsia="IRNazanin" w:cs="IRNazanin"/>
          <w:color w:val="111111"/>
          <w:sz w:val="28"/>
          <w:szCs w:val="28"/>
          <w:rtl w:val="true"/>
          <w:lang w:bidi="fa-IR"/>
        </w:rPr>
        <w:t>».</w:t>
      </w:r>
      <w:r>
        <w:rPr>
          <w:rStyle w:val="FootnoteAnchor"/>
          <w:rtl w:val="true"/>
        </w:rPr>
        <w:footnoteReference w:id="41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112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آیت‌اللّه مشکینی در همین زمینه به حدیثی دیگر از حضرت رضا علیه السلام اشاره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لوْ لَمْ یَجْعلْ لَهُمْ اماماً قَیِّماً امیناً حافظاً مُسْتوْدعاً لَدَرَسَتِ الملّةُ و ذَهَبَ الدّینُ</w:t>
      </w:r>
      <w:r>
        <w:rPr>
          <w:rFonts w:eastAsia="Amiri" w:cs="Amiri" w:ascii="Amiri" w:hAnsi="Amiri"/>
          <w:color w:val="111111"/>
          <w:sz w:val="28"/>
          <w:szCs w:val="28"/>
          <w:rtl w:val="true"/>
          <w:lang w:bidi="ar-SA"/>
        </w:rPr>
        <w:t>...»</w:t>
      </w:r>
      <w:r>
        <w:rPr>
          <w:rStyle w:val="FootnoteAnchor"/>
          <w:rtl w:val="true"/>
        </w:rPr>
        <w:footnoteReference w:id="417"/>
      </w:r>
      <w:r>
        <w:rPr>
          <w:rFonts w:ascii="IRNazanin" w:hAnsi="IRNazanin" w:eastAsia="IRNazanin"/>
          <w:color w:val="111111"/>
          <w:sz w:val="28"/>
          <w:sz w:val="28"/>
          <w:szCs w:val="28"/>
          <w:rtl w:val="true"/>
          <w:lang w:bidi="fa-IR"/>
        </w:rPr>
        <w:t>و نتیجه می‌گیرد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خداوند امام را قرار نمی‌داد، امام را تعیین نمی‌کرد، این احکامی که برای مردم جعل کرده از بین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استدلال می‌کند به اینکه چون احکام هست و خداوند می‌خواهد دینش را باقی بدارد، لذا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 کرده است</w:t>
      </w:r>
      <w:r>
        <w:rPr>
          <w:rFonts w:eastAsia="IRNazanin" w:cs="IRNazanin"/>
          <w:color w:val="111111"/>
          <w:sz w:val="28"/>
          <w:szCs w:val="28"/>
          <w:rtl w:val="true"/>
          <w:lang w:bidi="fa-IR"/>
        </w:rPr>
        <w:t>».</w:t>
      </w:r>
      <w:r>
        <w:rPr>
          <w:rStyle w:val="FootnoteAnchor"/>
          <w:rtl w:val="true"/>
        </w:rPr>
        <w:footnoteReference w:id="418"/>
      </w:r>
    </w:p>
    <w:p>
      <w:pPr>
        <w:pStyle w:val="BookText"/>
        <w:rPr/>
      </w:pPr>
      <w:r>
        <w:rPr>
          <w:rFonts w:ascii="IRNazanin" w:hAnsi="IRNazanin" w:eastAsia="IRNazanin"/>
          <w:color w:val="111111"/>
          <w:sz w:val="28"/>
          <w:sz w:val="28"/>
          <w:szCs w:val="28"/>
          <w:rtl w:val="true"/>
          <w:lang w:bidi="fa-IR"/>
        </w:rPr>
        <w:t xml:space="preserve">وی دلیل سوم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حضور حاضر و قیام حجت به وجود ناصر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پذیرفتن امر ولایت می‌داند و با اشاره به این جملۀ معروف حضرت علی علیه السلام در خطبۀ شقشقیه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لَوْلا حُضُورُ الْحاضِرِ، وَ قِیامُ الْحُجَّةِ بِوُجُودِ النّاصِرِ، وَ ما أَخَذَ اللهُ عَلَی الْعُلَماءِ أَنْ لا یُقارُّوا عَلی کِظَّةِ ظالِم وَ لا سَغَبِ مَظْلُوم، لاَلْقَیْتُ حَبْلَها عَلی غارِبِها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19"/>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می‌دانید که من، این سلطه بر ملت را، امارت را، ولایت را، چرا قبول کردم‌؟ چرا این سلطه را به دست گرفتم‌؟ به دو دلیل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اینکه عده‌ای حاضر شدند و دیدم که حاضرند کمک کنند، فداکاری کنند؛ لذا بر من حجت تمام شد که باید این دین را پیاده کنم؛ برای اینکه قدرت پیدا کردم، حضور الحاضر و قیام الحجه بوجود الناصر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دلیل است که سبب شد که من، امارت را پذیرفتم و ولایت را پذیرفتم</w:t>
      </w:r>
      <w:r>
        <w:rPr>
          <w:rFonts w:eastAsia="IRNazanin" w:cs="IRNazanin"/>
          <w:color w:val="111111"/>
          <w:sz w:val="28"/>
          <w:szCs w:val="28"/>
          <w:rtl w:val="true"/>
          <w:lang w:bidi="fa-IR"/>
        </w:rPr>
        <w:t>.</w:t>
      </w:r>
      <w:r>
        <w:rPr>
          <w:rStyle w:val="FootnoteAnchor"/>
          <w:rtl w:val="true"/>
        </w:rPr>
        <w:footnoteReference w:id="420"/>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روایت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 در روایت اول، درواقع به سه روایت مستقل اشاره کرد که از دیدگاه آیت‌اللّه مشکینی به لزوم وجود ولی امر در جامعه اشاره دارند؛ اما آیت‌اللّه این سه روایت را در یک راستا می‌داند و دلیل اول از ادلۀ طایفۀ دوم قلمداد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علت، وی نیز از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کرده است؛ دلیلی که در قالب روایت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آیت‌اللّه مشکینی در تبیین روایت یا دلیل دوم، به این بخش از حدیث پیشین حضرت امیرالمؤمنین علیه السلام اشاره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أَخَذَ اللهُ عَلَی الْعُلَماءِ أَنْ لا یُقارُّوا عَلی کِظَّةِ ظالِم وَ لا سَغَبِ مَظْلُوم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تعلیل لزوم ولی امر طبق این حدیث،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علماء یک پیمانی 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اینکه اگر یک عده از ظالمان، حقوق مردم را طوری بخورند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عده‌ای از گرسنگی و ناراحتی، بگذرانند، علما نباید این معنا را امضا کنند</w:t>
      </w:r>
      <w:r>
        <w:rPr>
          <w:rFonts w:eastAsia="IRNazanin" w:cs="IRNazanin"/>
          <w:color w:val="111111"/>
          <w:sz w:val="28"/>
          <w:szCs w:val="28"/>
          <w:rtl w:val="true"/>
          <w:lang w:bidi="fa-IR"/>
        </w:rPr>
        <w:t>...».</w:t>
      </w:r>
      <w:r>
        <w:rPr>
          <w:rStyle w:val="FootnoteAnchor"/>
          <w:rtl w:val="true"/>
        </w:rPr>
        <w:footnoteReference w:id="421"/>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112</w:t>
      </w:r>
      <w:r>
        <w:rPr>
          <w:rFonts w:eastAsia="IRNazanin" w:cs="IRNazanin"/>
          <w:color w:val="111111"/>
          <w:sz w:val="28"/>
          <w:szCs w:val="28"/>
          <w:rtl w:val="true"/>
          <w:lang w:bidi="fa-IR"/>
        </w:rPr>
        <w:t>-</w:t>
      </w:r>
      <w:r>
        <w:rPr>
          <w:rFonts w:eastAsia="IRNazanin" w:cs="IRNazanin"/>
          <w:color w:val="111111"/>
          <w:sz w:val="28"/>
          <w:szCs w:val="28"/>
          <w:lang w:bidi="fa-IR"/>
        </w:rPr>
        <w:t>113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سپس در توضیح این جمله، معتقد است تا زمانی که قدرت و حکومتی نباشد، چگونه علما می‌توانند حق مظلوم را از ظالم بگیرند؟ به همین دلیل نتیجه می‌گیرد که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دارد علما را مکلف می‌کند بر اینکه شما تشکیل حکومت بدهید؛ مکلف می‌کند بر اینکه شما راضی نشوید که این قضایا، این ظلم، در خارج انجام بگیرد ولا یعقل ذلک ولا یتحقق ذلک، الاّ به اینکه تشکیل حکومت بدهند و در رأس جامعه قرار بگیرند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آیت‌اللّه مشکینی یکی دیگر از دلایل لزوم وجود ولی امر در جامعه را، عهد و پیمانی می‌داند که حضرت علیه السلام از علما گرفته است و آن عبارت است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احقاق حق مظلوم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قطعاً این مهم بدون تشکیل حکومت و کسب منصب حاکمیت و ولایت امر به مثابۀ اهرمی جهت احقاق حق ضعفا، میسر نخواهد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روایت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یا دلیل سوم که آیت‌اللّه ذکر می‌کند، صحیحۀ محمد بن مسلم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صحیحه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سَمعتُ ابا جعفر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من</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اَصْبَحَ من هذه الامّة لا امام لهُ منَ اللّه ظاهرٌ عادلٌ، اصْبحَ ضالاًّ تائِها</w:t>
      </w:r>
      <w:r>
        <w:rPr>
          <w:rFonts w:eastAsia="Amiri" w:cs="Amiri" w:ascii="Amiri" w:hAnsi="Amiri"/>
          <w:color w:val="111111"/>
          <w:sz w:val="28"/>
          <w:szCs w:val="28"/>
          <w:rtl w:val="true"/>
          <w:lang w:bidi="ar-SA"/>
        </w:rPr>
        <w:t>»</w:t>
      </w:r>
      <w:r>
        <w:rPr>
          <w:rStyle w:val="FootnoteAnchor"/>
          <w:rtl w:val="true"/>
        </w:rPr>
        <w:footnoteReference w:id="42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از این</w:t>
      </w:r>
    </w:p>
    <w:p>
      <w:pPr>
        <w:pStyle w:val="BookText"/>
        <w:rPr/>
      </w:pPr>
      <w:r>
        <w:rPr>
          <w:rFonts w:ascii="IRNazanin" w:hAnsi="IRNazanin" w:eastAsia="IRNazanin"/>
          <w:color w:val="111111"/>
          <w:sz w:val="28"/>
          <w:sz w:val="28"/>
          <w:szCs w:val="28"/>
          <w:rtl w:val="true"/>
          <w:lang w:bidi="fa-IR"/>
        </w:rPr>
        <w:t>امت، صبح کند درصورتی‌که امام ظاهرِ عادل نداشته باشد، صبح کرده است درحالی‌که گمراه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آیت‌اللّه در توضیح و تعلیل این روایت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چنانچه شما در یک جایی، در یک کشوری، قدرت دارید بر اینکه کاری کنید که امام عادلِ ظاهر داشته باشید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کار را نکنید، ضال و تائه‌اید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مربوط به امام معصوم نیست؛ هر امتی از امَم که می‌تواند امام ظاهرِ و عادل داشته باشد و ندارد، او ضالّ و تائه است</w:t>
      </w:r>
      <w:r>
        <w:rPr>
          <w:rFonts w:eastAsia="IRNazanin" w:cs="IRNazanin"/>
          <w:color w:val="111111"/>
          <w:sz w:val="28"/>
          <w:szCs w:val="28"/>
          <w:rtl w:val="true"/>
          <w:lang w:bidi="fa-IR"/>
        </w:rPr>
        <w:t>».</w:t>
      </w:r>
      <w:r>
        <w:rPr>
          <w:rStyle w:val="FootnoteAnchor"/>
          <w:rtl w:val="true"/>
        </w:rPr>
        <w:footnoteReference w:id="423"/>
      </w:r>
    </w:p>
    <w:p>
      <w:pPr>
        <w:pStyle w:val="BookText"/>
        <w:rPr/>
      </w:pPr>
      <w:r>
        <w:rPr>
          <w:rFonts w:ascii="IRNazanin" w:hAnsi="IRNazanin" w:eastAsia="IRNazanin"/>
          <w:color w:val="111111"/>
          <w:sz w:val="28"/>
          <w:sz w:val="28"/>
          <w:szCs w:val="28"/>
          <w:rtl w:val="true"/>
          <w:lang w:bidi="fa-IR"/>
        </w:rPr>
        <w:t xml:space="preserve">آیت‌اللّه مشکینی در مجلس خبرگان، ص </w:t>
      </w:r>
      <w:r>
        <w:rPr>
          <w:rFonts w:eastAsia="IRNazanin" w:cs="IRNazanin"/>
          <w:color w:val="111111"/>
          <w:sz w:val="28"/>
          <w:szCs w:val="28"/>
          <w:lang w:bidi="fa-IR"/>
        </w:rPr>
        <w:t>114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هدایت 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رهایی از گمراهی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عامل وجوبِ وجود ولی امر در جامعه شمرده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روایت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آیت‌اللّه مشکینی در بیان دلیل چهارم، به حکم ولایتی اشاره می‌کند که حضرت امیرالمؤمنین علیه السلام به مالک اشتر نخعی اعطا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منظر آیت‌اللّه، فرمانی که حضرت علیه السلام به مالک اشتر داده است، ولایت وسیع کاملی است که نه فقط به مالک اشتر متعلق نیست، بلکه این ولایت به دیگران هم تسرّی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دراین‌باره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علی‌ابن ابی‌طالب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حکم کلی، یک ولایت کلی اعطا فرمود برای مالک نوعی، در عصرِ نوعی و مصرِ نوعی و هر وقتی که یک کسی، این قدرت را داشته باشد، شبیه مالک باشد، این فرمان از آنِ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بگویید که در یک عصری، حضرت روح‌اللّه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خمینی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یک مالک اشترِ دیگری پیدا شد، این حکم پابرجاست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این فرمان عام، برای 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 در هر عصری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این فرمان، دلیل اثبات این ولایت است برای همه</w:t>
      </w:r>
      <w:r>
        <w:rPr>
          <w:rFonts w:eastAsia="IRNazanin" w:cs="IRNazanin"/>
          <w:color w:val="111111"/>
          <w:sz w:val="28"/>
          <w:szCs w:val="28"/>
          <w:rtl w:val="true"/>
          <w:lang w:bidi="fa-IR"/>
        </w:rPr>
        <w:t>.</w:t>
      </w:r>
      <w:r>
        <w:rPr>
          <w:rStyle w:val="FootnoteAnchor"/>
          <w:rtl w:val="true"/>
        </w:rPr>
        <w:footnoteReference w:id="424"/>
      </w:r>
    </w:p>
    <w:p>
      <w:pPr>
        <w:pStyle w:val="BookText"/>
        <w:rPr/>
      </w:pPr>
      <w:r>
        <w:rPr>
          <w:rFonts w:ascii="IRNazanin" w:hAnsi="IRNazanin" w:eastAsia="IRNazanin"/>
          <w:color w:val="111111"/>
          <w:sz w:val="28"/>
          <w:sz w:val="28"/>
          <w:szCs w:val="28"/>
          <w:rtl w:val="true"/>
          <w:lang w:bidi="fa-IR"/>
        </w:rPr>
        <w:t>آیت‌اللّه مشکینی این روایات و ادلۀ چهارگانه را دلیل محکمی برای طایفۀ دوم از روایات مبنی بر تعیین ولی امر در عصر غیبت به نحو کلی می‌داند</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طایفۀ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لسان طایفۀ سوم روایات، بیان شرط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آیت‌اللّه مشکینی با تأکید بر</w:t>
      </w:r>
    </w:p>
    <w:p>
      <w:pPr>
        <w:pStyle w:val="BookText"/>
        <w:rPr/>
      </w:pPr>
      <w:r>
        <w:rPr>
          <w:rFonts w:ascii="IRNazanin" w:hAnsi="IRNazanin" w:eastAsia="IRNazanin"/>
          <w:color w:val="111111"/>
          <w:sz w:val="28"/>
          <w:sz w:val="28"/>
          <w:szCs w:val="28"/>
          <w:rtl w:val="true"/>
          <w:lang w:bidi="fa-IR"/>
        </w:rPr>
        <w:t>قبول روایات این طایفه، به‌اختصار به دو روایت اشاره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اول که از کتاب کافی ذکر شده عبارت است از اینکه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لاتَصْلَحُ الامامة الاّ لرجُلٍ فیه ثلاثُ 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وَرَعٌ یَحْجُرُهُ عن معاصی اللّه و حلْمٌ یملکُ به غصبهُ و حُسْنُ الولایةِ علی مَنْ یَلی حتّی یکونَ لهم کالوالدِ الرحیم</w:t>
      </w:r>
      <w:r>
        <w:rPr>
          <w:rFonts w:eastAsia="Amiri" w:cs="Amiri" w:ascii="Amiri" w:hAnsi="Amiri"/>
          <w:color w:val="111111"/>
          <w:sz w:val="28"/>
          <w:szCs w:val="28"/>
          <w:rtl w:val="true"/>
          <w:lang w:bidi="ar-SA"/>
        </w:rPr>
        <w:t>».</w:t>
      </w:r>
      <w:r>
        <w:rPr>
          <w:rStyle w:val="FootnoteAnchor"/>
          <w:rtl w:val="true"/>
        </w:rPr>
        <w:footnoteReference w:id="42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407</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روایت، از سه شرط و خصلت مهم ولی امر شامل تقوا، صبر و خویشتنداری، و خوش‌رفتاری و مهربانی با مردم نام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دوم را نیز حضرت امیرالمؤمنین علیه السلام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عَلِمْتُمْ أَنَّهُ لا یَنْبَغِی أَنْ یَکُونَ الْوالِیَ عَلَی الْفُرُوجِ وَ الدِّماءِ وَ الْمَغانِمِ وَ الْاحْکامِ وَ إِمامَةِ الْمُسْلِمِینَ الْبَخِیلُ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الْجاهِلُ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الْجافِی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الْخائِفُ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الْمُرْتَشِی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الْمُعَطِّلُ لِلسُّنَّةِ</w:t>
      </w:r>
      <w:r>
        <w:rPr>
          <w:rFonts w:eastAsia="Amiri" w:cs="Amiri" w:ascii="Amiri" w:hAnsi="Amiri"/>
          <w:color w:val="111111"/>
          <w:sz w:val="28"/>
          <w:szCs w:val="28"/>
          <w:rtl w:val="true"/>
          <w:lang w:bidi="ar-SA"/>
        </w:rPr>
        <w:t>».</w:t>
      </w:r>
      <w:r>
        <w:rPr>
          <w:rStyle w:val="FootnoteAnchor"/>
          <w:rtl w:val="true"/>
        </w:rPr>
        <w:footnoteReference w:id="426"/>
      </w:r>
      <w:r>
        <w:rPr>
          <w:rFonts w:ascii="IRNazanin" w:hAnsi="IRNazanin" w:eastAsia="IRNazanin"/>
          <w:color w:val="111111"/>
          <w:sz w:val="28"/>
          <w:sz w:val="28"/>
          <w:szCs w:val="28"/>
          <w:rtl w:val="true"/>
          <w:lang w:bidi="fa-IR"/>
        </w:rPr>
        <w:t>در این روایت نیز شرائط و خصایلی نظیر بخیل نبودن، نادان نبودن، ظالم نبودن، ناعادل نبودن و رشوه‌خوار نبودن، برای ولی امر جامعۀ اسلامی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روایت، از منظر آیت‌اللّه مورد قبول، و روایات طایفۀ سوم به شمار می‌آیند</w:t>
      </w:r>
      <w:r>
        <w:rPr>
          <w:rFonts w:eastAsia="IRNazanin" w:cs="IRNazanin"/>
          <w:color w:val="111111"/>
          <w:sz w:val="28"/>
          <w:szCs w:val="28"/>
          <w:rtl w:val="true"/>
          <w:lang w:bidi="fa-IR"/>
        </w:rPr>
        <w:t>.</w:t>
      </w:r>
      <w:r>
        <w:rPr>
          <w:rStyle w:val="FootnoteAnchor"/>
          <w:rtl w:val="true"/>
        </w:rPr>
        <w:footnoteReference w:id="427"/>
      </w:r>
    </w:p>
    <w:p>
      <w:pPr>
        <w:pStyle w:val="BookText"/>
        <w:rPr/>
      </w:pPr>
      <w:r>
        <w:rPr>
          <w:rFonts w:ascii="IRNazanin" w:hAnsi="IRNazanin" w:eastAsia="IRNazanin"/>
          <w:color w:val="111111"/>
          <w:sz w:val="28"/>
          <w:sz w:val="28"/>
          <w:szCs w:val="28"/>
          <w:rtl w:val="true"/>
          <w:lang w:bidi="fa-IR"/>
        </w:rPr>
        <w:t>طایفۀ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طایفۀ چهارم، از انتخاب مردم سخن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آیت‌اللّه مشکینی دربارۀ روایات این طایفه، به رفع شبهه‌ای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شبهه آن است که آیا انتخاب مردم، شرط مشروعیت ولی امر است و آیا ولی امر منصوب از سوی خدا نیست‌؟ هر چند دربارۀ مقولۀ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نصب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انتخاب و رأی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نظریۀ ولایت فقیه در ادامه سخن خواهیم گفت، در اینجا نیز اختصاراً به رفع این شبهه از منظر آیت‌اللّه مشکینی می‌پردازیم و در جایگاه خود، به‌تفصیل سخن خواهیم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آیت‌اللّه، مشهورترین روایت این طایفه را روایتی می‌داند که سلیم بن قیس از حضرت امیر علیه السلام نقل می‌کند</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الواجبُ فی حُکْمِ اللّه و حُکْم الاسلام علی المسلمینَ بَعْدَ ما یَموتُ امامُهُم اوْ یُقْتَلُ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لا یَعمَلوا عملاً و لا یُحْدِثوا حدثاً و لا یُقَدِّموا یَدَاً و لا رِجلاً و لا یَبُدَءوا بشیءٍ قَبْلَ انْ یَخْتاروا لانْفسهم اماماً عفیفاً عالماً</w:t>
      </w:r>
      <w:bookmarkStart w:id="494" w:name="pg14517_146422"/>
    </w:p>
    <w:p>
      <w:pPr>
        <w:pStyle w:val="BookText"/>
        <w:rPr/>
      </w:pPr>
      <w:bookmarkEnd w:id="494"/>
      <w:r>
        <w:rPr>
          <w:rFonts w:ascii="Amiri" w:hAnsi="Amiri" w:eastAsia="Amiri" w:cs="Amiri"/>
          <w:color w:val="111111"/>
          <w:sz w:val="28"/>
          <w:sz w:val="28"/>
          <w:szCs w:val="28"/>
          <w:rtl w:val="true"/>
          <w:lang w:bidi="ar-SA"/>
        </w:rPr>
        <w:t>وَرِعاً</w:t>
      </w:r>
      <w:r>
        <w:rPr>
          <w:rFonts w:eastAsia="Amiri" w:cs="Amiri" w:ascii="Amiri" w:hAnsi="Amiri"/>
          <w:color w:val="111111"/>
          <w:sz w:val="28"/>
          <w:szCs w:val="28"/>
          <w:rtl w:val="true"/>
          <w:lang w:bidi="ar-SA"/>
        </w:rPr>
        <w:t>».</w:t>
      </w:r>
      <w:r>
        <w:rPr>
          <w:rStyle w:val="FootnoteAnchor"/>
          <w:rtl w:val="true"/>
        </w:rPr>
        <w:footnoteReference w:id="42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سلیم بن قیس، ص </w:t>
      </w:r>
      <w:r>
        <w:rPr>
          <w:rFonts w:eastAsia="IRNazanin" w:cs="IRNazanin"/>
          <w:color w:val="111111"/>
          <w:sz w:val="28"/>
          <w:szCs w:val="28"/>
          <w:lang w:bidi="fa-IR"/>
        </w:rPr>
        <w:t>291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آیت‌اللّه مشکینی در بیان این روایت می‌گوید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حضرت امیر علیه السلام به ابوهریره و ابودرداء، به هر دو، می‌فرماید بروید از طرف من به معاویه، این را بگویید که اگر چنانچه امامِ ملتی بمیرد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قدم این است که باید بروند برای خودشان امام انتخاب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وی سپس به افرادی اشاره می‌کند که با تمسک به این روایت، استدلال می‌کنند که ولایت امر، انتخابی است و ولی امر، به نظر و رأی صِرف مردم انتخاب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آیت‌اللّه در پاسخ به این شبهه یادآوری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این را، خود امام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می‌گوید اینکه می‌گویم بر مردم لازم است، یعنی بروند سراغ امام؛ اگر دیدند خدا تعیین کرده، که او را بپذیرند؛ و اگر دیدند خدا تعیین نکرده، خودشان تعیین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مردم واجب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رحلت کرد، فوراً بروند سراغ امام؛ اگر دیدند که تعیین شده، فهو المطلوب؛ و اگر تعیین نشده، خودشان تعیین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اینکه خودشان تعیین کنند، مطلبی است که در ذهن بعضی‌ها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فرضی است که مِنْ عنداللّه تعیین نشده است و ما، مِنْ عنداللّه تعیین‌شده را داریم</w:t>
      </w:r>
      <w:r>
        <w:rPr>
          <w:rFonts w:eastAsia="IRNazanin" w:cs="IRNazanin"/>
          <w:color w:val="111111"/>
          <w:sz w:val="28"/>
          <w:szCs w:val="28"/>
          <w:rtl w:val="true"/>
          <w:lang w:bidi="fa-IR"/>
        </w:rPr>
        <w:t>.</w:t>
      </w:r>
      <w:r>
        <w:rPr>
          <w:rStyle w:val="FootnoteAnchor"/>
          <w:rtl w:val="true"/>
        </w:rPr>
        <w:footnoteReference w:id="429"/>
      </w:r>
    </w:p>
    <w:p>
      <w:pPr>
        <w:pStyle w:val="BookText"/>
        <w:rPr/>
      </w:pPr>
      <w:r>
        <w:rPr>
          <w:rFonts w:ascii="IRNazanin" w:hAnsi="IRNazanin" w:eastAsia="IRNazanin"/>
          <w:color w:val="111111"/>
          <w:sz w:val="28"/>
          <w:sz w:val="28"/>
          <w:szCs w:val="28"/>
          <w:rtl w:val="true"/>
          <w:lang w:bidi="fa-IR"/>
        </w:rPr>
        <w:t>دراین‌باره همان‌گونه که گفته شد، در ادامه به‌تفصیل سخن گفته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می‌توان نتیجه گرفت که آیت‌اللّه مشکینی، از دو منظر عقل و نقل به اثبات مقولۀ ولی فقیه و لزوم وجود ولی امر در جامعه می‌پردازد و آن را تأیید می‌کند</w:t>
      </w:r>
      <w:r>
        <w:rPr>
          <w:rFonts w:eastAsia="IRNazanin" w:cs="IRNazanin"/>
          <w:color w:val="111111"/>
          <w:sz w:val="28"/>
          <w:szCs w:val="28"/>
          <w:rtl w:val="true"/>
          <w:lang w:bidi="fa-IR"/>
        </w:rPr>
        <w:t>.</w:t>
      </w:r>
    </w:p>
    <w:p>
      <w:pPr>
        <w:pStyle w:val="Heading3"/>
        <w:numPr>
          <w:ilvl w:val="2"/>
          <w:numId w:val="1"/>
        </w:numPr>
        <w:rPr/>
      </w:pPr>
      <w:bookmarkStart w:id="495" w:name="__RefHeading___Toc39970_1878427129"/>
      <w:bookmarkStart w:id="496" w:name="_Toc187"/>
      <w:bookmarkEnd w:id="495"/>
      <w:r>
        <w:rPr/>
        <w:t>3</w:t>
      </w:r>
      <w:r>
        <w:rPr>
          <w:rtl w:val="true"/>
        </w:rPr>
        <w:t xml:space="preserve">. </w:t>
      </w:r>
      <w:r>
        <w:rPr>
          <w:rtl w:val="true"/>
        </w:rPr>
        <w:t>شرایط ولایت</w:t>
      </w:r>
      <w:bookmarkEnd w:id="496"/>
    </w:p>
    <w:p>
      <w:pPr>
        <w:pStyle w:val="Heading4"/>
        <w:numPr>
          <w:ilvl w:val="3"/>
          <w:numId w:val="1"/>
        </w:numPr>
        <w:rPr/>
      </w:pPr>
      <w:bookmarkStart w:id="497" w:name="__RefHeading___Toc39972_1878427129"/>
      <w:bookmarkStart w:id="498" w:name="_Toc188"/>
      <w:bookmarkEnd w:id="497"/>
      <w:r>
        <w:rPr>
          <w:rtl w:val="true"/>
        </w:rPr>
        <w:t>اشاره</w:t>
      </w:r>
      <w:bookmarkEnd w:id="498"/>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ولایت، به سبب موقعیت، ویژگی و جایگاهی که در جامعه دارد، باید شرایط و خصوصیاتی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شرایط و ویژگی‌ها در شرع مقدس و اندیشۀ سیاسی اسلام ذکر و برآن‌ها تأکید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آیت‌اللّه مشکینی، داشتن شرایط کافی برای ولایت را ناشی از اهمیت بسیارِ این مقوله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معتقد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ولایت،</w:t>
      </w:r>
      <w:bookmarkStart w:id="499" w:name="pg14517_146423"/>
    </w:p>
    <w:p>
      <w:pPr>
        <w:pStyle w:val="BookText"/>
        <w:rPr/>
      </w:pPr>
      <w:bookmarkEnd w:id="499"/>
      <w:r>
        <w:rPr>
          <w:rFonts w:ascii="IRNazanin" w:hAnsi="IRNazanin" w:eastAsia="IRNazanin"/>
          <w:color w:val="111111"/>
          <w:sz w:val="28"/>
          <w:sz w:val="28"/>
          <w:szCs w:val="28"/>
          <w:rtl w:val="true"/>
          <w:lang w:bidi="fa-IR"/>
        </w:rPr>
        <w:t xml:space="preserve">بسیار خطیر است؛ امری است هم خطیر و هم خطرناک و هم بزرگ؛ برای اینکه امور یک کشور عظیمی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ممکن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مملکت‌هایی را در زیر نظر او 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این امر خطیری است و لذا شارع برای کسی که این ولایت را جعل کرده است، خصوصیاتی و شرایطی قرار داده است</w:t>
      </w:r>
      <w:r>
        <w:rPr>
          <w:rFonts w:eastAsia="IRNazanin" w:cs="IRNazanin"/>
          <w:color w:val="111111"/>
          <w:sz w:val="28"/>
          <w:szCs w:val="28"/>
          <w:rtl w:val="true"/>
          <w:lang w:bidi="fa-IR"/>
        </w:rPr>
        <w:t>».</w:t>
      </w:r>
      <w:r>
        <w:rPr>
          <w:rStyle w:val="FootnoteAnchor"/>
          <w:rtl w:val="true"/>
        </w:rPr>
        <w:footnoteReference w:id="43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آیت‌اللّه مشکینی در مجلس خبرگان، ص </w:t>
      </w:r>
      <w:r>
        <w:rPr>
          <w:rFonts w:eastAsia="IRNazanin" w:cs="IRNazanin"/>
          <w:color w:val="111111"/>
          <w:sz w:val="28"/>
          <w:szCs w:val="28"/>
          <w:lang w:bidi="fa-IR"/>
        </w:rPr>
        <w:t>159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نظر آیت‌اللّه مشکینی، ولایت، پانزده شرط دارد که ده شرط آن در باب مرجعیت تقلید ذکر شده است که عبارت‌اند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بلوغ، عقل، اسلام، ایمان، عدالت، طهارت مولد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حلال‌زاده بودن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حریت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 بودن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ذکوریة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 بودن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حیات و اعلمیت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این ده شرط، پنج شرط دیگر نیز وجود دارد که در قانون اساسی جمهوری اسلامی ایران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بینش سیاسی، شجاعت، مدیریت، مدبریت و حُسن اداره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البته آیت‌اللّه، در نگاهی دیگر پنج شرطِ ذکرشده را درمجموع، یک شرط به شمار آورده و یازده شرط ذکر می‌کند با یک شرط دیگر که از آن غفلت شده است و آن عبارت است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 تنصیص و نصب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که در مبحث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نصب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سخن خواهیم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آنجا که برخی شرائط ولایت، با شرایط مرجعیت همسان است، ضرورت دارد تا مبحث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 و مرجعیت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اندیشۀ سیاسی آیت‌اللّه مشکینی و تفاوت‌های این دو مقوله بررسی شود؛ ازاین‌رو می‌توان این مبحث را در ذیل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شرائط 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کرد</w:t>
      </w:r>
      <w:r>
        <w:rPr>
          <w:rFonts w:eastAsia="IRNazanin" w:cs="IRNazanin"/>
          <w:color w:val="111111"/>
          <w:sz w:val="28"/>
          <w:szCs w:val="28"/>
          <w:rtl w:val="true"/>
          <w:lang w:bidi="fa-IR"/>
        </w:rPr>
        <w:t>.</w:t>
      </w:r>
    </w:p>
    <w:p>
      <w:pPr>
        <w:pStyle w:val="Heading4"/>
        <w:numPr>
          <w:ilvl w:val="3"/>
          <w:numId w:val="1"/>
        </w:numPr>
        <w:rPr/>
      </w:pPr>
      <w:bookmarkStart w:id="500" w:name="__RefHeading___Toc39974_1878427129"/>
      <w:bookmarkStart w:id="501" w:name="_Toc189"/>
      <w:bookmarkEnd w:id="500"/>
      <w:r>
        <w:rPr/>
        <w:t>3.1</w:t>
      </w:r>
      <w:r>
        <w:rPr>
          <w:rtl w:val="true"/>
        </w:rPr>
        <w:t xml:space="preserve">. </w:t>
      </w:r>
      <w:r>
        <w:rPr>
          <w:rtl w:val="true"/>
        </w:rPr>
        <w:t>مرجعیت و ولایت؛ شرایط و افتراقات</w:t>
      </w:r>
      <w:bookmarkEnd w:id="501"/>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بحث ولایت فقیه پرداختن به ارتباط این مقوله با مرجعیت، و تفاوت‌ها و امتیازات آن دو ضروری به نظر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آیت‌اللّه مشکینی در توضیح مسئلۀ مرجعیت تقلید، ابتدا به تعریف لغوی آن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دیدگاه 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لغت از ریشۀ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معنای بر گردن کردن، یا کاری را بر عهدۀ شخصی قرار دادن</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431"/>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واجب و حرام، ص </w:t>
      </w:r>
      <w:r>
        <w:rPr>
          <w:rFonts w:eastAsia="IRNazanin" w:cs="IRNazanin"/>
          <w:color w:val="111111"/>
          <w:sz w:val="28"/>
          <w:szCs w:val="28"/>
          <w:lang w:bidi="fa-IR"/>
        </w:rPr>
        <w:t>67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تقلید در اصطلاح عبارت است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گفتار متخصص فنی را بدون دلیل پذیرفتن، که گویا تقلیدکننده سخنان او را به مانند قلاده بر گردن خود می‌نهد و یا آنکه اعمال خود را که طبق گفتۀ او انجام داده، از نظر مسئولیت، قلاده‌وار بر گردن او می‌نهد و بر عهدۀ او می‌گذارد؛ پس تقلید اصطلاحی در فروع دین، یعنی مراجعه به متخصص و یافتن راه صحیح و مطمئن دربارۀ عمل به وظایف فرعی و مسائل عملی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آیت‌اللّه مشکینی همچنین در تعریف مجتهد و فقیه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کسانی که به سعی و کوشش، شرایط استفاده را تحصیل کرده و متخصص این رشته شده‌اند و احکام خود را بالمباشرت استخراج و به کار بسته‌اند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این تخصص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اجتهاد و فقاهت، و نام این متخصص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مجتهد و فقیه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وی، فقیه واجد شرایط را مرجع تقلید می‌داند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در تعریف اصطلاحی آن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مرجع تقلید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کسی که شخصی که در احکام فرعی خودش، جاهل باشد، بتواند به او رجوع کند و از او، فتوا را، تعبّداً، بگیرد و عمل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معنای مرجع تقلید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البته آیت‌اللّه در کنار تعریف این اصطلاحات، به مواردی از قبیل الزامات و کیفیت رجوع مقلِّد به مقلد، نظریات گوناگون و متنوعی مطرح می‌کند، که برای پرهیز از تطویل و خارج نشدن از بحث، بدان نمی‌پردازیم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دربارۀ بحث مرجعیت و ولایت و ارتباط این دو مقوله با هم و امتیازات آن دو، آیت‌اللّه مشکینی به مواردی اشاره می‌کند که با مراجعه به اقوال و آرای او، می‌توان این موارد را به‌اختصار این‌گونه بیان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شرایط ولایت، دشوارتر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پیش‌تر گفته شد، ولی فقیه باید شرائطی افزون بر شرائط مرجع تقلید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دیگر سخن، همان شرائطی که</w:t>
      </w:r>
    </w:p>
    <w:p>
      <w:pPr>
        <w:pStyle w:val="BookText"/>
        <w:rPr/>
      </w:pPr>
      <w:r>
        <w:rPr>
          <w:rFonts w:ascii="IRNazanin" w:hAnsi="IRNazanin" w:eastAsia="IRNazanin"/>
          <w:color w:val="111111"/>
          <w:sz w:val="28"/>
          <w:sz w:val="28"/>
          <w:szCs w:val="28"/>
          <w:rtl w:val="true"/>
          <w:lang w:bidi="fa-IR"/>
        </w:rPr>
        <w:t>مرجع تقلید دارد، ولی فقیه هم باید داشته باشد و افزون بر آن، باید دارای شرائطی از قبیل بینش سیاسی، مدیریت، تدبیر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می‌توان گفت که شرائط ولایت فقیه، دشوارتر و بیشتر از مرجعیت است</w:t>
      </w:r>
      <w:r>
        <w:rPr>
          <w:rFonts w:eastAsia="IRNazanin" w:cs="IRNazanin"/>
          <w:color w:val="111111"/>
          <w:sz w:val="28"/>
          <w:szCs w:val="28"/>
          <w:rtl w:val="true"/>
          <w:lang w:bidi="fa-IR"/>
        </w:rPr>
        <w:t>.</w:t>
      </w:r>
      <w:r>
        <w:rPr>
          <w:rStyle w:val="FootnoteAnchor"/>
          <w:rtl w:val="true"/>
        </w:rPr>
        <w:footnoteReference w:id="432"/>
      </w:r>
    </w:p>
    <w:p>
      <w:pPr>
        <w:pStyle w:val="BookText"/>
        <w:rPr/>
      </w:pPr>
      <w:r>
        <w:rPr>
          <w:rFonts w:ascii="IRNazanin" w:hAnsi="IRNazanin" w:eastAsia="IRNazanin"/>
          <w:color w:val="111111"/>
          <w:sz w:val="28"/>
          <w:sz w:val="28"/>
          <w:szCs w:val="28"/>
          <w:rtl w:val="true"/>
          <w:lang w:bidi="fa-IR"/>
        </w:rPr>
        <w:t>دراین‌باره 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آیت‌اللّه مشکینی در مجلس خبرگان، ص </w:t>
      </w:r>
      <w:r>
        <w:rPr>
          <w:rFonts w:eastAsia="IRNazanin" w:cs="IRNazanin"/>
          <w:color w:val="111111"/>
          <w:sz w:val="28"/>
          <w:szCs w:val="28"/>
          <w:lang w:bidi="fa-IR"/>
        </w:rPr>
        <w:t>135</w:t>
      </w:r>
      <w:r>
        <w:rPr>
          <w:rFonts w:eastAsia="IRNazanin" w:cs="IRNazanin"/>
          <w:color w:val="111111"/>
          <w:sz w:val="28"/>
          <w:szCs w:val="28"/>
          <w:rtl w:val="true"/>
          <w:lang w:bidi="fa-IR"/>
        </w:rPr>
        <w:t>-</w:t>
      </w:r>
      <w:r>
        <w:rPr>
          <w:rFonts w:eastAsia="IRNazanin" w:cs="IRNazanin"/>
          <w:color w:val="111111"/>
          <w:sz w:val="28"/>
          <w:szCs w:val="28"/>
          <w:lang w:bidi="fa-IR"/>
        </w:rPr>
        <w:t>139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مرجع تقلیدی، ولی امر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آنچه گفته شد و با توجه به شرائط ویژۀ ولی فقیه، می‌توان نتیجه گرفت که هر مرجع تقلیدی، الزاماً ولی امر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ممکن است کسی برای مرجعیت تقلید صلاحیت داشته باشد، ولی برای ولایت امرْ صالح نباشد</w:t>
      </w:r>
      <w:r>
        <w:rPr>
          <w:rFonts w:eastAsia="IRNazanin" w:cs="IRNazanin"/>
          <w:color w:val="111111"/>
          <w:sz w:val="28"/>
          <w:szCs w:val="28"/>
          <w:rtl w:val="true"/>
          <w:lang w:bidi="fa-IR"/>
        </w:rPr>
        <w:t>.</w:t>
      </w:r>
      <w:r>
        <w:rPr>
          <w:rStyle w:val="FootnoteAnchor"/>
          <w:rtl w:val="true"/>
        </w:rPr>
        <w:footnoteReference w:id="433"/>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حکم ولی امر، بر مرجع تقلید مقدم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مواردی که همواره محل سؤال بوده و در کانون توجه اندیشه‌وران قرار می‌گرفته است آن است که اصولاً در صورت تعارض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فتوای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مرجع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امر، کدام‌یک مقدم است‌؟ آیت‌اللّه مشکینی دراین‌باره معتقد است که در صورت وجود این‌گونه تعارض، قطعاً حکم ولی امر مقدم است؛ چرا که به اعتقاد وی، حکم می‌تواند فتوا را نقض کند، ولی فتوا نمی‌تواند حکم را نقض کند</w:t>
      </w:r>
      <w:r>
        <w:rPr>
          <w:rFonts w:eastAsia="IRNazanin" w:cs="IRNazanin"/>
          <w:color w:val="111111"/>
          <w:sz w:val="28"/>
          <w:szCs w:val="28"/>
          <w:rtl w:val="true"/>
          <w:lang w:bidi="fa-IR"/>
        </w:rPr>
        <w:t>.</w:t>
      </w:r>
      <w:r>
        <w:rPr>
          <w:rStyle w:val="FootnoteAnchor"/>
          <w:rtl w:val="true"/>
        </w:rPr>
        <w:footnoteReference w:id="434"/>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ولی امرِ اعلم، مرجعیت متمرکز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آیت‌اللّه مشکینی معتقد است اگر کسی که واجد شرایط ولایت امر است، چنانچه در استنباط احکام نیز از دیگران اعلم باشد، عنوان ولایت امر و مرجعیت تقلید در وی متمرکز می‌شود و ولی امر جامعه، همان مرجع تقلید آن‌ها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این‌گونه نبود، یعنی مثلاً مجتهدِ واجد شرایط ولایت اعلمیت نداشت، یا فقیه اعلم، واجد شرایط ولایت نبود، طبعاً مرجعیت تقلید از ولایت امر مسلمین جدا می‌شود و هریک وظایف خویش را انجام خواهد داد</w:t>
      </w:r>
      <w:r>
        <w:rPr>
          <w:rFonts w:eastAsia="IRNazanin" w:cs="IRNazanin"/>
          <w:color w:val="111111"/>
          <w:sz w:val="28"/>
          <w:szCs w:val="28"/>
          <w:rtl w:val="true"/>
          <w:lang w:bidi="fa-IR"/>
        </w:rPr>
        <w:t>.</w:t>
      </w:r>
      <w:r>
        <w:rPr>
          <w:rStyle w:val="FootnoteAnchor"/>
          <w:rtl w:val="true"/>
        </w:rPr>
        <w:footnoteReference w:id="435"/>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 فرق عمده میان ولایت و مرجعیت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از مطالبی که گفته شد، دو فرق مهم و</w:t>
      </w:r>
      <w:bookmarkStart w:id="502" w:name="pg14517_146426"/>
    </w:p>
    <w:p>
      <w:pPr>
        <w:pStyle w:val="BookText"/>
        <w:rPr/>
      </w:pPr>
      <w:bookmarkEnd w:id="502"/>
      <w:r>
        <w:rPr>
          <w:rFonts w:ascii="IRNazanin" w:hAnsi="IRNazanin" w:eastAsia="IRNazanin"/>
          <w:color w:val="111111"/>
          <w:sz w:val="28"/>
          <w:sz w:val="28"/>
          <w:szCs w:val="28"/>
          <w:rtl w:val="true"/>
          <w:lang w:bidi="fa-IR"/>
        </w:rPr>
        <w:t>اساسی میان ولایت و مرجعیت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دیدگاه آیت‌اللّه مشکینی، این دو فرق عبارت‌اند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اعلمیت و شرط حیات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مرجع تقلید، به میت هم می‌توان رجوع کرد؛ اما ولی امر میت نمی‌تواند ولی امر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اعلمیت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مرجع تقلید، اعلمیت، مورد اختلاف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ندارد که اعلمیت باشد؛ ولی بر طبق نصوص مسلّم، ولی امر باید اعلمیت داشته باشد</w:t>
      </w:r>
      <w:r>
        <w:rPr>
          <w:rFonts w:eastAsia="IRNazanin" w:cs="IRNazanin"/>
          <w:color w:val="111111"/>
          <w:sz w:val="28"/>
          <w:szCs w:val="28"/>
          <w:rtl w:val="true"/>
          <w:lang w:bidi="fa-IR"/>
        </w:rPr>
        <w:t>...».</w:t>
      </w:r>
      <w:r>
        <w:rPr>
          <w:rStyle w:val="FootnoteAnchor"/>
          <w:rtl w:val="true"/>
        </w:rPr>
        <w:footnoteReference w:id="436"/>
      </w:r>
    </w:p>
    <w:p>
      <w:pPr>
        <w:pStyle w:val="BookText"/>
        <w:rPr/>
      </w:pPr>
      <w:r>
        <w:rPr>
          <w:rFonts w:ascii="IRNazanin" w:hAnsi="IRNazanin" w:eastAsia="IRNazanin"/>
          <w:color w:val="111111"/>
          <w:sz w:val="28"/>
          <w:sz w:val="28"/>
          <w:szCs w:val="28"/>
          <w:rtl w:val="true"/>
          <w:lang w:bidi="fa-IR"/>
        </w:rPr>
        <w:t xml:space="preserve">آیت‌اللّه مشکینی در مجلس خبرگان، ص </w:t>
      </w:r>
      <w:r>
        <w:rPr>
          <w:rFonts w:eastAsia="IRNazanin" w:cs="IRNazanin"/>
          <w:color w:val="111111"/>
          <w:sz w:val="28"/>
          <w:szCs w:val="28"/>
          <w:lang w:bidi="fa-IR"/>
        </w:rPr>
        <w:t>138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عمل به فتوای مرجع تقلید و عمل به حکم ولی امر، طاعت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مسائلی که در بحث ولایت و مرجعیت ذکر آن ضروری به نظر می‌رسد آن است که آیا رأی مرجع و ولی امر حجیت دارد یا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آیت‌اللّه مشکینی معتقد است که آنچه از طرف شرع دربارۀ مرجع، جعل شده، حجیت رأی اوست؛ یعنی فتاوی و آراء او حکایت از واقع دارد و برای مقلدین نسبت به آن حجیت شرعی تمام می‌شود و آنچه دربارۀ ولی امر است، جعل منصب و اعطاء حاکمیت بر ملت است که طبق مصالح اسلام و مسلمین، امر و نهی صادر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تبیین و توضیح این عبارت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مرجع تقلید، خبر از حکم کلی الهی می‌دهد؛ مثل واجب بودن نماز و حرام بودن زنا؛ و ولی امر انشاء حکم ولایی می‌کند؛ مثل فرمان نصب و عزل و جنگ و صلح و غیره، و وظیفۀ مکلّف و مسلمان در اولی تقلید، و در دومی طاعت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Heading3"/>
        <w:numPr>
          <w:ilvl w:val="2"/>
          <w:numId w:val="1"/>
        </w:numPr>
        <w:rPr/>
      </w:pPr>
      <w:bookmarkStart w:id="503" w:name="__RefHeading___Toc39976_1878427129"/>
      <w:bookmarkStart w:id="504" w:name="_Toc190"/>
      <w:bookmarkEnd w:id="503"/>
      <w:r>
        <w:rPr/>
        <w:t>4</w:t>
      </w:r>
      <w:r>
        <w:rPr>
          <w:rtl w:val="true"/>
        </w:rPr>
        <w:t xml:space="preserve">. </w:t>
      </w:r>
      <w:r>
        <w:rPr>
          <w:rtl w:val="true"/>
        </w:rPr>
        <w:t>ولایت فقیه؛ نصب الهی یا رأی مردمی ؟</w:t>
      </w:r>
      <w:bookmarkEnd w:id="504"/>
    </w:p>
    <w:p>
      <w:pPr>
        <w:pStyle w:val="Heading4"/>
        <w:numPr>
          <w:ilvl w:val="3"/>
          <w:numId w:val="1"/>
        </w:numPr>
        <w:rPr/>
      </w:pPr>
      <w:bookmarkStart w:id="505" w:name="__RefHeading___Toc39978_1878427129"/>
      <w:bookmarkStart w:id="506" w:name="_Toc191"/>
      <w:bookmarkEnd w:id="505"/>
      <w:r>
        <w:rPr>
          <w:rtl w:val="true"/>
        </w:rPr>
        <w:t>اشاره</w:t>
      </w:r>
      <w:bookmarkEnd w:id="506"/>
    </w:p>
    <w:p>
      <w:pPr>
        <w:pStyle w:val="BookText"/>
        <w:rPr/>
      </w:pPr>
      <w:r>
        <w:rPr>
          <w:rFonts w:ascii="IRNazanin" w:hAnsi="IRNazanin" w:eastAsia="IRNazanin"/>
          <w:color w:val="111111"/>
          <w:sz w:val="28"/>
          <w:sz w:val="28"/>
          <w:szCs w:val="28"/>
          <w:rtl w:val="true"/>
          <w:lang w:bidi="fa-IR"/>
        </w:rPr>
        <w:t>یکی از مهم‌ترین و درعین‌حال پرمناقشه‌ترین مباحث نظری دربارۀ ولایت فقیه، بحث نصب الهی یا انتخاب مردمی بودن آن است و اینکه آیا اصولاً مردم در انتخاب ولی فقیه نقشی دارند یا خیر؟</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جهت تبیین دیدگاه آیت‌اللّه مشکینی، ابتدا باید به این نکته توجه کرد که اصولاً در اندیشۀ وی، منشأ ولایت چیست‌؟ به عبارت دیگر، ولایت امر و حکومت بر جامعه، نشئت‌یافته از چیست‌؟ آیت‌اللّه معتقد است که ولایت امر، دو منشأ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ارادۀ</w:t>
      </w:r>
      <w:bookmarkStart w:id="507" w:name="pg14517_146427"/>
    </w:p>
    <w:p>
      <w:pPr>
        <w:pStyle w:val="BookText"/>
        <w:rPr/>
      </w:pPr>
      <w:bookmarkEnd w:id="507"/>
      <w:r>
        <w:rPr>
          <w:rFonts w:ascii="IRNazanin" w:hAnsi="IRNazanin" w:eastAsia="IRNazanin"/>
          <w:color w:val="111111"/>
          <w:sz w:val="28"/>
          <w:sz w:val="28"/>
          <w:szCs w:val="28"/>
          <w:rtl w:val="true"/>
          <w:lang w:bidi="fa-IR"/>
        </w:rPr>
        <w:t>الهی و دیگری، ارادۀ امت</w:t>
      </w:r>
      <w:r>
        <w:rPr>
          <w:rFonts w:eastAsia="IRNazanin" w:cs="IRNazanin"/>
          <w:color w:val="111111"/>
          <w:sz w:val="28"/>
          <w:szCs w:val="28"/>
          <w:rtl w:val="true"/>
          <w:lang w:bidi="fa-IR"/>
        </w:rPr>
        <w:t>.</w:t>
      </w:r>
      <w:r>
        <w:rPr>
          <w:rStyle w:val="FootnoteAnchor"/>
          <w:rtl w:val="true"/>
        </w:rPr>
        <w:footnoteReference w:id="43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آیت‌اللّه مشکینی در مجلس خبرگان، ص </w:t>
      </w:r>
      <w:r>
        <w:rPr>
          <w:rFonts w:eastAsia="IRNazanin" w:cs="IRNazanin"/>
          <w:color w:val="111111"/>
          <w:sz w:val="28"/>
          <w:szCs w:val="28"/>
          <w:lang w:bidi="fa-IR"/>
        </w:rPr>
        <w:t>222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در توضیح این مطلب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طبق اسلام راستین، در هیچ عصر و زمانی، خداوند، ملتی را بدون ولی امر نمی‌گذارد و نگذاشته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آیت‌اللّه مشکینی، همین معنا را ترجمان واقعیِ مفهوم دموکراسی یا حکومت مردم بر مردم می‌داند و آن را تبلور عینی مردم‌سالاری دینی می‌شمارد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وی همین معنا را تسری‌یافته در قانون اساسی جمهوری اسلامی، و فرق اساسی دموکراسی غربی و اسلامی می‌داند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غرب فقط ارادۀ مردم حاکم است؛ اما در اسلام، هم ارادۀ الهی، و هم ارادۀ مردمی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دقیقاً به همین علت است که در اندیشۀ ایشان، تنها نظام مشروع در پهنۀ گیتی، نظام ولایت فقیه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معتقد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نظام ما، متصل به اللّه است و رهبر معظم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منصوب من عنداللّه است و سپاه و بسیج و ارتش ما، جنداللّه است و جوانان ما همگی حزب‌اللّه و به خواست خداوند، اکثریت ملت ما، اولیاءاللّه است</w:t>
      </w:r>
      <w:r>
        <w:rPr>
          <w:rFonts w:eastAsia="IRNazanin" w:cs="IRNazanin"/>
          <w:color w:val="111111"/>
          <w:sz w:val="28"/>
          <w:szCs w:val="28"/>
          <w:rtl w:val="true"/>
          <w:lang w:bidi="fa-IR"/>
        </w:rPr>
        <w:t>...»</w:t>
      </w:r>
      <w:r>
        <w:rPr>
          <w:rStyle w:val="FootnoteAnchor"/>
          <w:rtl w:val="true"/>
        </w:rPr>
        <w:footnoteReference w:id="438"/>
      </w:r>
      <w:r>
        <w:rPr>
          <w:rFonts w:ascii="IRNazanin" w:hAnsi="IRNazanin" w:eastAsia="IRNazanin"/>
          <w:color w:val="111111"/>
          <w:sz w:val="28"/>
          <w:sz w:val="28"/>
          <w:szCs w:val="28"/>
          <w:rtl w:val="true"/>
          <w:lang w:bidi="fa-IR"/>
        </w:rPr>
        <w:t xml:space="preserve">و به این ترتیب نتیجه می‌گیرد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نهادهای حکومت ما، مورد تأیید و تصویب و امضای معصومان علیهم السلام است</w:t>
      </w:r>
      <w:r>
        <w:rPr>
          <w:rFonts w:eastAsia="IRNazanin" w:cs="IRNazanin"/>
          <w:color w:val="111111"/>
          <w:sz w:val="28"/>
          <w:szCs w:val="28"/>
          <w:rtl w:val="true"/>
          <w:lang w:bidi="fa-IR"/>
        </w:rPr>
        <w:t>...»</w:t>
      </w:r>
      <w:r>
        <w:rPr>
          <w:rStyle w:val="FootnoteAnchor"/>
          <w:rtl w:val="true"/>
        </w:rPr>
        <w:footnoteReference w:id="439"/>
      </w:r>
      <w:r>
        <w:rPr>
          <w:rFonts w:ascii="IRNazanin" w:hAnsi="IRNazanin" w:eastAsia="IRNazanin"/>
          <w:color w:val="111111"/>
          <w:sz w:val="28"/>
          <w:sz w:val="28"/>
          <w:szCs w:val="28"/>
          <w:rtl w:val="true"/>
          <w:lang w:bidi="fa-IR"/>
        </w:rPr>
        <w:t xml:space="preserve">؛ چرا که ولایت فقیه، مشروعیت خود را به واسطۀ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نصب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کسب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توضیح، می‌توان در بعد کلان‌تر، به موضوع منصوب بودن ولی فقیه و نقش رأی و نظر مردم در قوام یافتن ولایت، در اندیشۀ سیاسی آیت‌اللّه مشکینی پرداخت</w:t>
      </w:r>
      <w:r>
        <w:rPr>
          <w:rFonts w:eastAsia="IRNazanin" w:cs="IRNazanin"/>
          <w:color w:val="111111"/>
          <w:sz w:val="28"/>
          <w:szCs w:val="28"/>
          <w:rtl w:val="true"/>
          <w:lang w:bidi="fa-IR"/>
        </w:rPr>
        <w:t>:</w:t>
      </w:r>
    </w:p>
    <w:p>
      <w:pPr>
        <w:pStyle w:val="Heading4"/>
        <w:numPr>
          <w:ilvl w:val="3"/>
          <w:numId w:val="1"/>
        </w:numPr>
        <w:rPr/>
      </w:pPr>
      <w:bookmarkStart w:id="508" w:name="__RefHeading___Toc39980_1878427129"/>
      <w:bookmarkStart w:id="509" w:name="_Toc192"/>
      <w:bookmarkEnd w:id="508"/>
      <w:r>
        <w:rPr/>
        <w:t>4.1</w:t>
      </w:r>
      <w:r>
        <w:rPr>
          <w:rtl w:val="true"/>
        </w:rPr>
        <w:t xml:space="preserve">. </w:t>
      </w:r>
      <w:r>
        <w:rPr>
          <w:rtl w:val="true"/>
        </w:rPr>
        <w:t>نصب الهی</w:t>
      </w:r>
      <w:bookmarkEnd w:id="509"/>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دیدگاه اکثر فقهای شیعه برمی‌آید که ولی فقیه، منصوب از جانب خداوند است به اعتبار جانشینیِ معصوم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نصب آن است که در عصر غیبت، فقیهی که واجد شرایط علمی و عملی است، از سوی امامان معصوم علیه السلام به مقام ولایت رسیده</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44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ولایت فقیه؛ ولایت فقاهت و عدالت، ص </w:t>
      </w:r>
      <w:r>
        <w:rPr>
          <w:rFonts w:eastAsia="IRNazanin" w:cs="IRNazanin"/>
          <w:color w:val="111111"/>
          <w:sz w:val="28"/>
          <w:szCs w:val="28"/>
          <w:lang w:bidi="fa-IR"/>
        </w:rPr>
        <w:t>389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آیت‌اللّه مشکینی نیز این دیدگاه را تأیید کرده، معتقد است که ولی فقیه منصوب از جانب خداست؛ چرا که او به اعتبار منصوب بودن از سوی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نصب 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منصوب از سوی خداوند به شمار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منظر وی، نظام ولایت و حکومت اسلامی برای شخصی که معصوم نیست نیز با تمام نظام‌های دنیایی تفاوت دارد؛ چرا که این نظام و اصل حکومت آن از سوی خداوند متعال جعل شده و پدید آمده است و یکی از شئون ولایت معصوم علیه السلام به شمار می‌آید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وی ولی امر در این نظام را، یا پیامبر یا وصی معصوم یا منصوب از جانب معصوم دانسته، معتقد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همچنان که نبوت بعد از رحلت پیامبر صلی الله علیه و آله خاتمه پیدا کرد، اما نبوت به عنوان امامت، دوام دارد و همیشه خواهد داشت، تا وقتی که دنیا منقضی بشود</w:t>
      </w:r>
      <w:r>
        <w:rPr>
          <w:rFonts w:eastAsia="IRNazanin" w:cs="IRNazanin"/>
          <w:color w:val="111111"/>
          <w:sz w:val="28"/>
          <w:szCs w:val="28"/>
          <w:rtl w:val="true"/>
          <w:lang w:bidi="fa-IR"/>
        </w:rPr>
        <w:t>».</w:t>
      </w:r>
      <w:r>
        <w:rPr>
          <w:rStyle w:val="FootnoteAnchor"/>
          <w:rtl w:val="true"/>
        </w:rPr>
        <w:footnoteReference w:id="441"/>
      </w:r>
      <w:r>
        <w:rPr>
          <w:rFonts w:ascii="IRNazanin" w:hAnsi="IRNazanin" w:eastAsia="IRNazanin"/>
          <w:color w:val="111111"/>
          <w:sz w:val="28"/>
          <w:sz w:val="28"/>
          <w:szCs w:val="28"/>
          <w:rtl w:val="true"/>
          <w:lang w:bidi="fa-IR"/>
        </w:rPr>
        <w:t>البته پیش‌تر و در بحث انواع ولایت، گفته شد که ولایت فقیه ادامۀ همان ولایت تشریعی خاص معصوم علیه السلام به شمار می‌آید و گفته شد ولایتی که بر فقیه ثابت می‌شود، شعبه‌ای از ولایت تشریعیه‌ای است که معصوم نسبت به جامعه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آیت‌اللّه مشکینی، مسئلۀ نصب فقهای جامع‌الشرائط به مقام ولایت امر مسلمین را بدیهی و قابل انتظار از شرع مقدس دانسته،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ادلۀ وافی داریم که در زمان عصر غیبت، علمای خاص، از طرف اهل بیت علیهم السلام از طرف شرع اسلام منصوب‌اند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واقعاً هم از شرع مستَبْعَد می‌دانیم که کسی بگوید به اینکه نصب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شرع که جزئیات فروع دین را متعرض شده است، بعید می‌بینیم که مسئلۀ به این مهمی را، در زمان غیبت، متعرض نشده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این معنا از مقام شرع دور است</w:t>
      </w:r>
      <w:r>
        <w:rPr>
          <w:rFonts w:eastAsia="IRNazanin" w:cs="IRNazanin"/>
          <w:color w:val="111111"/>
          <w:sz w:val="28"/>
          <w:szCs w:val="28"/>
          <w:rtl w:val="true"/>
          <w:lang w:bidi="fa-IR"/>
        </w:rPr>
        <w:t>.</w:t>
      </w:r>
      <w:r>
        <w:rPr>
          <w:rStyle w:val="FootnoteAnchor"/>
          <w:rtl w:val="true"/>
        </w:rPr>
        <w:footnoteReference w:id="442"/>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 بر همین اساس تعیین حکومت و نصب حاکم را از اموری می‌داند که خداوند متعال بدان پرداخته است و از آدم تا خاتم، و از خاتم تا کنون این تعیین حکومت ادامه دارد، حتی در زمان غیبت معصوم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حکومت از آنِ اوست</w:t>
      </w:r>
      <w:bookmarkStart w:id="510" w:name="pg14517_146429"/>
    </w:p>
    <w:p>
      <w:pPr>
        <w:pStyle w:val="BookText"/>
        <w:rPr/>
      </w:pPr>
      <w:bookmarkEnd w:id="51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باید تعیین کند و حکومت را هم تعیین کرد؛ چه در زمان حیات آن‌ها، ظهور آن‌ها حتی برای زمان غیبت آن‌ها، اگر اتفاق بیفتد که ظاهرٌ مشهور نباشد، باطنٌ مقمور باشد، باز آن‌ها برای مردم حاکم تعیین کرده‌اند</w:t>
      </w:r>
      <w:r>
        <w:rPr>
          <w:rFonts w:eastAsia="IRNazanin" w:cs="IRNazanin"/>
          <w:color w:val="111111"/>
          <w:sz w:val="28"/>
          <w:szCs w:val="28"/>
          <w:rtl w:val="true"/>
          <w:lang w:bidi="fa-IR"/>
        </w:rPr>
        <w:t>...».</w:t>
      </w:r>
      <w:r>
        <w:rPr>
          <w:rStyle w:val="FootnoteAnchor"/>
          <w:rtl w:val="true"/>
        </w:rPr>
        <w:footnoteReference w:id="443"/>
      </w:r>
    </w:p>
    <w:p>
      <w:pPr>
        <w:pStyle w:val="BookText"/>
        <w:rPr/>
      </w:pP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271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می‌توان از این گفته‌های آیت‌اللّه مشکینی نتیجه گرفت که او نیز مانند بسیاری از فقها، قائل به نصب ولی فقیه از جانب خداوند، آن هم نصب عام و بالواسطه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این پرسش مطرح است که نقش مردم در حاکمیت یافتن ولی فقیه به چه مقدار است و اصولاً آیا می‌توان ولایت فقیه را در کنار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انتصابی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انتخابی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دانست‌؟</w:t>
      </w:r>
    </w:p>
    <w:p>
      <w:pPr>
        <w:pStyle w:val="Heading4"/>
        <w:numPr>
          <w:ilvl w:val="3"/>
          <w:numId w:val="1"/>
        </w:numPr>
        <w:rPr/>
      </w:pPr>
      <w:bookmarkStart w:id="511" w:name="__RefHeading___Toc39982_1878427129"/>
      <w:bookmarkStart w:id="512" w:name="_Toc193"/>
      <w:bookmarkEnd w:id="511"/>
      <w:r>
        <w:rPr/>
        <w:t>4.2</w:t>
      </w:r>
      <w:r>
        <w:rPr>
          <w:rtl w:val="true"/>
        </w:rPr>
        <w:t xml:space="preserve">. </w:t>
      </w:r>
      <w:r>
        <w:rPr>
          <w:rtl w:val="true"/>
        </w:rPr>
        <w:t>نقش مردم در حاکمیت ولی فقیه</w:t>
      </w:r>
      <w:bookmarkEnd w:id="512"/>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آیت‌اللّه مشکینی در تبیین نقش مردم در روند شکل‌گیری حاکمیت ولی فقیه، با طرح این جملۀ مشهور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همۀ اختیارات، در دست ملت است و مردم دارای اختیار تام‌اند در تمام امور کشور</w:t>
      </w:r>
      <w:r>
        <w:rPr>
          <w:rFonts w:eastAsia="IRNazanin" w:cs="IRNazanin"/>
          <w:color w:val="111111"/>
          <w:sz w:val="28"/>
          <w:szCs w:val="28"/>
          <w:rtl w:val="true"/>
          <w:lang w:bidi="fa-IR"/>
        </w:rPr>
        <w:t>»</w:t>
      </w:r>
      <w:r>
        <w:rPr>
          <w:rStyle w:val="FootnoteAnchor"/>
          <w:rtl w:val="true"/>
        </w:rPr>
        <w:footnoteReference w:id="444"/>
      </w:r>
      <w:r>
        <w:rPr>
          <w:rFonts w:ascii="IRNazanin" w:hAnsi="IRNazanin" w:eastAsia="IRNazanin"/>
          <w:color w:val="111111"/>
          <w:sz w:val="28"/>
          <w:sz w:val="28"/>
          <w:szCs w:val="28"/>
          <w:rtl w:val="true"/>
          <w:lang w:bidi="fa-IR"/>
        </w:rPr>
        <w:t xml:space="preserve">به حدود اختیارات مردم پرداخته، با این مقدمه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مردم را در کارهای خودشان مختار کرده است</w:t>
      </w:r>
      <w:r>
        <w:rPr>
          <w:rFonts w:eastAsia="IRNazanin" w:cs="IRNazanin"/>
          <w:color w:val="111111"/>
          <w:sz w:val="28"/>
          <w:szCs w:val="28"/>
          <w:rtl w:val="true"/>
          <w:lang w:bidi="fa-IR"/>
        </w:rPr>
        <w:t>»</w:t>
      </w:r>
      <w:r>
        <w:rPr>
          <w:rStyle w:val="FootnoteAnchor"/>
          <w:rtl w:val="true"/>
        </w:rPr>
        <w:footnoteReference w:id="445"/>
      </w:r>
      <w:r>
        <w:rPr>
          <w:rFonts w:ascii="IRNazanin" w:hAnsi="IRNazanin" w:eastAsia="IRNazanin"/>
          <w:color w:val="111111"/>
          <w:sz w:val="28"/>
          <w:sz w:val="28"/>
          <w:szCs w:val="28"/>
          <w:rtl w:val="true"/>
          <w:lang w:bidi="fa-IR"/>
        </w:rPr>
        <w:t>به این موضوع می‌پردازد که اساساً انسان، مختار آفریده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دو بخش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تکوینی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تشریعی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 می‌کند و اختیار انسان در امور تکوینی را مفروض می‌داند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بشر حتی در ایمان و کفرشان هم اختیار تکوینی دارند و در طاعت و طغیانشان هم اختیار تکوینی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 در کارهایش تکویناً مختار است</w:t>
      </w:r>
      <w:r>
        <w:rPr>
          <w:rFonts w:eastAsia="IRNazanin" w:cs="IRNazanin"/>
          <w:color w:val="111111"/>
          <w:sz w:val="28"/>
          <w:szCs w:val="28"/>
          <w:rtl w:val="true"/>
          <w:lang w:bidi="fa-IR"/>
        </w:rPr>
        <w:t>».</w:t>
      </w:r>
      <w:r>
        <w:rPr>
          <w:rStyle w:val="FootnoteAnchor"/>
          <w:rtl w:val="true"/>
        </w:rPr>
        <w:footnoteReference w:id="446"/>
      </w:r>
      <w:r>
        <w:rPr>
          <w:rFonts w:ascii="IRNazanin" w:hAnsi="IRNazanin" w:eastAsia="IRNazanin"/>
          <w:color w:val="111111"/>
          <w:sz w:val="28"/>
          <w:sz w:val="28"/>
          <w:szCs w:val="28"/>
          <w:rtl w:val="true"/>
          <w:lang w:bidi="fa-IR"/>
        </w:rPr>
        <w:t xml:space="preserve">در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اختیار تشریعی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آیت‌اللّه مشکینی معتقد است که انسان اختیار دارد؛ ولی این اختیار قطعاً مخصص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دیگر سخن، در یک کبرای کلی و به نحو استقرای عرفی می‌توانیم بگوییم که خداوند در تمام افعال، به بشر اختیار داده است؛ ولی این اختیار قابل تخصیص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 برای بشر، در همۀ کارها به نحو اطلاق گفته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 الخیار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 مواردی را استثناء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استقراء کردیم در این موارد و یافتیم که بشر در چهار مورد،</w:t>
      </w:r>
    </w:p>
    <w:p>
      <w:pPr>
        <w:pStyle w:val="BookText"/>
        <w:rPr/>
      </w:pPr>
      <w:r>
        <w:rPr>
          <w:rFonts w:ascii="IRNazanin" w:hAnsi="IRNazanin" w:eastAsia="IRNazanin"/>
          <w:color w:val="111111"/>
          <w:sz w:val="28"/>
          <w:sz w:val="28"/>
          <w:szCs w:val="28"/>
          <w:rtl w:val="true"/>
          <w:lang w:bidi="fa-IR"/>
        </w:rPr>
        <w:t>اختیار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فرمان می‌دهد که در اینجاها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اختیار با من است</w:t>
      </w:r>
      <w:r>
        <w:rPr>
          <w:rFonts w:eastAsia="IRNazanin" w:cs="IRNazanin"/>
          <w:color w:val="111111"/>
          <w:sz w:val="28"/>
          <w:szCs w:val="28"/>
          <w:rtl w:val="true"/>
          <w:lang w:bidi="fa-IR"/>
        </w:rPr>
        <w:t>».</w:t>
      </w:r>
      <w:r>
        <w:rPr>
          <w:rStyle w:val="FootnoteAnchor"/>
          <w:rtl w:val="true"/>
        </w:rPr>
        <w:footnoteReference w:id="44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175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اختیار انسان در امور تکوینی، بلا مخصص، و در امور تشریعی همراه با مخصص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چهار موردی که از دیدگاه آیت‌اللّه مشکینی از حیطۀ اختیار بشر خارج است عبارت‌اند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انتخاب 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بشر، در انتخاب دین مختار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خدا برای او تعیین می‌کند، یجب علیه که آن را انتخاب کند و آن را اختیار کند و حتی دینی را که قبلاً برای یک عدۀ دیگری، در یک عصر دیگری در یک مصر دیگری، خدا برای آنان جعل کرده و تشریع کرده، بشر حق ندارد برود آن را انتخاب کند، بلکه باید آنچه که خدا برای او جعل می‌کند و تشریع می‌کند و به او عرضه می‌دارد، آن را باید انتخاب کند</w:t>
      </w:r>
      <w:r>
        <w:rPr>
          <w:rFonts w:eastAsia="IRNazanin" w:cs="IRNazanin"/>
          <w:color w:val="111111"/>
          <w:sz w:val="28"/>
          <w:szCs w:val="28"/>
          <w:rtl w:val="true"/>
          <w:lang w:bidi="fa-IR"/>
        </w:rPr>
        <w:t>....</w:t>
      </w:r>
      <w:r>
        <w:rPr>
          <w:rStyle w:val="FootnoteAnchor"/>
          <w:rtl w:val="true"/>
        </w:rPr>
        <w:footnoteReference w:id="448"/>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انتخاب پیامبر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دربارۀ نبوت و رسالت، از جاهایی است که لک الخیار ندارد و بشر حق انتخاب ندارد</w:t>
      </w:r>
      <w:r>
        <w:rPr>
          <w:rFonts w:eastAsia="IRNazanin" w:cs="IRNazanin"/>
          <w:color w:val="111111"/>
          <w:sz w:val="28"/>
          <w:szCs w:val="28"/>
          <w:rtl w:val="true"/>
          <w:lang w:bidi="fa-IR"/>
        </w:rPr>
        <w:t>...».</w:t>
      </w:r>
      <w:r>
        <w:rPr>
          <w:rStyle w:val="FootnoteAnchor"/>
          <w:rtl w:val="true"/>
        </w:rPr>
        <w:footnoteReference w:id="449"/>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انتخاب امام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امت، ولی امر مسلمانان که حکومتش، حکومت حق است و تشریعی و صحیح، این، به انتخاب اللّه است و بشر، حق انتخاب دراین‌باره را دارد</w:t>
      </w:r>
      <w:r>
        <w:rPr>
          <w:rFonts w:eastAsia="IRNazanin" w:cs="IRNazanin"/>
          <w:color w:val="111111"/>
          <w:sz w:val="28"/>
          <w:szCs w:val="28"/>
          <w:rtl w:val="true"/>
          <w:lang w:bidi="fa-IR"/>
        </w:rPr>
        <w:t>».</w:t>
      </w:r>
      <w:r>
        <w:rPr>
          <w:rStyle w:val="FootnoteAnchor"/>
          <w:rtl w:val="true"/>
        </w:rPr>
        <w:footnoteReference w:id="450"/>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واجبات و محرمات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 گویا به بشر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 کارها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شما اباحه است، اصالة الحلیه و اصالة الاباحه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واجبات، اصالة الاباحه نداریم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همین طور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محرمات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 واجبات و محرمات، مستثناء است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 الخیار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 که خدا برای بشر بیان کرده است</w:t>
      </w:r>
      <w:r>
        <w:rPr>
          <w:rFonts w:eastAsia="IRNazanin" w:cs="IRNazanin"/>
          <w:color w:val="111111"/>
          <w:sz w:val="28"/>
          <w:szCs w:val="28"/>
          <w:rtl w:val="true"/>
          <w:lang w:bidi="fa-IR"/>
        </w:rPr>
        <w:t>».</w:t>
      </w:r>
      <w:r>
        <w:rPr>
          <w:rStyle w:val="FootnoteAnchor"/>
          <w:rtl w:val="true"/>
        </w:rPr>
        <w:footnoteReference w:id="451"/>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منظر آیت‌اللّه مشکینی این چهار مؤلفه، از اختیار تشریعی انسان خارج است و این‌گونه نیست که بگوییم انسان در تشریعیات هم به طور مطلق، مختار آفریده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پس از ذکر این مقدمات نتیجه می‌گیرد که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معصومان را باید او نصب</w:t>
      </w:r>
      <w:bookmarkStart w:id="513" w:name="pg14517_146431"/>
    </w:p>
    <w:p>
      <w:pPr>
        <w:pStyle w:val="BookText"/>
        <w:rPr/>
      </w:pPr>
      <w:bookmarkEnd w:id="513"/>
      <w:r>
        <w:rPr>
          <w:rFonts w:ascii="IRNazanin" w:hAnsi="IRNazanin" w:eastAsia="IRNazanin"/>
          <w:color w:val="111111"/>
          <w:sz w:val="28"/>
          <w:sz w:val="28"/>
          <w:szCs w:val="28"/>
          <w:rtl w:val="true"/>
          <w:lang w:bidi="fa-IR"/>
        </w:rPr>
        <w:t>کند، لیس للناس الخیار، و منصوبان از طرف معصومان را هم باید او نصب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نصب الهی بودن مقولۀ ولایت فقیه</w:t>
      </w:r>
      <w:r>
        <w:rPr>
          <w:rFonts w:eastAsia="IRNazanin" w:cs="IRNazanin"/>
          <w:color w:val="111111"/>
          <w:sz w:val="28"/>
          <w:szCs w:val="28"/>
          <w:rtl w:val="true"/>
          <w:lang w:bidi="fa-IR"/>
        </w:rPr>
        <w:t>).</w:t>
      </w:r>
      <w:r>
        <w:rPr>
          <w:rStyle w:val="FootnoteAnchor"/>
          <w:rtl w:val="true"/>
        </w:rPr>
        <w:footnoteReference w:id="45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آیت‌اللّه، البته فرعی هم بر این اصل می‌زند که این فرع، همان محدودۀ اختیار انسان در انتخاب و حاکمیت ولی فقیه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دراین‌باره می‌گوید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معصومان که یک عده را انتخاب می‌کنند، یک وقت، زمان، زمان حضور است، انتخاب، انتخاب شخص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حضور، انتخاب کلی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غیبت هم انتخاب مشخص نداریم؛ بلکه انتخاب کلی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درواقع آیت‌اللّه مشکینی با تمییز دورۀ حضور امام از دورۀ غیبت امام، دورۀ حضور را به واسطۀ حیات امام، نقش مردم را در انتخاب ولی بی‌اثر می‌داند؛ اما در زمان غیبت، چون امام علیه السلام حضور ندارد و انتخاب هم به صورت کلی است، نقش مردم را بالواسطه دانسته، در اینجا برای آن‌ها حق اختیار و انتخاب قائل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نصب خاصّ، لیس للناس الخیار؛ اما در نصب عام که در زمان غیبت است، در اینجا نوبت به مردم می‌رسد؛ برای اینکه نصب عام معنایش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کان بهذه الصفات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عالم باشد، متقی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 باشد، مدبر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 متصف به این صفات، به نحو کلی نصب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در این میان اما، این سؤال پیش می‌آید که چون در زمان غیبت، نصب شخص منتفی شده و نصبِ کلی است، از آنجا که این کلیِ منصوب، مصادیق گوناگون دارد و مردم هم قدرت تشخیص ندارند، برای انتخاب ولی امر چه باید کرد و اصولاً مردم در این زمینه چه نقشی دارند؟ پاسخ به این پرسش، به ضرورت وجود و حضور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جامعه منتج می‌شود</w:t>
      </w:r>
      <w:r>
        <w:rPr>
          <w:rFonts w:eastAsia="IRNazanin" w:cs="IRNazanin"/>
          <w:color w:val="111111"/>
          <w:sz w:val="28"/>
          <w:szCs w:val="28"/>
          <w:rtl w:val="true"/>
          <w:lang w:bidi="fa-IR"/>
        </w:rPr>
        <w:t>.</w:t>
      </w:r>
    </w:p>
    <w:p>
      <w:pPr>
        <w:pStyle w:val="Heading4"/>
        <w:numPr>
          <w:ilvl w:val="3"/>
          <w:numId w:val="1"/>
        </w:numPr>
        <w:rPr/>
      </w:pPr>
      <w:bookmarkStart w:id="514" w:name="__RefHeading___Toc39984_1878427129"/>
      <w:bookmarkStart w:id="515" w:name="_Toc194"/>
      <w:bookmarkEnd w:id="514"/>
      <w:r>
        <w:rPr/>
        <w:t>4.3</w:t>
      </w:r>
      <w:r>
        <w:rPr>
          <w:rtl w:val="true"/>
        </w:rPr>
        <w:t>. «</w:t>
      </w:r>
      <w:r>
        <w:rPr>
          <w:rtl w:val="true"/>
        </w:rPr>
        <w:t>خبرگان</w:t>
      </w:r>
      <w:r>
        <w:rPr>
          <w:rtl w:val="true"/>
        </w:rPr>
        <w:t>»</w:t>
      </w:r>
      <w:r>
        <w:rPr>
          <w:rtl w:val="true"/>
        </w:rPr>
        <w:t>؛ حلقۀ وصل مردم و ولی امر</w:t>
      </w:r>
      <w:bookmarkEnd w:id="515"/>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آنکه نقش مردم در انتخاب ولی امر در عصر غیبت پررنگ شود، می‌باید خبرگانی باشند تا به مثابۀ حلقۀ واسط و حلقۀ وصل عمل کرده، صالح‌ترین شخص</w:t>
      </w:r>
    </w:p>
    <w:p>
      <w:pPr>
        <w:pStyle w:val="BookText"/>
        <w:rPr/>
      </w:pPr>
      <w:r>
        <w:rPr>
          <w:rFonts w:ascii="IRNazanin" w:hAnsi="IRNazanin" w:eastAsia="IRNazanin"/>
          <w:color w:val="111111"/>
          <w:sz w:val="28"/>
          <w:sz w:val="28"/>
          <w:szCs w:val="28"/>
          <w:rtl w:val="true"/>
          <w:lang w:bidi="fa-IR"/>
        </w:rPr>
        <w:t>را برای ولایت امر انتخاب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امری عقلی و کاملاً پذیرفته‌شده به نظر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آیت‌اللّه مشکینی نیز این راهکار را تأیید می‌کند و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زمان غیبت، نصب شخص نیست، نصب کلی است؛ ولی چون این کلی که نصب کرده، مصادیق مختلف دارد، مصادیق زیادی دارد و مردم هم قدرت تشخیص او را ندارند، عاقلانه‌ترین راه و بهترین راه برای اینکه مردم بتوانند آن منصوب الهی را پیدا کنند و انتخاب کنند و اختیار کنند، این است که یک عده از بُصَرا، خُبَرا، اهل خبره، اهل تخصص، این‌ها را پیدا کنند و اینان را مأمور کنند که آن فردی که از طرف شرع منصوب شده، او را برای آنان پیدا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بهترین راه است</w:t>
      </w:r>
      <w:r>
        <w:rPr>
          <w:rFonts w:eastAsia="IRNazanin" w:cs="IRNazanin"/>
          <w:color w:val="111111"/>
          <w:sz w:val="28"/>
          <w:szCs w:val="28"/>
          <w:rtl w:val="true"/>
          <w:lang w:bidi="fa-IR"/>
        </w:rPr>
        <w:t>....</w:t>
      </w:r>
      <w:r>
        <w:rPr>
          <w:rStyle w:val="FootnoteAnchor"/>
          <w:rtl w:val="true"/>
        </w:rPr>
        <w:footnoteReference w:id="453"/>
      </w:r>
    </w:p>
    <w:p>
      <w:pPr>
        <w:pStyle w:val="BookText"/>
        <w:rPr/>
      </w:pP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در جهت تبیین اهمیت و چراییِ وجود خبرگان در جامعۀ اسلامی با طرح فرضیه‌ای، به راه‌های گوناگون انتخابِ ولی امر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فرضیه‌ای که آیت‌اللّه مطرح می‌کند، بدین گونه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فرض اینکه در عصری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مصداق همان تعیین‌شدۀ کلی را پیدا کنیم و فَرَضْنا که در مملکت، ما، پنج نفر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این‌ها در مقابل هم قرار گرفتند، نسبت به تعیین افراد چطور است‌؟</w:t>
      </w:r>
      <w:r>
        <w:rPr>
          <w:rFonts w:eastAsia="IRNazanin" w:cs="IRNazanin"/>
          <w:color w:val="111111"/>
          <w:sz w:val="28"/>
          <w:szCs w:val="28"/>
          <w:rtl w:val="true"/>
          <w:lang w:bidi="fa-IR"/>
        </w:rPr>
        <w:t>...».</w:t>
      </w:r>
      <w:r>
        <w:rPr>
          <w:rStyle w:val="FootnoteAnchor"/>
          <w:rtl w:val="true"/>
        </w:rPr>
        <w:footnoteReference w:id="454"/>
      </w:r>
      <w:r>
        <w:rPr>
          <w:rFonts w:ascii="IRNazanin" w:hAnsi="IRNazanin" w:eastAsia="IRNazanin"/>
          <w:color w:val="111111"/>
          <w:sz w:val="28"/>
          <w:sz w:val="28"/>
          <w:szCs w:val="28"/>
          <w:rtl w:val="true"/>
          <w:lang w:bidi="fa-IR"/>
        </w:rPr>
        <w:t>وی پس از طرح این فرضیه، شش صورت را برای انتخاب ولی امر پیشنهاد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صورت‌ها بدین شرح‌اند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تعیّن در میان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اول پیشنهادی آیت‌اللّه آن است که این پنج نفر، خودشان با مشورت و توافق با هم، یکی را از میان خود به عنوان ولی امر انتخاب کنند</w:t>
      </w:r>
      <w:r>
        <w:rPr>
          <w:rFonts w:eastAsia="IRNazanin" w:cs="IRNazanin"/>
          <w:color w:val="111111"/>
          <w:sz w:val="28"/>
          <w:szCs w:val="28"/>
          <w:rtl w:val="true"/>
          <w:lang w:bidi="fa-IR"/>
        </w:rPr>
        <w:t>.</w:t>
      </w:r>
      <w:r>
        <w:rPr>
          <w:rStyle w:val="FootnoteAnchor"/>
          <w:rtl w:val="true"/>
        </w:rPr>
        <w:footnoteReference w:id="455"/>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دوم آن است که اگر این پنج نفر نتوانستند از میان خود کسی را انتخاب کنند، از طریق قرعه، یک نفر را انتخاب کنند</w:t>
      </w:r>
      <w:r>
        <w:rPr>
          <w:rFonts w:eastAsia="IRNazanin" w:cs="IRNazanin"/>
          <w:color w:val="111111"/>
          <w:sz w:val="28"/>
          <w:szCs w:val="28"/>
          <w:rtl w:val="true"/>
          <w:lang w:bidi="fa-IR"/>
        </w:rPr>
        <w:t>.</w:t>
      </w:r>
      <w:r>
        <w:rPr>
          <w:rStyle w:val="FootnoteAnchor"/>
          <w:rtl w:val="true"/>
        </w:rPr>
        <w:footnoteReference w:id="456"/>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شورایی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دیگر آنکه این پنج نفر به صورت شورایی، رهبری و ولایت امر امت را برعهده گیرند</w:t>
      </w:r>
      <w:r>
        <w:rPr>
          <w:rFonts w:eastAsia="IRNazanin" w:cs="IRNazanin"/>
          <w:color w:val="111111"/>
          <w:sz w:val="28"/>
          <w:szCs w:val="28"/>
          <w:rtl w:val="true"/>
          <w:lang w:bidi="fa-IR"/>
        </w:rPr>
        <w:t>.</w:t>
      </w:r>
      <w:r>
        <w:rPr>
          <w:rStyle w:val="FootnoteAnchor"/>
          <w:rtl w:val="true"/>
        </w:rPr>
        <w:footnoteReference w:id="457"/>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نحو مهایات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دیگر آنکه این پنج نفر ولایت را به نحو مهایات انجام 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به معنای تقسیم منافع مال مشترک است طبق اجزاء آن یا برحسب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آیت‌اللّه مشکینی در توضیح این اصطلاح، مثال می‌زند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 عبدی، نصفش آزاد است و نصفش عبد؛ یک ماه برای خودش کار می‌کند و یک ماه برای مولایش کار می‌کند</w:t>
      </w:r>
      <w:r>
        <w:rPr>
          <w:rFonts w:eastAsia="IRNazanin" w:cs="IRNazanin"/>
          <w:color w:val="111111"/>
          <w:sz w:val="28"/>
          <w:szCs w:val="28"/>
          <w:rtl w:val="true"/>
          <w:lang w:bidi="fa-IR"/>
        </w:rPr>
        <w:t>».</w:t>
      </w:r>
      <w:r>
        <w:rPr>
          <w:rStyle w:val="FootnoteAnchor"/>
          <w:rtl w:val="true"/>
        </w:rPr>
        <w:footnoteReference w:id="458"/>
      </w:r>
    </w:p>
    <w:p>
      <w:pPr>
        <w:pStyle w:val="BookText"/>
        <w:rPr/>
      </w:pP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118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ولایت به نحو مهایات این‌گونه است که مثلاً در دورۀ ده‌ساله، هریک از این پنج نفر به صورت دوره‌ای و به نوبت، دو سال، عهده‌دار ولایت امر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تقسیم قلمرو حکومت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دیگر نیز این‌گونه است که هریک از اینان، منطقه و قلمروِ حکومت خودشان را تقسیم کنند و هریک در قلمرو حکومت خویش، ولایت کند</w:t>
      </w:r>
      <w:r>
        <w:rPr>
          <w:rFonts w:eastAsia="IRNazanin" w:cs="IRNazanin"/>
          <w:color w:val="111111"/>
          <w:sz w:val="28"/>
          <w:szCs w:val="28"/>
          <w:rtl w:val="true"/>
          <w:lang w:bidi="fa-IR"/>
        </w:rPr>
        <w:t>.</w:t>
      </w:r>
      <w:r>
        <w:rPr>
          <w:rStyle w:val="FootnoteAnchor"/>
          <w:rtl w:val="true"/>
        </w:rPr>
        <w:footnoteReference w:id="459"/>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انتخاب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آیت‌اللّه مشکینی پس از فرض کردن این صورت‌های پنج‌گانه، فرض و صورت ششمی ارائه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می‌گوید وقتی آن پنج فرض محقق نشد، نوبت به مردم می‌رسد و اینجا مردم هستند که باید از میان این پنج نفر، یکی را انتخاب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انتخاب مردم را نیز به دو صورت فرض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اول آنکه مردم به صورت مستقیم ولی امر را پیدا می‌کنند، و صورت دوم هم آنکه مردم خودشان اطلاع ندارند و نمی‌شناسند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اشکالاتی در انتخاب مستقل و مستقیم پیش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فرض مردم افرادی را از میان خودشان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عقد و 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می‌کنند و آن‌ها می‌آیند از این پنج نفر، یکی را انتخاب می‌کنند</w:t>
      </w:r>
      <w:r>
        <w:rPr>
          <w:rFonts w:eastAsia="IRNazanin" w:cs="IRNazanin"/>
          <w:color w:val="111111"/>
          <w:sz w:val="28"/>
          <w:szCs w:val="28"/>
          <w:rtl w:val="true"/>
          <w:lang w:bidi="fa-IR"/>
        </w:rPr>
        <w:t>.</w:t>
      </w:r>
      <w:r>
        <w:rPr>
          <w:rStyle w:val="FootnoteAnchor"/>
          <w:rtl w:val="true"/>
        </w:rPr>
        <w:footnoteReference w:id="460"/>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آیت‌اللّه مشکینی با بیان این صُور، موارد ذکرشده غیر از صورت ششم را غیر قابل قبول و تحقق‌ناپذیر دانسته، می‌گوید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دو صورت اخیر، باقی می‌ماند و</w:t>
      </w:r>
      <w:bookmarkStart w:id="516" w:name="pg14517_146434"/>
    </w:p>
    <w:p>
      <w:pPr>
        <w:pStyle w:val="BookText"/>
        <w:rPr/>
      </w:pPr>
      <w:bookmarkEnd w:id="516"/>
      <w:r>
        <w:rPr>
          <w:rFonts w:ascii="IRNazanin" w:hAnsi="IRNazanin" w:eastAsia="IRNazanin"/>
          <w:color w:val="111111"/>
          <w:sz w:val="28"/>
          <w:sz w:val="28"/>
          <w:szCs w:val="28"/>
          <w:rtl w:val="true"/>
          <w:lang w:bidi="fa-IR"/>
        </w:rPr>
        <w:t>آن این است که مردم یا مستقیماً انتخاب کنند و یا بالواسطه و با واسطۀ گروه حل و عقد یا خبرگان و این، اوْلَی الطریق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فتحصَّل به اینکه ما می‌توانیم بگوییم که این راه آخر، بهترین راه است برای مردم که آن‌ها، به واسطۀ اصحاب حل و عقد انتخاب کنند</w:t>
      </w:r>
      <w:r>
        <w:rPr>
          <w:rFonts w:eastAsia="IRNazanin" w:cs="IRNazanin"/>
          <w:color w:val="111111"/>
          <w:sz w:val="28"/>
          <w:szCs w:val="28"/>
          <w:rtl w:val="true"/>
          <w:lang w:bidi="fa-IR"/>
        </w:rPr>
        <w:t>...».</w:t>
      </w:r>
      <w:r>
        <w:rPr>
          <w:rStyle w:val="FootnoteAnchor"/>
          <w:rtl w:val="true"/>
        </w:rPr>
        <w:footnoteReference w:id="461"/>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119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ترتیب می‌توان نتیجه گرفت که از دیدگاه آیت‌اللّه مشکینی، در زمان غیبت امام، بهترین نقش مردم در انتخاب ولی امر، انتخاب افراد خبره‌ای است تا آنان بتوانند وظیفۀ کشف فقیه جامع‌الشرائطِ منصوب به نحو عام را به نحو احسن انجام دهند</w:t>
      </w:r>
      <w:r>
        <w:rPr>
          <w:rFonts w:eastAsia="IRNazanin" w:cs="IRNazanin"/>
          <w:color w:val="111111"/>
          <w:sz w:val="28"/>
          <w:szCs w:val="28"/>
          <w:rtl w:val="true"/>
          <w:lang w:bidi="fa-IR"/>
        </w:rPr>
        <w:t>.</w:t>
      </w:r>
    </w:p>
    <w:p>
      <w:pPr>
        <w:pStyle w:val="Heading4"/>
        <w:numPr>
          <w:ilvl w:val="3"/>
          <w:numId w:val="1"/>
        </w:numPr>
        <w:rPr/>
      </w:pPr>
      <w:bookmarkStart w:id="517" w:name="__RefHeading___Toc39986_1878427129"/>
      <w:bookmarkStart w:id="518" w:name="_Toc195"/>
      <w:bookmarkEnd w:id="517"/>
      <w:r>
        <w:rPr/>
        <w:t>4.4</w:t>
      </w:r>
      <w:r>
        <w:rPr>
          <w:rtl w:val="true"/>
        </w:rPr>
        <w:t xml:space="preserve">. </w:t>
      </w:r>
      <w:r>
        <w:rPr>
          <w:rtl w:val="true"/>
        </w:rPr>
        <w:t>بیعت مردم؛ شرط ولایت یا</w:t>
      </w:r>
      <w:r>
        <w:rPr>
          <w:rtl w:val="true"/>
        </w:rPr>
        <w:t>...</w:t>
      </w:r>
      <w:r>
        <w:rPr>
          <w:rtl w:val="true"/>
        </w:rPr>
        <w:t>؟</w:t>
      </w:r>
      <w:bookmarkEnd w:id="518"/>
    </w:p>
    <w:p>
      <w:pPr>
        <w:pStyle w:val="BookText"/>
        <w:rPr/>
      </w:pPr>
      <w:r>
        <w:rPr>
          <w:rFonts w:ascii="IRNazanin" w:hAnsi="IRNazanin" w:eastAsia="IRNazanin"/>
          <w:color w:val="111111"/>
          <w:sz w:val="28"/>
          <w:sz w:val="28"/>
          <w:szCs w:val="28"/>
          <w:rtl w:val="true"/>
          <w:lang w:bidi="fa-IR"/>
        </w:rPr>
        <w:t xml:space="preserve">مسئله‌ای که ذکر آن در این بخش و در ادامۀ نقش مردم در انتخاب ولی فقیه ضروری به نظر می‌رسد و می‌باید استطراداً به آن اشاره شود،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با ولی امر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بیعت، شرط ولایت به شمار می‌رود، یا مسئله چیز دیگری است‌؟ به اعتقاد آیت‌اللّه مشکینی یکی از مسائلی که از آن، برداشت‌های اشتباهی در فقه صورت پذیرفته است، بحث بیعت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با تأکید بر این نکته که در ادله، مسئلۀ بیعت وجود دارد، به ماجرای بیعت گرفتن پیامبر از مردم در عقبۀ اولی و بعد از آن اشاره کرده، و با ذکر دو آیۀ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رَضِیَ اللّهُ عَنِ الْمُؤْمِنینَ إذْ یُبایِعُونَکَ تَحْتَ الشَّجَرَةِ</w:t>
      </w:r>
      <w:r>
        <w:rPr>
          <w:rFonts w:eastAsia="IRNazanin" w:cs="IRNazanin"/>
          <w:color w:val="111111"/>
          <w:sz w:val="28"/>
          <w:szCs w:val="28"/>
          <w:rtl w:val="true"/>
          <w:lang w:bidi="fa-IR"/>
        </w:rPr>
        <w:t>»</w:t>
      </w:r>
      <w:r>
        <w:rPr>
          <w:rStyle w:val="FootnoteAnchor"/>
          <w:rtl w:val="true"/>
        </w:rPr>
        <w:footnoteReference w:id="462"/>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جاءَکَ الْمُؤْمِناتُ یُبایِعْنَکَ</w:t>
      </w:r>
      <w:r>
        <w:rPr>
          <w:rFonts w:eastAsia="Amiri" w:cs="Amiri" w:ascii="Amiri" w:hAnsi="Amiri"/>
          <w:color w:val="111111"/>
          <w:sz w:val="28"/>
          <w:szCs w:val="28"/>
          <w:rtl w:val="true"/>
          <w:lang w:bidi="ar-SA"/>
        </w:rPr>
        <w:t>»</w:t>
      </w:r>
      <w:r>
        <w:rPr>
          <w:rStyle w:val="FootnoteAnchor"/>
          <w:rtl w:val="true"/>
        </w:rPr>
        <w:footnoteReference w:id="463"/>
      </w:r>
      <w:r>
        <w:rPr>
          <w:rFonts w:ascii="IRNazanin" w:hAnsi="IRNazanin" w:eastAsia="IRNazanin"/>
          <w:color w:val="111111"/>
          <w:sz w:val="28"/>
          <w:sz w:val="28"/>
          <w:szCs w:val="28"/>
          <w:rtl w:val="true"/>
          <w:lang w:bidi="fa-IR"/>
        </w:rPr>
        <w:t xml:space="preserve">و همچنین جملۀ معروف پیامبر صلی الله علیه و آله مبنی بر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علی بیعت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 وجود مسئلۀ بیعت در اسلام تأکید می‌کند؛ اما به این نکته نیز اشاره می‌کند که بیعت، شرطیت برای مورد البیعة ندارد</w:t>
      </w:r>
      <w:r>
        <w:rPr>
          <w:rFonts w:eastAsia="IRNazanin" w:cs="IRNazanin"/>
          <w:color w:val="111111"/>
          <w:sz w:val="28"/>
          <w:szCs w:val="28"/>
          <w:rtl w:val="true"/>
          <w:lang w:bidi="fa-IR"/>
        </w:rPr>
        <w:t>.</w:t>
      </w:r>
      <w:r>
        <w:rPr>
          <w:rStyle w:val="FootnoteAnchor"/>
          <w:rtl w:val="true"/>
        </w:rPr>
        <w:footnoteReference w:id="464"/>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 جهت تبیین این موضوع، ابتدا به تعریف معنای بیعت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آیت‌اللّه، کلمه‌های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هر دو برای سه معنا وضع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فروش، خرید و مجموعِ خرید و فروش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البته برای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مستقل نیز، معنایی دیگر ذکر می‌کند که ابتدائاً به عنوان استعاره و تشبیه، و بعداً در آن حقیقت پیدا کرده</w:t>
      </w:r>
    </w:p>
    <w:p>
      <w:pPr>
        <w:pStyle w:val="BookText"/>
        <w:rPr/>
      </w:pPr>
      <w:r>
        <w:rPr>
          <w:rFonts w:ascii="IRNazanin" w:hAnsi="IRNazanin" w:eastAsia="IRNazanin"/>
          <w:color w:val="111111"/>
          <w:sz w:val="28"/>
          <w:sz w:val="28"/>
          <w:szCs w:val="28"/>
          <w:rtl w:val="true"/>
          <w:lang w:bidi="fa-IR"/>
        </w:rPr>
        <w:t xml:space="preserve">است و آن عبارت است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معاهدۀ خاص</w:t>
      </w:r>
      <w:r>
        <w:rPr>
          <w:rFonts w:eastAsia="IRNazanin" w:cs="IRNazanin"/>
          <w:color w:val="111111"/>
          <w:sz w:val="28"/>
          <w:szCs w:val="28"/>
          <w:rtl w:val="true"/>
          <w:lang w:bidi="fa-IR"/>
        </w:rPr>
        <w:t>».</w:t>
      </w:r>
      <w:r>
        <w:rPr>
          <w:rStyle w:val="FootnoteAnchor"/>
          <w:rtl w:val="true"/>
        </w:rPr>
        <w:footnoteReference w:id="46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دراین‌باره به مثالی اشاره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در یک روستایی، جمعی از مردم، کسی را به عنوان رئیس خود انتخاب می‌کنند و دست بیعت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مجموعۀ این کار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تشبیه به بیع است‌؟ زیرا این شخص کانّه تمام امکانات و تدبیرات خود را تحویل ملت می‌دهد و در مقابل نیز، ملت هم طاعت و انقیادشان را به او می‌فروشند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تشبیه، حکمتش بدین جهت است، و الّا ادلۀ عهد شامل آن می‌شود</w:t>
      </w:r>
      <w:r>
        <w:rPr>
          <w:rFonts w:eastAsia="IRNazanin" w:cs="IRNazanin"/>
          <w:color w:val="111111"/>
          <w:sz w:val="28"/>
          <w:szCs w:val="28"/>
          <w:rtl w:val="true"/>
          <w:lang w:bidi="fa-IR"/>
        </w:rPr>
        <w:t>.</w:t>
      </w:r>
      <w:r>
        <w:rPr>
          <w:rStyle w:val="FootnoteAnchor"/>
          <w:rtl w:val="true"/>
        </w:rPr>
        <w:footnoteReference w:id="466"/>
      </w:r>
    </w:p>
    <w:p>
      <w:pPr>
        <w:pStyle w:val="BookText"/>
        <w:rPr/>
      </w:pPr>
      <w:r>
        <w:rPr>
          <w:rFonts w:ascii="IRNazanin" w:hAnsi="IRNazanin" w:eastAsia="IRNazanin"/>
          <w:color w:val="111111"/>
          <w:sz w:val="28"/>
          <w:sz w:val="28"/>
          <w:szCs w:val="28"/>
          <w:rtl w:val="true"/>
          <w:lang w:bidi="fa-IR"/>
        </w:rPr>
        <w:t>آیت‌اللّه مشکینی با توضیح این مطلب، بیعت را معاهده می‌داند؛ معاهده‌ای که هیچ شرطیتی برای ولایت امر به شمار نمی‌آید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توضیح این مطلب، به مثالی مهم اشاره می‌کند از باب نمونه دربارۀ نذر که مانند بیعت، معاهده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نذر، گاه بر محلّلات واقع می‌شود؛ یعنی آنکه قبل از نذر، حرمتی نیست و الزامی هم وجود ندارد، بلکه به وسیلۀ نذر، الزام ایجاد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برخی مواقع، نذر اثر ندارد، بلکه از آن تأکید مستفاد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نذر واجبات و محرمات، هیچ الزامی ایجاد نمی‌کند، بلکه بر الزامِ قبلی تأکید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بیعت نیز همین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زمان غیبت، با ولی امری بیعت صورت پذیرفت، اینجا اگر گفته شود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بیعت، ایجاد ولایت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منوط به این مسئله است که قبل از تحقق بیعت او هیچ حکمی نداشته باشد که درواقع، یقیناً قبل از تحقق بیعت، چنین نیست</w:t>
      </w:r>
      <w:r>
        <w:rPr>
          <w:rFonts w:eastAsia="IRNazanin" w:cs="IRNazanin"/>
          <w:color w:val="111111"/>
          <w:sz w:val="28"/>
          <w:szCs w:val="28"/>
          <w:rtl w:val="true"/>
          <w:lang w:bidi="fa-IR"/>
        </w:rPr>
        <w:t>.</w:t>
      </w:r>
      <w:r>
        <w:rPr>
          <w:rStyle w:val="FootnoteAnchor"/>
          <w:rtl w:val="true"/>
        </w:rPr>
        <w:footnoteReference w:id="467"/>
      </w:r>
      <w:r>
        <w:rPr>
          <w:rFonts w:ascii="IRNazanin" w:hAnsi="IRNazanin" w:eastAsia="IRNazanin"/>
          <w:color w:val="111111"/>
          <w:sz w:val="28"/>
          <w:sz w:val="28"/>
          <w:szCs w:val="28"/>
          <w:rtl w:val="true"/>
          <w:lang w:bidi="fa-IR"/>
        </w:rPr>
        <w:t xml:space="preserve">این بیعت،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بیعتِ تأکیدی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نه شرط بیعت</w:t>
      </w:r>
      <w:r>
        <w:rPr>
          <w:rStyle w:val="FootnoteAnchor"/>
          <w:rtl w:val="true"/>
        </w:rPr>
        <w:footnoteReference w:id="468"/>
      </w:r>
      <w:r>
        <w:rPr>
          <w:rFonts w:eastAsia="Times New Roman" w:cs="Times New Roman" w:ascii="Times New Roman" w:hAnsi="Times New Roman"/>
          <w:color w:val="111111"/>
          <w:sz w:val="28"/>
          <w:szCs w:val="28"/>
          <w:rtl w:val="true"/>
          <w:lang w:val="en-US" w:bidi="en-US"/>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در معصوم هم بیعت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بیعت نه برای اینکه شرطٌ لِلولایة، بلکه بیعت برای تسدید امر کسانی که آن‌ها ملتزم شوند، ملت ملتزم شود و تسلیم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بیعت برای این است که آن‌ها مخالفت نکنند؛ چون بیعت و قرارداد، یک امرِ عقلاییِ فطریِ عقلی است و عقلا، قراردادهای خودشان را محترم می‌دانند، فلذا بعد از آنی که نبی‌ای، نبوت را ادعا کرد و</w:t>
      </w:r>
      <w:bookmarkStart w:id="519" w:name="pg14517_146436"/>
    </w:p>
    <w:p>
      <w:pPr>
        <w:pStyle w:val="BookText"/>
        <w:rPr/>
      </w:pPr>
      <w:bookmarkEnd w:id="519"/>
      <w:r>
        <w:rPr>
          <w:rFonts w:ascii="IRNazanin" w:hAnsi="IRNazanin" w:eastAsia="IRNazanin"/>
          <w:color w:val="111111"/>
          <w:sz w:val="28"/>
          <w:sz w:val="28"/>
          <w:szCs w:val="28"/>
          <w:rtl w:val="true"/>
          <w:lang w:bidi="fa-IR"/>
        </w:rPr>
        <w:t>امامی، امامت را ادعا کرد، اگر توأم با این بیعت باشد، کأنه آن‌ها هم دیگر تسلیم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مسئلۀ بیعت هم ربطی به شرطیت ولایت ندارد</w:t>
      </w:r>
      <w:r>
        <w:rPr>
          <w:rFonts w:eastAsia="IRNazanin" w:cs="IRNazanin"/>
          <w:color w:val="111111"/>
          <w:sz w:val="28"/>
          <w:szCs w:val="28"/>
          <w:rtl w:val="true"/>
          <w:lang w:bidi="fa-IR"/>
        </w:rPr>
        <w:t>.</w:t>
      </w:r>
      <w:r>
        <w:rPr>
          <w:rStyle w:val="FootnoteAnchor"/>
          <w:rtl w:val="true"/>
        </w:rPr>
        <w:footnoteReference w:id="469"/>
      </w:r>
    </w:p>
    <w:p>
      <w:pPr>
        <w:pStyle w:val="BookText"/>
        <w:rPr/>
      </w:pP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98</w:t>
      </w:r>
      <w:r>
        <w:rPr>
          <w:rFonts w:eastAsia="IRNazanin" w:cs="IRNazanin"/>
          <w:color w:val="111111"/>
          <w:sz w:val="28"/>
          <w:szCs w:val="28"/>
          <w:rtl w:val="true"/>
          <w:lang w:bidi="fa-IR"/>
        </w:rPr>
        <w:t>.</w:t>
      </w:r>
    </w:p>
    <w:p>
      <w:pPr>
        <w:pStyle w:val="Heading3"/>
        <w:numPr>
          <w:ilvl w:val="2"/>
          <w:numId w:val="1"/>
        </w:numPr>
        <w:rPr/>
      </w:pPr>
      <w:bookmarkStart w:id="520" w:name="__RefHeading___Toc39988_1878427129"/>
      <w:bookmarkStart w:id="521" w:name="_Toc196"/>
      <w:bookmarkEnd w:id="520"/>
      <w:r>
        <w:rPr/>
        <w:t>5</w:t>
      </w:r>
      <w:r>
        <w:rPr>
          <w:rtl w:val="true"/>
        </w:rPr>
        <w:t xml:space="preserve">. </w:t>
      </w:r>
      <w:r>
        <w:rPr>
          <w:rtl w:val="true"/>
        </w:rPr>
        <w:t>گستره و حدود اختیارات ولی فقیه</w:t>
      </w:r>
      <w:bookmarkEnd w:id="521"/>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جمله مسائل مهم و کاربردی دربارۀ موضوع ولی فقیه، میزان گسترۀ ولایت و حدود اختیارات و وظایف ولی امر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آیت‌اللّه مشکینی، گسترۀ ولایتِ ولی فقیه را فراتر از جغرافیای موجود می‌داند و مرزها را دلیلی بر ضیق بودن دائرۀ ولایت نمی‌داند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منظر آیت‌اللّه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 امر مسلمین و وجوب اطاعت وی مخصوص منطقه‌ای نیست که در قلمرو حکومت ظاهری او قرار دارد، بلکه دربارۀ همۀ مسلمین در هر منطقه و کشور است و همه باید حاکمیت اسلامی او را بپذیرند و تا حد ممکن از خط مشی دینی و سیاسی او به تناسب زمان و مکان خود تبعیت کنند، مگر آنکه در منطقه‌ای باشند که دارای ولی امر اسلامی مستقل است</w:t>
      </w:r>
      <w:r>
        <w:rPr>
          <w:rFonts w:eastAsia="IRNazanin" w:cs="IRNazanin"/>
          <w:color w:val="111111"/>
          <w:sz w:val="28"/>
          <w:szCs w:val="28"/>
          <w:rtl w:val="true"/>
          <w:lang w:bidi="fa-IR"/>
        </w:rPr>
        <w:t>».</w:t>
      </w:r>
      <w:r>
        <w:rPr>
          <w:rStyle w:val="FootnoteAnchor"/>
          <w:rtl w:val="true"/>
        </w:rPr>
        <w:footnoteReference w:id="470"/>
      </w:r>
      <w:r>
        <w:rPr>
          <w:rFonts w:ascii="IRNazanin" w:hAnsi="IRNazanin" w:eastAsia="IRNazanin"/>
          <w:color w:val="111111"/>
          <w:sz w:val="28"/>
          <w:sz w:val="28"/>
          <w:szCs w:val="28"/>
          <w:rtl w:val="true"/>
          <w:lang w:bidi="fa-IR"/>
        </w:rPr>
        <w:t>از این نظرِ آیت‌اللّه مشکینی، دو مسئله دربارۀ گسترۀ ولایتِ ولی فقیه استنتاج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آنکه این گستره، سراسری است و به جغرافیای خاصی محدود نیست؛ و نکتۀ دوم آنکه می‌توان در آنِ واحد، چند ولی در چند نقطه از جهان داشت، چرا که آیت‌اللّه معتقد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ولایت معصوم، در دنیا یکی بیشتر نمی‌تواند بشود؛ ولی ولایت منصوب از او در هر ناحیۀ دنیا و در محیطهای مختلف و کشورهای متعدد می‌تواند باشد</w:t>
      </w:r>
      <w:r>
        <w:rPr>
          <w:rFonts w:eastAsia="IRNazanin" w:cs="IRNazanin"/>
          <w:color w:val="111111"/>
          <w:sz w:val="28"/>
          <w:szCs w:val="28"/>
          <w:rtl w:val="true"/>
          <w:lang w:bidi="fa-IR"/>
        </w:rPr>
        <w:t>».</w:t>
      </w:r>
      <w:r>
        <w:rPr>
          <w:rStyle w:val="FootnoteAnchor"/>
          <w:rtl w:val="true"/>
        </w:rPr>
        <w:footnoteReference w:id="471"/>
      </w:r>
      <w:r>
        <w:rPr>
          <w:rFonts w:ascii="IRNazanin" w:hAnsi="IRNazanin" w:eastAsia="IRNazanin"/>
          <w:color w:val="111111"/>
          <w:sz w:val="28"/>
          <w:sz w:val="28"/>
          <w:szCs w:val="28"/>
          <w:rtl w:val="true"/>
          <w:lang w:bidi="fa-IR"/>
        </w:rPr>
        <w:t>هر دو مسئله، درهرحال منتج به این قضیه می‌شود که گسترۀ ولایت فقیه شامل همۀ جهان می‌شود؛ چه یک ولی فقیه وجود داشته باشد و چه در هر منطقه‌ای چند ولی فقیه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آیت‌اللّه معتقد است که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در هر نقطه‌ای، در هر منطقه‌ای، خبرگانی پیدا شدند، جلسه‌ای تشکیل شد و ولیّ امر واجد شرایطی را خبرگان تعیین کردند، فهو، وگرنه، ولیّ امر شرعی و قانونی که در یک نقطه تعیین شد، ولیّ امر همۀ شیعیان جهان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ولی امر ایران، از آنِ همۀ شیعیان و</w:t>
      </w:r>
    </w:p>
    <w:p>
      <w:pPr>
        <w:pStyle w:val="BookText"/>
        <w:rPr/>
      </w:pPr>
      <w:r>
        <w:rPr>
          <w:rFonts w:ascii="IRNazanin" w:hAnsi="IRNazanin" w:eastAsia="IRNazanin"/>
          <w:color w:val="111111"/>
          <w:sz w:val="28"/>
          <w:sz w:val="28"/>
          <w:szCs w:val="28"/>
          <w:rtl w:val="true"/>
          <w:lang w:bidi="fa-IR"/>
        </w:rPr>
        <w:t>بلکه همۀ مسلمانان جهان است</w:t>
      </w:r>
      <w:r>
        <w:rPr>
          <w:rFonts w:eastAsia="IRNazanin" w:cs="IRNazanin"/>
          <w:color w:val="111111"/>
          <w:sz w:val="28"/>
          <w:szCs w:val="28"/>
          <w:rtl w:val="true"/>
          <w:lang w:bidi="fa-IR"/>
        </w:rPr>
        <w:t>».</w:t>
      </w:r>
      <w:r>
        <w:rPr>
          <w:rStyle w:val="FootnoteAnchor"/>
          <w:rtl w:val="true"/>
        </w:rPr>
        <w:footnoteReference w:id="47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میان اما دو پرسش اساسی پیش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 اول این است که مسلمانانی که تحت حکومت‌های جور هستند و به یک معنا، در منطقۀ خود ولی فقیه ندارند چه وظیفه‌ای دارند؟ پرسش دوم این است که در داخل کشور اسلامی که ولی فقیه سکّان‌دار امور است، وظیفۀ کفار و غیرمسلمانانِ ساکن در کشور اسلامی چیست‌؟ آیا ولایتِ فقیه، شامل آنان نیز می‌شود؟ آیت‌اللّه مشکینی به هر دو پرسش پاسخ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وی در پاسخ به پرسش اول، این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واجب است مسلمینی که در تحت حکومت‌های جور زندگی می‌کنند، با ولی امر مسلمین در هر کشوری باشد، رابطه برقرار نمایند و از نظریات او در ابعاد مختلف وظایف دینی و الهی خویش الهام گیرند و به دستورات او خاصه دربارۀ برخورد با دولت‌های جور و ملت‌های غیر اسلامی عمل نمایند</w:t>
      </w:r>
      <w:r>
        <w:rPr>
          <w:rFonts w:eastAsia="IRNazanin" w:cs="IRNazanin"/>
          <w:color w:val="111111"/>
          <w:sz w:val="28"/>
          <w:szCs w:val="28"/>
          <w:rtl w:val="true"/>
          <w:lang w:bidi="fa-IR"/>
        </w:rPr>
        <w:t>».</w:t>
      </w:r>
      <w:r>
        <w:rPr>
          <w:rStyle w:val="FootnoteAnchor"/>
          <w:rtl w:val="true"/>
        </w:rPr>
        <w:footnoteReference w:id="473"/>
      </w:r>
      <w:r>
        <w:rPr>
          <w:rFonts w:ascii="IRNazanin" w:hAnsi="IRNazanin" w:eastAsia="IRNazanin"/>
          <w:color w:val="111111"/>
          <w:sz w:val="28"/>
          <w:sz w:val="28"/>
          <w:szCs w:val="28"/>
          <w:rtl w:val="true"/>
          <w:lang w:bidi="fa-IR"/>
        </w:rPr>
        <w:t xml:space="preserve">دربارۀ پرسش دوم نیز، نظر فقهی آیت‌اللّه عبارت از این است که ولایتِ فقیه حتی بر غیر مسلمانان هم ثابت است، و اطاعت از او برای غیرمسلمانان نیز واجب است؛ گرچه این غیرمسلمانان، جاهل یا غافل یا منکر این قضیه نیز باشند؛ چرا که بر اساس اصل فقهی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الکفار مکلفون بالفروع کالاصول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کفار همان‌گونه که بر اصول عقاید مکلف هستند، بر فروع نیز مکلف‌اند و باید تبعیت کنند</w:t>
      </w:r>
      <w:r>
        <w:rPr>
          <w:rFonts w:eastAsia="IRNazanin" w:cs="IRNazanin"/>
          <w:color w:val="111111"/>
          <w:sz w:val="28"/>
          <w:szCs w:val="28"/>
          <w:rtl w:val="true"/>
          <w:lang w:bidi="fa-IR"/>
        </w:rPr>
        <w:t>.</w:t>
      </w:r>
      <w:r>
        <w:rPr>
          <w:rStyle w:val="FootnoteAnchor"/>
          <w:rtl w:val="true"/>
        </w:rPr>
        <w:footnoteReference w:id="474"/>
      </w:r>
    </w:p>
    <w:p>
      <w:pPr>
        <w:pStyle w:val="BookText"/>
        <w:rPr/>
      </w:pPr>
      <w:r>
        <w:rPr>
          <w:rFonts w:ascii="IRNazanin" w:hAnsi="IRNazanin" w:eastAsia="IRNazanin"/>
          <w:color w:val="111111"/>
          <w:sz w:val="28"/>
          <w:sz w:val="28"/>
          <w:szCs w:val="28"/>
          <w:rtl w:val="true"/>
          <w:lang w:bidi="fa-IR"/>
        </w:rPr>
        <w:t>به‌هرحال باید گفت که از دیدگاه و اندیشۀ آیت‌اللّه مشکینی، گسترۀ ولایتِ فقها نامحدود است و به دایرۀ تنگ مرزها محدود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دربارۀ حدود اختیارات و وظایف ولی فقیه، آیت‌اللّه مشکینی به مواردی اشاره می‌کند که به جهت پرهیز از اطالۀ کلام و تفصیل در موضوع، اشاره‌وار به آن‌ها پرداخته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حدود و وظایف عبارت‌اند از</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تشکیل حکومت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فقیه واجد شرایط ولایت واجب است در صورت ممکن به منظور هدایت جامعه و ادارۀ امور ملت در کلیۀ ابعاد و جهات آن و برای</w:t>
      </w:r>
    </w:p>
    <w:p>
      <w:pPr>
        <w:pStyle w:val="BookText"/>
        <w:rPr/>
      </w:pPr>
      <w:r>
        <w:rPr>
          <w:rFonts w:ascii="IRNazanin" w:hAnsi="IRNazanin" w:eastAsia="IRNazanin"/>
          <w:color w:val="111111"/>
          <w:sz w:val="28"/>
          <w:sz w:val="28"/>
          <w:szCs w:val="28"/>
          <w:rtl w:val="true"/>
          <w:lang w:bidi="fa-IR"/>
        </w:rPr>
        <w:t>اجرای حدود و تعزیرات اسلامی و پیاده کردن تمام مراحل امر به معروف و نهی از منکر و احیاء سایر شئون دین، تشکیل حکومت دهد و خود متصدی وظایف اداره و اجرای آن باشد</w:t>
      </w:r>
      <w:r>
        <w:rPr>
          <w:rFonts w:eastAsia="IRNazanin" w:cs="IRNazanin"/>
          <w:color w:val="111111"/>
          <w:sz w:val="28"/>
          <w:szCs w:val="28"/>
          <w:rtl w:val="true"/>
          <w:lang w:bidi="fa-IR"/>
        </w:rPr>
        <w:t>.</w:t>
      </w:r>
      <w:r>
        <w:rPr>
          <w:rStyle w:val="FootnoteAnchor"/>
          <w:rtl w:val="true"/>
        </w:rPr>
        <w:footnoteReference w:id="475"/>
      </w:r>
    </w:p>
    <w:p>
      <w:pPr>
        <w:pStyle w:val="BookText"/>
        <w:rPr/>
      </w:pPr>
      <w:r>
        <w:rPr>
          <w:rFonts w:ascii="IRNazanin" w:hAnsi="IRNazanin" w:eastAsia="IRNazanin"/>
          <w:color w:val="111111"/>
          <w:sz w:val="28"/>
          <w:sz w:val="28"/>
          <w:szCs w:val="28"/>
          <w:rtl w:val="true"/>
          <w:lang w:bidi="fa-IR"/>
        </w:rPr>
        <w:t xml:space="preserve">واجب و حرام، ص </w:t>
      </w:r>
      <w:r>
        <w:rPr>
          <w:rFonts w:eastAsia="IRNazanin" w:cs="IRNazanin"/>
          <w:color w:val="111111"/>
          <w:sz w:val="28"/>
          <w:szCs w:val="28"/>
          <w:lang w:bidi="fa-IR"/>
        </w:rPr>
        <w:t>73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قضا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دستگاه قضا به نحو عموم باید در اختیار ولی امر و زیر نظرمستقیم او باشد و انتخاب قضات و اعطاء منصب قضاوت و نصب و عزل آن‌ها، از شئون اوست و بدون تحقق این نصب، حکم آن‌ها نافذ نیست</w:t>
      </w:r>
      <w:r>
        <w:rPr>
          <w:rFonts w:eastAsia="IRNazanin" w:cs="IRNazanin"/>
          <w:color w:val="111111"/>
          <w:sz w:val="28"/>
          <w:szCs w:val="28"/>
          <w:rtl w:val="true"/>
          <w:lang w:bidi="fa-IR"/>
        </w:rPr>
        <w:t>.</w:t>
      </w:r>
      <w:r>
        <w:rPr>
          <w:rStyle w:val="FootnoteAnchor"/>
          <w:rtl w:val="true"/>
        </w:rPr>
        <w:footnoteReference w:id="476"/>
      </w:r>
      <w:r>
        <w:rPr>
          <w:rFonts w:ascii="IRNazanin" w:hAnsi="IRNazanin" w:eastAsia="IRNazanin"/>
          <w:color w:val="111111"/>
          <w:sz w:val="28"/>
          <w:sz w:val="28"/>
          <w:szCs w:val="28"/>
          <w:rtl w:val="true"/>
          <w:lang w:bidi="fa-IR"/>
        </w:rPr>
        <w:t>به همین قضیه، می‌باید مسئلۀ اجرای حدود و تعزیرات را هم افزود که باید زیر نظر ولی امر اقامه و اجرا شود</w:t>
      </w:r>
      <w:r>
        <w:rPr>
          <w:rFonts w:eastAsia="IRNazanin" w:cs="IRNazanin"/>
          <w:color w:val="111111"/>
          <w:sz w:val="28"/>
          <w:szCs w:val="28"/>
          <w:rtl w:val="true"/>
          <w:lang w:bidi="fa-IR"/>
        </w:rPr>
        <w:t>.</w:t>
      </w:r>
      <w:r>
        <w:rPr>
          <w:rStyle w:val="FootnoteAnchor"/>
          <w:rtl w:val="true"/>
        </w:rPr>
        <w:footnoteReference w:id="477"/>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بر نفوس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ولایت بر نفوس آن است که بر ولی فقیه جایز است مردم را به کارهایی که دخالت در مصالح دینی و صلاح حال اجتماع دارد طبق نظر و صلاح دید خود مأمور کند، گرچه آن‌ها راضی نباشند و نیز در مورد امور شخصی آن‌ها درصورتی‌که قاصر باشند وادار نماید؛ مثل اجبار اطفال به وظایف لازمه</w:t>
      </w:r>
      <w:r>
        <w:rPr>
          <w:rFonts w:eastAsia="IRNazanin" w:cs="IRNazanin"/>
          <w:color w:val="111111"/>
          <w:sz w:val="28"/>
          <w:szCs w:val="28"/>
          <w:rtl w:val="true"/>
          <w:lang w:bidi="fa-IR"/>
        </w:rPr>
        <w:t>.</w:t>
      </w:r>
      <w:r>
        <w:rPr>
          <w:rStyle w:val="FootnoteAnchor"/>
          <w:rtl w:val="true"/>
        </w:rPr>
        <w:footnoteReference w:id="478"/>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بر اموال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ولایت بر بیت‌المال مسلمین است و البته ولی فقیه حق تصرف اموال شخصی مردم را دارد، آن هم در فرضی که تسلط صاحب مال بر مالش معارض با مصالح ملزمۀ عموم قرار می‌گیرد که در این فرض بر ولی‌امر است که با مراعات رجحان، در اموال شخصی تصرف کند</w:t>
      </w:r>
      <w:r>
        <w:rPr>
          <w:rFonts w:eastAsia="IRNazanin" w:cs="IRNazanin"/>
          <w:color w:val="111111"/>
          <w:sz w:val="28"/>
          <w:szCs w:val="28"/>
          <w:rtl w:val="true"/>
          <w:lang w:bidi="fa-IR"/>
        </w:rPr>
        <w:t>.</w:t>
      </w:r>
      <w:r>
        <w:rPr>
          <w:rStyle w:val="FootnoteAnchor"/>
          <w:rtl w:val="true"/>
        </w:rPr>
        <w:footnoteReference w:id="479"/>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تنظیم سیاست‌های کلی حکومت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مسئلۀ تنظیم سیاست کلی حکومت اسلامی و تعیین خط مشی فرهنگی و اقتصادی و نظامی مسلمین نیز از دیگر شئون و اختیارات ولی امر مسلمین به شمار می‌آید</w:t>
      </w:r>
      <w:r>
        <w:rPr>
          <w:rFonts w:eastAsia="IRNazanin" w:cs="IRNazanin"/>
          <w:color w:val="111111"/>
          <w:sz w:val="28"/>
          <w:szCs w:val="28"/>
          <w:rtl w:val="true"/>
          <w:lang w:bidi="fa-IR"/>
        </w:rPr>
        <w:t>.</w:t>
      </w:r>
      <w:r>
        <w:rPr>
          <w:rStyle w:val="FootnoteAnchor"/>
          <w:rtl w:val="true"/>
        </w:rPr>
        <w:footnoteReference w:id="480"/>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با کفار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و جهاد با کفار غیرکتابی، جهت دعوت آنان به اسلام و</w:t>
      </w:r>
    </w:p>
    <w:p>
      <w:pPr>
        <w:pStyle w:val="BookText"/>
        <w:rPr/>
      </w:pPr>
      <w:r>
        <w:rPr>
          <w:rFonts w:ascii="IRNazanin" w:hAnsi="IRNazanin" w:eastAsia="IRNazanin"/>
          <w:color w:val="111111"/>
          <w:sz w:val="28"/>
          <w:sz w:val="28"/>
          <w:szCs w:val="28"/>
          <w:rtl w:val="true"/>
          <w:lang w:bidi="fa-IR"/>
        </w:rPr>
        <w:t>همچنین جهاد با کفار حربی نیز از دیگر شئون ولی امر به شمار می‌رود</w:t>
      </w:r>
      <w:r>
        <w:rPr>
          <w:rFonts w:eastAsia="IRNazanin" w:cs="IRNazanin"/>
          <w:color w:val="111111"/>
          <w:sz w:val="28"/>
          <w:szCs w:val="28"/>
          <w:rtl w:val="true"/>
          <w:lang w:bidi="fa-IR"/>
        </w:rPr>
        <w:t>.</w:t>
      </w:r>
      <w:r>
        <w:rPr>
          <w:rStyle w:val="FootnoteAnchor"/>
          <w:rtl w:val="true"/>
        </w:rPr>
        <w:footnoteReference w:id="481"/>
      </w:r>
    </w:p>
    <w:p>
      <w:pPr>
        <w:pStyle w:val="BookText"/>
        <w:rPr/>
      </w:pPr>
      <w:r>
        <w:rPr>
          <w:rFonts w:ascii="IRNazanin" w:hAnsi="IRNazanin" w:eastAsia="IRNazanin"/>
          <w:color w:val="111111"/>
          <w:sz w:val="28"/>
          <w:sz w:val="28"/>
          <w:szCs w:val="28"/>
          <w:rtl w:val="true"/>
          <w:lang w:bidi="fa-IR"/>
        </w:rPr>
        <w:t xml:space="preserve">الفقه المأثور، ص </w:t>
      </w:r>
      <w:r>
        <w:rPr>
          <w:rFonts w:eastAsia="IRNazanin" w:cs="IRNazanin"/>
          <w:color w:val="111111"/>
          <w:sz w:val="28"/>
          <w:szCs w:val="28"/>
          <w:lang w:bidi="fa-IR"/>
        </w:rPr>
        <w:t>38</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دفاع از کیان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دیگر شئون و وظایف و اختیارات فقیه، دفاع از کیان اسلام و اجتماع مسلمین است در وقتی که مورد حمله و هجوم دیگران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تصدی فرماندهی و هدایت این دفاع، به هر طریق بر عهدۀ ولی فقیه است</w:t>
      </w:r>
      <w:r>
        <w:rPr>
          <w:rFonts w:eastAsia="IRNazanin" w:cs="IRNazanin"/>
          <w:color w:val="111111"/>
          <w:sz w:val="28"/>
          <w:szCs w:val="28"/>
          <w:rtl w:val="true"/>
          <w:lang w:bidi="fa-IR"/>
        </w:rPr>
        <w:t>.</w:t>
      </w:r>
      <w:r>
        <w:rPr>
          <w:rStyle w:val="FootnoteAnchor"/>
          <w:rtl w:val="true"/>
        </w:rPr>
        <w:footnoteReference w:id="482"/>
      </w:r>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فرماندهی نظامی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ولی امر می‌تواند و باید خود در رأس فرماندهی نظامی قرار گرفته، یا کسی را به نمایندگی از خود در این منصب بگمارد</w:t>
      </w:r>
      <w:r>
        <w:rPr>
          <w:rFonts w:eastAsia="IRNazanin" w:cs="IRNazanin"/>
          <w:color w:val="111111"/>
          <w:sz w:val="28"/>
          <w:szCs w:val="28"/>
          <w:rtl w:val="true"/>
          <w:lang w:bidi="fa-IR"/>
        </w:rPr>
        <w:t>.</w:t>
      </w:r>
      <w:r>
        <w:rPr>
          <w:rStyle w:val="FootnoteAnchor"/>
          <w:rtl w:val="true"/>
        </w:rPr>
        <w:footnoteReference w:id="483"/>
      </w:r>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تسلط بر انفال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همۀ انفال و فیءها در اختیار و زیر نظر ولی فقیه باشد و طبق صلاحدید او از آن استفاده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انفال بر حسب تشریع اسلام عبارت‌اند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امکنه و باغات و زمین‌های آبادی که از کفار، بدون جنگ به دست مسلمین افتاده است، زمین‌های موات و بدون مالک، دریاها و فضا، اراضی و زمین‌های بدون مالک، قلۀ کوه‌ها و کف رودها، کنار دره‌ها و نهرهای بزرگ بدون مالک، املاک سلطنتی که به جنگ و غلبه به دست مسلمین افتاده، غنائم جنگی، ارث امواتی که وارث شرعیشان معلوم نیست و</w:t>
      </w:r>
      <w:r>
        <w:rPr>
          <w:rFonts w:eastAsia="IRNazanin" w:cs="IRNazanin"/>
          <w:color w:val="111111"/>
          <w:sz w:val="28"/>
          <w:szCs w:val="28"/>
          <w:rtl w:val="true"/>
          <w:lang w:bidi="fa-IR"/>
        </w:rPr>
        <w:t>....</w:t>
      </w:r>
      <w:r>
        <w:rPr>
          <w:rStyle w:val="FootnoteAnchor"/>
          <w:rtl w:val="true"/>
        </w:rPr>
        <w:footnoteReference w:id="484"/>
      </w:r>
    </w:p>
    <w:p>
      <w:pPr>
        <w:pStyle w:val="BookText"/>
        <w:rPr/>
      </w:pPr>
      <w:r>
        <w:rPr>
          <w:rFonts w:eastAsia="IRNazanin" w:cs="IRNazanin"/>
          <w:color w:val="111111"/>
          <w:sz w:val="28"/>
          <w:szCs w:val="28"/>
          <w:lang w:bidi="fa-IR"/>
        </w:rPr>
        <w:t>5.10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امور حسبیه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که از امور حسبیه به شمار می‌رود، از قبیل حفظ صغار و مجانین و حفظ اموال و صرف آن برای امور زندگی‌شان، از شئون و وظایف ولی امر به شمار می‌رود</w:t>
      </w:r>
      <w:r>
        <w:rPr>
          <w:rFonts w:eastAsia="IRNazanin" w:cs="IRNazanin"/>
          <w:color w:val="111111"/>
          <w:sz w:val="28"/>
          <w:szCs w:val="28"/>
          <w:rtl w:val="true"/>
          <w:lang w:bidi="fa-IR"/>
        </w:rPr>
        <w:t>.</w:t>
      </w:r>
      <w:r>
        <w:rPr>
          <w:rStyle w:val="FootnoteAnchor"/>
          <w:rtl w:val="true"/>
        </w:rPr>
        <w:footnoteReference w:id="485"/>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امور ده‌گانۀ پیشین، باید امور بسیار دیگری را افزود که از منظر آیت‌اللّه مشکینی، شئون، حدود و اختیارات و وظایف ولی فقیه به شمار می‌آید؛ اموری نظیر تصدی مقام امامت جمعه، تعیین امیرالحاج، تصرف در اراضی مفتوح‌العنوه و اموال مجهول‌المالک، جمع‌آوری مالیات و زکات، خمس، کفاره وسایر انواع مالیات، اختیار عفو، اخذ فدیه یا استرقاق اسراء کفار، طلاق زنی که همسرش غائب و</w:t>
      </w:r>
      <w:bookmarkStart w:id="522" w:name="pg14517_146440"/>
    </w:p>
    <w:p>
      <w:pPr>
        <w:pStyle w:val="BookText"/>
        <w:rPr/>
      </w:pPr>
      <w:bookmarkEnd w:id="522"/>
      <w:r>
        <w:rPr>
          <w:rFonts w:ascii="IRNazanin" w:hAnsi="IRNazanin" w:eastAsia="IRNazanin"/>
          <w:color w:val="111111"/>
          <w:sz w:val="28"/>
          <w:sz w:val="28"/>
          <w:szCs w:val="28"/>
          <w:rtl w:val="true"/>
          <w:lang w:bidi="fa-IR"/>
        </w:rPr>
        <w:t>مفقودالاثر است، پرداخت دیه و خون‌بهای مسلمانی که در موارد تزاحم کشته شده، یا شخصی او را کشته و قاتلش پیدا نیست و موارد دیگری از این دست را باید از جمله شئون مذکور به شمار آورد، که به منظور پرهیز از اطاله و اطناب، از ذکر آن‌ها خودداری می‌شود</w:t>
      </w:r>
      <w:r>
        <w:rPr>
          <w:rFonts w:eastAsia="IRNazanin" w:cs="IRNazanin"/>
          <w:color w:val="111111"/>
          <w:sz w:val="28"/>
          <w:szCs w:val="28"/>
          <w:rtl w:val="true"/>
          <w:lang w:bidi="fa-IR"/>
        </w:rPr>
        <w:t>.</w:t>
      </w:r>
      <w:r>
        <w:rPr>
          <w:rStyle w:val="FootnoteAnchor"/>
          <w:rtl w:val="true"/>
        </w:rPr>
        <w:footnoteReference w:id="486"/>
      </w:r>
    </w:p>
    <w:p>
      <w:pPr>
        <w:pStyle w:val="BookText"/>
        <w:rPr/>
      </w:pPr>
      <w:r>
        <w:rPr>
          <w:rFonts w:ascii="IRNazanin" w:hAnsi="IRNazanin" w:eastAsia="IRNazanin"/>
          <w:color w:val="111111"/>
          <w:sz w:val="28"/>
          <w:sz w:val="28"/>
          <w:szCs w:val="28"/>
          <w:rtl w:val="true"/>
          <w:lang w:bidi="fa-IR"/>
        </w:rPr>
        <w:t>جهت مطالعۀ تفصیلی سایر شئون ولی فقیه از منظر آیت‌اللّه مشکینی، 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واجب و حرام، ص </w:t>
      </w:r>
      <w:r>
        <w:rPr>
          <w:rFonts w:eastAsia="IRNazanin" w:cs="IRNazanin"/>
          <w:color w:val="111111"/>
          <w:sz w:val="28"/>
          <w:szCs w:val="28"/>
          <w:lang w:bidi="fa-IR"/>
        </w:rPr>
        <w:t>76</w:t>
      </w:r>
      <w:r>
        <w:rPr>
          <w:rFonts w:eastAsia="IRNazanin" w:cs="IRNazanin"/>
          <w:color w:val="111111"/>
          <w:sz w:val="28"/>
          <w:szCs w:val="28"/>
          <w:rtl w:val="true"/>
          <w:lang w:bidi="fa-IR"/>
        </w:rPr>
        <w:t>-</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الفقه المأثور، ص </w:t>
      </w:r>
      <w:r>
        <w:rPr>
          <w:rFonts w:eastAsia="IRNazanin" w:cs="IRNazanin"/>
          <w:color w:val="111111"/>
          <w:sz w:val="28"/>
          <w:szCs w:val="28"/>
          <w:lang w:bidi="fa-IR"/>
        </w:rPr>
        <w:t>42</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w:t>
      </w:r>
    </w:p>
    <w:p>
      <w:pPr>
        <w:pStyle w:val="Heading3"/>
        <w:numPr>
          <w:ilvl w:val="2"/>
          <w:numId w:val="1"/>
        </w:numPr>
        <w:rPr/>
      </w:pPr>
      <w:bookmarkStart w:id="523" w:name="__RefHeading___Toc39990_1878427129"/>
      <w:bookmarkStart w:id="524" w:name="_Toc197"/>
      <w:bookmarkEnd w:id="523"/>
      <w:r>
        <w:rPr>
          <w:rtl w:val="true"/>
        </w:rPr>
        <w:t>نتیجه گیری</w:t>
      </w:r>
      <w:bookmarkEnd w:id="524"/>
    </w:p>
    <w:p>
      <w:pPr>
        <w:pStyle w:val="BookText"/>
        <w:rPr/>
      </w:pPr>
      <w:r>
        <w:rPr>
          <w:rFonts w:ascii="IRNazanin" w:hAnsi="IRNazanin" w:eastAsia="IRNazanin"/>
          <w:color w:val="111111"/>
          <w:sz w:val="28"/>
          <w:sz w:val="28"/>
          <w:szCs w:val="28"/>
          <w:rtl w:val="true"/>
          <w:lang w:bidi="fa-IR"/>
        </w:rPr>
        <w:t>از آنچه گفته شد، می‌توان نتیجه گرفت که مقولۀ ولایت فقیه در منظومۀ اندیشۀ سیاسی آیت‌اللّه مشکینی، اصلی مترقی و مورد تأیید و تأکید شرع به شمار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اندیشۀ وی، مسئلۀ ولایت و رهبری در اسلام از دو جهت اهمیت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ادارۀ جامعه؛ و دوم، هدایت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معنای ولایت فقیه را عبارت از وراثت مقام عدالت از مقام عصمت، حاکمیتِ اصلح و الیق، حکومت مطلقۀ قانون بر ملت و انتخاب اصل برای اجرای قوانین الهی و نیز بهترین طرز ممکن برای جریان قانون آسمانی در شریان اجتماع ذکر می‌کند</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آیت‌اللّه مشکینی منظور از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ولایت مطلقۀ فقیه را ناظر بر دو مؤلفۀ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 معضلات پیچیده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رعایت مصلحت 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ولی فقیه می‌داند و با تقسیم ولایت به سه قسم ولایت تکوینی، ولایت تشریعی فی‌الجمله و ولایت تشریعی خاص، ولایت فقیه را ادامۀ همین ولایت تشریعی خاص ذکر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ذکر شرایط ولایت، افزون بر ده شرطی که در مرجعیت آمده،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بلوغ، عقل، اسلام، ایمان، عدالت، طهارت مولد، حریت، ذکوریت، حیات و اعلمیت، به پنج شرط دیگر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بینش سیاسی، شجاعت، مدیریت و حُسن اداره اشاره کرده، سپس به رابطۀ ولایت و مرجعیت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آیت‌اللّه، در ادامه به اثبات ولایت از دو منظر عقل و نقل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از منظر عقلی به این نکته می‌پردازد که شرع</w:t>
      </w:r>
      <w:bookmarkStart w:id="525" w:name="pg14517_146441"/>
    </w:p>
    <w:p>
      <w:pPr>
        <w:pStyle w:val="BookText"/>
        <w:rPr/>
      </w:pPr>
      <w:bookmarkEnd w:id="525"/>
      <w:r>
        <w:rPr>
          <w:rFonts w:ascii="IRNazanin" w:hAnsi="IRNazanin" w:eastAsia="IRNazanin"/>
          <w:color w:val="111111"/>
          <w:sz w:val="28"/>
          <w:sz w:val="28"/>
          <w:szCs w:val="28"/>
          <w:rtl w:val="true"/>
          <w:lang w:bidi="fa-IR"/>
        </w:rPr>
        <w:t>مقدس هیچ‌گاه در عصر غیبت، امت را به حال خود رها نمی‌کند؛ ازاین‌رو عقلاً باید فقیه جامع‌الشرائطی در مقام جانشین معصوم، امور شرعی و سیاسی را مدیریت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منظر نقلی، وی به پنج طایفۀ موجود از روایات اشاره می‌کند و هر طایفه را با ذکر احادیثی بررسی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دربارۀ گسترۀ ولایت، آن را منحصر در مرز و ثغور نمی‌کند و معتقد است که ولی فقیه، رهبر همۀ مسلمانان جهان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اتّباع از ولی فقیه را لازم شمرده، این لزوم را حتی شامل کفارِ ساکن در محدودۀ حکومت ولی فقیه و حتی مسلمانانِ خارج از محدودۀ ظاهری حکومت،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دربارۀ شئون و اختیارات ولی فقیه نیز به مواردی از قبیل تشکیل حکومت، مسئلۀ قضاء، ولایت بر نفوس و اموال، تنظیم سیاست‌های کلی حکومت اسلامی، جهاد با کفار، دفاع از کیان اسلامی، فرماندهی نظامی، تسلط بر انفال، امور حسبیه، تصدی مقام امام جمعه، جمع‌آوری مالیات، خمس و زکات و مواردی دیگر اشاره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ادامه، این تحقیق به بررسی اندیشۀ آیت‌اللّه مشکینی دربارۀ نصب الهی یا انتخابِ مردمی بودنِ مسئلۀ ولایت فقیه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معتقد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نصب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فقیه است؛ چرا که ولایت فقیه را ادامۀ ولایت معصومان علیهم السلام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البته نقش مردم در این قضیه را کان لم یَکُنْ تلقی نمی‌کند؛ زیرا معتقد است مردم با انتخاب حلقۀ وصلی به نام خبرگان، افراد واجد شرایط برای ولایت را که در عصر غیبت به نحو عام نصب شده‌اند، کشف و معرفی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آیت‌اللّه مشکینی بیعت مردم با ولی فقیه را نه شرط ولایت، بلکه تأکید ولایت به شمار می‌آورد</w:t>
      </w:r>
      <w:r>
        <w:rPr>
          <w:rFonts w:eastAsia="IRNazanin" w:cs="IRNazanin"/>
          <w:color w:val="111111"/>
          <w:sz w:val="28"/>
          <w:szCs w:val="28"/>
          <w:rtl w:val="true"/>
          <w:lang w:bidi="fa-IR"/>
        </w:rPr>
        <w:t>.</w:t>
      </w:r>
    </w:p>
    <w:p>
      <w:pPr>
        <w:pStyle w:val="Heading3"/>
        <w:numPr>
          <w:ilvl w:val="2"/>
          <w:numId w:val="1"/>
        </w:numPr>
        <w:rPr/>
      </w:pPr>
      <w:bookmarkStart w:id="526" w:name="__RefHeading___Toc39992_1878427129"/>
      <w:bookmarkStart w:id="527" w:name="_Toc198"/>
      <w:bookmarkEnd w:id="526"/>
      <w:r>
        <w:rPr>
          <w:rtl w:val="true"/>
        </w:rPr>
        <w:t>کتاب نامه</w:t>
      </w:r>
      <w:bookmarkEnd w:id="52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آیت‌اللّه مشکینی از نگاه دیگران، یادنامه،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الهادی، </w:t>
      </w:r>
      <w:r>
        <w:rPr>
          <w:rFonts w:eastAsia="IRNazanin" w:cs="IRNazanin"/>
          <w:color w:val="111111"/>
          <w:sz w:val="28"/>
          <w:szCs w:val="28"/>
          <w:lang w:bidi="fa-IR"/>
        </w:rPr>
        <w:t>1387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آیت‌اللّه مشکینی در مجلس خبرگان،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الهادی، </w:t>
      </w:r>
      <w:r>
        <w:rPr>
          <w:rFonts w:eastAsia="IRNazanin" w:cs="IRNazanin"/>
          <w:color w:val="111111"/>
          <w:sz w:val="28"/>
          <w:szCs w:val="28"/>
          <w:lang w:bidi="fa-IR"/>
        </w:rPr>
        <w:t>1387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فقیه مجاهد و بی‌بدیل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ویژۀ سالگرد رحلت آیت‌اللّه مشکینی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جوان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روزنامه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مرداد </w:t>
      </w:r>
      <w:r>
        <w:rPr>
          <w:rFonts w:eastAsia="IRNazanin" w:cs="IRNazanin"/>
          <w:color w:val="111111"/>
          <w:sz w:val="28"/>
          <w:szCs w:val="28"/>
          <w:lang w:bidi="fa-IR"/>
        </w:rPr>
        <w:t>1391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غرر الحکم و درر الکلم، عبدالواحد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550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خوانساری،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تهران، </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الفقه المأثور، علی مشکینی،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الهادی، جمادی الثانی،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واجب و حرام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شامل واجبات و محرمات اعتقادی و عملی در شرع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علی مشکینی،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الهادی، </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 پنجم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ولایت فقیه؛ ولایت فقاهت و عدالت، عبداللّه جوادی آملی،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اسرا،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یاران امام به روایت اسناد ساواک </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یادنامه آیت‌اللّه مشکینی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بررسی اسناد تاریخی وزارت اطلاعات، دارالحدیث،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 دوم</w:t>
      </w:r>
      <w:r>
        <w:rPr>
          <w:rFonts w:eastAsia="IRNazanin" w:cs="IRNazanin"/>
          <w:color w:val="111111"/>
          <w:sz w:val="28"/>
          <w:szCs w:val="28"/>
          <w:rtl w:val="true"/>
          <w:lang w:bidi="fa-IR"/>
        </w:rPr>
        <w:t>.</w:t>
      </w:r>
      <w:bookmarkStart w:id="528" w:name="pg14517_146444"/>
    </w:p>
    <w:p>
      <w:pPr>
        <w:pStyle w:val="Heading2"/>
        <w:numPr>
          <w:ilvl w:val="1"/>
          <w:numId w:val="1"/>
        </w:numPr>
        <w:rPr/>
      </w:pPr>
      <w:bookmarkStart w:id="529" w:name="__RefHeading___Toc39994_1878427129"/>
      <w:bookmarkStart w:id="530" w:name="_Toc199"/>
      <w:bookmarkEnd w:id="528"/>
      <w:bookmarkEnd w:id="529"/>
      <w:r>
        <w:rPr>
          <w:rtl w:val="true"/>
        </w:rPr>
        <w:t>موسیقی و غنا از دیدگاه فقیه مشکینی</w:t>
      </w:r>
      <w:bookmarkEnd w:id="530"/>
    </w:p>
    <w:p>
      <w:pPr>
        <w:pStyle w:val="Heading3"/>
        <w:numPr>
          <w:ilvl w:val="2"/>
          <w:numId w:val="1"/>
        </w:numPr>
        <w:rPr/>
      </w:pPr>
      <w:bookmarkStart w:id="531" w:name="__RefHeading___Toc39996_1878427129"/>
      <w:bookmarkStart w:id="532" w:name="_Toc200"/>
      <w:bookmarkEnd w:id="531"/>
      <w:r>
        <w:rPr>
          <w:rtl w:val="true"/>
        </w:rPr>
        <w:t>اشاره</w:t>
      </w:r>
      <w:bookmarkEnd w:id="532"/>
    </w:p>
    <w:p>
      <w:pPr>
        <w:pStyle w:val="BookText"/>
        <w:rPr/>
      </w:pPr>
      <w:r>
        <w:rPr>
          <w:rFonts w:ascii="IRNazanin" w:hAnsi="IRNazanin" w:eastAsia="IRNazanin"/>
          <w:color w:val="111111"/>
          <w:sz w:val="28"/>
          <w:sz w:val="28"/>
          <w:szCs w:val="28"/>
          <w:rtl w:val="true"/>
          <w:lang w:bidi="fa-IR"/>
        </w:rPr>
        <w:t>دکتر محمدرضا بندرچی</w:t>
      </w:r>
      <w:r>
        <w:rPr>
          <w:rStyle w:val="FootnoteAnchor"/>
          <w:rtl w:val="true"/>
        </w:rPr>
        <w:footnoteReference w:id="487"/>
      </w:r>
    </w:p>
    <w:p>
      <w:pPr>
        <w:pStyle w:val="BookText"/>
        <w:rPr/>
      </w:pPr>
      <w:r>
        <w:rPr>
          <w:rFonts w:ascii="IRNazanin" w:hAnsi="IRNazanin" w:eastAsia="IRNazanin"/>
          <w:color w:val="111111"/>
          <w:sz w:val="28"/>
          <w:sz w:val="28"/>
          <w:szCs w:val="28"/>
          <w:rtl w:val="true"/>
          <w:lang w:bidi="fa-IR"/>
        </w:rPr>
        <w:t>استاد دانشگاه</w:t>
      </w:r>
      <w:r>
        <w:rPr>
          <w:rFonts w:eastAsia="IRNazanin" w:cs="IRNazanin"/>
          <w:color w:val="111111"/>
          <w:sz w:val="28"/>
          <w:szCs w:val="28"/>
          <w:rtl w:val="true"/>
          <w:lang w:bidi="fa-IR"/>
        </w:rPr>
        <w:t>.</w:t>
      </w:r>
    </w:p>
    <w:p>
      <w:pPr>
        <w:pStyle w:val="Heading3"/>
        <w:numPr>
          <w:ilvl w:val="2"/>
          <w:numId w:val="1"/>
        </w:numPr>
        <w:rPr/>
      </w:pPr>
      <w:bookmarkStart w:id="533" w:name="__RefHeading___Toc39998_1878427129"/>
      <w:bookmarkStart w:id="534" w:name="_Toc201"/>
      <w:bookmarkEnd w:id="533"/>
      <w:r>
        <w:rPr>
          <w:rtl w:val="true"/>
        </w:rPr>
        <w:t>چکیده</w:t>
      </w:r>
      <w:bookmarkEnd w:id="534"/>
    </w:p>
    <w:p>
      <w:pPr>
        <w:pStyle w:val="BookText"/>
        <w:rPr/>
      </w:pPr>
      <w:r>
        <w:rPr>
          <w:rFonts w:ascii="IRNazanin" w:hAnsi="IRNazanin" w:eastAsia="IRNazanin"/>
          <w:color w:val="111111"/>
          <w:sz w:val="28"/>
          <w:sz w:val="28"/>
          <w:szCs w:val="28"/>
          <w:rtl w:val="true"/>
          <w:lang w:bidi="fa-IR"/>
        </w:rPr>
        <w:t>غنا یکی از مباحث بحث‌انگیز و مشکل فقه است و فقیهان مسلمان، اعم از امامی و غیرامامی، دراین‌باره به صورت گسترده بحث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 فقیهان آن را به کشیدن صدا همراه با مدّ و ترجیع که مناسب مجالس طرب و گناه باشد معنی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مشکینی نیز در ذیل تفسیر دو آیۀ شریفۀ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 و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لقمان، غنا را عملی حرام که باعث گمراه شدن مخاطبان آن شده می‌داند و مغنّی و مطرب را افزون بر گناه‌فروشی، مشمول انحراف جامعه محسوب می‌کند و عقیده دارد خرید و فروش لهوالحدیث که یکی از مصادیق بارزش غنا و آوازه‌خوانی است، همان پول دادن به مطرب و مغنّی و دعوت وی به طرب‌انگیزی است و درعین‌حال نه فقط فروشنده، بلکه خریدار هم در این گناه شریک‌اند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آن‌قدر مذموم و زشت است که خداوند در قرآن کریم به مرتکبان آن وعدۀ عذاب مهین داده است؛ لذا بر مردم و زمامداران جامعه است که نه فقط خود به‌هیچ‌وجه مروّج آن نباشند، بلکه با وسایل مقتضی، در جلوگیری از این گناه بزرگ کوشا باشند</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غنا، لهوالحدیث، مُطرب، قول زور، سنت سیئه، سنت حَسَنه</w:t>
      </w:r>
      <w:r>
        <w:rPr>
          <w:rFonts w:eastAsia="IRNazanin" w:cs="IRNazanin"/>
          <w:color w:val="111111"/>
          <w:sz w:val="28"/>
          <w:szCs w:val="28"/>
          <w:rtl w:val="true"/>
          <w:lang w:bidi="fa-IR"/>
        </w:rPr>
        <w:t>.</w:t>
      </w:r>
      <w:bookmarkStart w:id="535" w:name="pg14517_146445"/>
    </w:p>
    <w:p>
      <w:pPr>
        <w:pStyle w:val="Heading3"/>
        <w:numPr>
          <w:ilvl w:val="2"/>
          <w:numId w:val="1"/>
        </w:numPr>
        <w:rPr/>
      </w:pPr>
      <w:bookmarkStart w:id="536" w:name="__RefHeading___Toc40000_1878427129"/>
      <w:bookmarkStart w:id="537" w:name="_Toc202"/>
      <w:bookmarkEnd w:id="535"/>
      <w:bookmarkEnd w:id="536"/>
      <w:r>
        <w:rPr>
          <w:rtl w:val="true"/>
        </w:rPr>
        <w:t>مقدمه</w:t>
      </w:r>
      <w:bookmarkEnd w:id="53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الفقهاء امناء الرسول</w:t>
      </w:r>
      <w:r>
        <w:rPr>
          <w:rFonts w:eastAsia="IRNazanin" w:cs="IRNazanin"/>
          <w:color w:val="111111"/>
          <w:sz w:val="28"/>
          <w:szCs w:val="28"/>
          <w:rtl w:val="true"/>
          <w:lang w:bidi="fa-IR"/>
        </w:rPr>
        <w:t>».</w:t>
      </w:r>
      <w:r>
        <w:rPr>
          <w:rStyle w:val="FootnoteAnchor"/>
          <w:rtl w:val="true"/>
        </w:rPr>
        <w:footnoteReference w:id="488"/>
      </w:r>
    </w:p>
    <w:p>
      <w:pPr>
        <w:pStyle w:val="BookText"/>
        <w:rPr/>
      </w:pP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موضوعات بحث‌انگیز فقهی، مقولۀ غنا و لهو و لعب است که ماهیت حساسش باعث شده دانشوران و فقهای مسلمان، دربارۀ آن قلم‌فرسایی کنند و طی بحث‌های علمی دربارۀ حلیت و حرمت و محدودۀ آن بسیار سخن گویند، به‌طوری‌که اگر به کتاب‌های فقهی شیعه و سنّی و نیز رساله‌هایی که دربارۀ این مبحث مهم نوشته شده مراجعه کنیم، معرکه‌ای از قال اقول‌ها و ان‌قلت‌هایی را مشاهده می‌کنیم که بسیار جالب و پرمحتواست و شاید به‌جرئت بتوان گفت در کمتر بحثی این مقدار تشتت‌آرا و گفته‌های مخالف یکدیگر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این مبحث، مجالی فراخ و پرگفتگو برای فقها و مفسّران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افزون بر این‌ها، امروزه برنامه‌های رسانه‌های دیداری و شنیداری به گونه‌ای‌اند که همراه با خواندن و آواز و موسیقی‌اند و کمتر برنامه‌ای می‌بینیم که از آواز و غنا دور باشد و همین مسئله نیز از ابتدای انقلاب اسلامی تاکنون چالش‌انگیز بوده است؛ چرا که در رژیم‌های قبل از انقلاب اسلامی، همه متفق بودند وسایل ارتباط جمعیِ این رژیم‌ها مملوّ از فسق و فجور و گناه است و لذا به علت نبود تردید دراین‌باره، کسی در حرمت آن‌ها حرفی نداشت؛ ولی پس از وقوع انقلاب اسلامی بحث‌های فراوانی دربارۀ سرودها و ترانه‌های رادیو و تلویزیون، شروع شد که البته هنوز ادامه دارد و به نتیجۀ قاطعی نرسیده است</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آیت‌اللّه علی مشکینی، در همان ایام رواج این‌گونه بحث‌ها طی بحث‌های تفسیری دربارۀ آیات شریفۀ مربوط به غنا و لهوالحدیث، دیدگاه‌های خود دربارۀ مقولۀ غنا و چگونگی آن و حرمت و حلیتش را شرح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مقالۀ پیش‌رو، با استفاده از این مباحث تفسیری به تجزیه و تحلیل آرای وی دراین‌باره پرداخته‌ایم</w:t>
      </w:r>
      <w:r>
        <w:rPr>
          <w:rFonts w:eastAsia="IRNazanin" w:cs="IRNazanin"/>
          <w:color w:val="111111"/>
          <w:sz w:val="28"/>
          <w:szCs w:val="28"/>
          <w:rtl w:val="true"/>
          <w:lang w:bidi="fa-IR"/>
        </w:rPr>
        <w:t>.</w:t>
      </w:r>
      <w:bookmarkStart w:id="538" w:name="pg14517_146446"/>
    </w:p>
    <w:p>
      <w:pPr>
        <w:pStyle w:val="Heading3"/>
        <w:numPr>
          <w:ilvl w:val="2"/>
          <w:numId w:val="1"/>
        </w:numPr>
        <w:rPr/>
      </w:pPr>
      <w:bookmarkStart w:id="539" w:name="__RefHeading___Toc40002_1878427129"/>
      <w:bookmarkStart w:id="540" w:name="_Toc203"/>
      <w:bookmarkEnd w:id="538"/>
      <w:bookmarkEnd w:id="539"/>
      <w:r>
        <w:rPr/>
        <w:t>1</w:t>
      </w:r>
      <w:r>
        <w:rPr>
          <w:rtl w:val="true"/>
        </w:rPr>
        <w:t xml:space="preserve">. </w:t>
      </w:r>
      <w:r>
        <w:rPr>
          <w:rtl w:val="true"/>
        </w:rPr>
        <w:t>تعریف لغوی واژۀ غنا</w:t>
      </w:r>
      <w:bookmarkEnd w:id="540"/>
    </w:p>
    <w:p>
      <w:pPr>
        <w:pStyle w:val="BookText"/>
        <w:rPr/>
      </w:pPr>
      <w:r>
        <w:rPr>
          <w:rFonts w:ascii="IRNazanin" w:hAnsi="IRNazanin" w:eastAsia="IRNazanin"/>
          <w:color w:val="111111"/>
          <w:sz w:val="28"/>
          <w:sz w:val="28"/>
          <w:szCs w:val="28"/>
          <w:rtl w:val="true"/>
          <w:lang w:bidi="fa-IR"/>
        </w:rPr>
        <w:t xml:space="preserve">در برخی واژه‌نامه‌های مهم عربی که جنبۀ علمی برای لغویان دارد، معانی گوناگون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مشاهده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فیومی آن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 کرده است؛</w:t>
      </w:r>
      <w:r>
        <w:rPr>
          <w:rStyle w:val="FootnoteAnchor"/>
          <w:rtl w:val="true"/>
        </w:rPr>
        <w:footnoteReference w:id="48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المصباح المنیر، ص </w:t>
      </w:r>
      <w:r>
        <w:rPr>
          <w:rFonts w:eastAsia="IRNazanin" w:cs="IRNazanin"/>
          <w:color w:val="111111"/>
          <w:sz w:val="28"/>
          <w:szCs w:val="28"/>
          <w:lang w:bidi="fa-IR"/>
        </w:rPr>
        <w:t>455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غنا مطلق صداست و آن را کشیدن صدا در خواندن تعریف کرده و تشخیص را به عرف محوّل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در منابع دیگر مثل قاموس، تعریف دقیق‌تری ارائه شده و آن را صدایی که شامل امور طرب‌انگیز باشد معنا کرده‌اند</w:t>
      </w:r>
      <w:r>
        <w:rPr>
          <w:rFonts w:eastAsia="IRNazanin" w:cs="IRNazanin"/>
          <w:color w:val="111111"/>
          <w:sz w:val="28"/>
          <w:szCs w:val="28"/>
          <w:rtl w:val="true"/>
          <w:lang w:bidi="fa-IR"/>
        </w:rPr>
        <w:t>.</w:t>
      </w:r>
      <w:r>
        <w:rPr>
          <w:rStyle w:val="FootnoteAnchor"/>
          <w:rtl w:val="true"/>
        </w:rPr>
        <w:footnoteReference w:id="490"/>
      </w:r>
    </w:p>
    <w:p>
      <w:pPr>
        <w:pStyle w:val="BookText"/>
        <w:rPr/>
      </w:pPr>
      <w:r>
        <w:rPr>
          <w:rFonts w:ascii="IRNazanin" w:hAnsi="IRNazanin" w:eastAsia="IRNazanin"/>
          <w:color w:val="111111"/>
          <w:sz w:val="28"/>
          <w:sz w:val="28"/>
          <w:szCs w:val="28"/>
          <w:rtl w:val="true"/>
          <w:lang w:bidi="fa-IR"/>
        </w:rPr>
        <w:t xml:space="preserve">عده‌ای دیگر، در تعریف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نوعی حالت سُستی و رخوت که برای انسان بر اثر شدت اندوه یا شادی پیش می‌آید</w:t>
      </w:r>
      <w:r>
        <w:rPr>
          <w:rFonts w:eastAsia="IRNazanin" w:cs="IRNazanin"/>
          <w:color w:val="111111"/>
          <w:sz w:val="28"/>
          <w:szCs w:val="28"/>
          <w:rtl w:val="true"/>
          <w:lang w:bidi="fa-IR"/>
        </w:rPr>
        <w:t>.</w:t>
      </w:r>
      <w:r>
        <w:rPr>
          <w:rStyle w:val="FootnoteAnchor"/>
          <w:rtl w:val="true"/>
        </w:rPr>
        <w:footnoteReference w:id="491"/>
      </w:r>
    </w:p>
    <w:p>
      <w:pPr>
        <w:pStyle w:val="BookText"/>
        <w:rPr/>
      </w:pPr>
      <w:r>
        <w:rPr>
          <w:rFonts w:ascii="IRNazanin" w:hAnsi="IRNazanin" w:eastAsia="IRNazanin"/>
          <w:color w:val="111111"/>
          <w:sz w:val="28"/>
          <w:sz w:val="28"/>
          <w:szCs w:val="28"/>
          <w:rtl w:val="true"/>
          <w:lang w:bidi="fa-IR"/>
        </w:rPr>
        <w:t xml:space="preserve">پاره‌ای از مفسران قرآن نیز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رخوت ناشی از شادی یا اندوه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 کرده‌اند</w:t>
      </w:r>
      <w:r>
        <w:rPr>
          <w:rFonts w:eastAsia="IRNazanin" w:cs="IRNazanin"/>
          <w:color w:val="111111"/>
          <w:sz w:val="28"/>
          <w:szCs w:val="28"/>
          <w:rtl w:val="true"/>
          <w:lang w:bidi="fa-IR"/>
        </w:rPr>
        <w:t>.</w:t>
      </w:r>
      <w:r>
        <w:rPr>
          <w:rStyle w:val="FootnoteAnchor"/>
          <w:rtl w:val="true"/>
        </w:rPr>
        <w:footnoteReference w:id="492"/>
      </w:r>
    </w:p>
    <w:p>
      <w:pPr>
        <w:pStyle w:val="BookText"/>
        <w:rPr/>
      </w:pPr>
      <w:r>
        <w:rPr>
          <w:rFonts w:ascii="IRNazanin" w:hAnsi="IRNazanin" w:eastAsia="IRNazanin"/>
          <w:color w:val="111111"/>
          <w:sz w:val="28"/>
          <w:sz w:val="28"/>
          <w:szCs w:val="28"/>
          <w:rtl w:val="true"/>
          <w:lang w:bidi="fa-IR"/>
        </w:rPr>
        <w:t xml:space="preserve">فیومی پس از تعریف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صدد تعریف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برآمده،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حالت رخوتی گویند که بر اساس حُزن یا شادی فراوان رخ می‌دهد و در بین مردم، طرب به حالت شادی اختصاص دارد و صوتی است که مدّ و ترجیع دارد و یکسان ادا نمی‌شود</w:t>
      </w:r>
      <w:r>
        <w:rPr>
          <w:rFonts w:eastAsia="IRNazanin" w:cs="IRNazanin"/>
          <w:color w:val="111111"/>
          <w:sz w:val="28"/>
          <w:szCs w:val="28"/>
          <w:rtl w:val="true"/>
          <w:lang w:bidi="fa-IR"/>
        </w:rPr>
        <w:t>».</w:t>
      </w:r>
      <w:r>
        <w:rPr>
          <w:rStyle w:val="FootnoteAnchor"/>
          <w:rtl w:val="true"/>
        </w:rPr>
        <w:footnoteReference w:id="493"/>
      </w:r>
    </w:p>
    <w:p>
      <w:pPr>
        <w:pStyle w:val="BookText"/>
        <w:rPr/>
      </w:pPr>
      <w:r>
        <w:rPr>
          <w:rFonts w:ascii="IRNazanin" w:hAnsi="IRNazanin" w:eastAsia="IRNazanin"/>
          <w:color w:val="111111"/>
          <w:sz w:val="28"/>
          <w:sz w:val="28"/>
          <w:szCs w:val="28"/>
          <w:rtl w:val="true"/>
          <w:lang w:bidi="fa-IR"/>
        </w:rPr>
        <w:t xml:space="preserve">در میان امامیه نیز طریحی، پس از نقل حدیثی از حضرت رسول صلی الله علیه و آله در مذمت غنا در قرائت قرآن،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کشیدن صدا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 کرده، می‌نویسد</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صدای مطرب آن است که خواننده‌اش آن را در حلقش همانند آوازه‌خوان‌ها بچرخاند و تحریر دهد و مثلاً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 آ آ 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خواندن جایز نیست؛ درحالی‌که خواندن با صدای خوش و نیکو، اگر مشتمل بر طرب نباشد اشکالی ندارد، بلکه مطلوب است؛ چنانچه در روایتی آمده</w:t>
      </w:r>
      <w:bookmarkStart w:id="541" w:name="pg14517_146447"/>
    </w:p>
    <w:p>
      <w:pPr>
        <w:pStyle w:val="BookText"/>
        <w:rPr/>
      </w:pPr>
      <w:bookmarkEnd w:id="541"/>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رَجِّع بِالقرآنِ صَوتَک فانَّ اللّه یحبُّ الصوتَ الحسن</w:t>
      </w:r>
      <w:r>
        <w:rPr>
          <w:rFonts w:eastAsia="Amiri" w:cs="Amiri" w:ascii="Amiri" w:hAnsi="Amiri"/>
          <w:color w:val="111111"/>
          <w:sz w:val="28"/>
          <w:szCs w:val="28"/>
          <w:rtl w:val="true"/>
          <w:lang w:bidi="ar-SA"/>
        </w:rPr>
        <w:t>....</w:t>
      </w:r>
      <w:r>
        <w:rPr>
          <w:rStyle w:val="FootnoteAnchor"/>
          <w:rtl w:val="true"/>
        </w:rPr>
        <w:footnoteReference w:id="494"/>
      </w:r>
    </w:p>
    <w:p>
      <w:pPr>
        <w:pStyle w:val="BookText"/>
        <w:rPr/>
      </w:pPr>
      <w:r>
        <w:rPr>
          <w:rFonts w:ascii="IRNazanin" w:hAnsi="IRNazanin" w:eastAsia="IRNazanin"/>
          <w:color w:val="111111"/>
          <w:sz w:val="28"/>
          <w:sz w:val="28"/>
          <w:szCs w:val="28"/>
          <w:rtl w:val="true"/>
          <w:lang w:bidi="fa-IR"/>
        </w:rPr>
        <w:t xml:space="preserve">مجمع البحرین،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334</w:t>
      </w:r>
      <w:r>
        <w:rPr>
          <w:rFonts w:eastAsia="IRNazanin" w:cs="IRNazanin"/>
          <w:color w:val="111111"/>
          <w:sz w:val="28"/>
          <w:szCs w:val="28"/>
          <w:rtl w:val="true"/>
          <w:lang w:bidi="fa-IR"/>
        </w:rPr>
        <w:t>.</w:t>
      </w:r>
    </w:p>
    <w:p>
      <w:pPr>
        <w:pStyle w:val="Heading3"/>
        <w:numPr>
          <w:ilvl w:val="2"/>
          <w:numId w:val="1"/>
        </w:numPr>
        <w:rPr/>
      </w:pPr>
      <w:bookmarkStart w:id="542" w:name="__RefHeading___Toc40004_1878427129"/>
      <w:bookmarkStart w:id="543" w:name="_Toc204"/>
      <w:bookmarkEnd w:id="542"/>
      <w:r>
        <w:rPr/>
        <w:t>2</w:t>
      </w:r>
      <w:r>
        <w:rPr>
          <w:rtl w:val="true"/>
        </w:rPr>
        <w:t xml:space="preserve">. </w:t>
      </w:r>
      <w:r>
        <w:rPr>
          <w:rtl w:val="true"/>
        </w:rPr>
        <w:t>بررسی غنا در آیات قرآن کریم و نظریۀ فقیه مشکینی</w:t>
      </w:r>
      <w:bookmarkEnd w:id="543"/>
    </w:p>
    <w:p>
      <w:pPr>
        <w:pStyle w:val="BookText"/>
        <w:rPr/>
      </w:pPr>
      <w:r>
        <w:rPr>
          <w:rFonts w:ascii="IRNazanin" w:hAnsi="IRNazanin" w:eastAsia="IRNazanin"/>
          <w:color w:val="111111"/>
          <w:sz w:val="28"/>
          <w:sz w:val="28"/>
          <w:szCs w:val="28"/>
          <w:rtl w:val="true"/>
          <w:lang w:bidi="fa-IR"/>
        </w:rPr>
        <w:t>تعدادی از آیات قرآن کریم که ذیلاً ذکر می‌شود، در نظر مفسران، ناظر به غنا و امور لهوی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مثال، بسیاری از دانشوران دینی،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زور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گفتار ناشایست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آیۀ شریفۀ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اجْتَنِبُوا قَوْلَ الزُّورِ</w:t>
      </w:r>
      <w:r>
        <w:rPr>
          <w:rFonts w:eastAsia="IRNazanin" w:cs="IRNazanin"/>
          <w:color w:val="111111"/>
          <w:sz w:val="28"/>
          <w:szCs w:val="28"/>
          <w:rtl w:val="true"/>
          <w:lang w:bidi="fa-IR"/>
        </w:rPr>
        <w:t>»</w:t>
      </w:r>
      <w:r>
        <w:rPr>
          <w:rStyle w:val="FootnoteAnchor"/>
          <w:rtl w:val="true"/>
        </w:rPr>
        <w:footnoteReference w:id="495"/>
      </w:r>
      <w:r>
        <w:rPr>
          <w:rFonts w:ascii="IRNazanin" w:hAnsi="IRNazanin" w:eastAsia="IRNazanin"/>
          <w:color w:val="111111"/>
          <w:sz w:val="28"/>
          <w:sz w:val="28"/>
          <w:szCs w:val="28"/>
          <w:rtl w:val="true"/>
          <w:lang w:bidi="fa-IR"/>
        </w:rPr>
        <w:t>را به غنا و آوازه‌خوانی تفسیر کرده‌اند</w:t>
      </w:r>
      <w:r>
        <w:rPr>
          <w:rStyle w:val="FootnoteAnchor"/>
          <w:rtl w:val="true"/>
        </w:rPr>
        <w:footnoteReference w:id="496"/>
      </w:r>
      <w:r>
        <w:rPr>
          <w:rFonts w:ascii="IRNazanin" w:hAnsi="IRNazanin" w:eastAsia="IRNazanin"/>
          <w:color w:val="111111"/>
          <w:sz w:val="28"/>
          <w:sz w:val="28"/>
          <w:szCs w:val="28"/>
          <w:rtl w:val="true"/>
          <w:lang w:bidi="fa-IR"/>
        </w:rPr>
        <w:t xml:space="preserve">و در عده‌ای از روایات شیعی، یکی دیگر از مصداق‌های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زور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این‌گونه تفسیر شده که اگر کسی در قبال خواندن غناییِ خواننده‌ای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تشویق نیز از مصادیق قول زور محسوب می‌شود</w:t>
      </w:r>
      <w:r>
        <w:rPr>
          <w:rFonts w:eastAsia="IRNazanin" w:cs="IRNazanin"/>
          <w:color w:val="111111"/>
          <w:sz w:val="28"/>
          <w:szCs w:val="28"/>
          <w:rtl w:val="true"/>
          <w:lang w:bidi="fa-IR"/>
        </w:rPr>
        <w:t>.</w:t>
      </w:r>
      <w:r>
        <w:rPr>
          <w:rStyle w:val="FootnoteAnchor"/>
          <w:rtl w:val="true"/>
        </w:rPr>
        <w:footnoteReference w:id="497"/>
      </w:r>
    </w:p>
    <w:p>
      <w:pPr>
        <w:pStyle w:val="BookText"/>
        <w:rPr/>
      </w:pPr>
      <w:r>
        <w:rPr>
          <w:rFonts w:ascii="IRNazanin" w:hAnsi="IRNazanin" w:eastAsia="IRNazanin"/>
          <w:color w:val="111111"/>
          <w:sz w:val="28"/>
          <w:sz w:val="28"/>
          <w:szCs w:val="28"/>
          <w:rtl w:val="true"/>
          <w:lang w:bidi="fa-IR"/>
        </w:rPr>
        <w:t>فقیه مشکینی، به پیروی از سیرۀ سلف صالح، ابتدا به تعریف غنا پرداخته تا خوانندۀ مطلب در آغاز، معنای آن را به‌وضوح دریابد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صوتی را گویند که از حنجره و حلقوم انسان دربیاید؛ و غنای اصطلاحی که در شرع اسلام حرام است، عبارت از آن است که صوت نیکو و خوشی از حلقوم انسان بیرون آید</w:t>
      </w:r>
      <w:r>
        <w:rPr>
          <w:rFonts w:eastAsia="IRNazanin" w:cs="IRNazanin"/>
          <w:color w:val="111111"/>
          <w:sz w:val="28"/>
          <w:szCs w:val="28"/>
          <w:rtl w:val="true"/>
          <w:lang w:bidi="fa-IR"/>
        </w:rPr>
        <w:t>».</w:t>
      </w:r>
      <w:r>
        <w:rPr>
          <w:rStyle w:val="FootnoteAnchor"/>
          <w:rtl w:val="true"/>
        </w:rPr>
        <w:footnoteReference w:id="498"/>
      </w:r>
    </w:p>
    <w:p>
      <w:pPr>
        <w:pStyle w:val="BookText"/>
        <w:rPr/>
      </w:pPr>
      <w:r>
        <w:rPr>
          <w:rFonts w:ascii="IRNazanin" w:hAnsi="IRNazanin" w:eastAsia="IRNazanin"/>
          <w:color w:val="111111"/>
          <w:sz w:val="28"/>
          <w:sz w:val="28"/>
          <w:szCs w:val="28"/>
          <w:rtl w:val="true"/>
          <w:lang w:bidi="fa-IR"/>
        </w:rPr>
        <w:t>بنابراین توصیف از غنا، صداهای خوش مثل آواز مرغان خوش‌الحان چون بلبل، قناری و چکاوک از مصادیق غنا خارج می‌شوند و لحن‌های زیبای خداداد این حیوانات هر چقدر هم زیبا و طرب‌انگیز باشد جایز و مباح است و اینکه عده‌ای بی‌اطلاع می‌گویند که فقه با هر آنچه لذت داشته باشد مخالف است، کلاً بی‌مبناست؛ بلکه لذت‌های مشروع و عقلایی که به ضرر و زیان به جسم یا روح انسان یا جامعه منجر نشود، مباح و بعضاً مستحب است و اگر لذتی را منع کرده‌اند، به علت وجود ضرری است که پس از آن، عارض جسم یا روح انسان یا دیگران یا جامعه می‌شود</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مثلاً رابطۀ جنسی با جنس مخالف، برای انسان لذت‌بخش است؛ اما همین</w:t>
      </w:r>
    </w:p>
    <w:p>
      <w:pPr>
        <w:pStyle w:val="BookText"/>
        <w:rPr/>
      </w:pPr>
      <w:r>
        <w:rPr>
          <w:rFonts w:ascii="IRNazanin" w:hAnsi="IRNazanin" w:eastAsia="IRNazanin"/>
          <w:color w:val="111111"/>
          <w:sz w:val="28"/>
          <w:sz w:val="28"/>
          <w:szCs w:val="28"/>
          <w:rtl w:val="true"/>
          <w:lang w:bidi="fa-IR"/>
        </w:rPr>
        <w:t>لذت‌جویی اگر در قالب ازدواج قانونی باشد، مجاز و حتی مستحب است ولی اگر در محیط آزاد و نامشروع صورت گیرد،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حال، فقیه مشکینی برای حرمت غنا و مجاز نبودن شنیدن صوتی انسانی، سه شرط را ذکر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صوت خوبی که زیر و بم داشته باشد؛ یعنی صوتی که قطع بخورد و به تعبیر ساده‌تر، چه‌چه در آن باشد؛</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مستمع را از حالت عادی درآورد و در او نشاط و سُرور ایجاد کند یا حالت غصه و اندوه فراوان در او پدید آورد که ناخودآگاه اشکش سرازیر شود؛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مهم‌ترین شرط است و آن اینکه شنونده بگوید این صدا، همان صدای مجالس رقص و لهو است؛ یعنی معمولاً چنان غنایی با رقص و عرق و ورق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همراه است</w:t>
      </w:r>
      <w:r>
        <w:rPr>
          <w:rFonts w:eastAsia="IRNazanin" w:cs="IRNazanin"/>
          <w:color w:val="111111"/>
          <w:sz w:val="28"/>
          <w:szCs w:val="28"/>
          <w:rtl w:val="true"/>
          <w:lang w:bidi="fa-IR"/>
        </w:rPr>
        <w:t>.</w:t>
      </w:r>
      <w:r>
        <w:rPr>
          <w:rStyle w:val="FootnoteAnchor"/>
          <w:rtl w:val="true"/>
        </w:rPr>
        <w:footnoteReference w:id="499"/>
      </w:r>
    </w:p>
    <w:p>
      <w:pPr>
        <w:pStyle w:val="BookText"/>
        <w:rPr/>
      </w:pPr>
      <w:r>
        <w:rPr>
          <w:rFonts w:ascii="IRNazanin" w:hAnsi="IRNazanin" w:eastAsia="IRNazanin"/>
          <w:color w:val="111111"/>
          <w:sz w:val="28"/>
          <w:sz w:val="28"/>
          <w:szCs w:val="28"/>
          <w:rtl w:val="true"/>
          <w:lang w:bidi="fa-IR"/>
        </w:rPr>
        <w:t xml:space="preserve">پاسدار اسلام، ش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این اساس وی عقیده دارد هر صدای خوش و آوای نیکویی حرام نیست، بلکه گاه در روایات تصریح شده است که قرآن را با صوت حسن بخوانید و حتی دربارۀ نمازهای یومیه هم فقها نوشته‌اند که آن را با آوای زیبایی که برای قلب، تولید حزن کند بخوانید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صدای خوبی که دارای زیر و بم باشد و در انسان تولید رقت و سرور یا غم و اندوه کند و مناسب مجالس لهو و لعب و رقص باشد، غنا و حرام است</w:t>
      </w:r>
      <w:r>
        <w:rPr>
          <w:rFonts w:eastAsia="IRNazanin" w:cs="IRNazanin"/>
          <w:color w:val="111111"/>
          <w:sz w:val="28"/>
          <w:szCs w:val="28"/>
          <w:rtl w:val="true"/>
          <w:lang w:bidi="fa-IR"/>
        </w:rPr>
        <w:t>.</w:t>
      </w:r>
      <w:r>
        <w:rPr>
          <w:rStyle w:val="FootnoteAnchor"/>
          <w:rtl w:val="true"/>
        </w:rPr>
        <w:footnoteReference w:id="500"/>
      </w:r>
    </w:p>
    <w:p>
      <w:pPr>
        <w:pStyle w:val="BookText"/>
        <w:rPr/>
      </w:pPr>
      <w:r>
        <w:rPr>
          <w:rFonts w:ascii="IRNazanin" w:hAnsi="IRNazanin" w:eastAsia="IRNazanin"/>
          <w:color w:val="111111"/>
          <w:sz w:val="28"/>
          <w:sz w:val="28"/>
          <w:szCs w:val="28"/>
          <w:rtl w:val="true"/>
          <w:lang w:bidi="fa-IR"/>
        </w:rPr>
        <w:t>مرحوم مشکینی در ادامۀ این بحث، با کمک گرفتن از تعریف فقهی غنا، مستند خود را فتوای فقیهی چون اصفهانی می‌داند و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دلیل که می‌بینیم آقا سیدابوالحسن اصفهانی در کتاب وسیلة النجاة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الغناء هو الصّوت المطرب، فیه ترجیعٌ و اطرابٌ یناسب مجالس اللّعب و آلات اللّهو</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 از این فتوای فقهی چنین نتیجه می‌گیرد که غنا باید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صدای خوب؛</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دارای زیر و بم؛</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محرک انسان؛</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مناسب مجالس لهو و لعب</w:t>
      </w:r>
    </w:p>
    <w:p>
      <w:pPr>
        <w:pStyle w:val="BookText"/>
        <w:rPr/>
      </w:pPr>
      <w:r>
        <w:rPr>
          <w:rFonts w:ascii="IRNazanin" w:hAnsi="IRNazanin" w:eastAsia="IRNazanin"/>
          <w:color w:val="111111"/>
          <w:sz w:val="28"/>
          <w:sz w:val="28"/>
          <w:szCs w:val="28"/>
          <w:rtl w:val="true"/>
          <w:lang w:bidi="fa-IR"/>
        </w:rPr>
        <w:t>باشد و مصداق آن در خارج بسیار است و اجمالاً بعضی از صوت‌هایی را هم که خواننده‌ها می‌خوانند و کشش دارد، از این قبیل است و حتی تصنیف‌ها نیز اگر تمام شرایط فوق را نداشته باشند، باز غنا محسوب می‌شود</w:t>
      </w:r>
      <w:r>
        <w:rPr>
          <w:rFonts w:eastAsia="IRNazanin" w:cs="IRNazanin"/>
          <w:color w:val="111111"/>
          <w:sz w:val="28"/>
          <w:szCs w:val="28"/>
          <w:rtl w:val="true"/>
          <w:lang w:bidi="fa-IR"/>
        </w:rPr>
        <w:t>.</w:t>
      </w:r>
      <w:r>
        <w:rPr>
          <w:rStyle w:val="FootnoteAnchor"/>
          <w:rtl w:val="true"/>
        </w:rPr>
        <w:footnoteReference w:id="501"/>
      </w:r>
    </w:p>
    <w:p>
      <w:pPr>
        <w:pStyle w:val="BookText"/>
        <w:rPr/>
      </w:pP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افزون بر استناد به آیۀ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سورۀ مبارک حج که ذکر شد، مستند قرآنی حرمت غنا را آیۀ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لقمان ذکر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النّاسِ مَنْ یَشْتَری لَهْوَ الْحَدیثِ لِیُضِلَّ عَنْ سَبیلِ اللّهِ بِغَیْرِ عِلْمٍ وَ یَتَّخِذَها هُزُوًا اولئِکَ لَهُمْ عَذابٌ مُهینٌ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لهوالحدیث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غنا تفسیر می‌کند و برای تأیید نظر خود، به گفتۀ مفسران قرآن نیز استناد می‌کند و بدین ترتیب آن را حرام، و موسیقی و آلات لهو و لعب را نیز از مصداق‌های لهوالحدیث می‌داند و غیرمجاز می‌شمرد</w:t>
      </w:r>
      <w:r>
        <w:rPr>
          <w:rFonts w:eastAsia="IRNazanin" w:cs="IRNazanin"/>
          <w:color w:val="111111"/>
          <w:sz w:val="28"/>
          <w:szCs w:val="28"/>
          <w:rtl w:val="true"/>
          <w:lang w:bidi="fa-IR"/>
        </w:rPr>
        <w:t>.</w:t>
      </w:r>
      <w:r>
        <w:rPr>
          <w:rStyle w:val="FootnoteAnchor"/>
          <w:rtl w:val="true"/>
        </w:rPr>
        <w:footnoteReference w:id="502"/>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فقیه مشکینی در همین زمینه این بحث را مطرح می‌کند که آیۀ شریفه عقیده دارد که از مردم کسانی هستند که گفتار باطل و لهو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می‌خرند تا مردم را گمراه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باید پرسید که چگونه ممکن است غنا خریدنی باشد؟</w:t>
      </w:r>
      <w:r>
        <w:rPr>
          <w:rStyle w:val="FootnoteAnchor"/>
          <w:rtl w:val="true"/>
        </w:rPr>
        <w:footnoteReference w:id="503"/>
      </w:r>
      <w:r>
        <w:rPr>
          <w:rFonts w:ascii="IRNazanin" w:hAnsi="IRNazanin" w:eastAsia="IRNazanin"/>
          <w:color w:val="111111"/>
          <w:sz w:val="28"/>
          <w:sz w:val="28"/>
          <w:szCs w:val="28"/>
          <w:rtl w:val="true"/>
          <w:lang w:bidi="fa-IR"/>
        </w:rPr>
        <w:t>وی در پاسخ به این سؤال جواب می‌دهد لازم نیست که برای عرضۀ هر چیزی مغازه و بازاری به سبک امروز بنا کرد، بلکه اگر در برابر عرضۀ چیزی، پول یا مال مشخصی بدهند، عرفاً این کار نوعی خرید و فروش است؛ اگرچه هر بیع و شرایی را نمی‌توان مجاز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همین که آوازه‌خوان، مطرب یا دلقکی، در برابر عرضۀ کار نامطلوب خود به طالبان آن، پول یا مالی دریافت می‌کند، این پول را می‌توان خریدن غنا از</w:t>
      </w:r>
    </w:p>
    <w:p>
      <w:pPr>
        <w:pStyle w:val="BookText"/>
        <w:rPr/>
      </w:pPr>
      <w:r>
        <w:rPr>
          <w:rFonts w:ascii="IRNazanin" w:hAnsi="IRNazanin" w:eastAsia="IRNazanin"/>
          <w:color w:val="111111"/>
          <w:sz w:val="28"/>
          <w:sz w:val="28"/>
          <w:szCs w:val="28"/>
          <w:rtl w:val="true"/>
          <w:lang w:bidi="fa-IR"/>
        </w:rPr>
        <w:t>طرف علاقه‌مندان لهو و لعب و فروش آن توسط مغنّی دانست</w:t>
      </w:r>
      <w:r>
        <w:rPr>
          <w:rFonts w:eastAsia="IRNazanin" w:cs="IRNazanin"/>
          <w:color w:val="111111"/>
          <w:sz w:val="28"/>
          <w:szCs w:val="28"/>
          <w:rtl w:val="true"/>
          <w:lang w:bidi="fa-IR"/>
        </w:rPr>
        <w:t>.</w:t>
      </w:r>
      <w:r>
        <w:rPr>
          <w:rStyle w:val="FootnoteAnchor"/>
          <w:rtl w:val="true"/>
        </w:rPr>
        <w:footnoteReference w:id="504"/>
      </w:r>
    </w:p>
    <w:p>
      <w:pPr>
        <w:pStyle w:val="BookText"/>
        <w:rPr/>
      </w:pP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ترتیب وی عقیده دارد که افراد و گروه‌های گوناگون، اعم از دولتی و غیردولتی، که قبل از انقلاب اسلامی پول‌های هنگفت بیت‌المال را به رقاصان و خواننده‌ها می‌دادند تا لهو و لعب و غنا عرضه کنند، از مصادیق بارز کسانی بودند که لهوالحدیث را می‌خریدند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دراین‌باره باید گفت کار خرید و فروش لهو و لعب و غنا برای آن است که مردم را از راه خدا که همان راه پیامبران و ائمه و شرع مقدس است باز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مشکینی، سبیل‌اللّه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راه‌های هدایت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می‌کند؛ زیرا راه خدا به معنای فیزیکی آن مثل جاده یا راه زمینی نیست، بلکه همان‌گونه که عرفاً مرسوم است، راه و طریق فرد را به مشی و مرام و آموزه‌های وی تعبیر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وی عقیده دارد این گروه کسانی‌اند که انسان‌ها را از راه خدا منحرف و گمراه می‌کنند؛ یعنی راه‌های هدایت اللّه را به روی انسان می‌بندند</w:t>
      </w:r>
      <w:r>
        <w:rPr>
          <w:rFonts w:eastAsia="IRNazanin" w:cs="IRNazanin"/>
          <w:color w:val="111111"/>
          <w:sz w:val="28"/>
          <w:szCs w:val="28"/>
          <w:rtl w:val="true"/>
          <w:lang w:bidi="fa-IR"/>
        </w:rPr>
        <w:t>.</w:t>
      </w:r>
      <w:r>
        <w:rPr>
          <w:rStyle w:val="FootnoteAnchor"/>
          <w:rtl w:val="true"/>
        </w:rPr>
        <w:footnoteReference w:id="505"/>
      </w:r>
    </w:p>
    <w:p>
      <w:pPr>
        <w:pStyle w:val="BookText"/>
        <w:rPr/>
      </w:pPr>
      <w:r>
        <w:rPr>
          <w:rFonts w:ascii="IRNazanin" w:hAnsi="IRNazanin" w:eastAsia="IRNazanin"/>
          <w:color w:val="111111"/>
          <w:sz w:val="28"/>
          <w:sz w:val="28"/>
          <w:szCs w:val="28"/>
          <w:rtl w:val="true"/>
          <w:lang w:bidi="fa-IR"/>
        </w:rPr>
        <w:t>وی در تشریح بیشترِ هدایت الهی، می‌نویسد خداوند به سه گونه مردم را هدایت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در بُعد اعتقادی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مرحله، خداوند مردم را از نظر فکری و عقیدتی هدایت کرده، آنان را از لحاظ اعتقادی از تفکرات انحرافی مثل شرک، کفر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مصون می‌دارد؛</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در بُعد اخلاقی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چون بزرگ‌ترین سمبل اخلاق و صفات حسنه است، دوست دارد خلیفۀ وی در زمین هم متخلق به صفات نیکو و پسندیده باشد؛ لذا ویژگی‌های اخلاقی مطلوب را هم به او ارائه می‌دهد؛</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در بُعد عملی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 در مرحلۀ عمل و اقدام در دنیا و دوران زندگی‌اش، نیازمند هدایت و راهنمایی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در این بخش نیز وی را به</w:t>
      </w:r>
      <w:bookmarkStart w:id="544" w:name="pg14517_146451"/>
    </w:p>
    <w:p>
      <w:pPr>
        <w:pStyle w:val="BookText"/>
        <w:rPr/>
      </w:pPr>
      <w:bookmarkEnd w:id="544"/>
      <w:r>
        <w:rPr>
          <w:rFonts w:ascii="IRNazanin" w:hAnsi="IRNazanin" w:eastAsia="IRNazanin"/>
          <w:color w:val="111111"/>
          <w:sz w:val="28"/>
          <w:sz w:val="28"/>
          <w:szCs w:val="28"/>
          <w:rtl w:val="true"/>
          <w:lang w:bidi="fa-IR"/>
        </w:rPr>
        <w:t>سوی کارهای شایسته و کردارهای نیک رهنمون می‌سازد</w:t>
      </w:r>
      <w:r>
        <w:rPr>
          <w:rFonts w:eastAsia="IRNazanin" w:cs="IRNazanin"/>
          <w:color w:val="111111"/>
          <w:sz w:val="28"/>
          <w:szCs w:val="28"/>
          <w:rtl w:val="true"/>
          <w:lang w:bidi="fa-IR"/>
        </w:rPr>
        <w:t>.</w:t>
      </w:r>
      <w:r>
        <w:rPr>
          <w:rStyle w:val="FootnoteAnchor"/>
          <w:rtl w:val="true"/>
        </w:rPr>
        <w:footnoteReference w:id="506"/>
      </w:r>
    </w:p>
    <w:p>
      <w:pPr>
        <w:pStyle w:val="BookText"/>
        <w:rPr/>
      </w:pP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مبنای هدایت‌های سه‌گانه، وی عقیده دارد که گمراهی و انحراف از راه حق و هدایت الهی هم سه گونه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گمراهی در بُعد فکری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انسان دچار انحرافاتی در عقیده و تفکر خود است؛ مثل کفار، مشرکین، منافقین، مسلمانان منحرف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گمراهی در بُعد اخلاقی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فردی از نظر فکری مسلمان و معتقد به افکار عقیدتی صحیح باشد، ولی به‌واسطۀ ضعف‌های درونی دچار انحرافاتی اخلاقی باشد؛ مثل جُبن، بُخل، تکبر، قساوت قلب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گمراهی در بُعد عملی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دارد کسی از نظر فکر و عقیده منحرف نباشد و به رذیله‌های اخلاقی نیز دچار نباشد، اما گرفتار فریب ابلیس شود و گناه کند؛ مثل دروغ، غیبت، بهتان و</w:t>
      </w:r>
      <w:r>
        <w:rPr>
          <w:rFonts w:eastAsia="IRNazanin" w:cs="IRNazanin"/>
          <w:color w:val="111111"/>
          <w:sz w:val="28"/>
          <w:szCs w:val="28"/>
          <w:rtl w:val="true"/>
          <w:lang w:bidi="fa-IR"/>
        </w:rPr>
        <w:t>....</w:t>
      </w:r>
      <w:r>
        <w:rPr>
          <w:rStyle w:val="FootnoteAnchor"/>
          <w:rtl w:val="true"/>
        </w:rPr>
        <w:footnoteReference w:id="507"/>
      </w:r>
    </w:p>
    <w:p>
      <w:pPr>
        <w:pStyle w:val="BookText"/>
        <w:rPr/>
      </w:pPr>
      <w:r>
        <w:rPr>
          <w:rFonts w:ascii="IRNazanin" w:hAnsi="IRNazanin" w:eastAsia="IRNazanin"/>
          <w:color w:val="111111"/>
          <w:sz w:val="28"/>
          <w:sz w:val="28"/>
          <w:szCs w:val="28"/>
          <w:rtl w:val="true"/>
          <w:lang w:bidi="fa-IR"/>
        </w:rPr>
        <w:t>وی پس از ذکر این سه مرحله هدایت و گمراهی، عقیده دارد که بر اساس مفاد آیۀ شریفۀ یادشده، عده‌ای برای غنا و آوازه‌خوانی و لهو و لعب پول می‌دهند تا مردم را از راه هدایت پروردگار یا سبیل‌اللّه منحرف سازند و درواقع غنا انسان را از هر سه مسیر هدایت خدایی منحرف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فرد ابتدا دچار رذیله‌های اخلاقی می‌شود و کم‌کم به حرام و حلال الهی بی‌توجه و به گناه آلوده می‌شود و چه بسا بر اثر این گناه‌ها به‌تدریج به انحرافات عقیدتی و کفر و نفاق دچار می‌شود</w:t>
      </w:r>
      <w:r>
        <w:rPr>
          <w:rFonts w:eastAsia="IRNazanin" w:cs="IRNazanin"/>
          <w:color w:val="111111"/>
          <w:sz w:val="28"/>
          <w:szCs w:val="28"/>
          <w:rtl w:val="true"/>
          <w:lang w:bidi="fa-IR"/>
        </w:rPr>
        <w:t>.</w:t>
      </w:r>
      <w:r>
        <w:rPr>
          <w:rStyle w:val="FootnoteAnchor"/>
          <w:rtl w:val="true"/>
        </w:rPr>
        <w:footnoteReference w:id="508"/>
      </w:r>
    </w:p>
    <w:p>
      <w:pPr>
        <w:pStyle w:val="Heading3"/>
        <w:numPr>
          <w:ilvl w:val="2"/>
          <w:numId w:val="1"/>
        </w:numPr>
        <w:rPr/>
      </w:pPr>
      <w:bookmarkStart w:id="545" w:name="__RefHeading___Toc40006_1878427129"/>
      <w:bookmarkStart w:id="546" w:name="_Toc205"/>
      <w:bookmarkEnd w:id="545"/>
      <w:r>
        <w:rPr>
          <w:rtl w:val="true"/>
        </w:rPr>
        <w:t>شنیدن و خریدن غنا</w:t>
      </w:r>
      <w:bookmarkEnd w:id="546"/>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دیدگاه فقیه مشکینی، غنا یکی از مصداق‌های لهوالحدیث است و کسانی که به‌سان آوازه‌خوان‌ها و دلقک‌ها، کار بیهوده و منحرفانۀ خود را به عنوان هنر به خواستارانش می‌فروشند؛ و نیز آنان که برای ارضای میل‌های نفسانی خود و رونق</w:t>
      </w:r>
    </w:p>
    <w:p>
      <w:pPr>
        <w:pStyle w:val="BookText"/>
        <w:rPr/>
      </w:pPr>
      <w:r>
        <w:rPr>
          <w:rFonts w:ascii="IRNazanin" w:hAnsi="IRNazanin" w:eastAsia="IRNazanin"/>
          <w:color w:val="111111"/>
          <w:sz w:val="28"/>
          <w:sz w:val="28"/>
          <w:szCs w:val="28"/>
          <w:rtl w:val="true"/>
          <w:lang w:bidi="fa-IR"/>
        </w:rPr>
        <w:t>دادن به مجالس عیش و عشرت خود به این افراد پول می‌دهند، از زمرۀ خرید و فروش کنندگان لهوالحدیث هستند و کارشان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وی چند مصداق از این‌گونه افراد را می‌شمارد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آوازه‌خوانان و مطربان و مغنّیانِ مجالس طرب و لهو و لعب که در برابر گرفتن پول و اموال، به مجالس فسق و گناه رونق می‌دهند و در نتیجه، مردم را از راه حق باز می‌دارند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خریداران این کارهای گناه‌آلود و غنا و طرب که با دادن مال به فروشندگان غنا، افزون بر گناه شخصی، به گناه کمک و اعانت می‌کنند و از مصادیق تعاون در اثم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گوش‌کنندگان و حاضران در این‌گونه محافل و مجالس را که با حضور خود، بر کار خلاف آن دو گروه یادشده مهر تأیید می‌گذارند و نهی از منکر نمی‌کنند، می‌توان به‌نوعی مشتری لهوالحدیث دانست؛ زیرا اگرچه پولی نمی‌دهند، مؤیدند و رونق‌افزای مجلس گناه</w:t>
      </w:r>
      <w:r>
        <w:rPr>
          <w:rFonts w:eastAsia="IRNazanin" w:cs="IRNazanin"/>
          <w:color w:val="111111"/>
          <w:sz w:val="28"/>
          <w:szCs w:val="28"/>
          <w:rtl w:val="true"/>
          <w:lang w:bidi="fa-IR"/>
        </w:rPr>
        <w:t>.</w:t>
      </w:r>
      <w:r>
        <w:rPr>
          <w:rStyle w:val="FootnoteAnchor"/>
          <w:rtl w:val="true"/>
        </w:rPr>
        <w:footnoteReference w:id="509"/>
      </w:r>
    </w:p>
    <w:p>
      <w:pPr>
        <w:pStyle w:val="BookText"/>
        <w:rPr/>
      </w:pP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ترتیب وی نتیجه می‌گیرد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خواننده و مغنّی که با گرفتن پول، مردم را به کار خود مشغول کرده، آنان را به طرب می‌آورد و از راه خدا و حق منحرف می‌کند؛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خریداری که پول می‌دهد و آن‌ها را به تغنّی و مطربی وادار می‌کند؛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شنوندگان و بینندگانی که با حضورِ خود در این محفل‌ها رونق‌افزای آن‌اند؛</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همگی مرتکب گناه شده، مروّج لهوالحدیث‌اند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آن، کسی که پول می‌گیرد، چون این اجرت را در قبال کار نامشروع و حرام دریافت می‌کند و کارش از مصادیق اکل مأکل به باطل است، مالک آن پول نمی‌شود و مصرفش هم حرام است و ذمه‌اش بر دهندۀ آن مشغول است و کسانی هم که با وی در رفت‌وآمدند، اگر آگاهانه از آن مال و اموال مصرف کنند، دچار معصیت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خریدار هم از</w:t>
      </w:r>
      <w:bookmarkStart w:id="547" w:name="pg14517_146453"/>
    </w:p>
    <w:p>
      <w:pPr>
        <w:pStyle w:val="BookText"/>
        <w:rPr/>
      </w:pPr>
      <w:bookmarkEnd w:id="547"/>
      <w:r>
        <w:rPr>
          <w:rFonts w:ascii="IRNazanin" w:hAnsi="IRNazanin" w:eastAsia="IRNazanin"/>
          <w:color w:val="111111"/>
          <w:sz w:val="28"/>
          <w:sz w:val="28"/>
          <w:szCs w:val="28"/>
          <w:rtl w:val="true"/>
          <w:lang w:bidi="fa-IR"/>
        </w:rPr>
        <w:t xml:space="preserve">مصادیق تعاون‌کننده بر اثم است؛ چرا که خداوند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تَعاوَنُوا عَلَی الْبِرِّ وَ التَّقْوی وَ لا تَعاوَنُوا عَلَی اْلإِثْمِ وَ الْعُدْوانِ</w:t>
      </w:r>
      <w:r>
        <w:rPr>
          <w:rFonts w:eastAsia="IRNazanin" w:cs="IRNazanin"/>
          <w:color w:val="111111"/>
          <w:sz w:val="28"/>
          <w:szCs w:val="28"/>
          <w:rtl w:val="true"/>
          <w:lang w:bidi="fa-IR"/>
        </w:rPr>
        <w:t>».</w:t>
      </w:r>
      <w:r>
        <w:rPr>
          <w:rStyle w:val="FootnoteAnchor"/>
          <w:rtl w:val="true"/>
        </w:rPr>
        <w:footnoteReference w:id="510"/>
      </w:r>
    </w:p>
    <w:p>
      <w:pPr>
        <w:pStyle w:val="BookText"/>
        <w:rPr/>
      </w:pPr>
      <w:r>
        <w:rPr>
          <w:rFonts w:ascii="IRNazanin" w:hAnsi="IRNazanin" w:eastAsia="IRNazanin"/>
          <w:color w:val="111111"/>
          <w:sz w:val="28"/>
          <w:sz w:val="28"/>
          <w:szCs w:val="28"/>
          <w:rtl w:val="true"/>
          <w:lang w:bidi="fa-IR"/>
        </w:rPr>
        <w:t xml:space="preserve">مائده، آیۀ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درواقع اگر کارهای فسق، خریداری نداشته باشد، فاسق و مغنّی برای چه کسی کار گناه‌آلود خود را عرضه خواهند کرد؟</w:t>
      </w:r>
      <w:r>
        <w:rPr>
          <w:rFonts w:eastAsia="IRNazanin" w:cs="IRNazanin"/>
          <w:color w:val="111111"/>
          <w:sz w:val="28"/>
          <w:szCs w:val="28"/>
          <w:rtl w:val="true"/>
          <w:lang w:bidi="fa-IR"/>
        </w:rPr>
        <w:t>!</w:t>
      </w:r>
    </w:p>
    <w:p>
      <w:pPr>
        <w:pStyle w:val="Heading3"/>
        <w:numPr>
          <w:ilvl w:val="2"/>
          <w:numId w:val="1"/>
        </w:numPr>
        <w:rPr/>
      </w:pPr>
      <w:bookmarkStart w:id="548" w:name="__RefHeading___Toc40008_1878427129"/>
      <w:bookmarkStart w:id="549" w:name="_Toc206"/>
      <w:bookmarkEnd w:id="548"/>
      <w:r>
        <w:rPr>
          <w:rtl w:val="true"/>
        </w:rPr>
        <w:t>بررسی مقولۀ غنا در روایات</w:t>
      </w:r>
      <w:bookmarkEnd w:id="549"/>
    </w:p>
    <w:p>
      <w:pPr>
        <w:pStyle w:val="BookText"/>
        <w:rPr/>
      </w:pPr>
      <w:r>
        <w:rPr>
          <w:rFonts w:ascii="IRNazanin" w:hAnsi="IRNazanin" w:eastAsia="IRNazanin"/>
          <w:color w:val="111111"/>
          <w:sz w:val="28"/>
          <w:sz w:val="28"/>
          <w:szCs w:val="28"/>
          <w:rtl w:val="true"/>
          <w:lang w:bidi="fa-IR"/>
        </w:rPr>
        <w:t>فقیه مشکینی، در مقولۀ غنا و لهوالحدیث، به شیوۀ مرسوم مفسران روایی، که در تفسیر کلام خدا از روایت‌ها و احادیث مروی از ائمۀ اطهار بسیار کمک می‌جویند، عمل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پس از ذکر آیات قرآن و تفسیر آن‌ها، در توضیح هرچه بیشترِ مطلب به ذکر روایتی از امام صادق علیه السلام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جعفر صادق علیه السلام در مذمت غنا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الغناء عُشُّ النفاق</w:t>
      </w:r>
      <w:r>
        <w:rPr>
          <w:rFonts w:eastAsia="IRNazanin" w:cs="IRNazanin"/>
          <w:color w:val="111111"/>
          <w:sz w:val="28"/>
          <w:szCs w:val="28"/>
          <w:rtl w:val="true"/>
          <w:lang w:bidi="fa-IR"/>
        </w:rPr>
        <w:t>»</w:t>
      </w:r>
      <w:r>
        <w:rPr>
          <w:rStyle w:val="FootnoteAnchor"/>
          <w:rtl w:val="true"/>
        </w:rPr>
        <w:footnoteReference w:id="51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غنا و آوازه‌خوانی، لانۀ نفاق و دورویی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دیگری هم که خلاصۀ آن ذکر می‌شود، مردی به امام علیه السلام می‌گوید که در همسایگی وی مردی زندگی‌می‌کند که دارای کنیزهای مطرب و مغنّیه است و او نیز به این کارها علاقه‌ای ندارد؛ اما وقتی برای رفع حاجت به دستشویی می‌رود، آواز آن‌ها به گوشش می‌خورد و برای شنیدن آن‌ها قدری بیشتر معطل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به وی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نباید این کار را انجام دهی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مرد عرض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که با پای خودم به دنبال این کار نمی‌روم، بلکه فقط گوش‌هایم آن‌ها را می‌شنود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امام صادق علیه السلام به وی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وای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آیۀ شریفه را نشنیده‌ای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السَّمْعَ وَ الْبَصَرَ وَ الْفُؤادَ کُلُّ اولئِکَ کانَ عَنْهُ مَسْؤُلاً</w:t>
      </w:r>
      <w:r>
        <w:rPr>
          <w:rFonts w:eastAsia="IRNazanin" w:cs="IRNazanin"/>
          <w:color w:val="111111"/>
          <w:sz w:val="28"/>
          <w:szCs w:val="28"/>
          <w:rtl w:val="true"/>
          <w:lang w:bidi="fa-IR"/>
        </w:rPr>
        <w:t>»».</w:t>
      </w:r>
      <w:r>
        <w:rPr>
          <w:rStyle w:val="FootnoteAnchor"/>
          <w:rtl w:val="true"/>
        </w:rPr>
        <w:footnoteReference w:id="512"/>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مرد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گویا تاکنون از هیچ عجم و عربی این آیه از کتاب خداوند را نشنیده بودم، وگرنه هرگز به این کار نمی‌پرداختم؛ اکنون از گناهم استغفار می‌کنم</w:t>
      </w:r>
      <w:r>
        <w:rPr>
          <w:rFonts w:eastAsia="IRNazanin" w:cs="IRNazanin"/>
          <w:color w:val="111111"/>
          <w:sz w:val="28"/>
          <w:szCs w:val="28"/>
          <w:rtl w:val="true"/>
          <w:lang w:bidi="fa-IR"/>
        </w:rPr>
        <w:t>».</w:t>
      </w:r>
      <w:bookmarkStart w:id="550" w:name="pg14517_146454"/>
    </w:p>
    <w:p>
      <w:pPr>
        <w:pStyle w:val="BookText"/>
        <w:rPr/>
      </w:pPr>
      <w:bookmarkEnd w:id="550"/>
      <w:r>
        <w:rPr>
          <w:rFonts w:ascii="IRNazanin" w:hAnsi="IRNazanin" w:eastAsia="IRNazanin"/>
          <w:color w:val="111111"/>
          <w:sz w:val="28"/>
          <w:sz w:val="28"/>
          <w:szCs w:val="28"/>
          <w:rtl w:val="true"/>
          <w:lang w:bidi="fa-IR"/>
        </w:rPr>
        <w:t>امام در پی این اظهار پشیمانی مرد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در آن حال، مرگت فرا می‌رسید چقدر بدبخت بودی</w:t>
      </w:r>
      <w:r>
        <w:rPr>
          <w:rFonts w:eastAsia="IRNazanin" w:cs="IRNazanin"/>
          <w:color w:val="111111"/>
          <w:sz w:val="28"/>
          <w:szCs w:val="28"/>
          <w:rtl w:val="true"/>
          <w:lang w:bidi="fa-IR"/>
        </w:rPr>
        <w:t>».</w:t>
      </w:r>
      <w:r>
        <w:rPr>
          <w:rStyle w:val="FootnoteAnchor"/>
          <w:rtl w:val="true"/>
        </w:rPr>
        <w:footnoteReference w:id="513"/>
      </w:r>
    </w:p>
    <w:p>
      <w:pPr>
        <w:pStyle w:val="BookText"/>
        <w:rPr/>
      </w:pPr>
      <w:r>
        <w:rPr>
          <w:rFonts w:ascii="IRNazanin" w:hAnsi="IRNazanin" w:eastAsia="IRNazanin"/>
          <w:color w:val="111111"/>
          <w:sz w:val="28"/>
          <w:sz w:val="28"/>
          <w:szCs w:val="28"/>
          <w:rtl w:val="true"/>
          <w:lang w:bidi="fa-IR"/>
        </w:rPr>
        <w:t xml:space="preserve">وسائل الشیعه، ج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دیگری هم امام صادق 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خانه‌ای که در آنجا این عمل انجام می‌گیرد و اهل خانه به ساز و نوا و امثال آن عادت دارند، وارد نشوید؛ زیرا پروردگار از صاحب این منزل خوشش نمی‌آید و از آن‌ها اعراض کرده است</w:t>
      </w:r>
      <w:r>
        <w:rPr>
          <w:rFonts w:eastAsia="IRNazanin" w:cs="IRNazanin"/>
          <w:color w:val="111111"/>
          <w:sz w:val="28"/>
          <w:szCs w:val="28"/>
          <w:rtl w:val="true"/>
          <w:lang w:bidi="fa-IR"/>
        </w:rPr>
        <w:t>».</w:t>
      </w:r>
      <w:r>
        <w:rPr>
          <w:rStyle w:val="FootnoteAnchor"/>
          <w:rtl w:val="true"/>
        </w:rPr>
        <w:footnoteReference w:id="514"/>
      </w:r>
    </w:p>
    <w:p>
      <w:pPr>
        <w:pStyle w:val="BookText"/>
        <w:rPr/>
      </w:pPr>
      <w:r>
        <w:rPr>
          <w:rFonts w:ascii="IRNazanin" w:hAnsi="IRNazanin" w:eastAsia="IRNazanin"/>
          <w:color w:val="111111"/>
          <w:sz w:val="28"/>
          <w:sz w:val="28"/>
          <w:szCs w:val="28"/>
          <w:rtl w:val="true"/>
          <w:lang w:bidi="fa-IR"/>
        </w:rPr>
        <w:t>پس از ذکر این روایات، فقیه مشکینی افزون بر بحث‌های فقهی، نتیجه‌های اخلاقی می‌گیرد و چنین توصیه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چقدر بد است که مسلمان در حال گناه، آن هم گناهان کبیره از دنیا برود؛ زیرا هر کس در هر حالی از دنیا برود، وقتی که برای حساب در محکمۀ عدل الهی حاضر می‌شود، در همان حال گناهش را مجسم می‌کنند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در روایات هم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انسانی که شراب خورده و مست شده و اتفاقاً در همان حال مرده است، روز قیامت که برای حساب وارد صحرای محشر می‌شود، با حال مستی به محضر رسول خدا صلی الله علیه و آله می‌رسد و همه او را برانداز می‌کنند</w:t>
      </w:r>
      <w:r>
        <w:rPr>
          <w:rFonts w:eastAsia="IRNazanin" w:cs="IRNazanin"/>
          <w:color w:val="111111"/>
          <w:sz w:val="28"/>
          <w:szCs w:val="28"/>
          <w:rtl w:val="true"/>
          <w:lang w:bidi="fa-IR"/>
        </w:rPr>
        <w:t>.</w:t>
      </w:r>
      <w:r>
        <w:rPr>
          <w:rStyle w:val="FootnoteAnchor"/>
          <w:rtl w:val="true"/>
        </w:rPr>
        <w:footnoteReference w:id="515"/>
      </w:r>
    </w:p>
    <w:p>
      <w:pPr>
        <w:pStyle w:val="Heading3"/>
        <w:numPr>
          <w:ilvl w:val="2"/>
          <w:numId w:val="1"/>
        </w:numPr>
        <w:rPr/>
      </w:pPr>
      <w:bookmarkStart w:id="551" w:name="__RefHeading___Toc40010_1878427129"/>
      <w:bookmarkStart w:id="552" w:name="_Toc207"/>
      <w:bookmarkEnd w:id="551"/>
      <w:r>
        <w:rPr>
          <w:rtl w:val="true"/>
        </w:rPr>
        <w:t>مجازات مرتکبان لهوالحدیث</w:t>
      </w:r>
      <w:bookmarkEnd w:id="552"/>
    </w:p>
    <w:p>
      <w:pPr>
        <w:pStyle w:val="BookText"/>
        <w:rPr/>
      </w:pPr>
      <w:r>
        <w:rPr>
          <w:rFonts w:ascii="IRNazanin" w:hAnsi="IRNazanin" w:eastAsia="IRNazanin"/>
          <w:color w:val="111111"/>
          <w:sz w:val="28"/>
          <w:sz w:val="28"/>
          <w:szCs w:val="28"/>
          <w:rtl w:val="true"/>
          <w:lang w:bidi="fa-IR"/>
        </w:rPr>
        <w:t>از دیدگاه فقیه مشکینی، قرآن کریم برای کسانی که لهوالحدیث را می‌خرند، عذاب دردناک و خوارکنندهایی بسیار وحشتناک قرار داده و برای آن، عذاب وعده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وی علت اینکه پروردگار، این گناه را مشمول عذابی شدید قرار داده است و آن را عذاب مهین دانسته، آن است که این خلاف فقط گناهی شخصی نیست که نتیجه‌اش به خودِ مجرم محدود شود، بلکه گناهی اجتماعی است</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 می‌نویسد انسان گاه یک گناه می‌کند که فردی است و فقط خودش مرتکب آن گردیده است؛ لذا در نامۀ اعمال وی تنها یک گناه نوشته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کسی دو</w:t>
      </w:r>
      <w:bookmarkStart w:id="553" w:name="pg14517_146455"/>
    </w:p>
    <w:p>
      <w:pPr>
        <w:pStyle w:val="BookText"/>
        <w:rPr/>
      </w:pPr>
      <w:bookmarkEnd w:id="553"/>
      <w:r>
        <w:rPr>
          <w:rFonts w:ascii="IRNazanin" w:hAnsi="IRNazanin" w:eastAsia="IRNazanin"/>
          <w:color w:val="111111"/>
          <w:sz w:val="28"/>
          <w:sz w:val="28"/>
          <w:szCs w:val="28"/>
          <w:rtl w:val="true"/>
          <w:lang w:bidi="fa-IR"/>
        </w:rPr>
        <w:t>گناه کرد، در نامۀ عملش دو گناه نوشته می‌شود؛ ولی گاهی اوقات انسان گناهی می‌کند که نه تنها به خودش ضرر می‌رساند، بلکه در همان حال ممکن است یک میلیون نفر را هم به‌خاطر آن گناه از راه حق منحرف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کار فقط یک گناه نیست، بلکه گناه بسیار بزرگی است که میلیون‌ها نفر را هم گمراه کرده است</w:t>
      </w:r>
      <w:r>
        <w:rPr>
          <w:rFonts w:eastAsia="IRNazanin" w:cs="IRNazanin"/>
          <w:color w:val="111111"/>
          <w:sz w:val="28"/>
          <w:szCs w:val="28"/>
          <w:rtl w:val="true"/>
          <w:lang w:bidi="fa-IR"/>
        </w:rPr>
        <w:t>.</w:t>
      </w:r>
      <w:r>
        <w:rPr>
          <w:rStyle w:val="FootnoteAnchor"/>
          <w:rtl w:val="true"/>
        </w:rPr>
        <w:footnoteReference w:id="516"/>
      </w:r>
    </w:p>
    <w:p>
      <w:pPr>
        <w:pStyle w:val="BookText"/>
        <w:rPr/>
      </w:pPr>
      <w:r>
        <w:rPr>
          <w:rFonts w:ascii="IRNazanin" w:hAnsi="IRNazanin" w:eastAsia="IRNazanin"/>
          <w:color w:val="111111"/>
          <w:sz w:val="28"/>
          <w:sz w:val="28"/>
          <w:szCs w:val="28"/>
          <w:rtl w:val="true"/>
          <w:lang w:bidi="fa-IR"/>
        </w:rPr>
        <w:t xml:space="preserve">همان، ش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ترتیب مغنّی و مطرب و نیز آنانی که با پول دادن به آن‌ها باعث رواج غناء و لهوالحدیث می‌شوند، هم این گناه در نامۀ اعمالشان ثبت می‌شود، و هم گناه منحرف کردن هزاران انسان که از شنیدن و دیدن آن منحرف گردیده‌اند</w:t>
      </w:r>
      <w:r>
        <w:rPr>
          <w:rFonts w:eastAsia="IRNazanin" w:cs="IRNazanin"/>
          <w:color w:val="111111"/>
          <w:sz w:val="28"/>
          <w:szCs w:val="28"/>
          <w:rtl w:val="true"/>
          <w:lang w:bidi="fa-IR"/>
        </w:rPr>
        <w:t>.</w:t>
      </w:r>
      <w:r>
        <w:rPr>
          <w:rStyle w:val="FootnoteAnchor"/>
          <w:rtl w:val="true"/>
        </w:rPr>
        <w:footnoteReference w:id="517"/>
      </w:r>
      <w:r>
        <w:rPr>
          <w:rFonts w:ascii="IRNazanin" w:hAnsi="IRNazanin" w:eastAsia="IRNazanin"/>
          <w:color w:val="111111"/>
          <w:sz w:val="28"/>
          <w:sz w:val="28"/>
          <w:szCs w:val="28"/>
          <w:rtl w:val="true"/>
          <w:lang w:bidi="fa-IR"/>
        </w:rPr>
        <w:t>بدین ترتیب امروزه که با کمک فن‌آوری‌های مدرن، پخش صدا و تصاویر گناه‌آلود در همۀ جهان میسر است، این گناه بسیار بزرگ‌تر خواهد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بر این اساس فقیه مشکینی عقیده دارد بر اساس روایت معروف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سَنَّ سُنَّةً سَیئةً فَلَهُ وزرُها وِزرُ مَن عَمِلَ بها </w:t>
      </w:r>
      <w:r>
        <w:rPr>
          <w:rStyle w:val="FootnoteAnchor"/>
          <w:rtl w:val="true"/>
        </w:rPr>
        <w:footnoteReference w:id="51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کسی یک کار بد و سنت باطل را رواج دهد، گناه هر کس که به آن شیوه عمل کند در نامۀ مروّج آن کار نوشته شود، اگر کسی با اقدام به غنا و مطربی و کارهایی از این‌گونه باعث شود این کارها میان مردم شایع شود و در مجالس خود از آن‌ها تقلید کنند، مشمول روایت یادشده است و گناه همۀ مقلدان و مروجان وی هم در نامۀ عمل او نوشته می‌شود</w:t>
      </w:r>
      <w:r>
        <w:rPr>
          <w:rFonts w:eastAsia="IRNazanin" w:cs="IRNazanin"/>
          <w:color w:val="111111"/>
          <w:sz w:val="28"/>
          <w:szCs w:val="28"/>
          <w:rtl w:val="true"/>
          <w:lang w:bidi="fa-IR"/>
        </w:rPr>
        <w:t>.</w:t>
      </w:r>
    </w:p>
    <w:p>
      <w:pPr>
        <w:pStyle w:val="Heading3"/>
        <w:numPr>
          <w:ilvl w:val="2"/>
          <w:numId w:val="1"/>
        </w:numPr>
        <w:rPr/>
      </w:pPr>
      <w:bookmarkStart w:id="554" w:name="__RefHeading___Toc40012_1878427129"/>
      <w:bookmarkStart w:id="555" w:name="_Toc208"/>
      <w:bookmarkEnd w:id="554"/>
      <w:r>
        <w:rPr>
          <w:rtl w:val="true"/>
        </w:rPr>
        <w:t>اندرزی اخلاقی</w:t>
      </w:r>
      <w:bookmarkEnd w:id="555"/>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فقیه مشکینی دراین‌باره اندرزی پُر بها می‌دهد و می‌گوید در مقابل ترویج سنت باطل و گناه، اگر کسی سنت نیکویی را میان مردم رواج دهد، به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سنّ سنة حسنة فله اجر من عمل بها</w:t>
      </w:r>
      <w:r>
        <w:rPr>
          <w:rFonts w:eastAsia="IRNazanin" w:cs="IRNazanin"/>
          <w:color w:val="111111"/>
          <w:sz w:val="28"/>
          <w:szCs w:val="28"/>
          <w:rtl w:val="true"/>
          <w:lang w:bidi="fa-IR"/>
        </w:rPr>
        <w:t>»</w:t>
      </w:r>
      <w:r>
        <w:rPr>
          <w:rStyle w:val="FootnoteAnchor"/>
          <w:rtl w:val="true"/>
        </w:rPr>
        <w:footnoteReference w:id="519"/>
      </w:r>
      <w:r>
        <w:rPr>
          <w:rFonts w:ascii="IRNazanin" w:hAnsi="IRNazanin" w:eastAsia="IRNazanin"/>
          <w:color w:val="111111"/>
          <w:sz w:val="28"/>
          <w:sz w:val="28"/>
          <w:szCs w:val="28"/>
          <w:rtl w:val="true"/>
          <w:lang w:bidi="fa-IR"/>
        </w:rPr>
        <w:t>افزون بر اینکه پاداش کار خوبش را می‌گیرد، در پاداش همۀ کسانی که به آن شیوۀ پسندیده عمل می‌کنند شریک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همان‌گونه که سنت بد و کار زشت، عذاب‌آور و دردناک است، به‌طوری‌که گناه همۀ عاملان آن را در نامۀ اعمال مروج آن می‌نویسند، اگر کسی سنت خوبی میان مردم</w:t>
      </w:r>
      <w:bookmarkStart w:id="556" w:name="pg14517_146456"/>
    </w:p>
    <w:p>
      <w:pPr>
        <w:pStyle w:val="BookText"/>
        <w:rPr/>
      </w:pPr>
      <w:bookmarkEnd w:id="556"/>
      <w:r>
        <w:rPr>
          <w:rFonts w:ascii="IRNazanin" w:hAnsi="IRNazanin" w:eastAsia="IRNazanin"/>
          <w:color w:val="111111"/>
          <w:sz w:val="28"/>
          <w:sz w:val="28"/>
          <w:szCs w:val="28"/>
          <w:rtl w:val="true"/>
          <w:lang w:bidi="fa-IR"/>
        </w:rPr>
        <w:t>گسترش دهد، پاداش هر کسی که به آن عمل کند در نامۀ اعمالش نوشته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اگر معلمی در کلاس درس به شاگردانش نماز بیاموزد و کارهای خوب به آن‌ها یاد دهد، ثواب آن کار به میزان تعداد رکعت‌های آن شاگردان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خطیب و سخنران با نطقش مردم را ارشاد کند، ثواب همۀ آن‌ها را نیز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نخواسته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معلمی یا سخنوری یا هر کس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هرچقدر که مسئولیتش بیشتر و تأثیر گفتارش مهم‌تر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همان اندازه که مردم را گمراه می‌کند، گناه منحرفان را نیز در نامۀ عملش می‌نویسند</w:t>
      </w:r>
      <w:r>
        <w:rPr>
          <w:rFonts w:eastAsia="IRNazanin" w:cs="IRNazanin"/>
          <w:color w:val="111111"/>
          <w:sz w:val="28"/>
          <w:szCs w:val="28"/>
          <w:rtl w:val="true"/>
          <w:lang w:bidi="fa-IR"/>
        </w:rPr>
        <w:t>.</w:t>
      </w:r>
      <w:r>
        <w:rPr>
          <w:rStyle w:val="FootnoteAnchor"/>
          <w:rtl w:val="true"/>
        </w:rPr>
        <w:footnoteReference w:id="520"/>
      </w:r>
    </w:p>
    <w:p>
      <w:pPr>
        <w:pStyle w:val="BookText"/>
        <w:rPr/>
      </w:pP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دیدگاه فقیه مشکینی، دستگاه‌های تبلیغاتی و رسانه‌های گروهی دشمنان اسلام که گزارش‌های دروغ، تهمت و افترا پخش می‌کنند، شایعه‌پراکن‌ها، ناشران اکاذیب و صاحبان نشریه‌های گمراه‌کننده، بی‌گمان از مصادیق فروشندگان لهوالحدیث‌اند و آنان که در پی ایشان رفته و بر سخنان باطلشان صحه می‌گذارند و در راه هموار کردن حرف‌های آن‌ها می‌کوشند، جزو خریداران لهوالحدیث هستند</w:t>
      </w:r>
      <w:r>
        <w:rPr>
          <w:rFonts w:eastAsia="IRNazanin" w:cs="IRNazanin"/>
          <w:color w:val="111111"/>
          <w:sz w:val="28"/>
          <w:szCs w:val="28"/>
          <w:rtl w:val="true"/>
          <w:lang w:bidi="fa-IR"/>
        </w:rPr>
        <w:t>.</w:t>
      </w:r>
      <w:r>
        <w:rPr>
          <w:rStyle w:val="FootnoteAnchor"/>
          <w:rtl w:val="true"/>
        </w:rPr>
        <w:footnoteReference w:id="521"/>
      </w:r>
    </w:p>
    <w:p>
      <w:pPr>
        <w:pStyle w:val="Heading3"/>
        <w:numPr>
          <w:ilvl w:val="2"/>
          <w:numId w:val="1"/>
        </w:numPr>
        <w:rPr/>
      </w:pPr>
      <w:bookmarkStart w:id="557" w:name="__RefHeading___Toc40014_1878427129"/>
      <w:bookmarkStart w:id="558" w:name="_Toc209"/>
      <w:bookmarkEnd w:id="557"/>
      <w:r>
        <w:rPr>
          <w:rtl w:val="true"/>
        </w:rPr>
        <w:t>نتیجه</w:t>
      </w:r>
      <w:bookmarkEnd w:id="558"/>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اساس دیدگاه‌های بیشترِ فقهای امامیه و نیز فقیه مشکینی، قول زور و لهوالحدیث، به غنا و تغنّی تفسیر می‌شود و لذا نهی پروردگار از خرید و فروش لهوالحدیث به این معناست که عرضۀ غنا و طرب به دیگران و پول دادن به مغنّی و عرضه کنندۀ غنا، حرام و منهی است و مسلمان نباید گرد این کار بگردد؛ چرا که در این آیۀ شریفه، هم وعدۀ عذاب به آن داده شده است، و هم این کار، مردم را از راه خدا منحرف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فروشندگان و خریداران غنا و لهوالحدیث، گناه کسانی که در مجالس طرب و گناه شرکت می‌کنند نیز بزرگ است؛ زیرا آنان با حضور در این‌گونه مجالس، رونق‌افزای آن و مشوّق عرضه‌گران غنا و آوازه‌خوانیِ</w:t>
      </w:r>
      <w:bookmarkStart w:id="559" w:name="pg14517_146457"/>
    </w:p>
    <w:p>
      <w:pPr>
        <w:pStyle w:val="BookText"/>
        <w:rPr/>
      </w:pPr>
      <w:bookmarkEnd w:id="559"/>
      <w:r>
        <w:rPr>
          <w:rFonts w:ascii="IRNazanin" w:hAnsi="IRNazanin" w:eastAsia="IRNazanin"/>
          <w:color w:val="111111"/>
          <w:sz w:val="28"/>
          <w:sz w:val="28"/>
          <w:szCs w:val="28"/>
          <w:rtl w:val="true"/>
          <w:lang w:bidi="fa-IR"/>
        </w:rPr>
        <w:t>مطرب‌اند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دیدگاه، حرمت غنا که صوتی مشتمل بر مدّ و ترجیع است بر این مبتنی است که اولاً از حنجرۀ انسان بیرون آید؛ ثانیاً مناسب مجالس لهو و لعب باشد؛ ثالثاً محرّک انسان و تغییردهندۀ حالت طبیعی او به وجد و سرورِ غیرمتعارف باشد</w:t>
      </w:r>
      <w:r>
        <w:rPr>
          <w:rFonts w:eastAsia="IRNazanin" w:cs="IRNazanin"/>
          <w:color w:val="111111"/>
          <w:sz w:val="28"/>
          <w:szCs w:val="28"/>
          <w:rtl w:val="true"/>
          <w:lang w:bidi="fa-IR"/>
        </w:rPr>
        <w:t>.</w:t>
      </w:r>
    </w:p>
    <w:p>
      <w:pPr>
        <w:pStyle w:val="Heading3"/>
        <w:numPr>
          <w:ilvl w:val="2"/>
          <w:numId w:val="1"/>
        </w:numPr>
        <w:rPr/>
      </w:pPr>
      <w:bookmarkStart w:id="560" w:name="__RefHeading___Toc40016_1878427129"/>
      <w:bookmarkStart w:id="561" w:name="_Toc210"/>
      <w:bookmarkEnd w:id="560"/>
      <w:r>
        <w:rPr>
          <w:rtl w:val="true"/>
        </w:rPr>
        <w:t>کتاب نامه</w:t>
      </w:r>
      <w:bookmarkEnd w:id="56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پاسدار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دفتر تبلیغات اسلامی قم، سال چهارم، شمارۀ پی‌درپی </w:t>
      </w:r>
      <w:r>
        <w:rPr>
          <w:rFonts w:eastAsia="IRNazanin" w:cs="IRNazanin"/>
          <w:color w:val="111111"/>
          <w:sz w:val="28"/>
          <w:szCs w:val="28"/>
          <w:lang w:bidi="fa-IR"/>
        </w:rPr>
        <w:t>43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صحاح اللّغة، اسماعیل بن حمّاد جوهری،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امیری، </w:t>
      </w:r>
      <w:r>
        <w:rPr>
          <w:rFonts w:eastAsia="IRNazanin" w:cs="IRNazanin"/>
          <w:color w:val="111111"/>
          <w:sz w:val="28"/>
          <w:szCs w:val="28"/>
          <w:lang w:bidi="fa-IR"/>
        </w:rPr>
        <w:t>1367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علل الشرایع، محمد بن علی بن بابویه قمی صدوق،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مکتبه الداوری،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القاموس المحیط، محمد بن یعقوب فیروزآبادی،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احیاء التراث العربی،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الکافی، محمد بن یعقوب کلینی،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الکتاب الاسلامیه، </w:t>
      </w:r>
      <w:r>
        <w:rPr>
          <w:rFonts w:eastAsia="IRNazanin" w:cs="IRNazanin"/>
          <w:color w:val="111111"/>
          <w:sz w:val="28"/>
          <w:szCs w:val="28"/>
          <w:lang w:bidi="fa-IR"/>
        </w:rPr>
        <w:t>1365</w:t>
      </w:r>
      <w:r>
        <w:rPr>
          <w:rFonts w:ascii="IRNazanin" w:hAnsi="IRNazanin" w:eastAsia="IRNazanin"/>
          <w:color w:val="111111"/>
          <w:sz w:val="28"/>
          <w:sz w:val="28"/>
          <w:szCs w:val="28"/>
          <w:rtl w:val="true"/>
          <w:lang w:bidi="fa-IR"/>
        </w:rPr>
        <w:t>، پنجم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مجمع البحرین، فخرالدین بن محمّد طریحی،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نشر فرهنگ اسلامی، </w:t>
      </w:r>
      <w:r>
        <w:rPr>
          <w:rFonts w:eastAsia="IRNazanin" w:cs="IRNazanin"/>
          <w:color w:val="111111"/>
          <w:sz w:val="28"/>
          <w:szCs w:val="28"/>
          <w:lang w:bidi="fa-IR"/>
        </w:rPr>
        <w:t>1367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مصباح المنیر، احمد بن محمّد فیومی،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الهجرة، </w:t>
      </w:r>
      <w:r>
        <w:rPr>
          <w:rFonts w:eastAsia="IRNazanin" w:cs="IRNazanin"/>
          <w:color w:val="111111"/>
          <w:sz w:val="28"/>
          <w:szCs w:val="28"/>
          <w:lang w:bidi="fa-IR"/>
        </w:rPr>
        <w:t>1364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معانی الاخبار، محمد بن علی بن بابویه قمی صدوق، تصحیح علی‌اکبر غفاری،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جامعۀ مدرسین، </w:t>
      </w:r>
      <w:r>
        <w:rPr>
          <w:rFonts w:eastAsia="IRNazanin" w:cs="IRNazanin"/>
          <w:color w:val="111111"/>
          <w:sz w:val="28"/>
          <w:szCs w:val="28"/>
          <w:lang w:bidi="fa-IR"/>
        </w:rPr>
        <w:t>1361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وسائل الشیعه، محمد بن الحسن حرّ عاملی،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مؤسسۀ آل البیت،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بیست و یکم</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3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3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المیزان،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یونس، آیۀ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زمر، آیۀ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الاتقان فی علوم القرآن،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366</w:t>
      </w:r>
      <w:r>
        <w:rPr>
          <w:rFonts w:ascii="IRNazanin" w:hAnsi="IRNazanin" w:eastAsia="IRNazanin"/>
          <w:b w:val="false"/>
          <w:b w:val="false"/>
          <w:bCs w:val="false"/>
          <w:i w:val="false"/>
          <w:i w:val="false"/>
          <w:iCs w:val="false"/>
          <w:color w:val="333333"/>
          <w:sz w:val="20"/>
          <w:sz w:val="20"/>
          <w:szCs w:val="20"/>
          <w:rtl w:val="true"/>
        </w:rPr>
        <w:t xml:space="preserve">؛ حلیة الاولیاء،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شعراء، آیۀ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آیۀ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نیز طه، آیۀ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 فصلت، آیۀ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لغة القرآن الکریم،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نمونه 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اتساع الدلالة فی الخطاب القرآنی، محمد نورالدین المنجد، </w:t>
      </w:r>
      <w:r>
        <w:rPr>
          <w:rFonts w:eastAsia="IRNazanin" w:cs="IRNazanin"/>
          <w:b w:val="false"/>
          <w:bCs w:val="false"/>
          <w:i w:val="false"/>
          <w:iCs w:val="false"/>
          <w:color w:val="333333"/>
          <w:sz w:val="20"/>
          <w:szCs w:val="20"/>
        </w:rPr>
        <w:t>1431</w:t>
      </w:r>
      <w:r>
        <w:rPr>
          <w:rFonts w:ascii="IRNazanin" w:hAnsi="IRNazanin" w:eastAsia="IRNazanin"/>
          <w:b w:val="false"/>
          <w:b w:val="false"/>
          <w:bCs w:val="false"/>
          <w:i w:val="false"/>
          <w:i w:val="false"/>
          <w:iCs w:val="false"/>
          <w:color w:val="333333"/>
          <w:sz w:val="20"/>
          <w:sz w:val="20"/>
          <w:szCs w:val="20"/>
          <w:rtl w:val="true"/>
        </w:rPr>
        <w:t>، دار الفکر، دمشق، و نیزبنگرید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دراسة الطبری للمعنی من خلال تفسیر جامع البیان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المالکی، المملکة المغربیه</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روان،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را مجله علوم حدیث شمارۀ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روایات تفسیری شیعه، گونه‌شناسی و حجیت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روان،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سبأ، آیۀ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فرائد الاُصول،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نحل، آیۀ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نجم، آیۀ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انشقاق، آیۀ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إسراء، آیۀ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مریم، آیۀ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تستری،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دراین‌باره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آداب الصلاة؛ شرح چهل حدیث، ص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آداب الصلاة،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عرائس البیان فی حقائق القرآن، تفسیر سورۀ حمد</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یس، آیۀ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نبأ، آیۀ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یس، آیۀ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یس، آیۀ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نساء، آیۀ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موضوعی قرآن کریم قرآن در قرآن،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بدیهی است که داشتن موضع یا سلیقۀ سیاسی متفاوت با امثال این بزرگان از سوی برخی از دانشوران دیگر، نباید موجب کم‌ارزش دیدن آثار علمی ایشان شود؛ چرا که ما به پیروی از سنّت معصومان علیه السلام معتقدیم انما الاعمال بالنیّات؛ هر چند که صورت عمل هم طبعاً باید موجّه باشد</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روزنامۀ جوان، ویژه‌نامۀ سالگرد رحلت آیت‌اللّه مشکینی، مرداد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بینات، سال دوم، زمستان </w:t>
      </w:r>
      <w:r>
        <w:rPr>
          <w:rFonts w:eastAsia="IRNazanin" w:cs="IRNazanin"/>
          <w:b w:val="false"/>
          <w:bCs w:val="false"/>
          <w:i w:val="false"/>
          <w:iCs w:val="false"/>
          <w:color w:val="333333"/>
          <w:sz w:val="20"/>
          <w:szCs w:val="20"/>
        </w:rPr>
        <w:t>1374</w:t>
      </w:r>
      <w:r>
        <w:rPr>
          <w:rFonts w:ascii="IRNazanin" w:hAnsi="IRNazanin" w:eastAsia="IRNazanin"/>
          <w:b w:val="false"/>
          <w:b w:val="false"/>
          <w:bCs w:val="false"/>
          <w:i w:val="false"/>
          <w:i w:val="false"/>
          <w:iCs w:val="false"/>
          <w:color w:val="333333"/>
          <w:sz w:val="20"/>
          <w:sz w:val="20"/>
          <w:szCs w:val="20"/>
          <w:rtl w:val="true"/>
        </w:rPr>
        <w:t xml:space="preserve">، شمارۀ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کهف، آیۀ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مؤمنون، آیۀ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شعراء، آیۀ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عبس، آیۀ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مائده، آیۀ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ترجمه‌های طاهری، فیض‌الاسلام، کاویان‌پور، گرمارودی، مخزن العرفان، آسان</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واقعه، آیۀ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ترجمه‌های گرمارودی، مجتبوی، مکارم شیرازی، انصاری</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بقره، آیۀ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واقعه، آیۀ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بقره، آیۀ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المیزان فی تفسیر القرآن،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یعنی این چهره‌ها در بهشت کلام زائدی نمی‌شنوند که‌هیچ‌گونه فایده‌ای ندارد</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زخرف، آیۀ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مغنی الادیب،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ذاریات، آیۀ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بقره، آیۀ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تفسیرنمونه،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کل کتاب خصال، </w:t>
      </w:r>
      <w:r>
        <w:rPr>
          <w:rFonts w:eastAsia="IRNazanin" w:cs="IRNazanin"/>
          <w:b w:val="false"/>
          <w:bCs w:val="false"/>
          <w:i w:val="false"/>
          <w:iCs w:val="false"/>
          <w:color w:val="333333"/>
          <w:sz w:val="20"/>
          <w:szCs w:val="20"/>
        </w:rPr>
        <w:t>652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است که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نخست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صفحه است</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الذریعة،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4708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649</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نزهة النواظر فی ترجمة معدن الجواهر،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معدن الجواهر،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نزهة النواظر فی ترجمة معدن الجواهر،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مادر وی نوۀ دختری شهید ثانی بوده است</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الذریعة،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576</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الذریعة،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576</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المواعظ العددیة،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المواعظ العددیه، صفحات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ج</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المواعظ العددیه، 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On the Origin</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 </w:t>
      </w:r>
      <w:r>
        <w:rPr>
          <w:rFonts w:eastAsia="IRNazanin" w:cs="IRNazanin"/>
          <w:b w:val="false"/>
          <w:bCs w:val="false"/>
          <w:i w:val="false"/>
          <w:iCs w:val="false"/>
          <w:color w:val="333333"/>
          <w:sz w:val="20"/>
          <w:szCs w:val="20"/>
        </w:rPr>
        <w:t>Species by Me s</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 </w:t>
      </w:r>
      <w:r>
        <w:rPr>
          <w:rFonts w:eastAsia="IRNazanin" w:cs="IRNazanin"/>
          <w:b w:val="false"/>
          <w:bCs w:val="false"/>
          <w:i w:val="false"/>
          <w:iCs w:val="false"/>
          <w:color w:val="333333"/>
          <w:sz w:val="20"/>
          <w:szCs w:val="20"/>
        </w:rPr>
        <w:t>N ur Selection, or the Prese rv ion</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Pr>
        <w:t>F oured R es in the Struggle</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Pr>
        <w:t>or L</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Pr>
        <w:t>e</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کتاب ترجمه و با این مشخصات منتشر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منشأ انواع، چارلز داروین، ترجمۀ نورالدین فرهیخته، ارومیه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انزلی، </w:t>
      </w:r>
      <w:r>
        <w:rPr>
          <w:rFonts w:eastAsia="IRNazanin" w:cs="IRNazanin"/>
          <w:b w:val="false"/>
          <w:bCs w:val="false"/>
          <w:i w:val="false"/>
          <w:iCs w:val="false"/>
          <w:color w:val="333333"/>
          <w:sz w:val="20"/>
          <w:szCs w:val="20"/>
        </w:rPr>
        <w:t>1363</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The Descent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 </w:t>
      </w:r>
      <w:r>
        <w:rPr>
          <w:rFonts w:eastAsia="IRNazanin" w:cs="IRNazanin"/>
          <w:b w:val="false"/>
          <w:bCs w:val="false"/>
          <w:i w:val="false"/>
          <w:iCs w:val="false"/>
          <w:color w:val="333333"/>
          <w:sz w:val="20"/>
          <w:szCs w:val="20"/>
        </w:rPr>
        <w:t>M , d Selection in Rel ion to Sex</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Soci D w inism</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Soci Spenc erism</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داروینیسم و مذهب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نبرد اندیشه‌ها در زیست‌شناسی،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Evolut ionism</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برای مثال، مدخل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تکامل‌باوری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در فرهنگ تاریخ اندیشه‌ها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مطالعاتی دربارۀ گزیده‌ای از اندیشه‌های‌اساسی، ویراستۀ فیلیپ پی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واینر، 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سعاد، </w:t>
      </w:r>
      <w:r>
        <w:rPr>
          <w:rFonts w:eastAsia="IRNazanin" w:cs="IRNazanin"/>
          <w:b w:val="false"/>
          <w:bCs w:val="false"/>
          <w:i w:val="false"/>
          <w:iCs w:val="false"/>
          <w:color w:val="333333"/>
          <w:sz w:val="20"/>
          <w:szCs w:val="20"/>
        </w:rPr>
        <w:t>1385</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1078</w:t>
      </w:r>
      <w:r>
        <w:rPr>
          <w:rFonts w:ascii="IRNazanin" w:hAnsi="IRNazanin" w:eastAsia="IRNazanin"/>
          <w:b w:val="false"/>
          <w:b w:val="false"/>
          <w:bCs w:val="false"/>
          <w:i w:val="false"/>
          <w:i w:val="false"/>
          <w:iCs w:val="false"/>
          <w:color w:val="333333"/>
          <w:sz w:val="20"/>
          <w:sz w:val="20"/>
          <w:szCs w:val="20"/>
          <w:rtl w:val="true"/>
        </w:rPr>
        <w:t>، انواع تکامل در علوم را بحث کرده است</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Ursprung der</w:t>
      </w:r>
      <w:r>
        <w:rPr>
          <w:rFonts w:ascii="IRNazanin" w:hAnsi="IRNazanin" w:eastAsia="IRNazanin"/>
          <w:b w:val="false"/>
          <w:b w:val="false"/>
          <w:bCs w:val="false"/>
          <w:i w:val="false"/>
          <w:i w:val="false"/>
          <w:iCs w:val="false"/>
          <w:color w:val="333333"/>
          <w:sz w:val="20"/>
          <w:sz w:val="20"/>
          <w:szCs w:val="20"/>
          <w:rtl w:val="true"/>
        </w:rPr>
        <w:t xml:space="preserve">ک </w:t>
      </w:r>
      <w:r>
        <w:rPr>
          <w:rFonts w:eastAsia="IRNazanin" w:cs="IRNazanin"/>
          <w:b w:val="false"/>
          <w:bCs w:val="false"/>
          <w:i w:val="false"/>
          <w:iCs w:val="false"/>
          <w:color w:val="333333"/>
          <w:sz w:val="20"/>
          <w:szCs w:val="20"/>
        </w:rPr>
        <w:t>ilie</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Origin</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 </w:t>
      </w:r>
      <w:r>
        <w:rPr>
          <w:rFonts w:eastAsia="IRNazanin" w:cs="IRNazanin"/>
          <w:b w:val="false"/>
          <w:bCs w:val="false"/>
          <w:i w:val="false"/>
          <w:iCs w:val="false"/>
          <w:color w:val="333333"/>
          <w:sz w:val="20"/>
          <w:szCs w:val="20"/>
        </w:rPr>
        <w:t>the</w:t>
      </w:r>
      <w:r>
        <w:rPr>
          <w:rFonts w:ascii="IRNazanin" w:hAnsi="IRNazanin" w:eastAsia="IRNazanin"/>
          <w:b w:val="false"/>
          <w:b w:val="false"/>
          <w:bCs w:val="false"/>
          <w:i w:val="false"/>
          <w:i w:val="false"/>
          <w:iCs w:val="false"/>
          <w:color w:val="333333"/>
          <w:sz w:val="20"/>
          <w:sz w:val="20"/>
          <w:szCs w:val="20"/>
          <w:rtl w:val="true"/>
        </w:rPr>
        <w:t xml:space="preserve">ک </w:t>
      </w:r>
      <w:r>
        <w:rPr>
          <w:rFonts w:eastAsia="IRNazanin" w:cs="IRNazanin"/>
          <w:b w:val="false"/>
          <w:bCs w:val="false"/>
          <w:i w:val="false"/>
          <w:iCs w:val="false"/>
          <w:color w:val="333333"/>
          <w:sz w:val="20"/>
          <w:szCs w:val="20"/>
        </w:rPr>
        <w:t>ily</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St</w:t>
      </w:r>
      <w:r>
        <w:rPr>
          <w:rFonts w:ascii="IRNazanin" w:hAnsi="IRNazanin" w:eastAsia="IRNazanin"/>
          <w:b w:val="false"/>
          <w:b w:val="false"/>
          <w:bCs w:val="false"/>
          <w:i w:val="false"/>
          <w:i w:val="false"/>
          <w:iCs w:val="false"/>
          <w:color w:val="333333"/>
          <w:sz w:val="20"/>
          <w:sz w:val="20"/>
          <w:szCs w:val="20"/>
          <w:rtl w:val="true"/>
        </w:rPr>
        <w:t xml:space="preserve">ک </w:t>
      </w:r>
      <w:r>
        <w:rPr>
          <w:rFonts w:eastAsia="IRNazanin" w:cs="IRNazanin"/>
          <w:b w:val="false"/>
          <w:bCs w:val="false"/>
          <w:i w:val="false"/>
          <w:iCs w:val="false"/>
          <w:color w:val="333333"/>
          <w:sz w:val="20"/>
          <w:szCs w:val="20"/>
        </w:rPr>
        <w:t>H tm n</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Mono- etiol ogic</w:t>
      </w:r>
      <w:r>
        <w:rPr>
          <w:rFonts w:eastAsia="IRNazanin" w:cs="IRNazanin"/>
          <w:b w:val="false"/>
          <w:bCs w:val="false"/>
          <w:i w:val="false"/>
          <w:iCs w:val="false"/>
          <w:color w:val="333333"/>
          <w:sz w:val="20"/>
          <w:szCs w:val="20"/>
          <w:rtl w:val="true"/>
        </w:rPr>
        <w:t xml:space="preserve"> .</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H tm n, St</w:t>
      </w:r>
      <w:r>
        <w:rPr>
          <w:rFonts w:ascii="IRNazanin" w:hAnsi="IRNazanin" w:eastAsia="IRNazanin"/>
          <w:b w:val="false"/>
          <w:b w:val="false"/>
          <w:bCs w:val="false"/>
          <w:i w:val="false"/>
          <w:i w:val="false"/>
          <w:iCs w:val="false"/>
          <w:color w:val="333333"/>
          <w:sz w:val="20"/>
          <w:sz w:val="20"/>
          <w:szCs w:val="20"/>
          <w:rtl w:val="true"/>
        </w:rPr>
        <w:t xml:space="preserve">ک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msinoi tulovE " .786 .p 2 .loV</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dibI</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دیدن گزارشی از این دایرة‌المعارف،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دانش‌نامه دین بریل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گزینش و گزارش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سیدحسن اسلامی، هفت آسمان، شمارۀ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زمستان </w:t>
      </w:r>
      <w:r>
        <w:rPr>
          <w:rFonts w:eastAsia="IRNazanin" w:cs="IRNazanin"/>
          <w:b w:val="false"/>
          <w:bCs w:val="false"/>
          <w:i w:val="false"/>
          <w:iCs w:val="false"/>
          <w:color w:val="333333"/>
          <w:sz w:val="20"/>
          <w:szCs w:val="20"/>
        </w:rPr>
        <w:t>1390</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 </w:t>
      </w:r>
      <w:r>
        <w:rPr>
          <w:rFonts w:eastAsia="IRNazanin" w:cs="IRNazanin"/>
          <w:b w:val="false"/>
          <w:bCs w:val="false"/>
          <w:i w:val="false"/>
          <w:iCs w:val="false"/>
          <w:color w:val="333333"/>
          <w:sz w:val="20"/>
          <w:szCs w:val="20"/>
        </w:rPr>
        <w:t>ts, p hs, d mech isms</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Is There Limit to Our Knowledge</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 </w:t>
      </w:r>
      <w:r>
        <w:rPr>
          <w:rFonts w:eastAsia="IRNazanin" w:cs="IRNazanin"/>
          <w:b w:val="false"/>
          <w:bCs w:val="false"/>
          <w:i w:val="false"/>
          <w:iCs w:val="false"/>
          <w:color w:val="333333"/>
          <w:sz w:val="20"/>
          <w:szCs w:val="20"/>
        </w:rPr>
        <w:t>Evolution?" in .86 .p , red R :noitulovE dn doG</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Punctu ed equilibri</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Ibid, p. 73</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N ur ism</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Cosmos</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noitcu dortnI n :ecneicS dn noigileR .87 .p</w:t>
      </w:r>
      <w:r>
        <w:rPr>
          <w:rFonts w:eastAsia="IRNazanin" w:cs="IRNazanin"/>
          <w:b w:val="false"/>
          <w:bCs w:val="false"/>
          <w:i w:val="false"/>
          <w:iCs w:val="false"/>
          <w:color w:val="333333"/>
          <w:sz w:val="20"/>
          <w:szCs w:val="20"/>
          <w:rtl w:val="true"/>
        </w:rPr>
        <w:t xml:space="preserve"> ,</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Big B g</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The ton ishing Hypo thesis</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noitc udortnI n :ecneicS dn noigileR .08 .p</w:t>
      </w:r>
      <w:r>
        <w:rPr>
          <w:rFonts w:eastAsia="IRNazanin" w:cs="IRNazanin"/>
          <w:b w:val="false"/>
          <w:bCs w:val="false"/>
          <w:i w:val="false"/>
          <w:iCs w:val="false"/>
          <w:color w:val="333333"/>
          <w:sz w:val="20"/>
          <w:szCs w:val="20"/>
          <w:rtl w:val="true"/>
        </w:rPr>
        <w:t xml:space="preserve"> ,</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siseh tnyS weN ehT :ygoloi boicoS</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تکامل و رفتار انسان، 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Biology", in .scihtE ot noin moC egdeltuoR ehT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Neuro logic</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rnoitcu dortnI weN :noigileR &amp; ecneicS .271 .p</w:t>
      </w:r>
      <w:r>
        <w:rPr>
          <w:rFonts w:eastAsia="IRNazanin" w:cs="IRNazanin"/>
          <w:b w:val="false"/>
          <w:bCs w:val="false"/>
          <w:i w:val="false"/>
          <w:iCs w:val="false"/>
          <w:color w:val="333333"/>
          <w:sz w:val="20"/>
          <w:szCs w:val="20"/>
          <w:rtl w:val="true"/>
        </w:rPr>
        <w:t xml:space="preserve"> ,</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Sp drel</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پنگلوس شخصیت خوش‌بینی است در نمایشنامۀ ساده‌لوح ولتر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مقصود از سرمشق پنگلوسی، سرمشق‌های خوش‌بینانه‌ای است که هر اتفاقی را ناظر به هدفی معین و از پیش مشخص می‌داند</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The Sp d rels</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 </w:t>
      </w:r>
      <w:r>
        <w:rPr>
          <w:rFonts w:eastAsia="IRNazanin" w:cs="IRNazanin"/>
          <w:b w:val="false"/>
          <w:bCs w:val="false"/>
          <w:i w:val="false"/>
          <w:iCs w:val="false"/>
          <w:color w:val="333333"/>
          <w:sz w:val="20"/>
          <w:szCs w:val="20"/>
        </w:rPr>
        <w:t>S M co d the P gl ossi P igm: Critique</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 </w:t>
      </w:r>
      <w:r>
        <w:rPr>
          <w:rFonts w:eastAsia="IRNazanin" w:cs="IRNazanin"/>
          <w:b w:val="false"/>
          <w:bCs w:val="false"/>
          <w:i w:val="false"/>
          <w:iCs w:val="false"/>
          <w:color w:val="333333"/>
          <w:sz w:val="20"/>
          <w:szCs w:val="20"/>
        </w:rPr>
        <w:t>the t ionist Progr me" Vol, 205, No, 1161</w:t>
      </w:r>
      <w:r>
        <w:rPr>
          <w:rFonts w:eastAsia="IRNazanin" w:cs="IRNazanin"/>
          <w:b w:val="false"/>
          <w:bCs w:val="false"/>
          <w:i w:val="false"/>
          <w:iCs w:val="false"/>
          <w:color w:val="333333"/>
          <w:sz w:val="20"/>
          <w:szCs w:val="20"/>
          <w:rtl w:val="true"/>
        </w:rPr>
        <w:t xml:space="preserve"> .</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Positive heism</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noitc udortnI n :ecneicS dn noigileR .9 .p</w:t>
      </w:r>
      <w:r>
        <w:rPr>
          <w:rFonts w:eastAsia="IRNazanin" w:cs="IRNazanin"/>
          <w:b w:val="false"/>
          <w:bCs w:val="false"/>
          <w:i w:val="false"/>
          <w:iCs w:val="false"/>
          <w:color w:val="333333"/>
          <w:sz w:val="20"/>
          <w:szCs w:val="20"/>
          <w:rtl w:val="true"/>
        </w:rPr>
        <w:t xml:space="preserve"> ,</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noitcu dortnI n :ecneicS dn noigileR .28 .p</w:t>
      </w:r>
      <w:r>
        <w:rPr>
          <w:rFonts w:eastAsia="IRNazanin" w:cs="IRNazanin"/>
          <w:b w:val="false"/>
          <w:bCs w:val="false"/>
          <w:i w:val="false"/>
          <w:iCs w:val="false"/>
          <w:color w:val="333333"/>
          <w:sz w:val="20"/>
          <w:szCs w:val="20"/>
          <w:rtl w:val="true"/>
        </w:rPr>
        <w:t xml:space="preserve"> ,</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N ur selection</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Surviv</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 </w:t>
      </w:r>
      <w:r>
        <w:rPr>
          <w:rFonts w:eastAsia="IRNazanin" w:cs="IRNazanin"/>
          <w:b w:val="false"/>
          <w:bCs w:val="false"/>
          <w:i w:val="false"/>
          <w:iCs w:val="false"/>
          <w:color w:val="333333"/>
          <w:sz w:val="20"/>
          <w:szCs w:val="20"/>
        </w:rPr>
        <w:t>the</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Pr>
        <w:t>ittest</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Microe volution</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M roev olution</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علم و دین،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Religion in e</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 </w:t>
      </w:r>
      <w:r>
        <w:rPr>
          <w:rFonts w:eastAsia="IRNazanin" w:cs="IRNazanin"/>
          <w:b w:val="false"/>
          <w:bCs w:val="false"/>
          <w:i w:val="false"/>
          <w:iCs w:val="false"/>
          <w:color w:val="333333"/>
          <w:sz w:val="20"/>
          <w:szCs w:val="20"/>
        </w:rPr>
        <w:t>Science: The G</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Pr>
        <w:t>ford Lectures 1989-1991 , p. 155</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Religion in e</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 </w:t>
      </w:r>
      <w:r>
        <w:rPr>
          <w:rFonts w:eastAsia="IRNazanin" w:cs="IRNazanin"/>
          <w:b w:val="false"/>
          <w:bCs w:val="false"/>
          <w:i w:val="false"/>
          <w:iCs w:val="false"/>
          <w:color w:val="333333"/>
          <w:sz w:val="20"/>
          <w:szCs w:val="20"/>
        </w:rPr>
        <w:t>Science , p. 172-178</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Ibid, p. 191</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علم و دین از تعارض تا گفتگو،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Cre i onists</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The Voy e</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 </w:t>
      </w:r>
      <w:r>
        <w:rPr>
          <w:rFonts w:eastAsia="IRNazanin" w:cs="IRNazanin"/>
          <w:b w:val="false"/>
          <w:bCs w:val="false"/>
          <w:i w:val="false"/>
          <w:iCs w:val="false"/>
          <w:color w:val="333333"/>
          <w:sz w:val="20"/>
          <w:szCs w:val="20"/>
        </w:rPr>
        <w:t>Discovery: History</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 </w:t>
      </w:r>
      <w:r>
        <w:rPr>
          <w:rFonts w:eastAsia="IRNazanin" w:cs="IRNazanin"/>
          <w:b w:val="false"/>
          <w:bCs w:val="false"/>
          <w:i w:val="false"/>
          <w:iCs w:val="false"/>
          <w:color w:val="333333"/>
          <w:sz w:val="20"/>
          <w:szCs w:val="20"/>
        </w:rPr>
        <w:t>Western Philo sophy , p. 23</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Ibid, p. 38</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مسألۀ تحول و تطور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در حکایت همچنان باقی</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رسائل اخوان الصفا و خلان الوفا،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رساله با مشخصات زیر ترجمه و منتشر شده‌است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محاکمه انسان و حیوان از رسائل اخوان الصفا، ترجمۀ عبداللّه مستوفی،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علمی، </w:t>
      </w:r>
      <w:r>
        <w:rPr>
          <w:rFonts w:eastAsia="IRNazanin" w:cs="IRNazanin"/>
          <w:b w:val="false"/>
          <w:bCs w:val="false"/>
          <w:i w:val="false"/>
          <w:iCs w:val="false"/>
          <w:color w:val="333333"/>
          <w:sz w:val="20"/>
          <w:szCs w:val="20"/>
        </w:rPr>
        <w:t>1324</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اسس التقدم عند مفکری الاسلام، ص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فلسفة المشروع الحضاری،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615</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مواجهۀ ایرانیان با نظریۀ تکامل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دانش‌نامه جهان اسلام،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یک مسئله، دو رویکرد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روایت‌اولین مواجهه ایرانیان با نظریۀ تکامل داروین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مهرنامه، شمارۀ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شهریور </w:t>
      </w:r>
      <w:r>
        <w:rPr>
          <w:rFonts w:eastAsia="IRNazanin" w:cs="IRNazanin"/>
          <w:b w:val="false"/>
          <w:bCs w:val="false"/>
          <w:i w:val="false"/>
          <w:iCs w:val="false"/>
          <w:color w:val="333333"/>
          <w:sz w:val="20"/>
          <w:szCs w:val="20"/>
        </w:rPr>
        <w:t>1390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مواجهه ایرانیان با نظریۀ تکامل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یک مسئله، دو رویکرد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روایت اولین مواجهه ایرانیان‌با نظریۀ تکامل داروین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نوشتۀ آیت‌اللّه استادی، سیدعبدالحجت بلاغی در کتاب اعلاط در انساب،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اعلاط به معنای ستارگان بی‌نام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نوشت که حاج شیخ محمدرضا اصفهانی مسجدشاهی قبل از نشر کتاب خود، نقد فلسفۀ داروین، اعلامیه‌ای دراین‌باره نوشت و نسخه‌ای از آن را برای شبلی شمیل فرستاد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پاسخ تندی داد و نوشت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اتهدد البط بالشط؟ و چون کتاب نقد فلسفۀ داروین او منتشر شد، شمیل خشمگین شد و او را به نادانی متهم کرد و گفت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کفاک جهلک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کفاک جهلک و عذرک جهلک، رضا استادی، کیهان فرهنگی، سال پنجم، شمارۀ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شماره پیاپی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دی </w:t>
      </w:r>
      <w:r>
        <w:rPr>
          <w:rFonts w:eastAsia="IRNazanin" w:cs="IRNazanin"/>
          <w:b w:val="false"/>
          <w:bCs w:val="false"/>
          <w:i w:val="false"/>
          <w:iCs w:val="false"/>
          <w:color w:val="333333"/>
          <w:sz w:val="20"/>
          <w:szCs w:val="20"/>
        </w:rPr>
        <w:t>1367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احد فرامرز قراملکی، در موضع علم و دین در خلقت انسان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داروینیسم و عدم تعارض آن با ادیان الهی، شش‌موضع متفاوت را از هم بازشناسی می‌کند که تفاوت اندکی با هم دارند</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مبانی انسان‌شناسی در قرآن،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داروینیسم یا تکامل انواع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نقد و تحلیل،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کتاب در سال </w:t>
      </w:r>
      <w:r>
        <w:rPr>
          <w:rFonts w:eastAsia="IRNazanin" w:cs="IRNazanin"/>
          <w:b w:val="false"/>
          <w:bCs w:val="false"/>
          <w:i w:val="false"/>
          <w:iCs w:val="false"/>
          <w:color w:val="333333"/>
          <w:sz w:val="20"/>
          <w:szCs w:val="20"/>
        </w:rPr>
        <w:t>1343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منتشر شده است و بدون تغییری‌در ساختار یا محتوا بازچاپ شده است</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منشور جاوید، 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I</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Pr>
        <w:t>erence to the best expl n ion</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توحید و تکامل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در مقالات فلسفی در مجموعه آثار،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روم، آیۀ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آیۀ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کهف، آیۀ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آیۀ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تکامل در قرآن،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Ibid, 67</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The Virus</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کک </w:t>
      </w:r>
      <w:r>
        <w:rPr>
          <w:rFonts w:eastAsia="IRNazanin" w:cs="IRNazanin"/>
          <w:b w:val="false"/>
          <w:bCs w:val="false"/>
          <w:i w:val="false"/>
          <w:iCs w:val="false"/>
          <w:color w:val="333333"/>
          <w:sz w:val="20"/>
          <w:szCs w:val="20"/>
        </w:rPr>
        <w:t>th</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D kins d The Virus</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کک </w:t>
      </w:r>
      <w:r>
        <w:rPr>
          <w:rFonts w:eastAsia="IRNazanin" w:cs="IRNazanin"/>
          <w:b w:val="false"/>
          <w:bCs w:val="false"/>
          <w:i w:val="false"/>
          <w:iCs w:val="false"/>
          <w:color w:val="333333"/>
          <w:sz w:val="20"/>
          <w:szCs w:val="20"/>
        </w:rPr>
        <w:t>th" in knihT y ehTdeg n C tsitneicS woH :snikw dr ciR .642 .p</w:t>
      </w:r>
      <w:r>
        <w:rPr>
          <w:rFonts w:eastAsia="IRNazanin" w:cs="IRNazanin"/>
          <w:b w:val="false"/>
          <w:bCs w:val="false"/>
          <w:i w:val="false"/>
          <w:iCs w:val="false"/>
          <w:color w:val="333333"/>
          <w:sz w:val="20"/>
          <w:szCs w:val="20"/>
          <w:rtl w:val="true"/>
        </w:rPr>
        <w:t xml:space="preserve"> ,</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Mess e to Ponti</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Pr>
        <w:t>ic emy</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 </w:t>
      </w:r>
      <w:r>
        <w:rPr>
          <w:rFonts w:eastAsia="IRNazanin" w:cs="IRNazanin"/>
          <w:b w:val="false"/>
          <w:bCs w:val="false"/>
          <w:i w:val="false"/>
          <w:iCs w:val="false"/>
          <w:color w:val="333333"/>
          <w:sz w:val="20"/>
          <w:szCs w:val="20"/>
        </w:rPr>
        <w:t>Sciences</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D win's Bl k Box: The Bioch emic Ch lenges to Evol ution , p. 235</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از بزرگ‌ترین کلیساهای سبک گوتیک انگلستان که تقریباً همۀ پادشاهان انگلیس و شخصیت‌های بزرگ‌در آن دفن شده‌اند</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The M y-Sided Co</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Pr>
        <w:t>lict Between Science d Religion", in The Bl kwe llGuide to the philos ophy</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 </w:t>
      </w:r>
      <w:r>
        <w:rPr>
          <w:rFonts w:eastAsia="IRNazanin" w:cs="IRNazanin"/>
          <w:b w:val="false"/>
          <w:bCs w:val="false"/>
          <w:i w:val="false"/>
          <w:iCs w:val="false"/>
          <w:color w:val="333333"/>
          <w:sz w:val="20"/>
          <w:szCs w:val="20"/>
        </w:rPr>
        <w:t>Religion .662 .p</w:t>
      </w:r>
      <w:r>
        <w:rPr>
          <w:rFonts w:eastAsia="IRNazanin" w:cs="IRNazanin"/>
          <w:b w:val="false"/>
          <w:bCs w:val="false"/>
          <w:i w:val="false"/>
          <w:iCs w:val="false"/>
          <w:color w:val="333333"/>
          <w:sz w:val="20"/>
          <w:szCs w:val="20"/>
          <w:rtl w:val="true"/>
        </w:rPr>
        <w:t xml:space="preserve"> ,</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در این کتاب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اصطلاح فقهی را شرح کرده‌اند که برای فقه‌خوانان بسیار راهگشا و آسان‌یاب است</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مجلس خبرگان،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کفایة الاصول، 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نیز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اجود التقریرات،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مصنفات الشیخ المفید،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تصحیح اعتقادات الامامیة</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الحادی عشر،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نیز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تعلیقات علی اجوبة المسائل المهنائیه،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دربارۀ حوادث مربوط به این کتاب و آیت‌اللّه مشکینی و انصراف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ایشان از تأییدیه‌ای که بر آن‌نوشته‌اند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درازی، زندگی و مبارزات آیت‌اللّه مشکینی، مرکز اسناد انقلاب اسلامی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کتاب در بیست و ششمین نمایشگاه بین‌المللی کتاب تهران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اردیبهشت </w:t>
      </w:r>
      <w:r>
        <w:rPr>
          <w:rFonts w:eastAsia="IRNazanin" w:cs="IRNazanin"/>
          <w:b w:val="false"/>
          <w:bCs w:val="false"/>
          <w:i w:val="false"/>
          <w:iCs w:val="false"/>
          <w:color w:val="333333"/>
          <w:sz w:val="20"/>
          <w:szCs w:val="20"/>
        </w:rPr>
        <w:t>1392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عرضه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آیت‌اللّه سید محمدرضا گلپایگانی به روایت اسناد ساواک، چاپ تهران</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برای مطالعۀ بیشتر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اسفندیاری، عاشوراشناسی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پژوهشی دربارۀ هدف امام حسین علیه السلام، فصل‌اول، 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کیهان فرهنگی، سال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ویژۀ دائرة‌المعارف‌ها و دانش‌نامه‌ها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مقالۀ محمدحسین قرشی،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اصطلاح‌نامۀ کتابداری، همان؛ فرهنگ معین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دانشنامه</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وارن پرس، یادداشت‌هایی در جهت دانشنامه‌ای جدید، مطالعات و تحقیقات فرهنگی، تهران، </w:t>
      </w:r>
      <w:r>
        <w:rPr>
          <w:rFonts w:eastAsia="IRNazanin" w:cs="IRNazanin"/>
          <w:b w:val="false"/>
          <w:bCs w:val="false"/>
          <w:i w:val="false"/>
          <w:iCs w:val="false"/>
          <w:color w:val="333333"/>
          <w:sz w:val="20"/>
          <w:szCs w:val="20"/>
        </w:rPr>
        <w:t>1367</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دائرة‌المعارف کتابداری و اطلاع رسانی</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نرم‌افزار تبدیل تقویم‌ها، مرکز تقویم، دانشگاه تهران </w:t>
      </w:r>
      <w:r>
        <w:rPr>
          <w:rFonts w:eastAsia="IRNazanin" w:cs="IRNazanin"/>
          <w:b w:val="false"/>
          <w:bCs w:val="false"/>
          <w:i w:val="false"/>
          <w:iCs w:val="false"/>
          <w:color w:val="333333"/>
          <w:sz w:val="20"/>
          <w:szCs w:val="20"/>
        </w:rPr>
        <w:t>http:// c end .ut . . ir</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تبدیل تاریخ شمسی به میلادی </w:t>
      </w:r>
      <w:r>
        <w:rPr>
          <w:rFonts w:eastAsia="IRNazanin" w:cs="IRNazanin"/>
          <w:b w:val="false"/>
          <w:bCs w:val="false"/>
          <w:i w:val="false"/>
          <w:iCs w:val="false"/>
          <w:color w:val="333333"/>
          <w:sz w:val="20"/>
          <w:szCs w:val="20"/>
        </w:rPr>
        <w:t>www.h sokh .com</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برای تبدیل تاریخ هجری به میلادی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تقویم تطبیقی هزار و پانصد سالۀ هجری قمری و میلادی، فردیناند وستنفلد و ادوارد ماهلر، فرهنگ‌سرای نیاوران، تهران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1402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1982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بخشی از این مقاله پیش از این در شمارۀ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مجلّۀ علوم حدیث منتشر شده بود و اکنون با اضافات و تغییر در ساختار ارائه می شود</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دانشیار دانشگاه ادیان و مذاهب</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دانش‌پژوه سطح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مرکز تخصّصی اخلاق و تربیت اسلامی حوزۀ علمیۀ قم</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بقره، آیۀ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آیت اللّه مشکینی در مجلس خبرگان،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سخنرانی در اجلاس پنجم، دورۀ سوم، جلسۀ اول</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سخنرانی در اجلاس هفتم، دورۀ دوم</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آیت‌اللّه مشکینی در مجلس خبرگان،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سخنرانی در اجلاس چهارم، دورۀ سوم، جلسۀ اول، </w:t>
      </w:r>
      <w:r>
        <w:rPr>
          <w:rFonts w:eastAsia="IRNazanin" w:cs="IRNazanin"/>
          <w:b w:val="false"/>
          <w:bCs w:val="false"/>
          <w:i w:val="false"/>
          <w:iCs w:val="false"/>
          <w:color w:val="333333"/>
          <w:sz w:val="20"/>
          <w:szCs w:val="20"/>
        </w:rPr>
        <w:t>1379/6/6</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المأثور،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آیت‌اللّه مشکینی در مجلس خبرگان،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علل الشرایع،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آیت‌اللّه مشکینی در مجلس خبرگان،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عیون اخبار الرضا علیه السلام،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آیت‌اللّه مشکینی در مجلس خبرگان،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خطبۀ سوم</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آیت‌اللّه مشکینی در مجلس خبرگان،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نهج البلاغه، خطبۀ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آیت‌اللّه مشکینی در مجلس خبرگان،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واجب و حرام،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آیت‌اللّه مشکینی در مجلس خبرگان،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فتح، آیۀ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ممتحنه، آیۀ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آثار آیت‌اللّه مشکینی،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واجب و حرام،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آیت‌اللّه مشکینی در مجلس خبرگان، 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واجب و حرام،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المأثور،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واجب و حرام،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المأثور،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المحیط، ص </w:t>
      </w:r>
      <w:r>
        <w:rPr>
          <w:rFonts w:eastAsia="IRNazanin" w:cs="IRNazanin"/>
          <w:b w:val="false"/>
          <w:bCs w:val="false"/>
          <w:i w:val="false"/>
          <w:iCs w:val="false"/>
          <w:color w:val="333333"/>
          <w:sz w:val="20"/>
          <w:szCs w:val="20"/>
        </w:rPr>
        <w:t>1071</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صحاح اللّغة،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اساس البلاغه، 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المنیر،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حجّ، آیۀ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431</w:t>
      </w:r>
      <w:r>
        <w:rPr>
          <w:rFonts w:ascii="IRNazanin" w:hAnsi="IRNazanin" w:eastAsia="IRNazanin"/>
          <w:b w:val="false"/>
          <w:b w:val="false"/>
          <w:bCs w:val="false"/>
          <w:i w:val="false"/>
          <w:i w:val="false"/>
          <w:iCs w:val="false"/>
          <w:color w:val="333333"/>
          <w:sz w:val="20"/>
          <w:sz w:val="20"/>
          <w:szCs w:val="20"/>
          <w:rtl w:val="true"/>
        </w:rPr>
        <w:t xml:space="preserve">؛ وسائل الشیعه،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 xml:space="preserve">؛ معانی الأخبار، 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پاسدار اسلام، ش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پاسدار اسلام، ش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آیۀ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پاسدار اسلام، ش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المسترشد، ص </w:t>
      </w:r>
      <w:r>
        <w:rPr>
          <w:rFonts w:eastAsia="IRNazanin" w:cs="IRNazanin"/>
          <w:b w:val="false"/>
          <w:bCs w:val="false"/>
          <w:i w:val="false"/>
          <w:iCs w:val="false"/>
          <w:color w:val="333333"/>
          <w:sz w:val="20"/>
          <w:szCs w:val="20"/>
        </w:rPr>
        <w:t>725</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image" Target="media/image2.jpeg"/><Relationship Id="rId339" Type="http://schemas.openxmlformats.org/officeDocument/2006/relationships/image" Target="media/image2.jpeg"/><Relationship Id="rId340" Type="http://schemas.openxmlformats.org/officeDocument/2006/relationships/footer" Target="footer333.xml"/><Relationship Id="rId341" Type="http://schemas.openxmlformats.org/officeDocument/2006/relationships/footnotes" Target="footnotes.xml"/><Relationship Id="rId342" Type="http://schemas.openxmlformats.org/officeDocument/2006/relationships/numbering" Target="numbering.xml"/><Relationship Id="rId343" Type="http://schemas.openxmlformats.org/officeDocument/2006/relationships/fontTable" Target="fontTable.xml"/><Relationship Id="rId344" Type="http://schemas.openxmlformats.org/officeDocument/2006/relationships/settings" Target="settings.xml"/><Relationship Id="rId34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342</Pages>
  <Words>90273</Words>
  <Characters>367948</Characters>
  <CharactersWithSpaces>454911</CharactersWithSpaces>
  <Paragraphs>3239</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2026-08-24T14:32:17Z</dcterms:created>
  <dc:creator>ghaemiyeh.com</dc:creator>
  <dc:description/>
  <dc:language>en-US</dc:language>
  <cp:lastModifiedBy/>
  <dcterms:modified xsi:type="dcterms:W3CDTF">2026-08-24T18:02:57Z</dcterms:modified>
  <cp:revision>1</cp:revision>
  <dc:subject/>
  <dc:title>مجموعه مقالات یادنامه آیت الله علی مشکینی جلد 1</dc:title>
</cp:coreProperties>
</file>

<file path=docProps/custom.xml><?xml version="1.0" encoding="utf-8"?>
<Properties xmlns="http://schemas.openxmlformats.org/officeDocument/2006/custom-properties" xmlns:vt="http://schemas.openxmlformats.org/officeDocument/2006/docPropsVTypes"/>
</file>