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تقریرات فی اصول الفقه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86285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986287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986289_3224264995">
            <w:r>
              <w:rPr>
                <w:webHidden/>
                <w:rStyle w:val="IndexLink"/>
                <w:rtl w:val="true"/>
              </w:rPr>
              <w:t>[</w:t>
            </w:r>
            <w:r>
              <w:rPr>
                <w:rStyle w:val="IndexLink"/>
                <w:rtl w:val="true"/>
              </w:rPr>
              <w:t>تتمة باب الأوامر و النواهی</w:t>
            </w:r>
            <w:r>
              <w:rPr>
                <w:rStyle w:val="IndexLink"/>
                <w:rtl w:val="true"/>
              </w:rPr>
              <w:t>]</w:t>
              <w:tab/>
            </w:r>
            <w:r>
              <w:rPr>
                <w:rStyle w:val="IndexLink"/>
              </w:rPr>
              <w:t>11</w:t>
            </w:r>
          </w:hyperlink>
        </w:p>
        <w:p>
          <w:pPr>
            <w:pStyle w:val="Contents3"/>
            <w:tabs>
              <w:tab w:val="clear" w:pos="8459"/>
              <w:tab w:val="right" w:pos="9026" w:leader="dot"/>
            </w:tabs>
            <w:rPr/>
          </w:pPr>
          <w:hyperlink w:anchor="__RefHeading___Toc2986291_3224264995">
            <w:r>
              <w:rPr>
                <w:webHidden/>
                <w:rStyle w:val="IndexLink"/>
                <w:rtl w:val="true"/>
              </w:rPr>
              <w:t>[</w:t>
            </w:r>
            <w:r>
              <w:rPr>
                <w:rStyle w:val="IndexLink"/>
                <w:rtl w:val="true"/>
              </w:rPr>
              <w:t>المقصد الثانی</w:t>
            </w:r>
            <w:r>
              <w:rPr>
                <w:rStyle w:val="IndexLink"/>
                <w:rtl w:val="true"/>
              </w:rPr>
              <w:t xml:space="preserve">: </w:t>
            </w:r>
            <w:r>
              <w:rPr>
                <w:rStyle w:val="IndexLink"/>
                <w:rtl w:val="true"/>
              </w:rPr>
              <w:t>فی النواهی</w:t>
            </w:r>
            <w:r>
              <w:rPr>
                <w:rStyle w:val="IndexLink"/>
                <w:rtl w:val="true"/>
              </w:rPr>
              <w:t>]</w:t>
              <w:tab/>
            </w:r>
            <w:r>
              <w:rPr>
                <w:rStyle w:val="IndexLink"/>
              </w:rPr>
              <w:t>11</w:t>
            </w:r>
          </w:hyperlink>
        </w:p>
        <w:p>
          <w:pPr>
            <w:pStyle w:val="Contents4"/>
            <w:tabs>
              <w:tab w:val="clear" w:pos="8176"/>
              <w:tab w:val="right" w:pos="9026" w:leader="dot"/>
            </w:tabs>
            <w:rPr/>
          </w:pPr>
          <w:hyperlink w:anchor="__RefHeading___Toc2986293_3224264995">
            <w:r>
              <w:rPr>
                <w:webHidden/>
                <w:rStyle w:val="IndexLink"/>
                <w:rtl w:val="true"/>
              </w:rPr>
              <w:t>[</w:t>
            </w:r>
            <w:r>
              <w:rPr>
                <w:rStyle w:val="IndexLink"/>
                <w:rtl w:val="true"/>
              </w:rPr>
              <w:t>الفصل الاول</w:t>
            </w:r>
            <w:r>
              <w:rPr>
                <w:rStyle w:val="IndexLink"/>
                <w:rtl w:val="true"/>
              </w:rPr>
              <w:t xml:space="preserve">: </w:t>
            </w:r>
            <w:r>
              <w:rPr>
                <w:rStyle w:val="IndexLink"/>
                <w:rtl w:val="true"/>
              </w:rPr>
              <w:t>اجتماع الأمر و النهی</w:t>
            </w:r>
            <w:r>
              <w:rPr>
                <w:rStyle w:val="IndexLink"/>
                <w:rtl w:val="true"/>
              </w:rPr>
              <w:t>]</w:t>
              <w:tab/>
            </w:r>
            <w:r>
              <w:rPr>
                <w:rStyle w:val="IndexLink"/>
              </w:rPr>
              <w:t>11</w:t>
            </w:r>
          </w:hyperlink>
        </w:p>
        <w:p>
          <w:pPr>
            <w:pStyle w:val="Contents5"/>
            <w:tabs>
              <w:tab w:val="clear" w:pos="7892"/>
              <w:tab w:val="right" w:pos="9026" w:leader="dot"/>
            </w:tabs>
            <w:rPr/>
          </w:pPr>
          <w:hyperlink w:anchor="__RefHeading___Toc2986295_3224264995">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2986297_3224264995">
            <w:r>
              <w:rPr>
                <w:webHidden/>
                <w:rStyle w:val="IndexLink"/>
                <w:rtl w:val="true"/>
              </w:rPr>
              <w:t>[</w:t>
            </w:r>
            <w:r>
              <w:rPr>
                <w:rStyle w:val="IndexLink"/>
                <w:rtl w:val="true"/>
              </w:rPr>
              <w:t>و تحقیق المقام یقتضی رسم مقدّمات</w:t>
            </w:r>
            <w:r>
              <w:rPr>
                <w:rStyle w:val="IndexLink"/>
                <w:rtl w:val="true"/>
              </w:rPr>
              <w:t>.]</w:t>
              <w:tab/>
            </w:r>
            <w:r>
              <w:rPr>
                <w:rStyle w:val="IndexLink"/>
              </w:rPr>
              <w:t>11</w:t>
            </w:r>
          </w:hyperlink>
        </w:p>
        <w:p>
          <w:pPr>
            <w:pStyle w:val="Contents6"/>
            <w:tabs>
              <w:tab w:val="clear" w:pos="7609"/>
              <w:tab w:val="right" w:pos="9026" w:leader="dot"/>
            </w:tabs>
            <w:rPr/>
          </w:pPr>
          <w:hyperlink w:anchor="__RefHeading___Toc2986299_3224264995">
            <w:r>
              <w:rPr>
                <w:webHidden/>
                <w:rStyle w:val="IndexLink"/>
                <w:rtl w:val="true"/>
              </w:rPr>
              <w:t>[ [</w:t>
            </w:r>
            <w:r>
              <w:rPr>
                <w:rStyle w:val="IndexLink"/>
                <w:rtl w:val="true"/>
              </w:rPr>
              <w:t>المقدّمة</w:t>
            </w:r>
            <w:r>
              <w:rPr>
                <w:rStyle w:val="IndexLink"/>
                <w:rtl w:val="true"/>
              </w:rPr>
              <w:t xml:space="preserve">] </w:t>
            </w:r>
            <w:r>
              <w:rPr>
                <w:rStyle w:val="IndexLink"/>
                <w:rtl w:val="true"/>
              </w:rPr>
              <w:t>الأولی</w:t>
            </w:r>
            <w:r>
              <w:rPr>
                <w:rStyle w:val="IndexLink"/>
                <w:rtl w:val="true"/>
              </w:rPr>
              <w:t xml:space="preserve">: </w:t>
            </w:r>
            <w:r>
              <w:rPr>
                <w:rStyle w:val="IndexLink"/>
                <w:rtl w:val="true"/>
              </w:rPr>
              <w:t>إنّ مسألة الاجتماع</w:t>
            </w:r>
            <w:r>
              <w:rPr>
                <w:rStyle w:val="IndexLink"/>
                <w:rtl w:val="true"/>
              </w:rPr>
              <w:t>]</w:t>
              <w:tab/>
            </w:r>
            <w:r>
              <w:rPr>
                <w:rStyle w:val="IndexLink"/>
              </w:rPr>
              <w:t>11</w:t>
            </w:r>
          </w:hyperlink>
        </w:p>
        <w:p>
          <w:pPr>
            <w:pStyle w:val="Contents6"/>
            <w:tabs>
              <w:tab w:val="clear" w:pos="7609"/>
              <w:tab w:val="right" w:pos="9026" w:leader="dot"/>
            </w:tabs>
            <w:rPr/>
          </w:pPr>
          <w:hyperlink w:anchor="__RefHeading___Toc2986301_3224264995">
            <w:r>
              <w:rPr>
                <w:webHidden/>
                <w:rStyle w:val="IndexLink"/>
                <w:rtl w:val="true"/>
              </w:rPr>
              <w:t>[</w:t>
            </w:r>
            <w:r>
              <w:rPr>
                <w:rStyle w:val="IndexLink"/>
                <w:rtl w:val="true"/>
              </w:rPr>
              <w:t>المقدمة الثانیة</w:t>
            </w:r>
            <w:r>
              <w:rPr>
                <w:rStyle w:val="IndexLink"/>
                <w:rtl w:val="true"/>
              </w:rPr>
              <w:t xml:space="preserve">: </w:t>
            </w:r>
            <w:r>
              <w:rPr>
                <w:rStyle w:val="IndexLink"/>
                <w:rtl w:val="true"/>
              </w:rPr>
              <w:t>فی تحریر محلّ النزاع،</w:t>
            </w:r>
            <w:r>
              <w:rPr>
                <w:rStyle w:val="IndexLink"/>
                <w:rtl w:val="true"/>
              </w:rPr>
              <w:t>]</w:t>
              <w:tab/>
            </w:r>
            <w:r>
              <w:rPr>
                <w:rStyle w:val="IndexLink"/>
              </w:rPr>
              <w:t>12</w:t>
            </w:r>
          </w:hyperlink>
        </w:p>
        <w:p>
          <w:pPr>
            <w:pStyle w:val="Contents6"/>
            <w:tabs>
              <w:tab w:val="clear" w:pos="7609"/>
              <w:tab w:val="right" w:pos="9026" w:leader="dot"/>
            </w:tabs>
            <w:rPr/>
          </w:pPr>
          <w:hyperlink w:anchor="__RefHeading___Toc2986303_3224264995">
            <w:r>
              <w:rPr>
                <w:webHidden/>
                <w:rStyle w:val="IndexLink"/>
                <w:rtl w:val="true"/>
              </w:rPr>
              <w:t>[</w:t>
            </w:r>
            <w:r>
              <w:rPr>
                <w:rStyle w:val="IndexLink"/>
                <w:rtl w:val="true"/>
              </w:rPr>
              <w:t>المقدمة الثالثة</w:t>
            </w:r>
            <w:r>
              <w:rPr>
                <w:rStyle w:val="IndexLink"/>
                <w:rtl w:val="true"/>
              </w:rPr>
              <w:t xml:space="preserve">: </w:t>
            </w:r>
            <w:r>
              <w:rPr>
                <w:rStyle w:val="IndexLink"/>
                <w:rtl w:val="true"/>
              </w:rPr>
              <w:t>فی بیان ثمرة النزاع</w:t>
            </w:r>
            <w:r>
              <w:rPr>
                <w:rStyle w:val="IndexLink"/>
                <w:rtl w:val="true"/>
              </w:rPr>
              <w:t xml:space="preserve">. </w:t>
            </w:r>
            <w:r>
              <w:rPr>
                <w:rStyle w:val="IndexLink"/>
                <w:rtl w:val="true"/>
              </w:rPr>
              <w:t>اختلفوا فی أنّ الثمرة فی مجرّد إمکان</w:t>
            </w:r>
            <w:r>
              <w:rPr>
                <w:rStyle w:val="IndexLink"/>
                <w:rtl w:val="true"/>
              </w:rPr>
              <w:t>]</w:t>
              <w:tab/>
            </w:r>
            <w:r>
              <w:rPr>
                <w:rStyle w:val="IndexLink"/>
              </w:rPr>
              <w:t>25</w:t>
            </w:r>
          </w:hyperlink>
        </w:p>
        <w:p>
          <w:pPr>
            <w:pStyle w:val="Contents6"/>
            <w:tabs>
              <w:tab w:val="clear" w:pos="7609"/>
              <w:tab w:val="right" w:pos="9026" w:leader="dot"/>
            </w:tabs>
            <w:rPr/>
          </w:pPr>
          <w:hyperlink w:anchor="__RefHeading___Toc2986305_3224264995">
            <w:r>
              <w:rPr>
                <w:webHidden/>
                <w:rStyle w:val="IndexLink"/>
                <w:rtl w:val="true"/>
              </w:rPr>
              <w:t>[</w:t>
            </w:r>
            <w:r>
              <w:rPr>
                <w:rStyle w:val="IndexLink"/>
                <w:rtl w:val="true"/>
              </w:rPr>
              <w:t>المقدمة الرابعة</w:t>
            </w:r>
            <w:r>
              <w:rPr>
                <w:rStyle w:val="IndexLink"/>
                <w:rtl w:val="true"/>
              </w:rPr>
              <w:t xml:space="preserve">: </w:t>
            </w:r>
            <w:r>
              <w:rPr>
                <w:rStyle w:val="IndexLink"/>
                <w:rtl w:val="true"/>
              </w:rPr>
              <w:t>فی أقوال المسألة و هی ثلاثة</w:t>
            </w:r>
            <w:r>
              <w:rPr>
                <w:rStyle w:val="IndexLink"/>
                <w:rtl w:val="true"/>
              </w:rPr>
              <w:t xml:space="preserve">: </w:t>
            </w:r>
            <w:r>
              <w:rPr>
                <w:rStyle w:val="IndexLink"/>
                <w:rtl w:val="true"/>
              </w:rPr>
              <w:t>الجواز مطلقا، و الامتناع</w:t>
            </w:r>
            <w:r>
              <w:rPr>
                <w:rStyle w:val="IndexLink"/>
                <w:rtl w:val="true"/>
              </w:rPr>
              <w:t>]</w:t>
              <w:tab/>
            </w:r>
            <w:r>
              <w:rPr>
                <w:rStyle w:val="IndexLink"/>
              </w:rPr>
              <w:t>33</w:t>
            </w:r>
          </w:hyperlink>
        </w:p>
        <w:p>
          <w:pPr>
            <w:pStyle w:val="Contents6"/>
            <w:tabs>
              <w:tab w:val="clear" w:pos="7609"/>
              <w:tab w:val="right" w:pos="9026" w:leader="dot"/>
            </w:tabs>
            <w:rPr/>
          </w:pPr>
          <w:hyperlink w:anchor="__RefHeading___Toc2986307_3224264995">
            <w:r>
              <w:rPr>
                <w:webHidden/>
                <w:rStyle w:val="IndexLink"/>
                <w:rtl w:val="true"/>
              </w:rPr>
              <w:t>[</w:t>
            </w:r>
            <w:r>
              <w:rPr>
                <w:rStyle w:val="IndexLink"/>
                <w:rtl w:val="true"/>
              </w:rPr>
              <w:t>المقدمة الخامسة</w:t>
            </w:r>
            <w:r>
              <w:rPr>
                <w:rStyle w:val="IndexLink"/>
                <w:rtl w:val="true"/>
              </w:rPr>
              <w:t xml:space="preserve">: </w:t>
            </w:r>
            <w:r>
              <w:rPr>
                <w:rStyle w:val="IndexLink"/>
                <w:rtl w:val="true"/>
              </w:rPr>
              <w:t>فی تأسیس الأصل،</w:t>
            </w:r>
            <w:r>
              <w:rPr>
                <w:rStyle w:val="IndexLink"/>
                <w:rtl w:val="true"/>
              </w:rPr>
              <w:t>]</w:t>
              <w:tab/>
            </w:r>
            <w:r>
              <w:rPr>
                <w:rStyle w:val="IndexLink"/>
              </w:rPr>
              <w:t>36</w:t>
            </w:r>
          </w:hyperlink>
        </w:p>
        <w:p>
          <w:pPr>
            <w:pStyle w:val="Contents6"/>
            <w:tabs>
              <w:tab w:val="clear" w:pos="7609"/>
              <w:tab w:val="right" w:pos="9026" w:leader="dot"/>
            </w:tabs>
            <w:rPr/>
          </w:pPr>
          <w:hyperlink w:anchor="__RefHeading___Toc2986309_3224264995">
            <w:r>
              <w:rPr>
                <w:webHidden/>
                <w:rStyle w:val="IndexLink"/>
                <w:rtl w:val="true"/>
              </w:rPr>
              <w:t>[</w:t>
            </w:r>
            <w:r>
              <w:rPr>
                <w:rStyle w:val="IndexLink"/>
                <w:rtl w:val="true"/>
              </w:rPr>
              <w:t>المقدّمة السادسة</w:t>
            </w:r>
            <w:r>
              <w:rPr>
                <w:rStyle w:val="IndexLink"/>
                <w:rtl w:val="true"/>
              </w:rPr>
              <w:t xml:space="preserve">: </w:t>
            </w:r>
            <w:r>
              <w:rPr>
                <w:rStyle w:val="IndexLink"/>
                <w:rtl w:val="true"/>
              </w:rPr>
              <w:t>فی بیان مبنی النزاع و مآله، فاعلم أنّ النزاع فی جواز</w:t>
            </w:r>
            <w:r>
              <w:rPr>
                <w:rStyle w:val="IndexLink"/>
                <w:rtl w:val="true"/>
              </w:rPr>
              <w:t>]</w:t>
              <w:tab/>
            </w:r>
            <w:r>
              <w:rPr>
                <w:rStyle w:val="IndexLink"/>
              </w:rPr>
              <w:t>38</w:t>
            </w:r>
          </w:hyperlink>
        </w:p>
        <w:p>
          <w:pPr>
            <w:pStyle w:val="Contents6"/>
            <w:tabs>
              <w:tab w:val="clear" w:pos="7609"/>
              <w:tab w:val="right" w:pos="9026" w:leader="dot"/>
            </w:tabs>
            <w:rPr/>
          </w:pPr>
          <w:hyperlink w:anchor="__RefHeading___Toc2986311_3224264995">
            <w:r>
              <w:rPr>
                <w:webHidden/>
                <w:rStyle w:val="IndexLink"/>
                <w:rtl w:val="true"/>
              </w:rPr>
              <w:t>[</w:t>
            </w:r>
            <w:r>
              <w:rPr>
                <w:rStyle w:val="IndexLink"/>
                <w:rtl w:val="true"/>
              </w:rPr>
              <w:t>إذا عرفت تلک المقدّمات فاعلم أنّ محصّل حجّة المانعین</w:t>
            </w:r>
            <w:r>
              <w:rPr>
                <w:rStyle w:val="IndexLink"/>
                <w:rtl w:val="true"/>
              </w:rPr>
              <w:t>]</w:t>
              <w:tab/>
            </w:r>
            <w:r>
              <w:rPr>
                <w:rStyle w:val="IndexLink"/>
              </w:rPr>
              <w:t>39</w:t>
            </w:r>
          </w:hyperlink>
        </w:p>
        <w:p>
          <w:pPr>
            <w:pStyle w:val="Contents6"/>
            <w:tabs>
              <w:tab w:val="clear" w:pos="7609"/>
              <w:tab w:val="right" w:pos="9026" w:leader="dot"/>
            </w:tabs>
            <w:rPr/>
          </w:pPr>
          <w:hyperlink w:anchor="__RefHeading___Toc2986313_3224264995">
            <w:r>
              <w:rPr>
                <w:webHidden/>
                <w:rStyle w:val="IndexLink"/>
                <w:rtl w:val="true"/>
              </w:rPr>
              <w:t>[</w:t>
            </w:r>
            <w:r>
              <w:rPr>
                <w:rStyle w:val="IndexLink"/>
                <w:rtl w:val="true"/>
              </w:rPr>
              <w:t>بیان المختار فی المسأله و البرهنة علیه</w:t>
            </w:r>
            <w:r>
              <w:rPr>
                <w:rStyle w:val="IndexLink"/>
                <w:rtl w:val="true"/>
              </w:rPr>
              <w:t>]</w:t>
              <w:tab/>
            </w:r>
            <w:r>
              <w:rPr>
                <w:rStyle w:val="IndexLink"/>
              </w:rPr>
              <w:t>42</w:t>
            </w:r>
          </w:hyperlink>
        </w:p>
        <w:p>
          <w:pPr>
            <w:pStyle w:val="Contents6"/>
            <w:tabs>
              <w:tab w:val="clear" w:pos="7609"/>
              <w:tab w:val="right" w:pos="9026" w:leader="dot"/>
            </w:tabs>
            <w:rPr/>
          </w:pPr>
          <w:hyperlink w:anchor="__RefHeading___Toc2986315_3224264995">
            <w:r>
              <w:rPr>
                <w:webHidden/>
                <w:rStyle w:val="IndexLink"/>
                <w:rtl w:val="true"/>
              </w:rPr>
              <w:t>[</w:t>
            </w:r>
            <w:r>
              <w:rPr>
                <w:rStyle w:val="IndexLink"/>
                <w:rtl w:val="true"/>
              </w:rPr>
              <w:t>بقی الکلام فی التنبیه علی أمور</w:t>
            </w:r>
            <w:r>
              <w:rPr>
                <w:rStyle w:val="IndexLink"/>
                <w:rtl w:val="true"/>
              </w:rPr>
              <w:t>:]</w:t>
              <w:tab/>
            </w:r>
            <w:r>
              <w:rPr>
                <w:rStyle w:val="IndexLink"/>
              </w:rPr>
              <w:t>66</w:t>
            </w:r>
          </w:hyperlink>
        </w:p>
        <w:p>
          <w:pPr>
            <w:pStyle w:val="Contents6"/>
            <w:tabs>
              <w:tab w:val="clear" w:pos="7609"/>
              <w:tab w:val="right" w:pos="9026" w:leader="dot"/>
            </w:tabs>
            <w:rPr/>
          </w:pPr>
          <w:hyperlink w:anchor="__RefHeading___Toc2986317_3224264995">
            <w:r>
              <w:rPr>
                <w:webHidden/>
                <w:rStyle w:val="IndexLink"/>
                <w:rtl w:val="true"/>
              </w:rPr>
              <w:t>[</w:t>
            </w:r>
            <w:r>
              <w:rPr>
                <w:rStyle w:val="IndexLink"/>
                <w:rtl w:val="true"/>
              </w:rPr>
              <w:t>الأوّل</w:t>
            </w:r>
            <w:r>
              <w:rPr>
                <w:rStyle w:val="IndexLink"/>
                <w:rtl w:val="true"/>
              </w:rPr>
              <w:t xml:space="preserve">: </w:t>
            </w:r>
            <w:r>
              <w:rPr>
                <w:rStyle w:val="IndexLink"/>
                <w:rtl w:val="true"/>
              </w:rPr>
              <w:t>متفردات صاحب الفصول فی المسألة</w:t>
            </w:r>
            <w:r>
              <w:rPr>
                <w:rStyle w:val="IndexLink"/>
                <w:rtl w:val="true"/>
              </w:rPr>
              <w:t>]</w:t>
              <w:tab/>
            </w:r>
            <w:r>
              <w:rPr>
                <w:rStyle w:val="IndexLink"/>
              </w:rPr>
              <w:t>66</w:t>
            </w:r>
          </w:hyperlink>
        </w:p>
        <w:p>
          <w:pPr>
            <w:pStyle w:val="Contents6"/>
            <w:tabs>
              <w:tab w:val="clear" w:pos="7609"/>
              <w:tab w:val="right" w:pos="9026" w:leader="dot"/>
            </w:tabs>
            <w:rPr/>
          </w:pPr>
          <w:hyperlink w:anchor="__RefHeading___Toc2986319_3224264995">
            <w:r>
              <w:rPr>
                <w:webHidden/>
                <w:rStyle w:val="IndexLink"/>
                <w:rtl w:val="true"/>
              </w:rPr>
              <w:t>[</w:t>
            </w:r>
            <w:r>
              <w:rPr>
                <w:rStyle w:val="IndexLink"/>
                <w:rtl w:val="true"/>
              </w:rPr>
              <w:t>الثانی</w:t>
            </w:r>
            <w:r>
              <w:rPr>
                <w:rStyle w:val="IndexLink"/>
                <w:rtl w:val="true"/>
              </w:rPr>
              <w:t xml:space="preserve">: </w:t>
            </w:r>
            <w:r>
              <w:rPr>
                <w:rStyle w:val="IndexLink"/>
                <w:rtl w:val="true"/>
              </w:rPr>
              <w:t>اتّفق المانعون و المجوّزون علی صحّة العبادات التی تعلّق النهی بها</w:t>
            </w:r>
            <w:r>
              <w:rPr>
                <w:rStyle w:val="IndexLink"/>
                <w:rtl w:val="true"/>
              </w:rPr>
              <w:t>]</w:t>
              <w:tab/>
            </w:r>
            <w:r>
              <w:rPr>
                <w:rStyle w:val="IndexLink"/>
              </w:rPr>
              <w:t>67</w:t>
            </w:r>
          </w:hyperlink>
        </w:p>
        <w:p>
          <w:pPr>
            <w:pStyle w:val="Contents6"/>
            <w:tabs>
              <w:tab w:val="clear" w:pos="7609"/>
              <w:tab w:val="right" w:pos="9026" w:leader="dot"/>
            </w:tabs>
            <w:rPr/>
          </w:pPr>
          <w:hyperlink w:anchor="__RefHeading___Toc2986321_3224264995">
            <w:r>
              <w:rPr>
                <w:webHidden/>
                <w:rStyle w:val="IndexLink"/>
                <w:rtl w:val="true"/>
              </w:rPr>
              <w:t>[</w:t>
            </w:r>
            <w:r>
              <w:rPr>
                <w:rStyle w:val="IndexLink"/>
                <w:rtl w:val="true"/>
              </w:rPr>
              <w:t>الثالث من تنبیهات مسألة النهی فی العبادات حیث قال</w:t>
            </w:r>
            <w:r>
              <w:rPr>
                <w:rStyle w:val="IndexLink"/>
                <w:rtl w:val="true"/>
              </w:rPr>
              <w:t xml:space="preserve">: </w:t>
            </w:r>
            <w:r>
              <w:rPr>
                <w:rStyle w:val="IndexLink"/>
                <w:rtl w:val="true"/>
              </w:rPr>
              <w:t>إنّ النهی یقتضی الفساد مع</w:t>
            </w:r>
            <w:r>
              <w:rPr>
                <w:rStyle w:val="IndexLink"/>
                <w:rtl w:val="true"/>
              </w:rPr>
              <w:t>]</w:t>
              <w:tab/>
            </w:r>
            <w:r>
              <w:rPr>
                <w:rStyle w:val="IndexLink"/>
              </w:rPr>
              <w:t>70</w:t>
            </w:r>
          </w:hyperlink>
        </w:p>
        <w:p>
          <w:pPr>
            <w:pStyle w:val="Contents4"/>
            <w:tabs>
              <w:tab w:val="clear" w:pos="8176"/>
              <w:tab w:val="right" w:pos="9026" w:leader="dot"/>
            </w:tabs>
            <w:rPr/>
          </w:pPr>
          <w:hyperlink w:anchor="__RefHeading___Toc2986323_3224264995">
            <w:r>
              <w:rPr>
                <w:webHidden/>
                <w:rStyle w:val="IndexLink"/>
                <w:rtl w:val="true"/>
              </w:rPr>
              <w:t>[</w:t>
            </w:r>
            <w:r>
              <w:rPr>
                <w:rStyle w:val="IndexLink"/>
                <w:rtl w:val="true"/>
              </w:rPr>
              <w:t>الفصل الثانی</w:t>
            </w:r>
            <w:r>
              <w:rPr>
                <w:rStyle w:val="IndexLink"/>
                <w:rtl w:val="true"/>
              </w:rPr>
              <w:t>: [</w:t>
            </w:r>
            <w:r>
              <w:rPr>
                <w:rStyle w:val="IndexLink"/>
                <w:rtl w:val="true"/>
              </w:rPr>
              <w:t>دلالة النهی علی فساد المنهیّ عنه</w:t>
            </w:r>
            <w:r>
              <w:rPr>
                <w:rStyle w:val="IndexLink"/>
                <w:rtl w:val="true"/>
              </w:rPr>
              <w:t>]]</w:t>
              <w:tab/>
            </w:r>
            <w:r>
              <w:rPr>
                <w:rStyle w:val="IndexLink"/>
              </w:rPr>
              <w:t>77</w:t>
            </w:r>
          </w:hyperlink>
        </w:p>
        <w:p>
          <w:pPr>
            <w:pStyle w:val="Contents5"/>
            <w:tabs>
              <w:tab w:val="clear" w:pos="7892"/>
              <w:tab w:val="right" w:pos="9026" w:leader="dot"/>
            </w:tabs>
            <w:rPr/>
          </w:pPr>
          <w:hyperlink w:anchor="__RefHeading___Toc2986325_3224264995">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2986327_3224264995">
            <w:r>
              <w:rPr>
                <w:webHidden/>
                <w:rStyle w:val="IndexLink"/>
                <w:rtl w:val="true"/>
              </w:rPr>
              <w:t>[ [</w:t>
            </w:r>
            <w:r>
              <w:rPr>
                <w:rStyle w:val="IndexLink"/>
                <w:rtl w:val="true"/>
              </w:rPr>
              <w:t>المقدّمة</w:t>
            </w:r>
            <w:r>
              <w:rPr>
                <w:rStyle w:val="IndexLink"/>
                <w:rtl w:val="true"/>
              </w:rPr>
              <w:t xml:space="preserve">] </w:t>
            </w:r>
            <w:r>
              <w:rPr>
                <w:rStyle w:val="IndexLink"/>
                <w:rtl w:val="true"/>
              </w:rPr>
              <w:t>الأولی</w:t>
            </w:r>
            <w:r>
              <w:rPr>
                <w:rStyle w:val="IndexLink"/>
                <w:rtl w:val="true"/>
              </w:rPr>
              <w:t xml:space="preserve">: </w:t>
            </w:r>
            <w:r>
              <w:rPr>
                <w:rStyle w:val="IndexLink"/>
                <w:rtl w:val="true"/>
              </w:rPr>
              <w:t>فی تشخیص معانی مفردات العنوان،</w:t>
            </w:r>
            <w:r>
              <w:rPr>
                <w:rStyle w:val="IndexLink"/>
                <w:rtl w:val="true"/>
              </w:rPr>
              <w:t>]</w:t>
              <w:tab/>
            </w:r>
            <w:r>
              <w:rPr>
                <w:rStyle w:val="IndexLink"/>
              </w:rPr>
              <w:t>77</w:t>
            </w:r>
          </w:hyperlink>
        </w:p>
        <w:p>
          <w:pPr>
            <w:pStyle w:val="Contents5"/>
            <w:tabs>
              <w:tab w:val="clear" w:pos="7892"/>
              <w:tab w:val="right" w:pos="9026" w:leader="dot"/>
            </w:tabs>
            <w:rPr/>
          </w:pPr>
          <w:hyperlink w:anchor="__RefHeading___Toc2986329_3224264995">
            <w:r>
              <w:rPr>
                <w:webHidden/>
                <w:rStyle w:val="IndexLink"/>
                <w:rtl w:val="true"/>
              </w:rPr>
              <w:t>[</w:t>
            </w:r>
            <w:r>
              <w:rPr>
                <w:rStyle w:val="IndexLink"/>
                <w:rtl w:val="true"/>
              </w:rPr>
              <w:t>المقدّمة الثانیة</w:t>
            </w:r>
            <w:r>
              <w:rPr>
                <w:rStyle w:val="IndexLink"/>
                <w:rtl w:val="true"/>
              </w:rPr>
              <w:t xml:space="preserve">: </w:t>
            </w:r>
            <w:r>
              <w:rPr>
                <w:rStyle w:val="IndexLink"/>
                <w:rtl w:val="true"/>
              </w:rPr>
              <w:t>فی تحریر محلّ النزاع من جهتین</w:t>
            </w:r>
            <w:r>
              <w:rPr>
                <w:rStyle w:val="IndexLink"/>
                <w:rtl w:val="true"/>
              </w:rPr>
              <w:t>.]</w:t>
              <w:tab/>
            </w:r>
            <w:r>
              <w:rPr>
                <w:rStyle w:val="IndexLink"/>
              </w:rPr>
              <w:t>95</w:t>
            </w:r>
          </w:hyperlink>
        </w:p>
        <w:p>
          <w:pPr>
            <w:pStyle w:val="Contents5"/>
            <w:tabs>
              <w:tab w:val="clear" w:pos="7892"/>
              <w:tab w:val="right" w:pos="9026" w:leader="dot"/>
            </w:tabs>
            <w:rPr/>
          </w:pPr>
          <w:hyperlink w:anchor="__RefHeading___Toc2986331_3224264995">
            <w:r>
              <w:rPr>
                <w:webHidden/>
                <w:rStyle w:val="IndexLink"/>
                <w:rtl w:val="true"/>
              </w:rPr>
              <w:t>[</w:t>
            </w:r>
            <w:r>
              <w:rPr>
                <w:rStyle w:val="IndexLink"/>
                <w:rtl w:val="true"/>
              </w:rPr>
              <w:t>تحقیق الحقّ فی المسألة و نقول</w:t>
            </w:r>
            <w:r>
              <w:rPr>
                <w:rStyle w:val="IndexLink"/>
                <w:rtl w:val="true"/>
              </w:rPr>
              <w:t>:]</w:t>
              <w:tab/>
            </w:r>
            <w:r>
              <w:rPr>
                <w:rStyle w:val="IndexLink"/>
              </w:rPr>
              <w:t>97</w:t>
            </w:r>
          </w:hyperlink>
        </w:p>
        <w:p>
          <w:pPr>
            <w:pStyle w:val="Contents6"/>
            <w:tabs>
              <w:tab w:val="clear" w:pos="7609"/>
              <w:tab w:val="right" w:pos="9026" w:leader="dot"/>
            </w:tabs>
            <w:rPr/>
          </w:pPr>
          <w:hyperlink w:anchor="__RefHeading___Toc2986333_3224264995">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2986335_3224264995">
            <w:r>
              <w:rPr>
                <w:webHidden/>
                <w:rStyle w:val="IndexLink"/>
                <w:rtl w:val="true"/>
              </w:rPr>
              <w:t>تنبیهان</w:t>
            </w:r>
            <w:r>
              <w:rPr>
                <w:rStyle w:val="IndexLink"/>
                <w:rtl w:val="true"/>
              </w:rPr>
              <w:t>:</w:t>
              <w:tab/>
            </w:r>
            <w:r>
              <w:rPr>
                <w:rStyle w:val="IndexLink"/>
              </w:rPr>
              <w:t>102</w:t>
            </w:r>
          </w:hyperlink>
        </w:p>
        <w:p>
          <w:pPr>
            <w:pStyle w:val="Contents5"/>
            <w:tabs>
              <w:tab w:val="clear" w:pos="7892"/>
              <w:tab w:val="right" w:pos="9026" w:leader="dot"/>
            </w:tabs>
            <w:rPr/>
          </w:pPr>
          <w:hyperlink w:anchor="__RefHeading___Toc2986337_3224264995">
            <w:r>
              <w:rPr>
                <w:webHidden/>
                <w:rStyle w:val="IndexLink"/>
                <w:rtl w:val="true"/>
              </w:rPr>
              <w:t>[</w:t>
            </w:r>
            <w:r>
              <w:rPr>
                <w:rStyle w:val="IndexLink"/>
                <w:rtl w:val="true"/>
              </w:rPr>
              <w:t>بحث الإجزاء</w:t>
            </w:r>
            <w:r>
              <w:rPr>
                <w:rStyle w:val="IndexLink"/>
                <w:rtl w:val="true"/>
              </w:rPr>
              <w:t>]</w:t>
              <w:tab/>
            </w:r>
            <w:r>
              <w:rPr>
                <w:rStyle w:val="IndexLink"/>
              </w:rPr>
              <w:t>105</w:t>
            </w:r>
          </w:hyperlink>
        </w:p>
        <w:p>
          <w:pPr>
            <w:pStyle w:val="Contents6"/>
            <w:tabs>
              <w:tab w:val="clear" w:pos="7609"/>
              <w:tab w:val="right" w:pos="9026" w:leader="dot"/>
            </w:tabs>
            <w:rPr/>
          </w:pPr>
          <w:hyperlink w:anchor="__RefHeading___Toc2986339_3224264995">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2986341_3224264995">
            <w:r>
              <w:rPr>
                <w:webHidden/>
                <w:rStyle w:val="IndexLink"/>
                <w:rtl w:val="true"/>
              </w:rPr>
              <w:t>[ [</w:t>
            </w:r>
            <w:r>
              <w:rPr>
                <w:rStyle w:val="IndexLink"/>
                <w:rtl w:val="true"/>
              </w:rPr>
              <w:t>المقدمة</w:t>
            </w:r>
            <w:r>
              <w:rPr>
                <w:rStyle w:val="IndexLink"/>
                <w:rtl w:val="true"/>
              </w:rPr>
              <w:t xml:space="preserve">] </w:t>
            </w:r>
            <w:r>
              <w:rPr>
                <w:rStyle w:val="IndexLink"/>
                <w:rtl w:val="true"/>
              </w:rPr>
              <w:t>الاولی</w:t>
            </w:r>
            <w:r>
              <w:rPr>
                <w:rStyle w:val="IndexLink"/>
                <w:rtl w:val="true"/>
              </w:rPr>
              <w:t xml:space="preserve">: </w:t>
            </w:r>
            <w:r>
              <w:rPr>
                <w:rStyle w:val="IndexLink"/>
                <w:rtl w:val="true"/>
              </w:rPr>
              <w:t>أنّ بعضهم بدّل عنوان دلالة الأمر</w:t>
            </w:r>
            <w:r>
              <w:rPr>
                <w:rStyle w:val="IndexLink"/>
                <w:rtl w:val="true"/>
              </w:rPr>
              <w:t>]</w:t>
              <w:tab/>
            </w:r>
            <w:r>
              <w:rPr>
                <w:rStyle w:val="IndexLink"/>
              </w:rPr>
              <w:t>105</w:t>
            </w:r>
          </w:hyperlink>
        </w:p>
        <w:p>
          <w:pPr>
            <w:pStyle w:val="Contents6"/>
            <w:tabs>
              <w:tab w:val="clear" w:pos="7609"/>
              <w:tab w:val="right" w:pos="9026" w:leader="dot"/>
            </w:tabs>
            <w:rPr/>
          </w:pPr>
          <w:hyperlink w:anchor="__RefHeading___Toc2986343_3224264995">
            <w:r>
              <w:rPr>
                <w:webHidden/>
                <w:rStyle w:val="IndexLink"/>
                <w:rtl w:val="true"/>
              </w:rPr>
              <w:t>[</w:t>
            </w:r>
            <w:r>
              <w:rPr>
                <w:rStyle w:val="IndexLink"/>
                <w:rtl w:val="true"/>
              </w:rPr>
              <w:t>المقدمة الثانیة</w:t>
            </w:r>
            <w:r>
              <w:rPr>
                <w:rStyle w:val="IndexLink"/>
                <w:rtl w:val="true"/>
              </w:rPr>
              <w:t xml:space="preserve">: </w:t>
            </w:r>
            <w:r>
              <w:rPr>
                <w:rStyle w:val="IndexLink"/>
                <w:rtl w:val="true"/>
              </w:rPr>
              <w:t>فی دفع ما قد یتوهّم</w:t>
            </w:r>
            <w:r>
              <w:rPr>
                <w:rStyle w:val="IndexLink"/>
                <w:rtl w:val="true"/>
              </w:rPr>
              <w:t>]</w:t>
              <w:tab/>
            </w:r>
            <w:r>
              <w:rPr>
                <w:rStyle w:val="IndexLink"/>
              </w:rPr>
              <w:t>105</w:t>
            </w:r>
          </w:hyperlink>
        </w:p>
        <w:p>
          <w:pPr>
            <w:pStyle w:val="Contents6"/>
            <w:tabs>
              <w:tab w:val="clear" w:pos="7609"/>
              <w:tab w:val="right" w:pos="9026" w:leader="dot"/>
            </w:tabs>
            <w:rPr/>
          </w:pPr>
          <w:hyperlink w:anchor="__RefHeading___Toc2986345_3224264995">
            <w:r>
              <w:rPr>
                <w:webHidden/>
                <w:rStyle w:val="IndexLink"/>
                <w:rtl w:val="true"/>
              </w:rPr>
              <w:t>[</w:t>
            </w:r>
            <w:r>
              <w:rPr>
                <w:rStyle w:val="IndexLink"/>
                <w:rtl w:val="true"/>
              </w:rPr>
              <w:t>المقدمة الثالثة</w:t>
            </w:r>
            <w:r>
              <w:rPr>
                <w:rStyle w:val="IndexLink"/>
                <w:rtl w:val="true"/>
              </w:rPr>
              <w:t xml:space="preserve">: </w:t>
            </w:r>
            <w:r>
              <w:rPr>
                <w:rStyle w:val="IndexLink"/>
                <w:rtl w:val="true"/>
              </w:rPr>
              <w:t>فی تفسیر المفردات الواقعة فی العنوان</w:t>
            </w:r>
            <w:r>
              <w:rPr>
                <w:rStyle w:val="IndexLink"/>
                <w:rtl w:val="true"/>
              </w:rPr>
              <w:t>]</w:t>
              <w:tab/>
            </w:r>
            <w:r>
              <w:rPr>
                <w:rStyle w:val="IndexLink"/>
              </w:rPr>
              <w:t>107</w:t>
            </w:r>
          </w:hyperlink>
        </w:p>
        <w:p>
          <w:pPr>
            <w:pStyle w:val="Contents6"/>
            <w:tabs>
              <w:tab w:val="clear" w:pos="7609"/>
              <w:tab w:val="right" w:pos="9026" w:leader="dot"/>
            </w:tabs>
            <w:rPr/>
          </w:pPr>
          <w:hyperlink w:anchor="__RefHeading___Toc2986347_3224264995">
            <w:r>
              <w:rPr>
                <w:webHidden/>
                <w:rStyle w:val="IndexLink"/>
                <w:rtl w:val="true"/>
              </w:rPr>
              <w:t>[</w:t>
            </w:r>
            <w:r>
              <w:rPr>
                <w:rStyle w:val="IndexLink"/>
                <w:rtl w:val="true"/>
              </w:rPr>
              <w:t>لنا علی الإجزاء فیه وجوه</w:t>
            </w:r>
            <w:r>
              <w:rPr>
                <w:rStyle w:val="IndexLink"/>
                <w:rtl w:val="true"/>
              </w:rPr>
              <w:t>:]</w:t>
              <w:tab/>
            </w:r>
            <w:r>
              <w:rPr>
                <w:rStyle w:val="IndexLink"/>
              </w:rPr>
              <w:t>111</w:t>
            </w:r>
          </w:hyperlink>
        </w:p>
        <w:p>
          <w:pPr>
            <w:pStyle w:val="Contents6"/>
            <w:tabs>
              <w:tab w:val="clear" w:pos="7609"/>
              <w:tab w:val="right" w:pos="9026" w:leader="dot"/>
            </w:tabs>
            <w:rPr/>
          </w:pPr>
          <w:hyperlink w:anchor="__RefHeading___Toc2986349_3224264995">
            <w:r>
              <w:rPr>
                <w:webHidden/>
                <w:rStyle w:val="IndexLink"/>
                <w:rtl w:val="true"/>
              </w:rPr>
              <w:t>[</w:t>
            </w:r>
            <w:r>
              <w:rPr>
                <w:rStyle w:val="IndexLink"/>
                <w:rtl w:val="true"/>
              </w:rPr>
              <w:t>حجّة القول بعدم الإجزاء فیه</w:t>
            </w:r>
            <w:r>
              <w:rPr>
                <w:rStyle w:val="IndexLink"/>
                <w:rtl w:val="true"/>
              </w:rPr>
              <w:t>]</w:t>
              <w:tab/>
            </w:r>
            <w:r>
              <w:rPr>
                <w:rStyle w:val="IndexLink"/>
              </w:rPr>
              <w:t>112</w:t>
            </w:r>
          </w:hyperlink>
        </w:p>
        <w:p>
          <w:pPr>
            <w:pStyle w:val="Contents6"/>
            <w:tabs>
              <w:tab w:val="clear" w:pos="7609"/>
              <w:tab w:val="right" w:pos="9026" w:leader="dot"/>
            </w:tabs>
            <w:rPr/>
          </w:pPr>
          <w:hyperlink w:anchor="__RefHeading___Toc2986351_3224264995">
            <w:r>
              <w:rPr>
                <w:webHidden/>
                <w:rStyle w:val="IndexLink"/>
                <w:rtl w:val="true"/>
              </w:rPr>
              <w:t>[</w:t>
            </w:r>
            <w:r>
              <w:rPr>
                <w:rStyle w:val="IndexLink"/>
                <w:rtl w:val="true"/>
              </w:rPr>
              <w:t>تنبیهات</w:t>
            </w:r>
            <w:r>
              <w:rPr>
                <w:rStyle w:val="IndexLink"/>
                <w:rtl w:val="true"/>
              </w:rPr>
              <w:t>:]</w:t>
              <w:tab/>
            </w:r>
            <w:r>
              <w:rPr>
                <w:rStyle w:val="IndexLink"/>
              </w:rPr>
              <w:t>119</w:t>
            </w:r>
          </w:hyperlink>
        </w:p>
        <w:p>
          <w:pPr>
            <w:pStyle w:val="Contents2"/>
            <w:tabs>
              <w:tab w:val="clear" w:pos="8743"/>
              <w:tab w:val="right" w:pos="9026" w:leader="dot"/>
            </w:tabs>
            <w:rPr/>
          </w:pPr>
          <w:hyperlink w:anchor="__RefHeading___Toc2986353_3224264995">
            <w:r>
              <w:rPr>
                <w:webHidden/>
                <w:rStyle w:val="IndexLink"/>
                <w:rtl w:val="true"/>
              </w:rPr>
              <w:t>[</w:t>
            </w:r>
            <w:r>
              <w:rPr>
                <w:rStyle w:val="IndexLink"/>
                <w:rtl w:val="true"/>
              </w:rPr>
              <w:t>فی المفاهیم</w:t>
            </w:r>
            <w:r>
              <w:rPr>
                <w:rStyle w:val="IndexLink"/>
                <w:rtl w:val="true"/>
              </w:rPr>
              <w:t>]</w:t>
              <w:tab/>
            </w:r>
            <w:r>
              <w:rPr>
                <w:rStyle w:val="IndexLink"/>
              </w:rPr>
              <w:t>126</w:t>
            </w:r>
          </w:hyperlink>
        </w:p>
        <w:p>
          <w:pPr>
            <w:pStyle w:val="Contents3"/>
            <w:tabs>
              <w:tab w:val="clear" w:pos="8459"/>
              <w:tab w:val="right" w:pos="9026" w:leader="dot"/>
            </w:tabs>
            <w:rPr/>
          </w:pPr>
          <w:hyperlink w:anchor="__RefHeading___Toc2986355_3224264995">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2986357_3224264995">
            <w:r>
              <w:rPr>
                <w:webHidden/>
                <w:rStyle w:val="IndexLink"/>
                <w:rtl w:val="true"/>
              </w:rPr>
              <w:t>تقسیم عقلی للمنطوق</w:t>
            </w:r>
            <w:r>
              <w:rPr>
                <w:rStyle w:val="IndexLink"/>
                <w:rtl w:val="true"/>
              </w:rPr>
              <w:t>.</w:t>
              <w:tab/>
            </w:r>
            <w:r>
              <w:rPr>
                <w:rStyle w:val="IndexLink"/>
              </w:rPr>
              <w:t>131</w:t>
            </w:r>
          </w:hyperlink>
        </w:p>
        <w:p>
          <w:pPr>
            <w:pStyle w:val="Contents3"/>
            <w:tabs>
              <w:tab w:val="clear" w:pos="8459"/>
              <w:tab w:val="right" w:pos="9026" w:leader="dot"/>
            </w:tabs>
            <w:rPr/>
          </w:pPr>
          <w:hyperlink w:anchor="__RefHeading___Toc2986359_3224264995">
            <w:r>
              <w:rPr>
                <w:webHidden/>
                <w:rStyle w:val="IndexLink"/>
                <w:rtl w:val="true"/>
              </w:rPr>
              <w:t>أصل اختلفوا فی حجیة مفهوم الشرط</w:t>
            </w:r>
            <w:r>
              <w:rPr>
                <w:rStyle w:val="IndexLink"/>
                <w:rtl w:val="true"/>
              </w:rPr>
              <w:tab/>
            </w:r>
            <w:r>
              <w:rPr>
                <w:rStyle w:val="IndexLink"/>
              </w:rPr>
              <w:t>134</w:t>
            </w:r>
          </w:hyperlink>
        </w:p>
        <w:p>
          <w:pPr>
            <w:pStyle w:val="Contents4"/>
            <w:tabs>
              <w:tab w:val="clear" w:pos="8176"/>
              <w:tab w:val="right" w:pos="9026" w:leader="dot"/>
            </w:tabs>
            <w:rPr/>
          </w:pPr>
          <w:hyperlink w:anchor="__RefHeading___Toc2986361_3224264995">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2986363_3224264995">
            <w:r>
              <w:rPr>
                <w:webHidden/>
                <w:rStyle w:val="IndexLink"/>
                <w:rtl w:val="true"/>
              </w:rPr>
              <w:t>[</w:t>
            </w:r>
            <w:r>
              <w:rPr>
                <w:rStyle w:val="IndexLink"/>
                <w:rtl w:val="true"/>
              </w:rPr>
              <w:t>لنا علی حجیّته وجوه</w:t>
            </w:r>
            <w:r>
              <w:rPr>
                <w:rStyle w:val="IndexLink"/>
                <w:rtl w:val="true"/>
              </w:rPr>
              <w:t>:]</w:t>
              <w:tab/>
            </w:r>
            <w:r>
              <w:rPr>
                <w:rStyle w:val="IndexLink"/>
              </w:rPr>
              <w:t>139</w:t>
            </w:r>
          </w:hyperlink>
        </w:p>
        <w:p>
          <w:pPr>
            <w:pStyle w:val="Contents4"/>
            <w:tabs>
              <w:tab w:val="clear" w:pos="8176"/>
              <w:tab w:val="right" w:pos="9026" w:leader="dot"/>
            </w:tabs>
            <w:rPr/>
          </w:pPr>
          <w:hyperlink w:anchor="__RefHeading___Toc2986365_3224264995">
            <w:r>
              <w:rPr>
                <w:webHidden/>
                <w:rStyle w:val="IndexLink"/>
                <w:rtl w:val="true"/>
              </w:rPr>
              <w:t>[</w:t>
            </w:r>
            <w:r>
              <w:rPr>
                <w:rStyle w:val="IndexLink"/>
                <w:rtl w:val="true"/>
              </w:rPr>
              <w:t>حجة النافی وجوه</w:t>
            </w:r>
            <w:r>
              <w:rPr>
                <w:rStyle w:val="IndexLink"/>
                <w:rtl w:val="true"/>
              </w:rPr>
              <w:t>:]</w:t>
              <w:tab/>
            </w:r>
            <w:r>
              <w:rPr>
                <w:rStyle w:val="IndexLink"/>
              </w:rPr>
              <w:t>142</w:t>
            </w:r>
          </w:hyperlink>
        </w:p>
        <w:p>
          <w:pPr>
            <w:pStyle w:val="Contents5"/>
            <w:tabs>
              <w:tab w:val="clear" w:pos="7892"/>
              <w:tab w:val="right" w:pos="9026" w:leader="dot"/>
            </w:tabs>
            <w:rPr/>
          </w:pPr>
          <w:hyperlink w:anchor="__RefHeading___Toc2986367_3224264995">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2986369_3224264995">
            <w:r>
              <w:rPr>
                <w:webHidden/>
                <w:rStyle w:val="IndexLink"/>
                <w:rtl w:val="true"/>
              </w:rPr>
              <w:t>تنبیهات</w:t>
            </w:r>
            <w:r>
              <w:rPr>
                <w:rStyle w:val="IndexLink"/>
                <w:rtl w:val="true"/>
              </w:rPr>
              <w:t>:</w:t>
              <w:tab/>
            </w:r>
            <w:r>
              <w:rPr>
                <w:rStyle w:val="IndexLink"/>
              </w:rPr>
              <w:t>148</w:t>
            </w:r>
          </w:hyperlink>
        </w:p>
        <w:p>
          <w:pPr>
            <w:pStyle w:val="Contents3"/>
            <w:tabs>
              <w:tab w:val="clear" w:pos="8459"/>
              <w:tab w:val="right" w:pos="9026" w:leader="dot"/>
            </w:tabs>
            <w:rPr/>
          </w:pPr>
          <w:hyperlink w:anchor="__RefHeading___Toc2986371_3224264995">
            <w:r>
              <w:rPr>
                <w:webHidden/>
                <w:rStyle w:val="IndexLink"/>
                <w:rtl w:val="true"/>
              </w:rPr>
              <w:t>[</w:t>
            </w:r>
            <w:r>
              <w:rPr>
                <w:rStyle w:val="IndexLink"/>
                <w:rtl w:val="true"/>
              </w:rPr>
              <w:t>أصل</w:t>
            </w:r>
            <w:r>
              <w:rPr>
                <w:rStyle w:val="IndexLink"/>
                <w:rtl w:val="true"/>
              </w:rPr>
              <w:t xml:space="preserve">: </w:t>
            </w:r>
            <w:r>
              <w:rPr>
                <w:rStyle w:val="IndexLink"/>
                <w:rtl w:val="true"/>
              </w:rPr>
              <w:t>فی مفهوم الوصف</w:t>
            </w:r>
            <w:r>
              <w:rPr>
                <w:rStyle w:val="IndexLink"/>
                <w:rtl w:val="true"/>
              </w:rPr>
              <w:t>]</w:t>
              <w:tab/>
            </w:r>
            <w:r>
              <w:rPr>
                <w:rStyle w:val="IndexLink"/>
              </w:rPr>
              <w:t>156</w:t>
            </w:r>
          </w:hyperlink>
        </w:p>
        <w:p>
          <w:pPr>
            <w:pStyle w:val="Contents4"/>
            <w:tabs>
              <w:tab w:val="clear" w:pos="8176"/>
              <w:tab w:val="right" w:pos="9026" w:leader="dot"/>
            </w:tabs>
            <w:rPr/>
          </w:pPr>
          <w:hyperlink w:anchor="__RefHeading___Toc2986373_3224264995">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2986375_3224264995">
            <w:r>
              <w:rPr>
                <w:webHidden/>
                <w:rStyle w:val="IndexLink"/>
                <w:rtl w:val="true"/>
              </w:rPr>
              <w:t>[ [</w:t>
            </w:r>
            <w:r>
              <w:rPr>
                <w:rStyle w:val="IndexLink"/>
                <w:rtl w:val="true"/>
              </w:rPr>
              <w:t>المقدّمة</w:t>
            </w:r>
            <w:r>
              <w:rPr>
                <w:rStyle w:val="IndexLink"/>
                <w:rtl w:val="true"/>
              </w:rPr>
              <w:t xml:space="preserve">] </w:t>
            </w:r>
            <w:r>
              <w:rPr>
                <w:rStyle w:val="IndexLink"/>
                <w:rtl w:val="true"/>
              </w:rPr>
              <w:t>الاولی</w:t>
            </w:r>
            <w:r>
              <w:rPr>
                <w:rStyle w:val="IndexLink"/>
                <w:rtl w:val="true"/>
              </w:rPr>
              <w:t xml:space="preserve">: </w:t>
            </w:r>
            <w:r>
              <w:rPr>
                <w:rStyle w:val="IndexLink"/>
                <w:rtl w:val="true"/>
              </w:rPr>
              <w:t>فی تفسیر الألفاظ المأخوذة فی العنوان</w:t>
            </w:r>
            <w:r>
              <w:rPr>
                <w:rStyle w:val="IndexLink"/>
                <w:rtl w:val="true"/>
              </w:rPr>
              <w:t>.]</w:t>
              <w:tab/>
            </w:r>
            <w:r>
              <w:rPr>
                <w:rStyle w:val="IndexLink"/>
              </w:rPr>
              <w:t>156</w:t>
            </w:r>
          </w:hyperlink>
        </w:p>
        <w:p>
          <w:pPr>
            <w:pStyle w:val="Contents4"/>
            <w:tabs>
              <w:tab w:val="clear" w:pos="8176"/>
              <w:tab w:val="right" w:pos="9026" w:leader="dot"/>
            </w:tabs>
            <w:rPr/>
          </w:pPr>
          <w:hyperlink w:anchor="__RefHeading___Toc2986377_3224264995">
            <w:r>
              <w:rPr>
                <w:webHidden/>
                <w:rStyle w:val="IndexLink"/>
                <w:rtl w:val="true"/>
              </w:rPr>
              <w:t>[</w:t>
            </w:r>
            <w:r>
              <w:rPr>
                <w:rStyle w:val="IndexLink"/>
                <w:rtl w:val="true"/>
              </w:rPr>
              <w:t>المقدمة الثانیة</w:t>
            </w:r>
            <w:r>
              <w:rPr>
                <w:rStyle w:val="IndexLink"/>
                <w:rtl w:val="true"/>
              </w:rPr>
              <w:t xml:space="preserve">: </w:t>
            </w:r>
            <w:r>
              <w:rPr>
                <w:rStyle w:val="IndexLink"/>
                <w:rtl w:val="true"/>
              </w:rPr>
              <w:t>فی تحریر محلّ النزاع</w:t>
            </w:r>
            <w:r>
              <w:rPr>
                <w:rStyle w:val="IndexLink"/>
                <w:rtl w:val="true"/>
              </w:rPr>
              <w:t>.]</w:t>
              <w:tab/>
            </w:r>
            <w:r>
              <w:rPr>
                <w:rStyle w:val="IndexLink"/>
              </w:rPr>
              <w:t>157</w:t>
            </w:r>
          </w:hyperlink>
        </w:p>
        <w:p>
          <w:pPr>
            <w:pStyle w:val="Contents4"/>
            <w:tabs>
              <w:tab w:val="clear" w:pos="8176"/>
              <w:tab w:val="right" w:pos="9026" w:leader="dot"/>
            </w:tabs>
            <w:rPr/>
          </w:pPr>
          <w:hyperlink w:anchor="__RefHeading___Toc2986379_3224264995">
            <w:r>
              <w:rPr>
                <w:webHidden/>
                <w:rStyle w:val="IndexLink"/>
                <w:rtl w:val="true"/>
              </w:rPr>
              <w:t>[</w:t>
            </w:r>
            <w:r>
              <w:rPr>
                <w:rStyle w:val="IndexLink"/>
                <w:rtl w:val="true"/>
              </w:rPr>
              <w:t>إذا عرفت ذلک فاعلم أنّهم اختلفوا فی المسألة علی أقوال</w:t>
            </w:r>
            <w:r>
              <w:rPr>
                <w:rStyle w:val="IndexLink"/>
                <w:rtl w:val="true"/>
              </w:rPr>
              <w:t>:]</w:t>
              <w:tab/>
            </w:r>
            <w:r>
              <w:rPr>
                <w:rStyle w:val="IndexLink"/>
              </w:rPr>
              <w:t>157</w:t>
            </w:r>
          </w:hyperlink>
        </w:p>
        <w:p>
          <w:pPr>
            <w:pStyle w:val="Contents5"/>
            <w:tabs>
              <w:tab w:val="clear" w:pos="7892"/>
              <w:tab w:val="right" w:pos="9026" w:leader="dot"/>
            </w:tabs>
            <w:rPr/>
          </w:pPr>
          <w:hyperlink w:anchor="__RefHeading___Toc2986381_3224264995">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2986383_3224264995">
            <w:r>
              <w:rPr>
                <w:webHidden/>
                <w:rStyle w:val="IndexLink"/>
                <w:rtl w:val="true"/>
              </w:rPr>
              <w:t>تنبیه</w:t>
            </w:r>
            <w:r>
              <w:rPr>
                <w:rStyle w:val="IndexLink"/>
                <w:rtl w:val="true"/>
              </w:rPr>
              <w:t>:</w:t>
              <w:tab/>
            </w:r>
            <w:r>
              <w:rPr>
                <w:rStyle w:val="IndexLink"/>
              </w:rPr>
              <w:t>160</w:t>
            </w:r>
          </w:hyperlink>
        </w:p>
        <w:p>
          <w:pPr>
            <w:pStyle w:val="Contents3"/>
            <w:tabs>
              <w:tab w:val="clear" w:pos="8459"/>
              <w:tab w:val="right" w:pos="9026" w:leader="dot"/>
            </w:tabs>
            <w:rPr/>
          </w:pPr>
          <w:hyperlink w:anchor="__RefHeading___Toc2986385_3224264995">
            <w:r>
              <w:rPr>
                <w:webHidden/>
                <w:rStyle w:val="IndexLink"/>
                <w:rtl w:val="true"/>
              </w:rPr>
              <w:t>[</w:t>
            </w:r>
            <w:r>
              <w:rPr>
                <w:rStyle w:val="IndexLink"/>
                <w:rtl w:val="true"/>
              </w:rPr>
              <w:t>أصل التقیید بالغایة</w:t>
            </w:r>
            <w:r>
              <w:rPr>
                <w:rStyle w:val="IndexLink"/>
                <w:rtl w:val="true"/>
              </w:rPr>
              <w:t>]</w:t>
              <w:tab/>
            </w:r>
            <w:r>
              <w:rPr>
                <w:rStyle w:val="IndexLink"/>
              </w:rPr>
              <w:t>161</w:t>
            </w:r>
          </w:hyperlink>
        </w:p>
        <w:p>
          <w:pPr>
            <w:pStyle w:val="Contents4"/>
            <w:tabs>
              <w:tab w:val="clear" w:pos="8176"/>
              <w:tab w:val="right" w:pos="9026" w:leader="dot"/>
            </w:tabs>
            <w:rPr/>
          </w:pPr>
          <w:hyperlink w:anchor="__RefHeading___Toc2986387_3224264995">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2986389_3224264995">
            <w:r>
              <w:rPr>
                <w:webHidden/>
                <w:rStyle w:val="IndexLink"/>
                <w:rtl w:val="true"/>
              </w:rPr>
              <w:t>[</w:t>
            </w:r>
            <w:r>
              <w:rPr>
                <w:rStyle w:val="IndexLink"/>
                <w:rtl w:val="true"/>
              </w:rPr>
              <w:t>ینبغی التنبیه علی امور</w:t>
            </w:r>
            <w:r>
              <w:rPr>
                <w:rStyle w:val="IndexLink"/>
                <w:rtl w:val="true"/>
              </w:rPr>
              <w:t>:]</w:t>
              <w:tab/>
            </w:r>
            <w:r>
              <w:rPr>
                <w:rStyle w:val="IndexLink"/>
              </w:rPr>
              <w:t>162</w:t>
            </w:r>
          </w:hyperlink>
        </w:p>
        <w:p>
          <w:pPr>
            <w:pStyle w:val="Contents5"/>
            <w:tabs>
              <w:tab w:val="clear" w:pos="7892"/>
              <w:tab w:val="right" w:pos="9026" w:leader="dot"/>
            </w:tabs>
            <w:rPr/>
          </w:pPr>
          <w:hyperlink w:anchor="__RefHeading___Toc2986391_3224264995">
            <w:r>
              <w:rPr>
                <w:webHidden/>
                <w:rStyle w:val="IndexLink"/>
                <w:rtl w:val="true"/>
              </w:rPr>
              <w:t>[</w:t>
            </w:r>
            <w:r>
              <w:rPr>
                <w:rStyle w:val="IndexLink"/>
                <w:rtl w:val="true"/>
              </w:rPr>
              <w:t>الأوّل</w:t>
            </w:r>
            <w:r>
              <w:rPr>
                <w:rStyle w:val="IndexLink"/>
                <w:rtl w:val="true"/>
              </w:rPr>
              <w:t xml:space="preserve">: </w:t>
            </w:r>
            <w:r>
              <w:rPr>
                <w:rStyle w:val="IndexLink"/>
                <w:rtl w:val="true"/>
              </w:rPr>
              <w:t>أنّ الفرق بین الخلافین</w:t>
            </w:r>
            <w:r>
              <w:rPr>
                <w:rStyle w:val="IndexLink"/>
                <w:rtl w:val="true"/>
              </w:rPr>
              <w:t>]</w:t>
              <w:tab/>
            </w:r>
            <w:r>
              <w:rPr>
                <w:rStyle w:val="IndexLink"/>
              </w:rPr>
              <w:t>162</w:t>
            </w:r>
          </w:hyperlink>
        </w:p>
        <w:p>
          <w:pPr>
            <w:pStyle w:val="Contents5"/>
            <w:tabs>
              <w:tab w:val="clear" w:pos="7892"/>
              <w:tab w:val="right" w:pos="9026" w:leader="dot"/>
            </w:tabs>
            <w:rPr/>
          </w:pPr>
          <w:hyperlink w:anchor="__RefHeading___Toc2986393_3224264995">
            <w:r>
              <w:rPr>
                <w:webHidden/>
                <w:rStyle w:val="IndexLink"/>
                <w:rtl w:val="true"/>
              </w:rPr>
              <w:t>[</w:t>
            </w:r>
            <w:r>
              <w:rPr>
                <w:rStyle w:val="IndexLink"/>
                <w:rtl w:val="true"/>
              </w:rPr>
              <w:t>الثانی</w:t>
            </w:r>
            <w:r>
              <w:rPr>
                <w:rStyle w:val="IndexLink"/>
                <w:rtl w:val="true"/>
              </w:rPr>
              <w:t xml:space="preserve">: </w:t>
            </w:r>
            <w:r>
              <w:rPr>
                <w:rStyle w:val="IndexLink"/>
                <w:rtl w:val="true"/>
              </w:rPr>
              <w:t>أنّ الثمرة فی النزاع</w:t>
            </w:r>
            <w:r>
              <w:rPr>
                <w:rStyle w:val="IndexLink"/>
                <w:rtl w:val="true"/>
              </w:rPr>
              <w:t>]</w:t>
              <w:tab/>
            </w:r>
            <w:r>
              <w:rPr>
                <w:rStyle w:val="IndexLink"/>
              </w:rPr>
              <w:t>162</w:t>
            </w:r>
          </w:hyperlink>
        </w:p>
        <w:p>
          <w:pPr>
            <w:pStyle w:val="Contents5"/>
            <w:tabs>
              <w:tab w:val="clear" w:pos="7892"/>
              <w:tab w:val="right" w:pos="9026" w:leader="dot"/>
            </w:tabs>
            <w:rPr/>
          </w:pPr>
          <w:hyperlink w:anchor="__RefHeading___Toc2986395_3224264995">
            <w:r>
              <w:rPr>
                <w:webHidden/>
                <w:rStyle w:val="IndexLink"/>
                <w:rtl w:val="true"/>
              </w:rPr>
              <w:t>[</w:t>
            </w:r>
            <w:r>
              <w:rPr>
                <w:rStyle w:val="IndexLink"/>
                <w:rtl w:val="true"/>
              </w:rPr>
              <w:t>الثالث</w:t>
            </w:r>
            <w:r>
              <w:rPr>
                <w:rStyle w:val="IndexLink"/>
                <w:rtl w:val="true"/>
              </w:rPr>
              <w:t xml:space="preserve">: </w:t>
            </w:r>
            <w:r>
              <w:rPr>
                <w:rStyle w:val="IndexLink"/>
                <w:rtl w:val="true"/>
              </w:rPr>
              <w:t>فی تحریر محلّ النزاع الأوّل،</w:t>
            </w:r>
            <w:r>
              <w:rPr>
                <w:rStyle w:val="IndexLink"/>
                <w:rtl w:val="true"/>
              </w:rPr>
              <w:t>]</w:t>
              <w:tab/>
            </w:r>
            <w:r>
              <w:rPr>
                <w:rStyle w:val="IndexLink"/>
              </w:rPr>
              <w:t>163</w:t>
            </w:r>
          </w:hyperlink>
        </w:p>
        <w:p>
          <w:pPr>
            <w:pStyle w:val="Contents5"/>
            <w:tabs>
              <w:tab w:val="clear" w:pos="7892"/>
              <w:tab w:val="right" w:pos="9026" w:leader="dot"/>
            </w:tabs>
            <w:rPr/>
          </w:pPr>
          <w:hyperlink w:anchor="__RefHeading___Toc2986397_3224264995">
            <w:r>
              <w:rPr>
                <w:webHidden/>
                <w:rStyle w:val="IndexLink"/>
                <w:rtl w:val="true"/>
              </w:rPr>
              <w:t>[</w:t>
            </w:r>
            <w:r>
              <w:rPr>
                <w:rStyle w:val="IndexLink"/>
                <w:rtl w:val="true"/>
              </w:rPr>
              <w:t>الرابع</w:t>
            </w:r>
            <w:r>
              <w:rPr>
                <w:rStyle w:val="IndexLink"/>
                <w:rtl w:val="true"/>
              </w:rPr>
              <w:t xml:space="preserve">: </w:t>
            </w:r>
            <w:r>
              <w:rPr>
                <w:rStyle w:val="IndexLink"/>
                <w:rtl w:val="true"/>
              </w:rPr>
              <w:t>فی بیان الأقوال</w:t>
            </w:r>
            <w:r>
              <w:rPr>
                <w:rStyle w:val="IndexLink"/>
                <w:rtl w:val="true"/>
              </w:rPr>
              <w:t>:]</w:t>
              <w:tab/>
            </w:r>
            <w:r>
              <w:rPr>
                <w:rStyle w:val="IndexLink"/>
              </w:rPr>
              <w:t>163</w:t>
            </w:r>
          </w:hyperlink>
        </w:p>
        <w:p>
          <w:pPr>
            <w:pStyle w:val="Contents5"/>
            <w:tabs>
              <w:tab w:val="clear" w:pos="7892"/>
              <w:tab w:val="right" w:pos="9026" w:leader="dot"/>
            </w:tabs>
            <w:rPr/>
          </w:pPr>
          <w:hyperlink w:anchor="__RefHeading___Toc2986399_3224264995">
            <w:r>
              <w:rPr>
                <w:webHidden/>
                <w:rStyle w:val="IndexLink"/>
                <w:rtl w:val="true"/>
              </w:rPr>
              <w:t>[</w:t>
            </w:r>
            <w:r>
              <w:rPr>
                <w:rStyle w:val="IndexLink"/>
                <w:rtl w:val="true"/>
              </w:rPr>
              <w:t>الخامس</w:t>
            </w:r>
            <w:r>
              <w:rPr>
                <w:rStyle w:val="IndexLink"/>
                <w:rtl w:val="true"/>
              </w:rPr>
              <w:t xml:space="preserve">: </w:t>
            </w:r>
            <w:r>
              <w:rPr>
                <w:rStyle w:val="IndexLink"/>
                <w:rtl w:val="true"/>
              </w:rPr>
              <w:t>فی تأسیس الأصل</w:t>
            </w:r>
            <w:r>
              <w:rPr>
                <w:rStyle w:val="IndexLink"/>
                <w:rtl w:val="true"/>
              </w:rPr>
              <w:t>]</w:t>
              <w:tab/>
            </w:r>
            <w:r>
              <w:rPr>
                <w:rStyle w:val="IndexLink"/>
              </w:rPr>
              <w:t>164</w:t>
            </w:r>
          </w:hyperlink>
        </w:p>
        <w:p>
          <w:pPr>
            <w:pStyle w:val="Contents6"/>
            <w:tabs>
              <w:tab w:val="clear" w:pos="7609"/>
              <w:tab w:val="right" w:pos="9026" w:leader="dot"/>
            </w:tabs>
            <w:rPr/>
          </w:pPr>
          <w:hyperlink w:anchor="__RefHeading___Toc2986401_3224264995">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2986403_3224264995">
            <w:r>
              <w:rPr>
                <w:webHidden/>
                <w:rStyle w:val="IndexLink"/>
                <w:rtl w:val="true"/>
              </w:rPr>
              <w:t>تنبیه</w:t>
            </w:r>
            <w:r>
              <w:rPr>
                <w:rStyle w:val="IndexLink"/>
                <w:rtl w:val="true"/>
              </w:rPr>
              <w:t>:</w:t>
              <w:tab/>
            </w:r>
            <w:r>
              <w:rPr>
                <w:rStyle w:val="IndexLink"/>
              </w:rPr>
              <w:t>165</w:t>
            </w:r>
          </w:hyperlink>
        </w:p>
        <w:p>
          <w:pPr>
            <w:pStyle w:val="Contents6"/>
            <w:tabs>
              <w:tab w:val="clear" w:pos="7609"/>
              <w:tab w:val="right" w:pos="9026" w:leader="dot"/>
            </w:tabs>
            <w:rPr/>
          </w:pPr>
          <w:hyperlink w:anchor="__RefHeading___Toc2986405_3224264995">
            <w:r>
              <w:rPr>
                <w:webHidden/>
                <w:rStyle w:val="IndexLink"/>
                <w:rtl w:val="true"/>
              </w:rPr>
              <w:t>تنبیه</w:t>
            </w:r>
            <w:r>
              <w:rPr>
                <w:rStyle w:val="IndexLink"/>
                <w:rtl w:val="true"/>
              </w:rPr>
              <w:t>:</w:t>
              <w:tab/>
            </w:r>
            <w:r>
              <w:rPr>
                <w:rStyle w:val="IndexLink"/>
              </w:rPr>
              <w:t>167</w:t>
            </w:r>
          </w:hyperlink>
        </w:p>
        <w:p>
          <w:pPr>
            <w:pStyle w:val="Contents3"/>
            <w:tabs>
              <w:tab w:val="clear" w:pos="8459"/>
              <w:tab w:val="right" w:pos="9026" w:leader="dot"/>
            </w:tabs>
            <w:rPr/>
          </w:pPr>
          <w:hyperlink w:anchor="__RefHeading___Toc2986407_3224264995">
            <w:r>
              <w:rPr>
                <w:webHidden/>
                <w:rStyle w:val="IndexLink"/>
                <w:rtl w:val="true"/>
              </w:rPr>
              <w:t>[</w:t>
            </w:r>
            <w:r>
              <w:rPr>
                <w:rStyle w:val="IndexLink"/>
                <w:rtl w:val="true"/>
              </w:rPr>
              <w:t>أصل فی مفهوم الحصر،</w:t>
            </w:r>
            <w:r>
              <w:rPr>
                <w:rStyle w:val="IndexLink"/>
                <w:rtl w:val="true"/>
              </w:rPr>
              <w:t>]</w:t>
              <w:tab/>
            </w:r>
            <w:r>
              <w:rPr>
                <w:rStyle w:val="IndexLink"/>
              </w:rPr>
              <w:t>169</w:t>
            </w:r>
          </w:hyperlink>
        </w:p>
        <w:p>
          <w:pPr>
            <w:pStyle w:val="Contents4"/>
            <w:tabs>
              <w:tab w:val="clear" w:pos="8176"/>
              <w:tab w:val="right" w:pos="9026" w:leader="dot"/>
            </w:tabs>
            <w:rPr/>
          </w:pPr>
          <w:hyperlink w:anchor="__RefHeading___Toc2986409_3224264995">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2986411_3224264995">
            <w:r>
              <w:rPr>
                <w:webHidden/>
                <w:rStyle w:val="IndexLink"/>
                <w:rtl w:val="true"/>
              </w:rPr>
              <w:t>[</w:t>
            </w:r>
            <w:r>
              <w:rPr>
                <w:rStyle w:val="IndexLink"/>
                <w:rtl w:val="true"/>
              </w:rPr>
              <w:t>ینبغی تأسیس الأصل</w:t>
            </w:r>
            <w:r>
              <w:rPr>
                <w:rStyle w:val="IndexLink"/>
                <w:rtl w:val="true"/>
              </w:rPr>
              <w:t>]</w:t>
              <w:tab/>
            </w:r>
            <w:r>
              <w:rPr>
                <w:rStyle w:val="IndexLink"/>
              </w:rPr>
              <w:t>171</w:t>
            </w:r>
          </w:hyperlink>
        </w:p>
        <w:p>
          <w:pPr>
            <w:pStyle w:val="Contents4"/>
            <w:tabs>
              <w:tab w:val="clear" w:pos="8176"/>
              <w:tab w:val="right" w:pos="9026" w:leader="dot"/>
            </w:tabs>
            <w:rPr/>
          </w:pPr>
          <w:hyperlink w:anchor="__RefHeading___Toc2986413_3224264995">
            <w:r>
              <w:rPr>
                <w:webHidden/>
                <w:rStyle w:val="IndexLink"/>
                <w:rtl w:val="true"/>
              </w:rPr>
              <w:t>[</w:t>
            </w:r>
            <w:r>
              <w:rPr>
                <w:rStyle w:val="IndexLink"/>
                <w:rtl w:val="true"/>
              </w:rPr>
              <w:t>الأدوات الدالة علی الحصر</w:t>
            </w:r>
            <w:r>
              <w:rPr>
                <w:rStyle w:val="IndexLink"/>
                <w:rtl w:val="true"/>
              </w:rPr>
              <w:t>]</w:t>
              <w:tab/>
            </w:r>
            <w:r>
              <w:rPr>
                <w:rStyle w:val="IndexLink"/>
              </w:rPr>
              <w:t>171</w:t>
            </w:r>
          </w:hyperlink>
        </w:p>
        <w:p>
          <w:pPr>
            <w:pStyle w:val="Contents2"/>
            <w:tabs>
              <w:tab w:val="clear" w:pos="8743"/>
              <w:tab w:val="right" w:pos="9026" w:leader="dot"/>
            </w:tabs>
            <w:rPr/>
          </w:pPr>
          <w:hyperlink w:anchor="__RefHeading___Toc2986415_3224264995">
            <w:r>
              <w:rPr>
                <w:webHidden/>
                <w:rStyle w:val="IndexLink"/>
                <w:rtl w:val="true"/>
              </w:rPr>
              <w:t>[</w:t>
            </w:r>
            <w:r>
              <w:rPr>
                <w:rStyle w:val="IndexLink"/>
                <w:rtl w:val="true"/>
              </w:rPr>
              <w:t>فی العام و الخاص</w:t>
            </w:r>
            <w:r>
              <w:rPr>
                <w:rStyle w:val="IndexLink"/>
                <w:rtl w:val="true"/>
              </w:rPr>
              <w:t>]</w:t>
              <w:tab/>
            </w:r>
            <w:r>
              <w:rPr>
                <w:rStyle w:val="IndexLink"/>
              </w:rPr>
              <w:t>179</w:t>
            </w:r>
          </w:hyperlink>
        </w:p>
        <w:p>
          <w:pPr>
            <w:pStyle w:val="Contents3"/>
            <w:tabs>
              <w:tab w:val="clear" w:pos="8459"/>
              <w:tab w:val="right" w:pos="9026" w:leader="dot"/>
            </w:tabs>
            <w:rPr/>
          </w:pPr>
          <w:hyperlink w:anchor="__RefHeading___Toc2986417_3224264995">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2986419_3224264995">
            <w:r>
              <w:rPr>
                <w:webHidden/>
                <w:rStyle w:val="IndexLink"/>
                <w:rtl w:val="true"/>
              </w:rPr>
              <w:t>[</w:t>
            </w:r>
            <w:r>
              <w:rPr>
                <w:rStyle w:val="IndexLink"/>
                <w:rtl w:val="true"/>
              </w:rPr>
              <w:t>معانی العام و الخاص</w:t>
            </w:r>
            <w:r>
              <w:rPr>
                <w:rStyle w:val="IndexLink"/>
                <w:rtl w:val="true"/>
              </w:rPr>
              <w:t>]</w:t>
              <w:tab/>
            </w:r>
            <w:r>
              <w:rPr>
                <w:rStyle w:val="IndexLink"/>
              </w:rPr>
              <w:t>179</w:t>
            </w:r>
          </w:hyperlink>
        </w:p>
        <w:p>
          <w:pPr>
            <w:pStyle w:val="Contents4"/>
            <w:tabs>
              <w:tab w:val="clear" w:pos="8176"/>
              <w:tab w:val="right" w:pos="9026" w:leader="dot"/>
            </w:tabs>
            <w:rPr/>
          </w:pPr>
          <w:hyperlink w:anchor="__RefHeading___Toc2986421_3224264995">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2986423_3224264995">
            <w:r>
              <w:rPr>
                <w:webHidden/>
                <w:rStyle w:val="IndexLink"/>
                <w:rtl w:val="true"/>
              </w:rPr>
              <w:t>تنبیهات</w:t>
            </w:r>
            <w:r>
              <w:rPr>
                <w:rStyle w:val="IndexLink"/>
                <w:rtl w:val="true"/>
              </w:rPr>
              <w:t>:</w:t>
              <w:tab/>
            </w:r>
            <w:r>
              <w:rPr>
                <w:rStyle w:val="IndexLink"/>
              </w:rPr>
              <w:t>182</w:t>
            </w:r>
          </w:hyperlink>
        </w:p>
        <w:p>
          <w:pPr>
            <w:pStyle w:val="Contents3"/>
            <w:tabs>
              <w:tab w:val="clear" w:pos="8459"/>
              <w:tab w:val="right" w:pos="9026" w:leader="dot"/>
            </w:tabs>
            <w:rPr/>
          </w:pPr>
          <w:hyperlink w:anchor="__RefHeading___Toc2986425_3224264995">
            <w:r>
              <w:rPr>
                <w:webHidden/>
                <w:rStyle w:val="IndexLink"/>
                <w:rtl w:val="true"/>
              </w:rPr>
              <w:t>[</w:t>
            </w:r>
            <w:r>
              <w:rPr>
                <w:rStyle w:val="IndexLink"/>
                <w:rtl w:val="true"/>
              </w:rPr>
              <w:t>أصل اختلفوا فی وضع لفظ للعموم</w:t>
            </w:r>
            <w:r>
              <w:rPr>
                <w:rStyle w:val="IndexLink"/>
                <w:rtl w:val="true"/>
              </w:rPr>
              <w:t>]</w:t>
              <w:tab/>
            </w:r>
            <w:r>
              <w:rPr>
                <w:rStyle w:val="IndexLink"/>
              </w:rPr>
              <w:t>188</w:t>
            </w:r>
          </w:hyperlink>
        </w:p>
        <w:p>
          <w:pPr>
            <w:pStyle w:val="Contents4"/>
            <w:tabs>
              <w:tab w:val="clear" w:pos="8176"/>
              <w:tab w:val="right" w:pos="9026" w:leader="dot"/>
            </w:tabs>
            <w:rPr/>
          </w:pPr>
          <w:hyperlink w:anchor="__RefHeading___Toc2986427_3224264995">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2986429_3224264995">
            <w:r>
              <w:rPr>
                <w:webHidden/>
                <w:rStyle w:val="IndexLink"/>
                <w:rtl w:val="true"/>
              </w:rPr>
              <w:t>[</w:t>
            </w:r>
            <w:r>
              <w:rPr>
                <w:rStyle w:val="IndexLink"/>
                <w:rtl w:val="true"/>
              </w:rPr>
              <w:t>تقدیم مقدّمات</w:t>
            </w:r>
            <w:r>
              <w:rPr>
                <w:rStyle w:val="IndexLink"/>
                <w:rtl w:val="true"/>
              </w:rPr>
              <w:t>.]</w:t>
              <w:tab/>
            </w:r>
            <w:r>
              <w:rPr>
                <w:rStyle w:val="IndexLink"/>
              </w:rPr>
              <w:t>188</w:t>
            </w:r>
          </w:hyperlink>
        </w:p>
        <w:p>
          <w:pPr>
            <w:pStyle w:val="Contents5"/>
            <w:tabs>
              <w:tab w:val="clear" w:pos="7892"/>
              <w:tab w:val="right" w:pos="9026" w:leader="dot"/>
            </w:tabs>
            <w:rPr/>
          </w:pPr>
          <w:hyperlink w:anchor="__RefHeading___Toc2986431_3224264995">
            <w:r>
              <w:rPr>
                <w:webHidden/>
                <w:rStyle w:val="IndexLink"/>
                <w:rtl w:val="true"/>
              </w:rPr>
              <w:t>[</w:t>
            </w:r>
            <w:r>
              <w:rPr>
                <w:rStyle w:val="IndexLink"/>
                <w:rtl w:val="true"/>
              </w:rPr>
              <w:t>الاولی</w:t>
            </w:r>
            <w:r>
              <w:rPr>
                <w:rStyle w:val="IndexLink"/>
                <w:rtl w:val="true"/>
              </w:rPr>
              <w:t xml:space="preserve">: </w:t>
            </w:r>
            <w:r>
              <w:rPr>
                <w:rStyle w:val="IndexLink"/>
                <w:rtl w:val="true"/>
              </w:rPr>
              <w:t>فی تفسیر المفردات المأخوذة فی العنوان</w:t>
            </w:r>
            <w:r>
              <w:rPr>
                <w:rStyle w:val="IndexLink"/>
                <w:rtl w:val="true"/>
              </w:rPr>
              <w:t>.]</w:t>
              <w:tab/>
            </w:r>
            <w:r>
              <w:rPr>
                <w:rStyle w:val="IndexLink"/>
              </w:rPr>
              <w:t>188</w:t>
            </w:r>
          </w:hyperlink>
        </w:p>
        <w:p>
          <w:pPr>
            <w:pStyle w:val="Contents5"/>
            <w:tabs>
              <w:tab w:val="clear" w:pos="7892"/>
              <w:tab w:val="right" w:pos="9026" w:leader="dot"/>
            </w:tabs>
            <w:rPr/>
          </w:pPr>
          <w:hyperlink w:anchor="__RefHeading___Toc2986433_3224264995">
            <w:r>
              <w:rPr>
                <w:webHidden/>
                <w:rStyle w:val="IndexLink"/>
                <w:rtl w:val="true"/>
              </w:rPr>
              <w:t>[</w:t>
            </w:r>
            <w:r>
              <w:rPr>
                <w:rStyle w:val="IndexLink"/>
                <w:rtl w:val="true"/>
              </w:rPr>
              <w:t>الثانیة</w:t>
            </w:r>
            <w:r>
              <w:rPr>
                <w:rStyle w:val="IndexLink"/>
                <w:rtl w:val="true"/>
              </w:rPr>
              <w:t xml:space="preserve">: </w:t>
            </w:r>
            <w:r>
              <w:rPr>
                <w:rStyle w:val="IndexLink"/>
                <w:rtl w:val="true"/>
              </w:rPr>
              <w:t>فی تأسیس الأصل فی المسألة،</w:t>
            </w:r>
            <w:r>
              <w:rPr>
                <w:rStyle w:val="IndexLink"/>
                <w:rtl w:val="true"/>
              </w:rPr>
              <w:t>]</w:t>
              <w:tab/>
            </w:r>
            <w:r>
              <w:rPr>
                <w:rStyle w:val="IndexLink"/>
              </w:rPr>
              <w:t>189</w:t>
            </w:r>
          </w:hyperlink>
        </w:p>
        <w:p>
          <w:pPr>
            <w:pStyle w:val="Contents5"/>
            <w:tabs>
              <w:tab w:val="clear" w:pos="7892"/>
              <w:tab w:val="right" w:pos="9026" w:leader="dot"/>
            </w:tabs>
            <w:rPr/>
          </w:pPr>
          <w:hyperlink w:anchor="__RefHeading___Toc2986435_3224264995">
            <w:r>
              <w:rPr>
                <w:webHidden/>
                <w:rStyle w:val="IndexLink"/>
                <w:rtl w:val="true"/>
              </w:rPr>
              <w:t>[</w:t>
            </w:r>
            <w:r>
              <w:rPr>
                <w:rStyle w:val="IndexLink"/>
                <w:rtl w:val="true"/>
              </w:rPr>
              <w:t>الثالثة</w:t>
            </w:r>
            <w:r>
              <w:rPr>
                <w:rStyle w:val="IndexLink"/>
                <w:rtl w:val="true"/>
              </w:rPr>
              <w:t xml:space="preserve">: </w:t>
            </w:r>
            <w:r>
              <w:rPr>
                <w:rStyle w:val="IndexLink"/>
                <w:rtl w:val="true"/>
              </w:rPr>
              <w:t>فی تعداد أقوال المسألة</w:t>
            </w:r>
            <w:r>
              <w:rPr>
                <w:rStyle w:val="IndexLink"/>
                <w:rtl w:val="true"/>
              </w:rPr>
              <w:t>]</w:t>
              <w:tab/>
            </w:r>
            <w:r>
              <w:rPr>
                <w:rStyle w:val="IndexLink"/>
              </w:rPr>
              <w:t>191</w:t>
            </w:r>
          </w:hyperlink>
        </w:p>
        <w:p>
          <w:pPr>
            <w:pStyle w:val="Contents4"/>
            <w:tabs>
              <w:tab w:val="clear" w:pos="8176"/>
              <w:tab w:val="right" w:pos="9026" w:leader="dot"/>
            </w:tabs>
            <w:rPr/>
          </w:pPr>
          <w:hyperlink w:anchor="__RefHeading___Toc2986437_3224264995">
            <w:r>
              <w:rPr>
                <w:webHidden/>
                <w:rStyle w:val="IndexLink"/>
                <w:rtl w:val="true"/>
              </w:rPr>
              <w:t>[</w:t>
            </w:r>
            <w:r>
              <w:rPr>
                <w:rStyle w:val="IndexLink"/>
                <w:rtl w:val="true"/>
              </w:rPr>
              <w:t>بیان مختار و الدلیل علیه</w:t>
            </w:r>
            <w:r>
              <w:rPr>
                <w:rStyle w:val="IndexLink"/>
                <w:rtl w:val="true"/>
              </w:rPr>
              <w:t>]</w:t>
              <w:tab/>
            </w:r>
            <w:r>
              <w:rPr>
                <w:rStyle w:val="IndexLink"/>
              </w:rPr>
              <w:t>192</w:t>
            </w:r>
          </w:hyperlink>
        </w:p>
        <w:p>
          <w:pPr>
            <w:pStyle w:val="Contents3"/>
            <w:tabs>
              <w:tab w:val="clear" w:pos="8459"/>
              <w:tab w:val="right" w:pos="9026" w:leader="dot"/>
            </w:tabs>
            <w:rPr/>
          </w:pPr>
          <w:hyperlink w:anchor="__RefHeading___Toc2986439_3224264995">
            <w:r>
              <w:rPr>
                <w:webHidden/>
                <w:rStyle w:val="IndexLink"/>
                <w:rtl w:val="true"/>
              </w:rPr>
              <w:t>[</w:t>
            </w:r>
            <w:r>
              <w:rPr>
                <w:rStyle w:val="IndexLink"/>
                <w:rtl w:val="true"/>
              </w:rPr>
              <w:t>أصل فی تعیین ما وضع للعموم</w:t>
            </w:r>
            <w:r>
              <w:rPr>
                <w:rStyle w:val="IndexLink"/>
                <w:rtl w:val="true"/>
              </w:rPr>
              <w:t>]</w:t>
              <w:tab/>
            </w:r>
            <w:r>
              <w:rPr>
                <w:rStyle w:val="IndexLink"/>
              </w:rPr>
              <w:t>193</w:t>
            </w:r>
          </w:hyperlink>
        </w:p>
        <w:p>
          <w:pPr>
            <w:pStyle w:val="Contents4"/>
            <w:tabs>
              <w:tab w:val="clear" w:pos="8176"/>
              <w:tab w:val="right" w:pos="9026" w:leader="dot"/>
            </w:tabs>
            <w:rPr/>
          </w:pPr>
          <w:hyperlink w:anchor="__RefHeading___Toc2986441_3224264995">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2986443_3224264995">
            <w:r>
              <w:rPr>
                <w:webHidden/>
                <w:rStyle w:val="IndexLink"/>
                <w:rtl w:val="true"/>
              </w:rPr>
              <w:t>[</w:t>
            </w:r>
            <w:r>
              <w:rPr>
                <w:rStyle w:val="IndexLink"/>
                <w:rtl w:val="true"/>
              </w:rPr>
              <w:t>الجمع المحلّی باللام،</w:t>
            </w:r>
            <w:r>
              <w:rPr>
                <w:rStyle w:val="IndexLink"/>
                <w:rtl w:val="true"/>
              </w:rPr>
              <w:t>]</w:t>
              <w:tab/>
            </w:r>
            <w:r>
              <w:rPr>
                <w:rStyle w:val="IndexLink"/>
              </w:rPr>
              <w:t>195</w:t>
            </w:r>
          </w:hyperlink>
        </w:p>
        <w:p>
          <w:pPr>
            <w:pStyle w:val="Contents4"/>
            <w:tabs>
              <w:tab w:val="clear" w:pos="8176"/>
              <w:tab w:val="right" w:pos="9026" w:leader="dot"/>
            </w:tabs>
            <w:rPr/>
          </w:pPr>
          <w:hyperlink w:anchor="__RefHeading___Toc2986445_3224264995">
            <w:r>
              <w:rPr>
                <w:webHidden/>
                <w:rStyle w:val="IndexLink"/>
                <w:rtl w:val="true"/>
              </w:rPr>
              <w:t>[</w:t>
            </w:r>
            <w:r>
              <w:rPr>
                <w:rStyle w:val="IndexLink"/>
                <w:rtl w:val="true"/>
              </w:rPr>
              <w:t>و أمّا المفرد المحلّی به</w:t>
            </w:r>
            <w:r>
              <w:rPr>
                <w:rStyle w:val="IndexLink"/>
                <w:rtl w:val="true"/>
              </w:rPr>
              <w:t>]</w:t>
              <w:tab/>
            </w:r>
            <w:r>
              <w:rPr>
                <w:rStyle w:val="IndexLink"/>
              </w:rPr>
              <w:t>204</w:t>
            </w:r>
          </w:hyperlink>
        </w:p>
        <w:p>
          <w:pPr>
            <w:pStyle w:val="Contents5"/>
            <w:tabs>
              <w:tab w:val="clear" w:pos="7892"/>
              <w:tab w:val="right" w:pos="9026" w:leader="dot"/>
            </w:tabs>
            <w:rPr/>
          </w:pPr>
          <w:hyperlink w:anchor="__RefHeading___Toc2986447_3224264995">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2986449_3224264995">
            <w:r>
              <w:rPr>
                <w:webHidden/>
                <w:rStyle w:val="IndexLink"/>
                <w:rtl w:val="true"/>
              </w:rPr>
              <w:t>تنبیهات</w:t>
            </w:r>
            <w:r>
              <w:rPr>
                <w:rStyle w:val="IndexLink"/>
                <w:rtl w:val="true"/>
              </w:rPr>
              <w:t>:</w:t>
              <w:tab/>
            </w:r>
            <w:r>
              <w:rPr>
                <w:rStyle w:val="IndexLink"/>
              </w:rPr>
              <w:t>206</w:t>
            </w:r>
          </w:hyperlink>
        </w:p>
        <w:p>
          <w:pPr>
            <w:pStyle w:val="Contents4"/>
            <w:tabs>
              <w:tab w:val="clear" w:pos="8176"/>
              <w:tab w:val="right" w:pos="9026" w:leader="dot"/>
            </w:tabs>
            <w:rPr/>
          </w:pPr>
          <w:hyperlink w:anchor="__RefHeading___Toc2986451_3224264995">
            <w:r>
              <w:rPr>
                <w:webHidden/>
                <w:rStyle w:val="IndexLink"/>
                <w:rtl w:val="true"/>
              </w:rPr>
              <w:t>[</w:t>
            </w:r>
            <w:r>
              <w:rPr>
                <w:rStyle w:val="IndexLink"/>
                <w:rtl w:val="true"/>
              </w:rPr>
              <w:t>و من جملة أسباب العموم النکرة فی سیاق النفی</w:t>
            </w:r>
            <w:r>
              <w:rPr>
                <w:rStyle w:val="IndexLink"/>
                <w:rtl w:val="true"/>
              </w:rPr>
              <w:t>]</w:t>
              <w:tab/>
            </w:r>
            <w:r>
              <w:rPr>
                <w:rStyle w:val="IndexLink"/>
              </w:rPr>
              <w:t>212</w:t>
            </w:r>
          </w:hyperlink>
        </w:p>
        <w:p>
          <w:pPr>
            <w:pStyle w:val="Contents4"/>
            <w:tabs>
              <w:tab w:val="clear" w:pos="8176"/>
              <w:tab w:val="right" w:pos="9026" w:leader="dot"/>
            </w:tabs>
            <w:rPr/>
          </w:pPr>
          <w:hyperlink w:anchor="__RefHeading___Toc2986453_3224264995">
            <w:r>
              <w:rPr>
                <w:webHidden/>
                <w:rStyle w:val="IndexLink"/>
                <w:rtl w:val="true"/>
              </w:rPr>
              <w:t>[</w:t>
            </w:r>
            <w:r>
              <w:rPr>
                <w:rStyle w:val="IndexLink"/>
                <w:rtl w:val="true"/>
              </w:rPr>
              <w:t>و من جملة أسباب العموم ما اشتهر نقله عن الشافعی من أنّ ترک الاستفصال</w:t>
            </w:r>
            <w:r>
              <w:rPr>
                <w:rStyle w:val="IndexLink"/>
                <w:rtl w:val="true"/>
              </w:rPr>
              <w:t>]</w:t>
              <w:tab/>
            </w:r>
            <w:r>
              <w:rPr>
                <w:rStyle w:val="IndexLink"/>
              </w:rPr>
              <w:t>224</w:t>
            </w:r>
          </w:hyperlink>
        </w:p>
        <w:p>
          <w:pPr>
            <w:pStyle w:val="Contents3"/>
            <w:tabs>
              <w:tab w:val="clear" w:pos="8459"/>
              <w:tab w:val="right" w:pos="9026" w:leader="dot"/>
            </w:tabs>
            <w:rPr/>
          </w:pPr>
          <w:hyperlink w:anchor="__RefHeading___Toc2986455_3224264995">
            <w:r>
              <w:rPr>
                <w:webHidden/>
                <w:rStyle w:val="IndexLink"/>
                <w:rtl w:val="true"/>
              </w:rPr>
              <w:t>[</w:t>
            </w:r>
            <w:r>
              <w:rPr>
                <w:rStyle w:val="IndexLink"/>
                <w:rtl w:val="true"/>
              </w:rPr>
              <w:t>أصل اختلفوا فی أنّ الخطابات الشفاهیة</w:t>
            </w:r>
            <w:r>
              <w:rPr>
                <w:rStyle w:val="IndexLink"/>
                <w:rtl w:val="true"/>
              </w:rPr>
              <w:t>]</w:t>
              <w:tab/>
            </w:r>
            <w:r>
              <w:rPr>
                <w:rStyle w:val="IndexLink"/>
              </w:rPr>
              <w:t>236</w:t>
            </w:r>
          </w:hyperlink>
        </w:p>
        <w:p>
          <w:pPr>
            <w:pStyle w:val="Contents4"/>
            <w:tabs>
              <w:tab w:val="clear" w:pos="8176"/>
              <w:tab w:val="right" w:pos="9026" w:leader="dot"/>
            </w:tabs>
            <w:rPr/>
          </w:pPr>
          <w:hyperlink w:anchor="__RefHeading___Toc2986457_3224264995">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2986459_3224264995">
            <w:r>
              <w:rPr>
                <w:webHidden/>
                <w:rStyle w:val="IndexLink"/>
                <w:rtl w:val="true"/>
              </w:rPr>
              <w:t>[ [</w:t>
            </w:r>
            <w:r>
              <w:rPr>
                <w:rStyle w:val="IndexLink"/>
                <w:rtl w:val="true"/>
              </w:rPr>
              <w:t>المقدّمة</w:t>
            </w:r>
            <w:r>
              <w:rPr>
                <w:rStyle w:val="IndexLink"/>
                <w:rtl w:val="true"/>
              </w:rPr>
              <w:t xml:space="preserve">] </w:t>
            </w:r>
            <w:r>
              <w:rPr>
                <w:rStyle w:val="IndexLink"/>
                <w:rtl w:val="true"/>
              </w:rPr>
              <w:t>الاولی</w:t>
            </w:r>
            <w:r>
              <w:rPr>
                <w:rStyle w:val="IndexLink"/>
                <w:rtl w:val="true"/>
              </w:rPr>
              <w:t xml:space="preserve">: </w:t>
            </w:r>
            <w:r>
              <w:rPr>
                <w:rStyle w:val="IndexLink"/>
                <w:rtl w:val="true"/>
              </w:rPr>
              <w:t>فی تحریر محلّ النزاع</w:t>
            </w:r>
            <w:r>
              <w:rPr>
                <w:rStyle w:val="IndexLink"/>
                <w:rtl w:val="true"/>
              </w:rPr>
              <w:t>]</w:t>
              <w:tab/>
            </w:r>
            <w:r>
              <w:rPr>
                <w:rStyle w:val="IndexLink"/>
              </w:rPr>
              <w:t>236</w:t>
            </w:r>
          </w:hyperlink>
        </w:p>
        <w:p>
          <w:pPr>
            <w:pStyle w:val="Contents4"/>
            <w:tabs>
              <w:tab w:val="clear" w:pos="8176"/>
              <w:tab w:val="right" w:pos="9026" w:leader="dot"/>
            </w:tabs>
            <w:rPr/>
          </w:pPr>
          <w:hyperlink w:anchor="__RefHeading___Toc2986461_3224264995">
            <w:r>
              <w:rPr>
                <w:webHidden/>
                <w:rStyle w:val="IndexLink"/>
                <w:rtl w:val="true"/>
              </w:rPr>
              <w:t>[</w:t>
            </w:r>
            <w:r>
              <w:rPr>
                <w:rStyle w:val="IndexLink"/>
                <w:rtl w:val="true"/>
              </w:rPr>
              <w:t>المقدمة الثانیة</w:t>
            </w:r>
            <w:r>
              <w:rPr>
                <w:rStyle w:val="IndexLink"/>
                <w:rtl w:val="true"/>
              </w:rPr>
              <w:t xml:space="preserve">: </w:t>
            </w:r>
            <w:r>
              <w:rPr>
                <w:rStyle w:val="IndexLink"/>
                <w:rtl w:val="true"/>
              </w:rPr>
              <w:t>فی بیان مراد من یقول باختصاص الخطاب أو بعمومه،</w:t>
            </w:r>
            <w:r>
              <w:rPr>
                <w:rStyle w:val="IndexLink"/>
                <w:rtl w:val="true"/>
              </w:rPr>
              <w:t>]</w:t>
              <w:tab/>
            </w:r>
            <w:r>
              <w:rPr>
                <w:rStyle w:val="IndexLink"/>
              </w:rPr>
              <w:t>241</w:t>
            </w:r>
          </w:hyperlink>
        </w:p>
        <w:p>
          <w:pPr>
            <w:pStyle w:val="Contents4"/>
            <w:tabs>
              <w:tab w:val="clear" w:pos="8176"/>
              <w:tab w:val="right" w:pos="9026" w:leader="dot"/>
            </w:tabs>
            <w:rPr/>
          </w:pPr>
          <w:hyperlink w:anchor="__RefHeading___Toc2986463_3224264995">
            <w:r>
              <w:rPr>
                <w:webHidden/>
                <w:rStyle w:val="IndexLink"/>
                <w:rtl w:val="true"/>
              </w:rPr>
              <w:t>[</w:t>
            </w:r>
            <w:r>
              <w:rPr>
                <w:rStyle w:val="IndexLink"/>
                <w:rtl w:val="true"/>
              </w:rPr>
              <w:t>المقدمة الثالثة</w:t>
            </w:r>
            <w:r>
              <w:rPr>
                <w:rStyle w:val="IndexLink"/>
                <w:rtl w:val="true"/>
              </w:rPr>
              <w:t xml:space="preserve">: </w:t>
            </w:r>
            <w:r>
              <w:rPr>
                <w:rStyle w:val="IndexLink"/>
                <w:rtl w:val="true"/>
              </w:rPr>
              <w:t>فی بیان أنّه هل یترتّب علی النزاع فی المسألة ثمرة عملیة</w:t>
            </w:r>
            <w:r>
              <w:rPr>
                <w:rStyle w:val="IndexLink"/>
                <w:rtl w:val="true"/>
              </w:rPr>
              <w:t>]</w:t>
              <w:tab/>
            </w:r>
            <w:r>
              <w:rPr>
                <w:rStyle w:val="IndexLink"/>
              </w:rPr>
              <w:t>248</w:t>
            </w:r>
          </w:hyperlink>
        </w:p>
        <w:p>
          <w:pPr>
            <w:pStyle w:val="Contents4"/>
            <w:tabs>
              <w:tab w:val="clear" w:pos="8176"/>
              <w:tab w:val="right" w:pos="9026" w:leader="dot"/>
            </w:tabs>
            <w:rPr/>
          </w:pPr>
          <w:hyperlink w:anchor="__RefHeading___Toc2986465_3224264995">
            <w:r>
              <w:rPr>
                <w:webHidden/>
                <w:rStyle w:val="IndexLink"/>
                <w:rtl w:val="true"/>
              </w:rPr>
              <w:t>[</w:t>
            </w:r>
            <w:r>
              <w:rPr>
                <w:rStyle w:val="IndexLink"/>
                <w:rtl w:val="true"/>
              </w:rPr>
              <w:t>حجّة المعمّمین وجوه یتوقّف الکلام فیها علی تقدیم مقدمة</w:t>
            </w:r>
            <w:r>
              <w:rPr>
                <w:rStyle w:val="IndexLink"/>
                <w:rtl w:val="true"/>
              </w:rPr>
              <w:t>]</w:t>
              <w:tab/>
            </w:r>
            <w:r>
              <w:rPr>
                <w:rStyle w:val="IndexLink"/>
              </w:rPr>
              <w:t>257</w:t>
            </w:r>
          </w:hyperlink>
        </w:p>
        <w:p>
          <w:pPr>
            <w:pStyle w:val="Contents5"/>
            <w:tabs>
              <w:tab w:val="clear" w:pos="7892"/>
              <w:tab w:val="right" w:pos="9026" w:leader="dot"/>
            </w:tabs>
            <w:rPr/>
          </w:pPr>
          <w:hyperlink w:anchor="__RefHeading___Toc2986467_3224264995">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2986469_3224264995">
            <w:r>
              <w:rPr>
                <w:webHidden/>
                <w:rStyle w:val="IndexLink"/>
                <w:rtl w:val="true"/>
              </w:rPr>
              <w:t>تنبیهات</w:t>
            </w:r>
            <w:r>
              <w:rPr>
                <w:rStyle w:val="IndexLink"/>
                <w:rtl w:val="true"/>
              </w:rPr>
              <w:t>:</w:t>
              <w:tab/>
            </w:r>
            <w:r>
              <w:rPr>
                <w:rStyle w:val="IndexLink"/>
              </w:rPr>
              <w:t>262</w:t>
            </w:r>
          </w:hyperlink>
        </w:p>
        <w:p>
          <w:pPr>
            <w:pStyle w:val="Contents6"/>
            <w:tabs>
              <w:tab w:val="clear" w:pos="7609"/>
              <w:tab w:val="right" w:pos="9026" w:leader="dot"/>
            </w:tabs>
            <w:rPr/>
          </w:pPr>
          <w:hyperlink w:anchor="__RefHeading___Toc2986471_3224264995">
            <w:r>
              <w:rPr>
                <w:webHidden/>
                <w:rStyle w:val="IndexLink"/>
                <w:rtl w:val="true"/>
              </w:rPr>
              <w:t>[</w:t>
            </w:r>
            <w:r>
              <w:rPr>
                <w:rStyle w:val="IndexLink"/>
                <w:rtl w:val="true"/>
              </w:rPr>
              <w:t>الأوّل</w:t>
            </w:r>
            <w:r>
              <w:rPr>
                <w:rStyle w:val="IndexLink"/>
                <w:rtl w:val="true"/>
              </w:rPr>
              <w:t xml:space="preserve">: </w:t>
            </w:r>
            <w:r>
              <w:rPr>
                <w:rStyle w:val="IndexLink"/>
                <w:rtl w:val="true"/>
              </w:rPr>
              <w:t>إنّ خطاب الحاضر هل یشمل الغائب أم لا؟</w:t>
            </w:r>
            <w:r>
              <w:rPr>
                <w:rStyle w:val="IndexLink"/>
                <w:rtl w:val="true"/>
              </w:rPr>
              <w:t>]</w:t>
              <w:tab/>
            </w:r>
            <w:r>
              <w:rPr>
                <w:rStyle w:val="IndexLink"/>
              </w:rPr>
              <w:t>262</w:t>
            </w:r>
          </w:hyperlink>
        </w:p>
        <w:p>
          <w:pPr>
            <w:pStyle w:val="Contents6"/>
            <w:tabs>
              <w:tab w:val="clear" w:pos="7609"/>
              <w:tab w:val="right" w:pos="9026" w:leader="dot"/>
            </w:tabs>
            <w:rPr/>
          </w:pPr>
          <w:hyperlink w:anchor="__RefHeading___Toc2986473_3224264995">
            <w:r>
              <w:rPr>
                <w:webHidden/>
                <w:rStyle w:val="IndexLink"/>
                <w:rtl w:val="true"/>
              </w:rPr>
              <w:t>[</w:t>
            </w:r>
            <w:r>
              <w:rPr>
                <w:rStyle w:val="IndexLink"/>
                <w:rtl w:val="true"/>
              </w:rPr>
              <w:t>الثانی</w:t>
            </w:r>
            <w:r>
              <w:rPr>
                <w:rStyle w:val="IndexLink"/>
                <w:rtl w:val="true"/>
              </w:rPr>
              <w:t xml:space="preserve">: </w:t>
            </w:r>
            <w:r>
              <w:rPr>
                <w:rStyle w:val="IndexLink"/>
                <w:rtl w:val="true"/>
              </w:rPr>
              <w:t>إنّ خطاب النبی هل یشمل الامّة أم لا؟ وجهان</w:t>
            </w:r>
            <w:r>
              <w:rPr>
                <w:rStyle w:val="IndexLink"/>
                <w:rtl w:val="true"/>
              </w:rPr>
              <w:t>.]</w:t>
              <w:tab/>
            </w:r>
            <w:r>
              <w:rPr>
                <w:rStyle w:val="IndexLink"/>
              </w:rPr>
              <w:t>263</w:t>
            </w:r>
          </w:hyperlink>
        </w:p>
        <w:p>
          <w:pPr>
            <w:pStyle w:val="Contents6"/>
            <w:tabs>
              <w:tab w:val="clear" w:pos="7609"/>
              <w:tab w:val="right" w:pos="9026" w:leader="dot"/>
            </w:tabs>
            <w:rPr/>
          </w:pPr>
          <w:hyperlink w:anchor="__RefHeading___Toc2986475_3224264995">
            <w:r>
              <w:rPr>
                <w:webHidden/>
                <w:rStyle w:val="IndexLink"/>
                <w:rtl w:val="true"/>
              </w:rPr>
              <w:t>[</w:t>
            </w:r>
            <w:r>
              <w:rPr>
                <w:rStyle w:val="IndexLink"/>
                <w:rtl w:val="true"/>
              </w:rPr>
              <w:t>الثالث</w:t>
            </w:r>
            <w:r>
              <w:rPr>
                <w:rStyle w:val="IndexLink"/>
                <w:rtl w:val="true"/>
              </w:rPr>
              <w:t xml:space="preserve">: </w:t>
            </w:r>
            <w:r>
              <w:rPr>
                <w:rStyle w:val="IndexLink"/>
                <w:rtl w:val="true"/>
              </w:rPr>
              <w:t>إنّ الجمع إن کان بمادّته مخصوصا بالذکور کالرجال أو بالاناث کالنساء</w:t>
            </w:r>
            <w:r>
              <w:rPr>
                <w:rStyle w:val="IndexLink"/>
                <w:rtl w:val="true"/>
              </w:rPr>
              <w:t>]</w:t>
              <w:tab/>
            </w:r>
            <w:r>
              <w:rPr>
                <w:rStyle w:val="IndexLink"/>
              </w:rPr>
              <w:t>264</w:t>
            </w:r>
          </w:hyperlink>
        </w:p>
        <w:p>
          <w:pPr>
            <w:pStyle w:val="Contents6"/>
            <w:tabs>
              <w:tab w:val="clear" w:pos="7609"/>
              <w:tab w:val="right" w:pos="9026" w:leader="dot"/>
            </w:tabs>
            <w:rPr/>
          </w:pPr>
          <w:hyperlink w:anchor="__RefHeading___Toc2986477_3224264995">
            <w:r>
              <w:rPr>
                <w:webHidden/>
                <w:rStyle w:val="IndexLink"/>
                <w:rtl w:val="true"/>
              </w:rPr>
              <w:t>[</w:t>
            </w:r>
            <w:r>
              <w:rPr>
                <w:rStyle w:val="IndexLink"/>
                <w:rtl w:val="true"/>
              </w:rPr>
              <w:t>الرابع</w:t>
            </w:r>
            <w:r>
              <w:rPr>
                <w:rStyle w:val="IndexLink"/>
                <w:rtl w:val="true"/>
              </w:rPr>
              <w:t xml:space="preserve">: </w:t>
            </w:r>
            <w:r>
              <w:rPr>
                <w:rStyle w:val="IndexLink"/>
                <w:rtl w:val="true"/>
              </w:rPr>
              <w:t>إنّ الخطاب المختصّ بالأحرار لا یشمل العبید اتّفاقا،</w:t>
            </w:r>
            <w:r>
              <w:rPr>
                <w:rStyle w:val="IndexLink"/>
                <w:rtl w:val="true"/>
              </w:rPr>
              <w:t>]</w:t>
              <w:tab/>
            </w:r>
            <w:r>
              <w:rPr>
                <w:rStyle w:val="IndexLink"/>
              </w:rPr>
              <w:t>265</w:t>
            </w:r>
          </w:hyperlink>
        </w:p>
        <w:p>
          <w:pPr>
            <w:pStyle w:val="Contents4"/>
            <w:tabs>
              <w:tab w:val="clear" w:pos="8176"/>
              <w:tab w:val="right" w:pos="9026" w:leader="dot"/>
            </w:tabs>
            <w:rPr/>
          </w:pPr>
          <w:hyperlink w:anchor="__RefHeading___Toc2986479_3224264995">
            <w:r>
              <w:rPr>
                <w:webHidden/>
                <w:rStyle w:val="IndexLink"/>
                <w:rtl w:val="true"/>
              </w:rPr>
              <w:t>فصل فی جملة من مباحث التخصیص</w:t>
            </w:r>
            <w:r>
              <w:rPr>
                <w:rStyle w:val="IndexLink"/>
                <w:rtl w:val="true"/>
              </w:rPr>
              <w:tab/>
            </w:r>
            <w:r>
              <w:rPr>
                <w:rStyle w:val="IndexLink"/>
              </w:rPr>
              <w:t>267</w:t>
            </w:r>
          </w:hyperlink>
        </w:p>
        <w:p>
          <w:pPr>
            <w:pStyle w:val="Contents5"/>
            <w:tabs>
              <w:tab w:val="clear" w:pos="7892"/>
              <w:tab w:val="right" w:pos="9026" w:leader="dot"/>
            </w:tabs>
            <w:rPr/>
          </w:pPr>
          <w:hyperlink w:anchor="__RefHeading___Toc2986481_3224264995">
            <w:r>
              <w:rPr>
                <w:webHidden/>
                <w:rStyle w:val="IndexLink"/>
                <w:rtl w:val="true"/>
              </w:rPr>
              <w:t>[</w:t>
            </w:r>
            <w:r>
              <w:rPr>
                <w:rStyle w:val="IndexLink"/>
                <w:rtl w:val="true"/>
              </w:rPr>
              <w:t>مقدّمة</w:t>
            </w:r>
            <w:r>
              <w:rPr>
                <w:rStyle w:val="IndexLink"/>
                <w:rtl w:val="true"/>
              </w:rPr>
              <w:t xml:space="preserve">: </w:t>
            </w:r>
            <w:r>
              <w:rPr>
                <w:rStyle w:val="IndexLink"/>
                <w:rtl w:val="true"/>
              </w:rPr>
              <w:t>الخاصّ قد مرّ تحدیده بغیر العامّ،</w:t>
            </w:r>
            <w:r>
              <w:rPr>
                <w:rStyle w:val="IndexLink"/>
                <w:rtl w:val="true"/>
              </w:rPr>
              <w:t>]</w:t>
              <w:tab/>
            </w:r>
            <w:r>
              <w:rPr>
                <w:rStyle w:val="IndexLink"/>
              </w:rPr>
              <w:t>267</w:t>
            </w:r>
          </w:hyperlink>
        </w:p>
        <w:p>
          <w:pPr>
            <w:pStyle w:val="Contents5"/>
            <w:tabs>
              <w:tab w:val="clear" w:pos="7892"/>
              <w:tab w:val="right" w:pos="9026" w:leader="dot"/>
            </w:tabs>
            <w:rPr/>
          </w:pPr>
          <w:hyperlink w:anchor="__RefHeading___Toc2986483_3224264995">
            <w:r>
              <w:rPr>
                <w:webHidden/>
                <w:rStyle w:val="IndexLink"/>
                <w:rtl w:val="true"/>
              </w:rPr>
              <w:t>[</w:t>
            </w:r>
            <w:r>
              <w:rPr>
                <w:rStyle w:val="IndexLink"/>
                <w:rtl w:val="true"/>
              </w:rPr>
              <w:t>الأوّل</w:t>
            </w:r>
            <w:r>
              <w:rPr>
                <w:rStyle w:val="IndexLink"/>
                <w:rtl w:val="true"/>
              </w:rPr>
              <w:t xml:space="preserve">: </w:t>
            </w:r>
            <w:r>
              <w:rPr>
                <w:rStyle w:val="IndexLink"/>
                <w:rtl w:val="true"/>
              </w:rPr>
              <w:t>ما استشکله بعضهم فی الفرق بین مخصّصیّة قید الوصف للموصوف</w:t>
            </w:r>
            <w:r>
              <w:rPr>
                <w:rStyle w:val="IndexLink"/>
                <w:rtl w:val="true"/>
              </w:rPr>
              <w:t>]</w:t>
              <w:tab/>
            </w:r>
            <w:r>
              <w:rPr>
                <w:rStyle w:val="IndexLink"/>
              </w:rPr>
              <w:t>269</w:t>
            </w:r>
          </w:hyperlink>
        </w:p>
        <w:p>
          <w:pPr>
            <w:pStyle w:val="Contents5"/>
            <w:tabs>
              <w:tab w:val="clear" w:pos="7892"/>
              <w:tab w:val="right" w:pos="9026" w:leader="dot"/>
            </w:tabs>
            <w:rPr/>
          </w:pPr>
          <w:hyperlink w:anchor="__RefHeading___Toc2986485_3224264995">
            <w:r>
              <w:rPr>
                <w:webHidden/>
                <w:rStyle w:val="IndexLink"/>
                <w:rtl w:val="true"/>
              </w:rPr>
              <w:t>[</w:t>
            </w:r>
            <w:r>
              <w:rPr>
                <w:rStyle w:val="IndexLink"/>
                <w:rtl w:val="true"/>
              </w:rPr>
              <w:t>الثانی</w:t>
            </w:r>
            <w:r>
              <w:rPr>
                <w:rStyle w:val="IndexLink"/>
                <w:rtl w:val="true"/>
              </w:rPr>
              <w:t xml:space="preserve">: </w:t>
            </w:r>
            <w:r>
              <w:rPr>
                <w:rStyle w:val="IndexLink"/>
                <w:rtl w:val="true"/>
              </w:rPr>
              <w:t xml:space="preserve">ما استشکله بعضهم من أنّ الاتّفاق علی عدّ الشرط و الاستثناء </w:t>
            </w:r>
            <w:r>
              <w:rPr>
                <w:rStyle w:val="IndexLink"/>
                <w:rtl w:val="true"/>
              </w:rPr>
              <w:t>...]</w:t>
              <w:tab/>
            </w:r>
            <w:r>
              <w:rPr>
                <w:rStyle w:val="IndexLink"/>
              </w:rPr>
              <w:t>269</w:t>
            </w:r>
          </w:hyperlink>
        </w:p>
        <w:p>
          <w:pPr>
            <w:pStyle w:val="Contents5"/>
            <w:tabs>
              <w:tab w:val="clear" w:pos="7892"/>
              <w:tab w:val="right" w:pos="9026" w:leader="dot"/>
            </w:tabs>
            <w:rPr/>
          </w:pPr>
          <w:hyperlink w:anchor="__RefHeading___Toc2986487_3224264995">
            <w:r>
              <w:rPr>
                <w:webHidden/>
                <w:rStyle w:val="IndexLink"/>
                <w:rtl w:val="true"/>
              </w:rPr>
              <w:t>[</w:t>
            </w:r>
            <w:r>
              <w:rPr>
                <w:rStyle w:val="IndexLink"/>
                <w:rtl w:val="true"/>
              </w:rPr>
              <w:t>الثالث</w:t>
            </w:r>
            <w:r>
              <w:rPr>
                <w:rStyle w:val="IndexLink"/>
                <w:rtl w:val="true"/>
              </w:rPr>
              <w:t xml:space="preserve">: </w:t>
            </w:r>
            <w:r>
              <w:rPr>
                <w:rStyle w:val="IndexLink"/>
                <w:rtl w:val="true"/>
              </w:rPr>
              <w:t xml:space="preserve">ما استشکله صاحب الفصول </w:t>
            </w:r>
            <w:r>
              <w:rPr>
                <w:rStyle w:val="IndexLink"/>
                <w:rtl w:val="true"/>
              </w:rPr>
              <w:t>...]</w:t>
              <w:tab/>
            </w:r>
            <w:r>
              <w:rPr>
                <w:rStyle w:val="IndexLink"/>
              </w:rPr>
              <w:t>270</w:t>
            </w:r>
          </w:hyperlink>
        </w:p>
        <w:p>
          <w:pPr>
            <w:pStyle w:val="Contents3"/>
            <w:tabs>
              <w:tab w:val="clear" w:pos="8459"/>
              <w:tab w:val="right" w:pos="9026" w:leader="dot"/>
            </w:tabs>
            <w:rPr/>
          </w:pPr>
          <w:hyperlink w:anchor="__RefHeading___Toc2986489_3224264995">
            <w:r>
              <w:rPr>
                <w:webHidden/>
                <w:rStyle w:val="IndexLink"/>
                <w:rtl w:val="true"/>
              </w:rPr>
              <w:t>[</w:t>
            </w:r>
            <w:r>
              <w:rPr>
                <w:rStyle w:val="IndexLink"/>
                <w:rtl w:val="true"/>
              </w:rPr>
              <w:t>أصل اختلفوا</w:t>
            </w:r>
            <w:r>
              <w:rPr>
                <w:rStyle w:val="IndexLink"/>
                <w:rtl w:val="true"/>
              </w:rPr>
              <w:t xml:space="preserve">- </w:t>
            </w:r>
            <w:r>
              <w:rPr>
                <w:rStyle w:val="IndexLink"/>
                <w:rtl w:val="true"/>
              </w:rPr>
              <w:t>بعد اتّفاقهم ظاهرا علی جواز التخصیص فی الجملة</w:t>
            </w:r>
            <w:r>
              <w:rPr>
                <w:rStyle w:val="IndexLink"/>
                <w:rtl w:val="true"/>
              </w:rPr>
              <w:t>]</w:t>
              <w:tab/>
            </w:r>
            <w:r>
              <w:rPr>
                <w:rStyle w:val="IndexLink"/>
              </w:rPr>
              <w:t>273</w:t>
            </w:r>
          </w:hyperlink>
        </w:p>
        <w:p>
          <w:pPr>
            <w:pStyle w:val="Contents4"/>
            <w:tabs>
              <w:tab w:val="clear" w:pos="8176"/>
              <w:tab w:val="right" w:pos="9026" w:leader="dot"/>
            </w:tabs>
            <w:rPr/>
          </w:pPr>
          <w:hyperlink w:anchor="__RefHeading___Toc2986491_3224264995">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2986493_3224264995">
            <w:r>
              <w:rPr>
                <w:webHidden/>
                <w:rStyle w:val="IndexLink"/>
                <w:rtl w:val="true"/>
              </w:rPr>
              <w:t>[</w:t>
            </w:r>
            <w:r>
              <w:rPr>
                <w:rStyle w:val="IndexLink"/>
                <w:rtl w:val="true"/>
              </w:rPr>
              <w:t>و ینبغی تقدیم مقدّمات</w:t>
            </w:r>
            <w:r>
              <w:rPr>
                <w:rStyle w:val="IndexLink"/>
                <w:rtl w:val="true"/>
              </w:rPr>
              <w:t>.]</w:t>
              <w:tab/>
            </w:r>
            <w:r>
              <w:rPr>
                <w:rStyle w:val="IndexLink"/>
              </w:rPr>
              <w:t>273</w:t>
            </w:r>
          </w:hyperlink>
        </w:p>
        <w:p>
          <w:pPr>
            <w:pStyle w:val="Contents5"/>
            <w:tabs>
              <w:tab w:val="clear" w:pos="7892"/>
              <w:tab w:val="right" w:pos="9026" w:leader="dot"/>
            </w:tabs>
            <w:rPr/>
          </w:pPr>
          <w:hyperlink w:anchor="__RefHeading___Toc2986495_3224264995">
            <w:r>
              <w:rPr>
                <w:webHidden/>
                <w:rStyle w:val="IndexLink"/>
                <w:rtl w:val="true"/>
              </w:rPr>
              <w:t>[ [</w:t>
            </w:r>
            <w:r>
              <w:rPr>
                <w:rStyle w:val="IndexLink"/>
                <w:rtl w:val="true"/>
              </w:rPr>
              <w:t>المقدّمة</w:t>
            </w:r>
            <w:r>
              <w:rPr>
                <w:rStyle w:val="IndexLink"/>
                <w:rtl w:val="true"/>
              </w:rPr>
              <w:t xml:space="preserve">] </w:t>
            </w:r>
            <w:r>
              <w:rPr>
                <w:rStyle w:val="IndexLink"/>
                <w:rtl w:val="true"/>
              </w:rPr>
              <w:t>الاولی</w:t>
            </w:r>
            <w:r>
              <w:rPr>
                <w:rStyle w:val="IndexLink"/>
                <w:rtl w:val="true"/>
              </w:rPr>
              <w:t xml:space="preserve">: </w:t>
            </w:r>
            <w:r>
              <w:rPr>
                <w:rStyle w:val="IndexLink"/>
                <w:rtl w:val="true"/>
              </w:rPr>
              <w:t>فی تحریر محلّ النزاع و هو من جهات</w:t>
            </w:r>
            <w:r>
              <w:rPr>
                <w:rStyle w:val="IndexLink"/>
                <w:rtl w:val="true"/>
              </w:rPr>
              <w:t>.]</w:t>
              <w:tab/>
            </w:r>
            <w:r>
              <w:rPr>
                <w:rStyle w:val="IndexLink"/>
              </w:rPr>
              <w:t>273</w:t>
            </w:r>
          </w:hyperlink>
        </w:p>
        <w:p>
          <w:pPr>
            <w:pStyle w:val="Contents5"/>
            <w:tabs>
              <w:tab w:val="clear" w:pos="7892"/>
              <w:tab w:val="right" w:pos="9026" w:leader="dot"/>
            </w:tabs>
            <w:rPr/>
          </w:pPr>
          <w:hyperlink w:anchor="__RefHeading___Toc2986497_3224264995">
            <w:r>
              <w:rPr>
                <w:webHidden/>
                <w:rStyle w:val="IndexLink"/>
                <w:rtl w:val="true"/>
              </w:rPr>
              <w:t>[</w:t>
            </w:r>
            <w:r>
              <w:rPr>
                <w:rStyle w:val="IndexLink"/>
                <w:rtl w:val="true"/>
              </w:rPr>
              <w:t>المقدّمة الثانیة</w:t>
            </w:r>
            <w:r>
              <w:rPr>
                <w:rStyle w:val="IndexLink"/>
                <w:rtl w:val="true"/>
              </w:rPr>
              <w:t xml:space="preserve">: </w:t>
            </w:r>
            <w:r>
              <w:rPr>
                <w:rStyle w:val="IndexLink"/>
                <w:rtl w:val="true"/>
              </w:rPr>
              <w:t>فی ثمرة النزاع</w:t>
            </w:r>
            <w:r>
              <w:rPr>
                <w:rStyle w:val="IndexLink"/>
                <w:rtl w:val="true"/>
              </w:rPr>
              <w:t>]</w:t>
              <w:tab/>
            </w:r>
            <w:r>
              <w:rPr>
                <w:rStyle w:val="IndexLink"/>
              </w:rPr>
              <w:t>275</w:t>
            </w:r>
          </w:hyperlink>
        </w:p>
        <w:p>
          <w:pPr>
            <w:pStyle w:val="Contents5"/>
            <w:tabs>
              <w:tab w:val="clear" w:pos="7892"/>
              <w:tab w:val="right" w:pos="9026" w:leader="dot"/>
            </w:tabs>
            <w:rPr/>
          </w:pPr>
          <w:hyperlink w:anchor="__RefHeading___Toc2986499_3224264995">
            <w:r>
              <w:rPr>
                <w:webHidden/>
                <w:rStyle w:val="IndexLink"/>
                <w:rtl w:val="true"/>
              </w:rPr>
              <w:t>[</w:t>
            </w:r>
            <w:r>
              <w:rPr>
                <w:rStyle w:val="IndexLink"/>
                <w:rtl w:val="true"/>
              </w:rPr>
              <w:t>المقدمة الثالثة</w:t>
            </w:r>
            <w:r>
              <w:rPr>
                <w:rStyle w:val="IndexLink"/>
                <w:rtl w:val="true"/>
              </w:rPr>
              <w:t xml:space="preserve">: </w:t>
            </w:r>
            <w:r>
              <w:rPr>
                <w:rStyle w:val="IndexLink"/>
                <w:rtl w:val="true"/>
              </w:rPr>
              <w:t>فی تأسیس الأصل،</w:t>
            </w:r>
            <w:r>
              <w:rPr>
                <w:rStyle w:val="IndexLink"/>
                <w:rtl w:val="true"/>
              </w:rPr>
              <w:t>]</w:t>
              <w:tab/>
            </w:r>
            <w:r>
              <w:rPr>
                <w:rStyle w:val="IndexLink"/>
              </w:rPr>
              <w:t>277</w:t>
            </w:r>
          </w:hyperlink>
        </w:p>
        <w:p>
          <w:pPr>
            <w:pStyle w:val="Contents4"/>
            <w:tabs>
              <w:tab w:val="clear" w:pos="8176"/>
              <w:tab w:val="right" w:pos="9026" w:leader="dot"/>
            </w:tabs>
            <w:rPr/>
          </w:pPr>
          <w:hyperlink w:anchor="__RefHeading___Toc2986501_3224264995">
            <w:r>
              <w:rPr>
                <w:webHidden/>
                <w:rStyle w:val="IndexLink"/>
                <w:rtl w:val="true"/>
              </w:rPr>
              <w:t>[</w:t>
            </w:r>
            <w:r>
              <w:rPr>
                <w:rStyle w:val="IndexLink"/>
                <w:rtl w:val="true"/>
              </w:rPr>
              <w:t>فاعلم أنّ حجّة القول بجواز التخصیص إلی الواحد</w:t>
            </w:r>
            <w:r>
              <w:rPr>
                <w:rStyle w:val="IndexLink"/>
                <w:rtl w:val="true"/>
              </w:rPr>
              <w:t>]</w:t>
              <w:tab/>
            </w:r>
            <w:r>
              <w:rPr>
                <w:rStyle w:val="IndexLink"/>
              </w:rPr>
              <w:t>278</w:t>
            </w:r>
          </w:hyperlink>
        </w:p>
        <w:p>
          <w:pPr>
            <w:pStyle w:val="Contents4"/>
            <w:tabs>
              <w:tab w:val="clear" w:pos="8176"/>
              <w:tab w:val="right" w:pos="9026" w:leader="dot"/>
            </w:tabs>
            <w:rPr/>
          </w:pPr>
          <w:hyperlink w:anchor="__RefHeading___Toc2986503_3224264995">
            <w:r>
              <w:rPr>
                <w:webHidden/>
                <w:rStyle w:val="IndexLink"/>
                <w:rtl w:val="true"/>
              </w:rPr>
              <w:t>[</w:t>
            </w:r>
            <w:r>
              <w:rPr>
                <w:rStyle w:val="IndexLink"/>
                <w:rtl w:val="true"/>
              </w:rPr>
              <w:t>حجة القول بعدم الجواز التخصیص عمّا لا یقرب من مدلول العام وجوه</w:t>
            </w:r>
            <w:r>
              <w:rPr>
                <w:rStyle w:val="IndexLink"/>
                <w:rtl w:val="true"/>
              </w:rPr>
              <w:t>:]</w:t>
              <w:tab/>
            </w:r>
            <w:r>
              <w:rPr>
                <w:rStyle w:val="IndexLink"/>
              </w:rPr>
              <w:t>280</w:t>
            </w:r>
          </w:hyperlink>
        </w:p>
        <w:p>
          <w:pPr>
            <w:pStyle w:val="Contents3"/>
            <w:tabs>
              <w:tab w:val="clear" w:pos="8459"/>
              <w:tab w:val="right" w:pos="9026" w:leader="dot"/>
            </w:tabs>
            <w:rPr/>
          </w:pPr>
          <w:hyperlink w:anchor="__RefHeading___Toc2986505_3224264995">
            <w:r>
              <w:rPr>
                <w:webHidden/>
                <w:rStyle w:val="IndexLink"/>
                <w:rtl w:val="true"/>
              </w:rPr>
              <w:t>[</w:t>
            </w:r>
            <w:r>
              <w:rPr>
                <w:rStyle w:val="IndexLink"/>
                <w:rtl w:val="true"/>
              </w:rPr>
              <w:t>أصل اختلفوا فی کون العامّ المخصّص حقیقة أو مجازا</w:t>
            </w:r>
            <w:r>
              <w:rPr>
                <w:rStyle w:val="IndexLink"/>
                <w:rtl w:val="true"/>
              </w:rPr>
              <w:t>]</w:t>
              <w:tab/>
            </w:r>
            <w:r>
              <w:rPr>
                <w:rStyle w:val="IndexLink"/>
              </w:rPr>
              <w:t>283</w:t>
            </w:r>
          </w:hyperlink>
        </w:p>
        <w:p>
          <w:pPr>
            <w:pStyle w:val="Contents4"/>
            <w:tabs>
              <w:tab w:val="clear" w:pos="8176"/>
              <w:tab w:val="right" w:pos="9026" w:leader="dot"/>
            </w:tabs>
            <w:rPr/>
          </w:pPr>
          <w:hyperlink w:anchor="__RefHeading___Toc2986507_3224264995">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2986509_3224264995">
            <w:r>
              <w:rPr>
                <w:webHidden/>
                <w:rStyle w:val="IndexLink"/>
                <w:rtl w:val="true"/>
              </w:rPr>
              <w:t>[ [</w:t>
            </w:r>
            <w:r>
              <w:rPr>
                <w:rStyle w:val="IndexLink"/>
                <w:rtl w:val="true"/>
              </w:rPr>
              <w:t>المقدّمة</w:t>
            </w:r>
            <w:r>
              <w:rPr>
                <w:rStyle w:val="IndexLink"/>
                <w:rtl w:val="true"/>
              </w:rPr>
              <w:t xml:space="preserve">] </w:t>
            </w:r>
            <w:r>
              <w:rPr>
                <w:rStyle w:val="IndexLink"/>
                <w:rtl w:val="true"/>
              </w:rPr>
              <w:t>الاولی</w:t>
            </w:r>
            <w:r>
              <w:rPr>
                <w:rStyle w:val="IndexLink"/>
                <w:rtl w:val="true"/>
              </w:rPr>
              <w:t xml:space="preserve">: </w:t>
            </w:r>
            <w:r>
              <w:rPr>
                <w:rStyle w:val="IndexLink"/>
                <w:rtl w:val="true"/>
              </w:rPr>
              <w:t>حکی تنصیص جماعة</w:t>
            </w:r>
            <w:r>
              <w:rPr>
                <w:rStyle w:val="IndexLink"/>
                <w:rtl w:val="true"/>
              </w:rPr>
              <w:t>]</w:t>
              <w:tab/>
            </w:r>
            <w:r>
              <w:rPr>
                <w:rStyle w:val="IndexLink"/>
              </w:rPr>
              <w:t>283</w:t>
            </w:r>
          </w:hyperlink>
        </w:p>
        <w:p>
          <w:pPr>
            <w:pStyle w:val="Contents4"/>
            <w:tabs>
              <w:tab w:val="clear" w:pos="8176"/>
              <w:tab w:val="right" w:pos="9026" w:leader="dot"/>
            </w:tabs>
            <w:rPr/>
          </w:pPr>
          <w:hyperlink w:anchor="__RefHeading___Toc2986511_3224264995">
            <w:r>
              <w:rPr>
                <w:webHidden/>
                <w:rStyle w:val="IndexLink"/>
                <w:rtl w:val="true"/>
              </w:rPr>
              <w:t>[</w:t>
            </w:r>
            <w:r>
              <w:rPr>
                <w:rStyle w:val="IndexLink"/>
                <w:rtl w:val="true"/>
              </w:rPr>
              <w:t>المقدمة الثانیة</w:t>
            </w:r>
            <w:r>
              <w:rPr>
                <w:rStyle w:val="IndexLink"/>
                <w:rtl w:val="true"/>
              </w:rPr>
              <w:t xml:space="preserve">: </w:t>
            </w:r>
            <w:r>
              <w:rPr>
                <w:rStyle w:val="IndexLink"/>
                <w:rtl w:val="true"/>
              </w:rPr>
              <w:t>أنّ الدلالة الوضعیة</w:t>
            </w:r>
            <w:r>
              <w:rPr>
                <w:rStyle w:val="IndexLink"/>
                <w:rtl w:val="true"/>
              </w:rPr>
              <w:t>]</w:t>
              <w:tab/>
            </w:r>
            <w:r>
              <w:rPr>
                <w:rStyle w:val="IndexLink"/>
              </w:rPr>
              <w:t>286</w:t>
            </w:r>
          </w:hyperlink>
        </w:p>
        <w:p>
          <w:pPr>
            <w:pStyle w:val="Contents4"/>
            <w:tabs>
              <w:tab w:val="clear" w:pos="8176"/>
              <w:tab w:val="right" w:pos="9026" w:leader="dot"/>
            </w:tabs>
            <w:rPr/>
          </w:pPr>
          <w:hyperlink w:anchor="__RefHeading___Toc2986513_3224264995">
            <w:r>
              <w:rPr>
                <w:webHidden/>
                <w:rStyle w:val="IndexLink"/>
                <w:rtl w:val="true"/>
              </w:rPr>
              <w:t>[</w:t>
            </w:r>
            <w:r>
              <w:rPr>
                <w:rStyle w:val="IndexLink"/>
                <w:rtl w:val="true"/>
              </w:rPr>
              <w:t>المقدمة الثالثة</w:t>
            </w:r>
            <w:r>
              <w:rPr>
                <w:rStyle w:val="IndexLink"/>
                <w:rtl w:val="true"/>
              </w:rPr>
              <w:t xml:space="preserve">: </w:t>
            </w:r>
            <w:r>
              <w:rPr>
                <w:rStyle w:val="IndexLink"/>
                <w:rtl w:val="true"/>
              </w:rPr>
              <w:t>اعلم أنّه لا خلاف فی صحّة الاستثناء</w:t>
            </w:r>
            <w:r>
              <w:rPr>
                <w:rStyle w:val="IndexLink"/>
                <w:rtl w:val="true"/>
              </w:rPr>
              <w:t>]</w:t>
              <w:tab/>
            </w:r>
            <w:r>
              <w:rPr>
                <w:rStyle w:val="IndexLink"/>
              </w:rPr>
              <w:t>291</w:t>
            </w:r>
          </w:hyperlink>
        </w:p>
        <w:p>
          <w:pPr>
            <w:pStyle w:val="Contents4"/>
            <w:tabs>
              <w:tab w:val="clear" w:pos="8176"/>
              <w:tab w:val="right" w:pos="9026" w:leader="dot"/>
            </w:tabs>
            <w:rPr/>
          </w:pPr>
          <w:hyperlink w:anchor="__RefHeading___Toc2986515_3224264995">
            <w:r>
              <w:rPr>
                <w:webHidden/>
                <w:rStyle w:val="IndexLink"/>
                <w:rtl w:val="true"/>
              </w:rPr>
              <w:t>[</w:t>
            </w:r>
            <w:r>
              <w:rPr>
                <w:rStyle w:val="IndexLink"/>
                <w:rtl w:val="true"/>
              </w:rPr>
              <w:t>المقدّمة الرابعة</w:t>
            </w:r>
            <w:r>
              <w:rPr>
                <w:rStyle w:val="IndexLink"/>
                <w:rtl w:val="true"/>
              </w:rPr>
              <w:t xml:space="preserve">: </w:t>
            </w:r>
            <w:r>
              <w:rPr>
                <w:rStyle w:val="IndexLink"/>
                <w:rtl w:val="true"/>
              </w:rPr>
              <w:t>هل النزاع مختصّ بالقائلین بوضع الألفاظ</w:t>
            </w:r>
            <w:r>
              <w:rPr>
                <w:rStyle w:val="IndexLink"/>
                <w:rtl w:val="true"/>
              </w:rPr>
              <w:t>]</w:t>
              <w:tab/>
            </w:r>
            <w:r>
              <w:rPr>
                <w:rStyle w:val="IndexLink"/>
              </w:rPr>
              <w:t>297</w:t>
            </w:r>
          </w:hyperlink>
        </w:p>
        <w:p>
          <w:pPr>
            <w:pStyle w:val="Contents4"/>
            <w:tabs>
              <w:tab w:val="clear" w:pos="8176"/>
              <w:tab w:val="right" w:pos="9026" w:leader="dot"/>
            </w:tabs>
            <w:rPr/>
          </w:pPr>
          <w:hyperlink w:anchor="__RefHeading___Toc2986517_3224264995">
            <w:r>
              <w:rPr>
                <w:webHidden/>
                <w:rStyle w:val="IndexLink"/>
                <w:rtl w:val="true"/>
              </w:rPr>
              <w:t>[</w:t>
            </w:r>
            <w:r>
              <w:rPr>
                <w:rStyle w:val="IndexLink"/>
                <w:rtl w:val="true"/>
              </w:rPr>
              <w:t>المقدّمة الخامسة</w:t>
            </w:r>
            <w:r>
              <w:rPr>
                <w:rStyle w:val="IndexLink"/>
                <w:rtl w:val="true"/>
              </w:rPr>
              <w:t xml:space="preserve">: </w:t>
            </w:r>
            <w:r>
              <w:rPr>
                <w:rStyle w:val="IndexLink"/>
                <w:rtl w:val="true"/>
              </w:rPr>
              <w:t>فی تأسیس الأصل العملی و اللفظی</w:t>
            </w:r>
            <w:r>
              <w:rPr>
                <w:rStyle w:val="IndexLink"/>
                <w:rtl w:val="true"/>
              </w:rPr>
              <w:t>]</w:t>
              <w:tab/>
            </w:r>
            <w:r>
              <w:rPr>
                <w:rStyle w:val="IndexLink"/>
              </w:rPr>
              <w:t>297</w:t>
            </w:r>
          </w:hyperlink>
        </w:p>
        <w:p>
          <w:pPr>
            <w:pStyle w:val="Contents4"/>
            <w:tabs>
              <w:tab w:val="clear" w:pos="8176"/>
              <w:tab w:val="right" w:pos="9026" w:leader="dot"/>
            </w:tabs>
            <w:rPr/>
          </w:pPr>
          <w:hyperlink w:anchor="__RefHeading___Toc2986519_3224264995">
            <w:r>
              <w:rPr>
                <w:webHidden/>
                <w:rStyle w:val="IndexLink"/>
                <w:rtl w:val="true"/>
              </w:rPr>
              <w:t>[</w:t>
            </w:r>
            <w:r>
              <w:rPr>
                <w:rStyle w:val="IndexLink"/>
                <w:rtl w:val="true"/>
              </w:rPr>
              <w:t>المقدمة السادسة</w:t>
            </w:r>
            <w:r>
              <w:rPr>
                <w:rStyle w:val="IndexLink"/>
                <w:rtl w:val="true"/>
              </w:rPr>
              <w:t xml:space="preserve">: </w:t>
            </w:r>
            <w:r>
              <w:rPr>
                <w:rStyle w:val="IndexLink"/>
                <w:rtl w:val="true"/>
              </w:rPr>
              <w:t>ثمرة النزاع</w:t>
            </w:r>
            <w:r>
              <w:rPr>
                <w:rStyle w:val="IndexLink"/>
                <w:rtl w:val="true"/>
              </w:rPr>
              <w:t>]</w:t>
              <w:tab/>
            </w:r>
            <w:r>
              <w:rPr>
                <w:rStyle w:val="IndexLink"/>
              </w:rPr>
              <w:t>298</w:t>
            </w:r>
          </w:hyperlink>
        </w:p>
        <w:p>
          <w:pPr>
            <w:pStyle w:val="Contents3"/>
            <w:tabs>
              <w:tab w:val="clear" w:pos="8459"/>
              <w:tab w:val="right" w:pos="9026" w:leader="dot"/>
            </w:tabs>
            <w:rPr/>
          </w:pPr>
          <w:hyperlink w:anchor="__RefHeading___Toc2986521_3224264995">
            <w:r>
              <w:rPr>
                <w:webHidden/>
                <w:rStyle w:val="IndexLink"/>
                <w:rtl w:val="true"/>
              </w:rPr>
              <w:t>[</w:t>
            </w:r>
            <w:r>
              <w:rPr>
                <w:rStyle w:val="IndexLink"/>
                <w:rtl w:val="true"/>
              </w:rPr>
              <w:t>أصل اختلفوا فی حجیّة العامّ المخصّص علی أقوال</w:t>
            </w:r>
            <w:r>
              <w:rPr>
                <w:rStyle w:val="IndexLink"/>
                <w:rtl w:val="true"/>
              </w:rPr>
              <w:t>]</w:t>
              <w:tab/>
            </w:r>
            <w:r>
              <w:rPr>
                <w:rStyle w:val="IndexLink"/>
              </w:rPr>
              <w:t>299</w:t>
            </w:r>
          </w:hyperlink>
        </w:p>
        <w:p>
          <w:pPr>
            <w:pStyle w:val="Contents4"/>
            <w:tabs>
              <w:tab w:val="clear" w:pos="8176"/>
              <w:tab w:val="right" w:pos="9026" w:leader="dot"/>
            </w:tabs>
            <w:rPr/>
          </w:pPr>
          <w:hyperlink w:anchor="__RefHeading___Toc2986523_3224264995">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2986525_3224264995">
            <w:r>
              <w:rPr>
                <w:webHidden/>
                <w:rStyle w:val="IndexLink"/>
                <w:rtl w:val="true"/>
              </w:rPr>
              <w:t>[</w:t>
            </w:r>
            <w:r>
              <w:rPr>
                <w:rStyle w:val="IndexLink"/>
                <w:rtl w:val="true"/>
              </w:rPr>
              <w:t>و أمّا العامّ المخصّص بالمبیّن</w:t>
            </w:r>
            <w:r>
              <w:rPr>
                <w:rStyle w:val="IndexLink"/>
                <w:rtl w:val="true"/>
              </w:rPr>
              <w:t>]</w:t>
              <w:tab/>
            </w:r>
            <w:r>
              <w:rPr>
                <w:rStyle w:val="IndexLink"/>
              </w:rPr>
              <w:t>307</w:t>
            </w:r>
          </w:hyperlink>
        </w:p>
        <w:p>
          <w:pPr>
            <w:pStyle w:val="Contents5"/>
            <w:tabs>
              <w:tab w:val="clear" w:pos="7892"/>
              <w:tab w:val="right" w:pos="9026" w:leader="dot"/>
            </w:tabs>
            <w:rPr/>
          </w:pPr>
          <w:hyperlink w:anchor="__RefHeading___Toc2986527_3224264995">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2986529_3224264995">
            <w:r>
              <w:rPr>
                <w:webHidden/>
                <w:rStyle w:val="IndexLink"/>
                <w:rtl w:val="true"/>
              </w:rPr>
              <w:t>و ینبغی التنبیه علی امور</w:t>
            </w:r>
            <w:r>
              <w:rPr>
                <w:rStyle w:val="IndexLink"/>
                <w:rtl w:val="true"/>
              </w:rPr>
              <w:t>:</w:t>
              <w:tab/>
            </w:r>
            <w:r>
              <w:rPr>
                <w:rStyle w:val="IndexLink"/>
              </w:rPr>
              <w:t>308</w:t>
            </w:r>
          </w:hyperlink>
        </w:p>
        <w:p>
          <w:pPr>
            <w:pStyle w:val="Contents3"/>
            <w:tabs>
              <w:tab w:val="clear" w:pos="8459"/>
              <w:tab w:val="right" w:pos="9026" w:leader="dot"/>
            </w:tabs>
            <w:rPr/>
          </w:pPr>
          <w:hyperlink w:anchor="__RefHeading___Toc2986531_3224264995">
            <w:r>
              <w:rPr>
                <w:webHidden/>
                <w:rStyle w:val="IndexLink"/>
                <w:rtl w:val="true"/>
              </w:rPr>
              <w:t>[</w:t>
            </w:r>
            <w:r>
              <w:rPr>
                <w:rStyle w:val="IndexLink"/>
                <w:rtl w:val="true"/>
              </w:rPr>
              <w:t>أصل هل یجوز العمل بالعامّ قبل الفحص عن المخصّص،</w:t>
            </w:r>
            <w:r>
              <w:rPr>
                <w:rStyle w:val="IndexLink"/>
                <w:rtl w:val="true"/>
              </w:rPr>
              <w:t>]</w:t>
              <w:tab/>
            </w:r>
            <w:r>
              <w:rPr>
                <w:rStyle w:val="IndexLink"/>
              </w:rPr>
              <w:t>310</w:t>
            </w:r>
          </w:hyperlink>
        </w:p>
        <w:p>
          <w:pPr>
            <w:pStyle w:val="Contents4"/>
            <w:tabs>
              <w:tab w:val="clear" w:pos="8176"/>
              <w:tab w:val="right" w:pos="9026" w:leader="dot"/>
            </w:tabs>
            <w:rPr/>
          </w:pPr>
          <w:hyperlink w:anchor="__RefHeading___Toc2986533_3224264995">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2986535_3224264995">
            <w:r>
              <w:rPr>
                <w:webHidden/>
                <w:rStyle w:val="IndexLink"/>
                <w:rtl w:val="true"/>
              </w:rPr>
              <w:t>[</w:t>
            </w:r>
            <w:r>
              <w:rPr>
                <w:rStyle w:val="IndexLink"/>
                <w:rtl w:val="true"/>
              </w:rPr>
              <w:t>الأوّل</w:t>
            </w:r>
            <w:r>
              <w:rPr>
                <w:rStyle w:val="IndexLink"/>
                <w:rtl w:val="true"/>
              </w:rPr>
              <w:t xml:space="preserve">: </w:t>
            </w:r>
            <w:r>
              <w:rPr>
                <w:rStyle w:val="IndexLink"/>
                <w:rtl w:val="true"/>
              </w:rPr>
              <w:t>فی بیان مبنی النزاع،</w:t>
            </w:r>
            <w:r>
              <w:rPr>
                <w:rStyle w:val="IndexLink"/>
                <w:rtl w:val="true"/>
              </w:rPr>
              <w:t>]</w:t>
              <w:tab/>
            </w:r>
            <w:r>
              <w:rPr>
                <w:rStyle w:val="IndexLink"/>
              </w:rPr>
              <w:t>310</w:t>
            </w:r>
          </w:hyperlink>
        </w:p>
        <w:p>
          <w:pPr>
            <w:pStyle w:val="Contents4"/>
            <w:tabs>
              <w:tab w:val="clear" w:pos="8176"/>
              <w:tab w:val="right" w:pos="9026" w:leader="dot"/>
            </w:tabs>
            <w:rPr/>
          </w:pPr>
          <w:hyperlink w:anchor="__RefHeading___Toc2986537_3224264995">
            <w:r>
              <w:rPr>
                <w:webHidden/>
                <w:rStyle w:val="IndexLink"/>
                <w:rtl w:val="true"/>
              </w:rPr>
              <w:t>[</w:t>
            </w:r>
            <w:r>
              <w:rPr>
                <w:rStyle w:val="IndexLink"/>
                <w:rtl w:val="true"/>
              </w:rPr>
              <w:t>الثانی</w:t>
            </w:r>
            <w:r>
              <w:rPr>
                <w:rStyle w:val="IndexLink"/>
                <w:rtl w:val="true"/>
              </w:rPr>
              <w:t xml:space="preserve">: </w:t>
            </w:r>
            <w:r>
              <w:rPr>
                <w:rStyle w:val="IndexLink"/>
                <w:rtl w:val="true"/>
              </w:rPr>
              <w:t>فی تحریر محلّ النزاع،</w:t>
            </w:r>
            <w:r>
              <w:rPr>
                <w:rStyle w:val="IndexLink"/>
                <w:rtl w:val="true"/>
              </w:rPr>
              <w:t>]</w:t>
              <w:tab/>
            </w:r>
            <w:r>
              <w:rPr>
                <w:rStyle w:val="IndexLink"/>
              </w:rPr>
              <w:t>311</w:t>
            </w:r>
          </w:hyperlink>
        </w:p>
        <w:p>
          <w:pPr>
            <w:pStyle w:val="Contents4"/>
            <w:tabs>
              <w:tab w:val="clear" w:pos="8176"/>
              <w:tab w:val="right" w:pos="9026" w:leader="dot"/>
            </w:tabs>
            <w:rPr/>
          </w:pPr>
          <w:hyperlink w:anchor="__RefHeading___Toc2986539_3224264995">
            <w:r>
              <w:rPr>
                <w:webHidden/>
                <w:rStyle w:val="IndexLink"/>
                <w:rtl w:val="true"/>
              </w:rPr>
              <w:t>[</w:t>
            </w:r>
            <w:r>
              <w:rPr>
                <w:rStyle w:val="IndexLink"/>
                <w:rtl w:val="true"/>
              </w:rPr>
              <w:t>الثالث</w:t>
            </w:r>
            <w:r>
              <w:rPr>
                <w:rStyle w:val="IndexLink"/>
                <w:rtl w:val="true"/>
              </w:rPr>
              <w:t xml:space="preserve">: </w:t>
            </w:r>
            <w:r>
              <w:rPr>
                <w:rStyle w:val="IndexLink"/>
                <w:rtl w:val="true"/>
              </w:rPr>
              <w:t>فی تأسیس الأصل،</w:t>
            </w:r>
            <w:r>
              <w:rPr>
                <w:rStyle w:val="IndexLink"/>
                <w:rtl w:val="true"/>
              </w:rPr>
              <w:t>]</w:t>
              <w:tab/>
            </w:r>
            <w:r>
              <w:rPr>
                <w:rStyle w:val="IndexLink"/>
              </w:rPr>
              <w:t>313</w:t>
            </w:r>
          </w:hyperlink>
        </w:p>
        <w:p>
          <w:pPr>
            <w:pStyle w:val="Contents4"/>
            <w:tabs>
              <w:tab w:val="clear" w:pos="8176"/>
              <w:tab w:val="right" w:pos="9026" w:leader="dot"/>
            </w:tabs>
            <w:rPr/>
          </w:pPr>
          <w:hyperlink w:anchor="__RefHeading___Toc2986541_3224264995">
            <w:r>
              <w:rPr>
                <w:webHidden/>
                <w:rStyle w:val="IndexLink"/>
                <w:rtl w:val="true"/>
              </w:rPr>
              <w:t>[</w:t>
            </w:r>
            <w:r>
              <w:rPr>
                <w:rStyle w:val="IndexLink"/>
                <w:rtl w:val="true"/>
              </w:rPr>
              <w:t>حجّة مجوّز العمل بالعام قبل الفحص وجوه، منها</w:t>
            </w:r>
            <w:r>
              <w:rPr>
                <w:rStyle w:val="IndexLink"/>
                <w:rtl w:val="true"/>
              </w:rPr>
              <w:t>]</w:t>
              <w:tab/>
            </w:r>
            <w:r>
              <w:rPr>
                <w:rStyle w:val="IndexLink"/>
              </w:rPr>
              <w:t>319</w:t>
            </w:r>
          </w:hyperlink>
        </w:p>
        <w:p>
          <w:pPr>
            <w:pStyle w:val="Contents3"/>
            <w:tabs>
              <w:tab w:val="clear" w:pos="8459"/>
              <w:tab w:val="right" w:pos="9026" w:leader="dot"/>
            </w:tabs>
            <w:rPr/>
          </w:pPr>
          <w:hyperlink w:anchor="__RefHeading___Toc2986543_3224264995">
            <w:r>
              <w:rPr>
                <w:webHidden/>
                <w:rStyle w:val="IndexLink"/>
                <w:rtl w:val="true"/>
              </w:rPr>
              <w:t>[</w:t>
            </w:r>
            <w:r>
              <w:rPr>
                <w:rStyle w:val="IndexLink"/>
                <w:rtl w:val="true"/>
              </w:rPr>
              <w:t>أصل المستثنی و المستثنی منه</w:t>
            </w:r>
            <w:r>
              <w:rPr>
                <w:rStyle w:val="IndexLink"/>
                <w:rtl w:val="true"/>
              </w:rPr>
              <w:t>]</w:t>
              <w:tab/>
            </w:r>
            <w:r>
              <w:rPr>
                <w:rStyle w:val="IndexLink"/>
              </w:rPr>
              <w:t>329</w:t>
            </w:r>
          </w:hyperlink>
        </w:p>
        <w:p>
          <w:pPr>
            <w:pStyle w:val="Contents4"/>
            <w:tabs>
              <w:tab w:val="clear" w:pos="8176"/>
              <w:tab w:val="right" w:pos="9026" w:leader="dot"/>
            </w:tabs>
            <w:rPr/>
          </w:pPr>
          <w:hyperlink w:anchor="__RefHeading___Toc2986545_3224264995">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2986547_3224264995">
            <w:r>
              <w:rPr>
                <w:webHidden/>
                <w:rStyle w:val="IndexLink"/>
                <w:rtl w:val="true"/>
              </w:rPr>
              <w:t>[ [</w:t>
            </w:r>
            <w:r>
              <w:rPr>
                <w:rStyle w:val="IndexLink"/>
                <w:rtl w:val="true"/>
              </w:rPr>
              <w:t>المطلب</w:t>
            </w:r>
            <w:r>
              <w:rPr>
                <w:rStyle w:val="IndexLink"/>
                <w:rtl w:val="true"/>
              </w:rPr>
              <w:t xml:space="preserve">] </w:t>
            </w:r>
            <w:r>
              <w:rPr>
                <w:rStyle w:val="IndexLink"/>
                <w:rtl w:val="true"/>
              </w:rPr>
              <w:t>الأوّل</w:t>
            </w:r>
            <w:r>
              <w:rPr>
                <w:rStyle w:val="IndexLink"/>
                <w:rtl w:val="true"/>
              </w:rPr>
              <w:t xml:space="preserve">: </w:t>
            </w:r>
            <w:r>
              <w:rPr>
                <w:rStyle w:val="IndexLink"/>
                <w:rtl w:val="true"/>
              </w:rPr>
              <w:t>فی تحریر محلّ النزاع،</w:t>
            </w:r>
            <w:r>
              <w:rPr>
                <w:rStyle w:val="IndexLink"/>
                <w:rtl w:val="true"/>
              </w:rPr>
              <w:t>]</w:t>
              <w:tab/>
            </w:r>
            <w:r>
              <w:rPr>
                <w:rStyle w:val="IndexLink"/>
              </w:rPr>
              <w:t>330</w:t>
            </w:r>
          </w:hyperlink>
        </w:p>
        <w:p>
          <w:pPr>
            <w:pStyle w:val="Contents4"/>
            <w:tabs>
              <w:tab w:val="clear" w:pos="8176"/>
              <w:tab w:val="right" w:pos="9026" w:leader="dot"/>
            </w:tabs>
            <w:rPr/>
          </w:pPr>
          <w:hyperlink w:anchor="__RefHeading___Toc2986549_3224264995">
            <w:r>
              <w:rPr>
                <w:webHidden/>
                <w:rStyle w:val="IndexLink"/>
                <w:rtl w:val="true"/>
              </w:rPr>
              <w:t>[</w:t>
            </w:r>
            <w:r>
              <w:rPr>
                <w:rStyle w:val="IndexLink"/>
                <w:rtl w:val="true"/>
              </w:rPr>
              <w:t>المطلب الثانی</w:t>
            </w:r>
            <w:r>
              <w:rPr>
                <w:rStyle w:val="IndexLink"/>
                <w:rtl w:val="true"/>
              </w:rPr>
              <w:t xml:space="preserve">: </w:t>
            </w:r>
            <w:r>
              <w:rPr>
                <w:rStyle w:val="IndexLink"/>
                <w:rtl w:val="true"/>
              </w:rPr>
              <w:t>فی تعداد الأقوال و بیان الفرق بینهما لیستبان الثمرة</w:t>
            </w:r>
            <w:r>
              <w:rPr>
                <w:rStyle w:val="IndexLink"/>
                <w:rtl w:val="true"/>
              </w:rPr>
              <w:t>]</w:t>
              <w:tab/>
            </w:r>
            <w:r>
              <w:rPr>
                <w:rStyle w:val="IndexLink"/>
              </w:rPr>
              <w:t>332</w:t>
            </w:r>
          </w:hyperlink>
        </w:p>
        <w:p>
          <w:pPr>
            <w:pStyle w:val="Contents4"/>
            <w:tabs>
              <w:tab w:val="clear" w:pos="8176"/>
              <w:tab w:val="right" w:pos="9026" w:leader="dot"/>
            </w:tabs>
            <w:rPr/>
          </w:pPr>
          <w:hyperlink w:anchor="__RefHeading___Toc2986551_3224264995">
            <w:r>
              <w:rPr>
                <w:webHidden/>
                <w:rStyle w:val="IndexLink"/>
                <w:rtl w:val="true"/>
              </w:rPr>
              <w:t>[</w:t>
            </w:r>
            <w:r>
              <w:rPr>
                <w:rStyle w:val="IndexLink"/>
                <w:rtl w:val="true"/>
              </w:rPr>
              <w:t>المطلب الثالث</w:t>
            </w:r>
            <w:r>
              <w:rPr>
                <w:rStyle w:val="IndexLink"/>
                <w:rtl w:val="true"/>
              </w:rPr>
              <w:t xml:space="preserve">: </w:t>
            </w:r>
            <w:r>
              <w:rPr>
                <w:rStyle w:val="IndexLink"/>
                <w:rtl w:val="true"/>
              </w:rPr>
              <w:t>فی تعیین أنّ العلاقة المصحّحة لإرجاع الاستثناء إلی الجمیع</w:t>
            </w:r>
            <w:r>
              <w:rPr>
                <w:rStyle w:val="IndexLink"/>
                <w:rtl w:val="true"/>
              </w:rPr>
              <w:t>]</w:t>
              <w:tab/>
            </w:r>
            <w:r>
              <w:rPr>
                <w:rStyle w:val="IndexLink"/>
              </w:rPr>
              <w:t>337</w:t>
            </w:r>
          </w:hyperlink>
        </w:p>
        <w:p>
          <w:pPr>
            <w:pStyle w:val="Contents4"/>
            <w:tabs>
              <w:tab w:val="clear" w:pos="8176"/>
              <w:tab w:val="right" w:pos="9026" w:leader="dot"/>
            </w:tabs>
            <w:rPr/>
          </w:pPr>
          <w:hyperlink w:anchor="__RefHeading___Toc2986553_3224264995">
            <w:r>
              <w:rPr>
                <w:webHidden/>
                <w:rStyle w:val="IndexLink"/>
                <w:rtl w:val="true"/>
              </w:rPr>
              <w:t>[</w:t>
            </w:r>
            <w:r>
              <w:rPr>
                <w:rStyle w:val="IndexLink"/>
                <w:rtl w:val="true"/>
              </w:rPr>
              <w:t>بیان مختار فی المسألة</w:t>
            </w:r>
            <w:r>
              <w:rPr>
                <w:rStyle w:val="IndexLink"/>
                <w:rtl w:val="true"/>
              </w:rPr>
              <w:t>]</w:t>
              <w:tab/>
            </w:r>
            <w:r>
              <w:rPr>
                <w:rStyle w:val="IndexLink"/>
              </w:rPr>
              <w:t>338</w:t>
            </w:r>
          </w:hyperlink>
        </w:p>
        <w:p>
          <w:pPr>
            <w:pStyle w:val="Contents3"/>
            <w:tabs>
              <w:tab w:val="clear" w:pos="8459"/>
              <w:tab w:val="right" w:pos="9026" w:leader="dot"/>
            </w:tabs>
            <w:rPr/>
          </w:pPr>
          <w:hyperlink w:anchor="__RefHeading___Toc2986555_3224264995">
            <w:r>
              <w:rPr>
                <w:webHidden/>
                <w:rStyle w:val="IndexLink"/>
                <w:rtl w:val="true"/>
              </w:rPr>
              <w:t>[</w:t>
            </w:r>
            <w:r>
              <w:rPr>
                <w:rStyle w:val="IndexLink"/>
                <w:rtl w:val="true"/>
              </w:rPr>
              <w:t>أصل رجوع الضمیر إلی بعض أفراد العامّ</w:t>
            </w:r>
            <w:r>
              <w:rPr>
                <w:rStyle w:val="IndexLink"/>
                <w:rtl w:val="true"/>
              </w:rPr>
              <w:t>]</w:t>
              <w:tab/>
            </w:r>
            <w:r>
              <w:rPr>
                <w:rStyle w:val="IndexLink"/>
              </w:rPr>
              <w:t>339</w:t>
            </w:r>
          </w:hyperlink>
        </w:p>
        <w:p>
          <w:pPr>
            <w:pStyle w:val="Contents3"/>
            <w:tabs>
              <w:tab w:val="clear" w:pos="8459"/>
              <w:tab w:val="right" w:pos="9026" w:leader="dot"/>
            </w:tabs>
            <w:rPr/>
          </w:pPr>
          <w:hyperlink w:anchor="__RefHeading___Toc2986557_3224264995">
            <w:r>
              <w:rPr>
                <w:webHidden/>
                <w:rStyle w:val="IndexLink"/>
                <w:rtl w:val="true"/>
              </w:rPr>
              <w:t>[</w:t>
            </w:r>
            <w:r>
              <w:rPr>
                <w:rStyle w:val="IndexLink"/>
                <w:rtl w:val="true"/>
              </w:rPr>
              <w:t>أصل اختلفوا فی جواز تخصیص العامّ بمفهوم المخالفة</w:t>
            </w:r>
            <w:r>
              <w:rPr>
                <w:rStyle w:val="IndexLink"/>
                <w:rtl w:val="true"/>
              </w:rPr>
              <w:t>]</w:t>
              <w:tab/>
            </w:r>
            <w:r>
              <w:rPr>
                <w:rStyle w:val="IndexLink"/>
              </w:rPr>
              <w:t>341</w:t>
            </w:r>
          </w:hyperlink>
        </w:p>
        <w:p>
          <w:pPr>
            <w:pStyle w:val="Contents3"/>
            <w:tabs>
              <w:tab w:val="clear" w:pos="8459"/>
              <w:tab w:val="right" w:pos="9026" w:leader="dot"/>
            </w:tabs>
            <w:rPr/>
          </w:pPr>
          <w:hyperlink w:anchor="__RefHeading___Toc2986559_3224264995">
            <w:r>
              <w:rPr>
                <w:webHidden/>
                <w:rStyle w:val="IndexLink"/>
                <w:rtl w:val="true"/>
              </w:rPr>
              <w:t>[</w:t>
            </w:r>
            <w:r>
              <w:rPr>
                <w:rStyle w:val="IndexLink"/>
                <w:rtl w:val="true"/>
              </w:rPr>
              <w:t>أصل لا ریب فی جواز تخصیص کلّ من الکتاب و الخبر المتواتر</w:t>
            </w:r>
            <w:r>
              <w:rPr>
                <w:rStyle w:val="IndexLink"/>
                <w:rtl w:val="true"/>
              </w:rPr>
              <w:t>]</w:t>
              <w:tab/>
            </w:r>
            <w:r>
              <w:rPr>
                <w:rStyle w:val="IndexLink"/>
              </w:rPr>
              <w:t>342</w:t>
            </w:r>
          </w:hyperlink>
        </w:p>
        <w:p>
          <w:pPr>
            <w:pStyle w:val="Contents4"/>
            <w:tabs>
              <w:tab w:val="clear" w:pos="8176"/>
              <w:tab w:val="right" w:pos="9026" w:leader="dot"/>
            </w:tabs>
            <w:rPr/>
          </w:pPr>
          <w:hyperlink w:anchor="__RefHeading___Toc2986561_3224264995">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2986563_3224264995">
            <w:r>
              <w:rPr>
                <w:webHidden/>
                <w:rStyle w:val="IndexLink"/>
                <w:rtl w:val="true"/>
              </w:rPr>
              <w:t>[ [</w:t>
            </w:r>
            <w:r>
              <w:rPr>
                <w:rStyle w:val="IndexLink"/>
                <w:rtl w:val="true"/>
              </w:rPr>
              <w:t>المقدّمة</w:t>
            </w:r>
            <w:r>
              <w:rPr>
                <w:rStyle w:val="IndexLink"/>
                <w:rtl w:val="true"/>
              </w:rPr>
              <w:t xml:space="preserve">] </w:t>
            </w:r>
            <w:r>
              <w:rPr>
                <w:rStyle w:val="IndexLink"/>
                <w:rtl w:val="true"/>
              </w:rPr>
              <w:t>الاولی</w:t>
            </w:r>
            <w:r>
              <w:rPr>
                <w:rStyle w:val="IndexLink"/>
                <w:rtl w:val="true"/>
              </w:rPr>
              <w:t xml:space="preserve">: </w:t>
            </w:r>
            <w:r>
              <w:rPr>
                <w:rStyle w:val="IndexLink"/>
                <w:rtl w:val="true"/>
              </w:rPr>
              <w:t>فی تحریر محلّ النزاع و هو من جهات</w:t>
            </w:r>
            <w:r>
              <w:rPr>
                <w:rStyle w:val="IndexLink"/>
                <w:rtl w:val="true"/>
              </w:rPr>
              <w:t>.]</w:t>
              <w:tab/>
            </w:r>
            <w:r>
              <w:rPr>
                <w:rStyle w:val="IndexLink"/>
              </w:rPr>
              <w:t>343</w:t>
            </w:r>
          </w:hyperlink>
        </w:p>
        <w:p>
          <w:pPr>
            <w:pStyle w:val="Contents4"/>
            <w:tabs>
              <w:tab w:val="clear" w:pos="8176"/>
              <w:tab w:val="right" w:pos="9026" w:leader="dot"/>
            </w:tabs>
            <w:rPr/>
          </w:pPr>
          <w:hyperlink w:anchor="__RefHeading___Toc2986565_3224264995">
            <w:r>
              <w:rPr>
                <w:webHidden/>
                <w:rStyle w:val="IndexLink"/>
                <w:rtl w:val="true"/>
              </w:rPr>
              <w:t>[</w:t>
            </w:r>
            <w:r>
              <w:rPr>
                <w:rStyle w:val="IndexLink"/>
                <w:rtl w:val="true"/>
              </w:rPr>
              <w:t>المقدمة الثانیة</w:t>
            </w:r>
            <w:r>
              <w:rPr>
                <w:rStyle w:val="IndexLink"/>
                <w:rtl w:val="true"/>
              </w:rPr>
              <w:t xml:space="preserve">: </w:t>
            </w:r>
            <w:r>
              <w:rPr>
                <w:rStyle w:val="IndexLink"/>
                <w:rtl w:val="true"/>
              </w:rPr>
              <w:t>فی تأسیس الأصل فی المسألة،</w:t>
            </w:r>
            <w:r>
              <w:rPr>
                <w:rStyle w:val="IndexLink"/>
                <w:rtl w:val="true"/>
              </w:rPr>
              <w:t>]</w:t>
              <w:tab/>
            </w:r>
            <w:r>
              <w:rPr>
                <w:rStyle w:val="IndexLink"/>
              </w:rPr>
              <w:t>345</w:t>
            </w:r>
          </w:hyperlink>
        </w:p>
        <w:p>
          <w:pPr>
            <w:pStyle w:val="Contents4"/>
            <w:tabs>
              <w:tab w:val="clear" w:pos="8176"/>
              <w:tab w:val="right" w:pos="9026" w:leader="dot"/>
            </w:tabs>
            <w:rPr/>
          </w:pPr>
          <w:hyperlink w:anchor="__RefHeading___Toc2986567_3224264995">
            <w:r>
              <w:rPr>
                <w:webHidden/>
                <w:rStyle w:val="IndexLink"/>
                <w:rtl w:val="true"/>
              </w:rPr>
              <w:t>[</w:t>
            </w:r>
            <w:r>
              <w:rPr>
                <w:rStyle w:val="IndexLink"/>
                <w:rtl w:val="true"/>
              </w:rPr>
              <w:t>أدلة جواز تخصیص</w:t>
            </w:r>
            <w:r>
              <w:rPr>
                <w:rStyle w:val="IndexLink"/>
                <w:rtl w:val="true"/>
              </w:rPr>
              <w:t>]</w:t>
              <w:tab/>
            </w:r>
            <w:r>
              <w:rPr>
                <w:rStyle w:val="IndexLink"/>
              </w:rPr>
              <w:t>345</w:t>
            </w:r>
          </w:hyperlink>
        </w:p>
        <w:p>
          <w:pPr>
            <w:pStyle w:val="Contents4"/>
            <w:tabs>
              <w:tab w:val="clear" w:pos="8176"/>
              <w:tab w:val="right" w:pos="9026" w:leader="dot"/>
            </w:tabs>
            <w:rPr/>
          </w:pPr>
          <w:hyperlink w:anchor="__RefHeading___Toc2986569_3224264995">
            <w:r>
              <w:rPr>
                <w:webHidden/>
                <w:rStyle w:val="IndexLink"/>
                <w:rtl w:val="true"/>
              </w:rPr>
              <w:t>[</w:t>
            </w:r>
            <w:r>
              <w:rPr>
                <w:rStyle w:val="IndexLink"/>
                <w:rtl w:val="true"/>
              </w:rPr>
              <w:t>حجّة الخصم وجوه</w:t>
            </w:r>
            <w:r>
              <w:rPr>
                <w:rStyle w:val="IndexLink"/>
                <w:rtl w:val="true"/>
              </w:rPr>
              <w:t>:]</w:t>
              <w:tab/>
            </w:r>
            <w:r>
              <w:rPr>
                <w:rStyle w:val="IndexLink"/>
              </w:rPr>
              <w:t>348</w:t>
            </w:r>
          </w:hyperlink>
        </w:p>
        <w:p>
          <w:pPr>
            <w:pStyle w:val="Contents3"/>
            <w:tabs>
              <w:tab w:val="clear" w:pos="8459"/>
              <w:tab w:val="right" w:pos="9026" w:leader="dot"/>
            </w:tabs>
            <w:rPr/>
          </w:pPr>
          <w:hyperlink w:anchor="__RefHeading___Toc2986571_3224264995">
            <w:r>
              <w:rPr>
                <w:webHidden/>
                <w:rStyle w:val="IndexLink"/>
                <w:rtl w:val="true"/>
              </w:rPr>
              <w:t>خاتمة فی کیفیة بناء العامّ علی الخاصّ</w:t>
            </w:r>
            <w:r>
              <w:rPr>
                <w:rStyle w:val="IndexLink"/>
                <w:rtl w:val="true"/>
              </w:rPr>
              <w:tab/>
            </w:r>
            <w:r>
              <w:rPr>
                <w:rStyle w:val="IndexLink"/>
              </w:rPr>
              <w:t>353</w:t>
            </w:r>
          </w:hyperlink>
        </w:p>
        <w:p>
          <w:pPr>
            <w:pStyle w:val="Contents4"/>
            <w:tabs>
              <w:tab w:val="clear" w:pos="8176"/>
              <w:tab w:val="right" w:pos="9026" w:leader="dot"/>
            </w:tabs>
            <w:rPr/>
          </w:pPr>
          <w:hyperlink w:anchor="__RefHeading___Toc2986573_3224264995">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2986575_3224264995">
            <w:r>
              <w:rPr>
                <w:webHidden/>
                <w:rStyle w:val="IndexLink"/>
                <w:rtl w:val="true"/>
              </w:rPr>
              <w:t>[</w:t>
            </w:r>
            <w:r>
              <w:rPr>
                <w:rStyle w:val="IndexLink"/>
                <w:rtl w:val="true"/>
              </w:rPr>
              <w:t>و لا بدّ أوّلا من تحریر محلّ الکلام</w:t>
            </w:r>
            <w:r>
              <w:rPr>
                <w:rStyle w:val="IndexLink"/>
                <w:rtl w:val="true"/>
              </w:rPr>
              <w:t>]</w:t>
              <w:tab/>
            </w:r>
            <w:r>
              <w:rPr>
                <w:rStyle w:val="IndexLink"/>
              </w:rPr>
              <w:t>353</w:t>
            </w:r>
          </w:hyperlink>
        </w:p>
        <w:p>
          <w:pPr>
            <w:pStyle w:val="Contents2"/>
            <w:tabs>
              <w:tab w:val="clear" w:pos="8743"/>
              <w:tab w:val="right" w:pos="9026" w:leader="dot"/>
            </w:tabs>
            <w:rPr/>
          </w:pPr>
          <w:hyperlink w:anchor="__RefHeading___Toc2986577_3224264995">
            <w:r>
              <w:rPr>
                <w:webHidden/>
                <w:rStyle w:val="IndexLink"/>
                <w:rtl w:val="true"/>
              </w:rPr>
              <w:t>[</w:t>
            </w:r>
            <w:r>
              <w:rPr>
                <w:rStyle w:val="IndexLink"/>
                <w:rtl w:val="true"/>
              </w:rPr>
              <w:t>فی المطلق و المقیّد</w:t>
            </w:r>
            <w:r>
              <w:rPr>
                <w:rStyle w:val="IndexLink"/>
                <w:rtl w:val="true"/>
              </w:rPr>
              <w:t>]</w:t>
              <w:tab/>
            </w:r>
            <w:r>
              <w:rPr>
                <w:rStyle w:val="IndexLink"/>
              </w:rPr>
              <w:t>367</w:t>
            </w:r>
          </w:hyperlink>
        </w:p>
        <w:p>
          <w:pPr>
            <w:pStyle w:val="Contents3"/>
            <w:tabs>
              <w:tab w:val="clear" w:pos="8459"/>
              <w:tab w:val="right" w:pos="9026" w:leader="dot"/>
            </w:tabs>
            <w:rPr/>
          </w:pPr>
          <w:hyperlink w:anchor="__RefHeading___Toc2986579_3224264995">
            <w:r>
              <w:rPr>
                <w:webHidden/>
                <w:rStyle w:val="IndexLink"/>
                <w:rtl w:val="true"/>
              </w:rPr>
              <w:t>اشارة</w:t>
            </w:r>
            <w:r>
              <w:rPr>
                <w:rStyle w:val="IndexLink"/>
                <w:rtl w:val="true"/>
              </w:rPr>
              <w:tab/>
            </w:r>
            <w:r>
              <w:rPr>
                <w:rStyle w:val="IndexLink"/>
              </w:rPr>
              <w:t>367</w:t>
            </w:r>
          </w:hyperlink>
        </w:p>
        <w:p>
          <w:pPr>
            <w:pStyle w:val="Contents3"/>
            <w:tabs>
              <w:tab w:val="clear" w:pos="8459"/>
              <w:tab w:val="right" w:pos="9026" w:leader="dot"/>
            </w:tabs>
            <w:rPr/>
          </w:pPr>
          <w:hyperlink w:anchor="__RefHeading___Toc2986581_3224264995">
            <w:r>
              <w:rPr>
                <w:webHidden/>
                <w:rStyle w:val="IndexLink"/>
                <w:rtl w:val="true"/>
              </w:rPr>
              <w:t>[</w:t>
            </w:r>
            <w:r>
              <w:rPr>
                <w:rStyle w:val="IndexLink"/>
                <w:rtl w:val="true"/>
              </w:rPr>
              <w:t>أصل تقیید المطلق هل هو مجاز کما علیه المشهور، أم حقیقة</w:t>
            </w:r>
            <w:r>
              <w:rPr>
                <w:rStyle w:val="IndexLink"/>
                <w:rtl w:val="true"/>
              </w:rPr>
              <w:t>]</w:t>
              <w:tab/>
            </w:r>
            <w:r>
              <w:rPr>
                <w:rStyle w:val="IndexLink"/>
              </w:rPr>
              <w:t>371</w:t>
            </w:r>
          </w:hyperlink>
        </w:p>
        <w:p>
          <w:pPr>
            <w:pStyle w:val="Contents3"/>
            <w:tabs>
              <w:tab w:val="clear" w:pos="8459"/>
              <w:tab w:val="right" w:pos="9026" w:leader="dot"/>
            </w:tabs>
            <w:rPr/>
          </w:pPr>
          <w:hyperlink w:anchor="__RefHeading___Toc2986583_3224264995">
            <w:r>
              <w:rPr>
                <w:webHidden/>
                <w:rStyle w:val="IndexLink"/>
                <w:rtl w:val="true"/>
              </w:rPr>
              <w:t>[</w:t>
            </w:r>
            <w:r>
              <w:rPr>
                <w:rStyle w:val="IndexLink"/>
                <w:rtl w:val="true"/>
              </w:rPr>
              <w:t>أصل العموم المستفاد من المطلق</w:t>
            </w:r>
            <w:r>
              <w:rPr>
                <w:rStyle w:val="IndexLink"/>
                <w:rtl w:val="true"/>
              </w:rPr>
              <w:t>]</w:t>
              <w:tab/>
            </w:r>
            <w:r>
              <w:rPr>
                <w:rStyle w:val="IndexLink"/>
              </w:rPr>
              <w:t>380</w:t>
            </w:r>
          </w:hyperlink>
        </w:p>
        <w:p>
          <w:pPr>
            <w:pStyle w:val="Contents3"/>
            <w:tabs>
              <w:tab w:val="clear" w:pos="8459"/>
              <w:tab w:val="right" w:pos="9026" w:leader="dot"/>
            </w:tabs>
            <w:rPr/>
          </w:pPr>
          <w:hyperlink w:anchor="__RefHeading___Toc2986585_3224264995">
            <w:r>
              <w:rPr>
                <w:webHidden/>
                <w:rStyle w:val="IndexLink"/>
                <w:rtl w:val="true"/>
              </w:rPr>
              <w:t>[</w:t>
            </w:r>
            <w:r>
              <w:rPr>
                <w:rStyle w:val="IndexLink"/>
                <w:rtl w:val="true"/>
              </w:rPr>
              <w:t>أصل إذا ورد مطلق و مقیّد</w:t>
            </w:r>
            <w:r>
              <w:rPr>
                <w:rStyle w:val="IndexLink"/>
                <w:rtl w:val="true"/>
              </w:rPr>
              <w:t>]</w:t>
              <w:tab/>
            </w:r>
            <w:r>
              <w:rPr>
                <w:rStyle w:val="IndexLink"/>
              </w:rPr>
              <w:t>390</w:t>
            </w:r>
          </w:hyperlink>
        </w:p>
        <w:p>
          <w:pPr>
            <w:pStyle w:val="Contents4"/>
            <w:tabs>
              <w:tab w:val="clear" w:pos="8176"/>
              <w:tab w:val="right" w:pos="9026" w:leader="dot"/>
            </w:tabs>
            <w:rPr/>
          </w:pPr>
          <w:hyperlink w:anchor="__RefHeading___Toc2986587_3224264995">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2986589_3224264995">
            <w:r>
              <w:rPr>
                <w:webHidden/>
                <w:rStyle w:val="IndexLink"/>
                <w:rtl w:val="true"/>
              </w:rPr>
              <w:t>تنبیهات</w:t>
            </w:r>
            <w:r>
              <w:rPr>
                <w:rStyle w:val="IndexLink"/>
                <w:rtl w:val="true"/>
              </w:rPr>
              <w:t>:</w:t>
              <w:tab/>
            </w:r>
            <w:r>
              <w:rPr>
                <w:rStyle w:val="IndexLink"/>
              </w:rPr>
              <w:t>393</w:t>
            </w:r>
          </w:hyperlink>
        </w:p>
        <w:p>
          <w:pPr>
            <w:pStyle w:val="Contents4"/>
            <w:tabs>
              <w:tab w:val="clear" w:pos="8176"/>
              <w:tab w:val="right" w:pos="9026" w:leader="dot"/>
            </w:tabs>
            <w:rPr/>
          </w:pPr>
          <w:hyperlink w:anchor="__RefHeading___Toc2986591_3224264995">
            <w:r>
              <w:rPr>
                <w:webHidden/>
                <w:rStyle w:val="IndexLink"/>
                <w:rtl w:val="true"/>
              </w:rPr>
              <w:t>تنویه</w:t>
            </w:r>
            <w:r>
              <w:rPr>
                <w:rStyle w:val="IndexLink"/>
                <w:rtl w:val="true"/>
              </w:rPr>
              <w:t>:</w:t>
              <w:tab/>
            </w:r>
            <w:r>
              <w:rPr>
                <w:rStyle w:val="IndexLink"/>
              </w:rPr>
              <w:t>397</w:t>
            </w:r>
          </w:hyperlink>
        </w:p>
        <w:p>
          <w:pPr>
            <w:pStyle w:val="Contents2"/>
            <w:tabs>
              <w:tab w:val="clear" w:pos="8743"/>
              <w:tab w:val="right" w:pos="9026" w:leader="dot"/>
            </w:tabs>
            <w:rPr/>
          </w:pPr>
          <w:hyperlink w:anchor="__RefHeading___Toc2986593_3224264995">
            <w:r>
              <w:rPr>
                <w:webHidden/>
                <w:rStyle w:val="IndexLink"/>
                <w:rtl w:val="true"/>
              </w:rPr>
              <w:t>[</w:t>
            </w:r>
            <w:r>
              <w:rPr>
                <w:rStyle w:val="IndexLink"/>
                <w:rtl w:val="true"/>
              </w:rPr>
              <w:t>فی احوال سائر الادلة الشرعیة</w:t>
            </w:r>
            <w:r>
              <w:rPr>
                <w:rStyle w:val="IndexLink"/>
                <w:rtl w:val="true"/>
              </w:rPr>
              <w:t>]</w:t>
              <w:tab/>
            </w:r>
            <w:r>
              <w:rPr>
                <w:rStyle w:val="IndexLink"/>
              </w:rPr>
              <w:t>399</w:t>
            </w:r>
          </w:hyperlink>
        </w:p>
        <w:p>
          <w:pPr>
            <w:pStyle w:val="Contents3"/>
            <w:tabs>
              <w:tab w:val="clear" w:pos="8459"/>
              <w:tab w:val="right" w:pos="9026" w:leader="dot"/>
            </w:tabs>
            <w:rPr/>
          </w:pPr>
          <w:hyperlink w:anchor="__RefHeading___Toc2986595_3224264995">
            <w:r>
              <w:rPr>
                <w:webHidden/>
                <w:rStyle w:val="IndexLink"/>
                <w:rtl w:val="true"/>
              </w:rPr>
              <w:t>[</w:t>
            </w:r>
            <w:r>
              <w:rPr>
                <w:rStyle w:val="IndexLink"/>
                <w:rtl w:val="true"/>
              </w:rPr>
              <w:t>الإجماع</w:t>
            </w:r>
            <w:r>
              <w:rPr>
                <w:rStyle w:val="IndexLink"/>
                <w:rtl w:val="true"/>
              </w:rPr>
              <w:t>]</w:t>
              <w:tab/>
            </w:r>
            <w:r>
              <w:rPr>
                <w:rStyle w:val="IndexLink"/>
              </w:rPr>
              <w:t>399</w:t>
            </w:r>
          </w:hyperlink>
        </w:p>
        <w:p>
          <w:pPr>
            <w:pStyle w:val="Contents4"/>
            <w:tabs>
              <w:tab w:val="clear" w:pos="8176"/>
              <w:tab w:val="right" w:pos="9026" w:leader="dot"/>
            </w:tabs>
            <w:rPr/>
          </w:pPr>
          <w:hyperlink w:anchor="__RefHeading___Toc2986597_3224264995">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2986599_3224264995">
            <w:r>
              <w:rPr>
                <w:webHidden/>
                <w:rStyle w:val="IndexLink"/>
                <w:rtl w:val="true"/>
              </w:rPr>
              <w:t>[ [</w:t>
            </w:r>
            <w:r>
              <w:rPr>
                <w:rStyle w:val="IndexLink"/>
                <w:rtl w:val="true"/>
              </w:rPr>
              <w:t>المرحلة</w:t>
            </w:r>
            <w:r>
              <w:rPr>
                <w:rStyle w:val="IndexLink"/>
                <w:rtl w:val="true"/>
              </w:rPr>
              <w:t xml:space="preserve">] </w:t>
            </w:r>
            <w:r>
              <w:rPr>
                <w:rStyle w:val="IndexLink"/>
                <w:rtl w:val="true"/>
              </w:rPr>
              <w:t>الاولی</w:t>
            </w:r>
            <w:r>
              <w:rPr>
                <w:rStyle w:val="IndexLink"/>
                <w:rtl w:val="true"/>
              </w:rPr>
              <w:t xml:space="preserve">: </w:t>
            </w:r>
            <w:r>
              <w:rPr>
                <w:rStyle w:val="IndexLink"/>
                <w:rtl w:val="true"/>
              </w:rPr>
              <w:t>فی تشخیص موضوع الإجماع و معناه</w:t>
            </w:r>
            <w:r>
              <w:rPr>
                <w:rStyle w:val="IndexLink"/>
                <w:rtl w:val="true"/>
              </w:rPr>
              <w:t>.]</w:t>
              <w:tab/>
            </w:r>
            <w:r>
              <w:rPr>
                <w:rStyle w:val="IndexLink"/>
              </w:rPr>
              <w:t>399</w:t>
            </w:r>
          </w:hyperlink>
        </w:p>
        <w:p>
          <w:pPr>
            <w:pStyle w:val="Contents4"/>
            <w:tabs>
              <w:tab w:val="clear" w:pos="8176"/>
              <w:tab w:val="right" w:pos="9026" w:leader="dot"/>
            </w:tabs>
            <w:rPr/>
          </w:pPr>
          <w:hyperlink w:anchor="__RefHeading___Toc2986601_3224264995">
            <w:r>
              <w:rPr>
                <w:webHidden/>
                <w:rStyle w:val="IndexLink"/>
                <w:rtl w:val="true"/>
              </w:rPr>
              <w:t>[</w:t>
            </w:r>
            <w:r>
              <w:rPr>
                <w:rStyle w:val="IndexLink"/>
                <w:rtl w:val="true"/>
              </w:rPr>
              <w:t>المرحلة الثانیة</w:t>
            </w:r>
            <w:r>
              <w:rPr>
                <w:rStyle w:val="IndexLink"/>
                <w:rtl w:val="true"/>
              </w:rPr>
              <w:t xml:space="preserve">: </w:t>
            </w:r>
            <w:r>
              <w:rPr>
                <w:rStyle w:val="IndexLink"/>
                <w:rtl w:val="true"/>
              </w:rPr>
              <w:t>فی تشخیص إمکان تحقّق الإجماع و وجوده</w:t>
            </w:r>
            <w:r>
              <w:rPr>
                <w:rStyle w:val="IndexLink"/>
                <w:rtl w:val="true"/>
              </w:rPr>
              <w:t>]</w:t>
              <w:tab/>
            </w:r>
            <w:r>
              <w:rPr>
                <w:rStyle w:val="IndexLink"/>
              </w:rPr>
              <w:t>404</w:t>
            </w:r>
          </w:hyperlink>
        </w:p>
        <w:p>
          <w:pPr>
            <w:pStyle w:val="Contents4"/>
            <w:tabs>
              <w:tab w:val="clear" w:pos="8176"/>
              <w:tab w:val="right" w:pos="9026" w:leader="dot"/>
            </w:tabs>
            <w:rPr/>
          </w:pPr>
          <w:hyperlink w:anchor="__RefHeading___Toc2986603_3224264995">
            <w:r>
              <w:rPr>
                <w:webHidden/>
                <w:rStyle w:val="IndexLink"/>
                <w:rtl w:val="true"/>
              </w:rPr>
              <w:t>[</w:t>
            </w:r>
            <w:r>
              <w:rPr>
                <w:rStyle w:val="IndexLink"/>
                <w:rtl w:val="true"/>
              </w:rPr>
              <w:t>المرحلة الثالثة</w:t>
            </w:r>
            <w:r>
              <w:rPr>
                <w:rStyle w:val="IndexLink"/>
                <w:rtl w:val="true"/>
              </w:rPr>
              <w:t xml:space="preserve">: </w:t>
            </w:r>
            <w:r>
              <w:rPr>
                <w:rStyle w:val="IndexLink"/>
                <w:rtl w:val="true"/>
              </w:rPr>
              <w:t>فی تشخیص إمکان العلم و الاطلاع بالإجماع و امتناعه،</w:t>
            </w:r>
            <w:r>
              <w:rPr>
                <w:rStyle w:val="IndexLink"/>
                <w:rtl w:val="true"/>
              </w:rPr>
              <w:t>]</w:t>
              <w:tab/>
            </w:r>
            <w:r>
              <w:rPr>
                <w:rStyle w:val="IndexLink"/>
              </w:rPr>
              <w:t>405</w:t>
            </w:r>
          </w:hyperlink>
        </w:p>
        <w:p>
          <w:pPr>
            <w:pStyle w:val="Contents4"/>
            <w:tabs>
              <w:tab w:val="clear" w:pos="8176"/>
              <w:tab w:val="right" w:pos="9026" w:leader="dot"/>
            </w:tabs>
            <w:rPr/>
          </w:pPr>
          <w:hyperlink w:anchor="__RefHeading___Toc2986605_3224264995">
            <w:r>
              <w:rPr>
                <w:webHidden/>
                <w:rStyle w:val="IndexLink"/>
                <w:rtl w:val="true"/>
              </w:rPr>
              <w:t>[</w:t>
            </w:r>
            <w:r>
              <w:rPr>
                <w:rStyle w:val="IndexLink"/>
                <w:rtl w:val="true"/>
              </w:rPr>
              <w:t>المرحلة الرابعة</w:t>
            </w:r>
            <w:r>
              <w:rPr>
                <w:rStyle w:val="IndexLink"/>
                <w:rtl w:val="true"/>
              </w:rPr>
              <w:t xml:space="preserve">: </w:t>
            </w:r>
            <w:r>
              <w:rPr>
                <w:rStyle w:val="IndexLink"/>
                <w:rtl w:val="true"/>
              </w:rPr>
              <w:t>فی تشخیص أصل حجّیة الإجماع فی الجملة</w:t>
            </w:r>
            <w:r>
              <w:rPr>
                <w:rStyle w:val="IndexLink"/>
                <w:rtl w:val="true"/>
              </w:rPr>
              <w:t>]</w:t>
              <w:tab/>
            </w:r>
            <w:r>
              <w:rPr>
                <w:rStyle w:val="IndexLink"/>
              </w:rPr>
              <w:t>407</w:t>
            </w:r>
          </w:hyperlink>
        </w:p>
        <w:p>
          <w:pPr>
            <w:pStyle w:val="Contents4"/>
            <w:tabs>
              <w:tab w:val="clear" w:pos="8176"/>
              <w:tab w:val="right" w:pos="9026" w:leader="dot"/>
            </w:tabs>
            <w:rPr/>
          </w:pPr>
          <w:hyperlink w:anchor="__RefHeading___Toc2986607_3224264995">
            <w:r>
              <w:rPr>
                <w:webHidden/>
                <w:rStyle w:val="IndexLink"/>
                <w:rtl w:val="true"/>
              </w:rPr>
              <w:t>[</w:t>
            </w:r>
            <w:r>
              <w:rPr>
                <w:rStyle w:val="IndexLink"/>
                <w:rtl w:val="true"/>
              </w:rPr>
              <w:t>المرحلة الخامسة</w:t>
            </w:r>
            <w:r>
              <w:rPr>
                <w:rStyle w:val="IndexLink"/>
                <w:rtl w:val="true"/>
              </w:rPr>
              <w:t xml:space="preserve">: </w:t>
            </w:r>
            <w:r>
              <w:rPr>
                <w:rStyle w:val="IndexLink"/>
                <w:rtl w:val="true"/>
              </w:rPr>
              <w:t>فی تشخیص حجّیة الإجماع</w:t>
            </w:r>
            <w:r>
              <w:rPr>
                <w:rStyle w:val="IndexLink"/>
                <w:rtl w:val="true"/>
              </w:rPr>
              <w:t>]</w:t>
              <w:tab/>
            </w:r>
            <w:r>
              <w:rPr>
                <w:rStyle w:val="IndexLink"/>
              </w:rPr>
              <w:t>408</w:t>
            </w:r>
          </w:hyperlink>
        </w:p>
        <w:p>
          <w:pPr>
            <w:pStyle w:val="Contents4"/>
            <w:tabs>
              <w:tab w:val="clear" w:pos="8176"/>
              <w:tab w:val="right" w:pos="9026" w:leader="dot"/>
            </w:tabs>
            <w:rPr/>
          </w:pPr>
          <w:hyperlink w:anchor="__RefHeading___Toc2986609_3224264995">
            <w:r>
              <w:rPr>
                <w:webHidden/>
                <w:rStyle w:val="IndexLink"/>
                <w:rtl w:val="true"/>
              </w:rPr>
              <w:t>خاتمة</w:t>
            </w:r>
            <w:r>
              <w:rPr>
                <w:rStyle w:val="IndexLink"/>
                <w:rtl w:val="true"/>
              </w:rPr>
              <w:t xml:space="preserve">: </w:t>
            </w:r>
            <w:r>
              <w:rPr>
                <w:rStyle w:val="IndexLink"/>
                <w:rtl w:val="true"/>
              </w:rPr>
              <w:t>فی بیان الفروق و النسب</w:t>
            </w:r>
            <w:r>
              <w:rPr>
                <w:rStyle w:val="IndexLink"/>
                <w:rtl w:val="true"/>
              </w:rPr>
              <w:tab/>
            </w:r>
            <w:r>
              <w:rPr>
                <w:rStyle w:val="IndexLink"/>
              </w:rPr>
              <w:t>433</w:t>
            </w:r>
          </w:hyperlink>
        </w:p>
        <w:p>
          <w:pPr>
            <w:pStyle w:val="Contents3"/>
            <w:tabs>
              <w:tab w:val="clear" w:pos="8459"/>
              <w:tab w:val="right" w:pos="9026" w:leader="dot"/>
            </w:tabs>
            <w:rPr/>
          </w:pPr>
          <w:hyperlink w:anchor="__RefHeading___Toc2986611_3224264995">
            <w:r>
              <w:rPr>
                <w:webHidden/>
                <w:rStyle w:val="IndexLink"/>
                <w:rtl w:val="true"/>
              </w:rPr>
              <w:t>أصل فی حجّیة الشهرة و عدمها</w:t>
            </w:r>
            <w:r>
              <w:rPr>
                <w:rStyle w:val="IndexLink"/>
                <w:rtl w:val="true"/>
              </w:rPr>
              <w:tab/>
            </w:r>
            <w:r>
              <w:rPr>
                <w:rStyle w:val="IndexLink"/>
              </w:rPr>
              <w:t>435</w:t>
            </w:r>
          </w:hyperlink>
        </w:p>
        <w:p>
          <w:pPr>
            <w:pStyle w:val="Contents4"/>
            <w:tabs>
              <w:tab w:val="clear" w:pos="8176"/>
              <w:tab w:val="right" w:pos="9026" w:leader="dot"/>
            </w:tabs>
            <w:rPr/>
          </w:pPr>
          <w:hyperlink w:anchor="__RefHeading___Toc2986613_3224264995">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2986615_3224264995">
            <w:r>
              <w:rPr>
                <w:webHidden/>
                <w:rStyle w:val="IndexLink"/>
                <w:rtl w:val="true"/>
              </w:rPr>
              <w:t>تنبیهان</w:t>
            </w:r>
            <w:r>
              <w:rPr>
                <w:rStyle w:val="IndexLink"/>
                <w:rtl w:val="true"/>
              </w:rPr>
              <w:tab/>
            </w:r>
            <w:r>
              <w:rPr>
                <w:rStyle w:val="IndexLink"/>
              </w:rPr>
              <w:t>450</w:t>
            </w:r>
          </w:hyperlink>
        </w:p>
        <w:p>
          <w:pPr>
            <w:pStyle w:val="Contents3"/>
            <w:tabs>
              <w:tab w:val="clear" w:pos="8459"/>
              <w:tab w:val="right" w:pos="9026" w:leader="dot"/>
            </w:tabs>
            <w:rPr/>
          </w:pPr>
          <w:hyperlink w:anchor="__RefHeading___Toc2986617_3224264995">
            <w:r>
              <w:rPr>
                <w:webHidden/>
                <w:rStyle w:val="IndexLink"/>
                <w:rtl w:val="true"/>
              </w:rPr>
              <w:t>[</w:t>
            </w:r>
            <w:r>
              <w:rPr>
                <w:rStyle w:val="IndexLink"/>
                <w:rtl w:val="true"/>
              </w:rPr>
              <w:t>أصل الکلام فی حکم مخالفة الإجماع البسیط و المرکّب</w:t>
            </w:r>
            <w:r>
              <w:rPr>
                <w:rStyle w:val="IndexLink"/>
                <w:rtl w:val="true"/>
              </w:rPr>
              <w:t>]</w:t>
              <w:tab/>
            </w:r>
            <w:r>
              <w:rPr>
                <w:rStyle w:val="IndexLink"/>
              </w:rPr>
              <w:t>452</w:t>
            </w:r>
          </w:hyperlink>
        </w:p>
        <w:p>
          <w:pPr>
            <w:pStyle w:val="Contents3"/>
            <w:tabs>
              <w:tab w:val="clear" w:pos="8459"/>
              <w:tab w:val="right" w:pos="9026" w:leader="dot"/>
            </w:tabs>
            <w:rPr/>
          </w:pPr>
          <w:hyperlink w:anchor="__RefHeading___Toc2986619_3224264995">
            <w:r>
              <w:rPr>
                <w:webHidden/>
                <w:rStyle w:val="IndexLink"/>
                <w:rtl w:val="true"/>
              </w:rPr>
              <w:t>الکلام فی الخبر یقع من جهات</w:t>
            </w:r>
            <w:r>
              <w:rPr>
                <w:rStyle w:val="IndexLink"/>
                <w:rtl w:val="true"/>
              </w:rPr>
              <w:t>:</w:t>
              <w:tab/>
            </w:r>
            <w:r>
              <w:rPr>
                <w:rStyle w:val="IndexLink"/>
              </w:rPr>
              <w:t>459</w:t>
            </w:r>
          </w:hyperlink>
        </w:p>
        <w:p>
          <w:pPr>
            <w:pStyle w:val="Contents4"/>
            <w:tabs>
              <w:tab w:val="clear" w:pos="8176"/>
              <w:tab w:val="right" w:pos="9026" w:leader="dot"/>
            </w:tabs>
            <w:rPr/>
          </w:pPr>
          <w:hyperlink w:anchor="__RefHeading___Toc2986621_3224264995">
            <w:r>
              <w:rPr>
                <w:webHidden/>
                <w:rStyle w:val="IndexLink"/>
                <w:rtl w:val="true"/>
              </w:rPr>
              <w:t>اشارة</w:t>
            </w:r>
            <w:r>
              <w:rPr>
                <w:rStyle w:val="IndexLink"/>
                <w:rtl w:val="true"/>
              </w:rPr>
              <w:tab/>
            </w:r>
            <w:r>
              <w:rPr>
                <w:rStyle w:val="IndexLink"/>
              </w:rPr>
              <w:t>459</w:t>
            </w:r>
          </w:hyperlink>
        </w:p>
        <w:p>
          <w:pPr>
            <w:pStyle w:val="Contents4"/>
            <w:tabs>
              <w:tab w:val="clear" w:pos="8176"/>
              <w:tab w:val="right" w:pos="9026" w:leader="dot"/>
            </w:tabs>
            <w:rPr/>
          </w:pPr>
          <w:hyperlink w:anchor="__RefHeading___Toc2986623_3224264995">
            <w:r>
              <w:rPr>
                <w:webHidden/>
                <w:rStyle w:val="IndexLink"/>
                <w:rtl w:val="true"/>
              </w:rPr>
              <w:t>تنبیهات</w:t>
            </w:r>
            <w:r>
              <w:rPr>
                <w:rStyle w:val="IndexLink"/>
                <w:rtl w:val="true"/>
              </w:rPr>
              <w:tab/>
            </w:r>
            <w:r>
              <w:rPr>
                <w:rStyle w:val="IndexLink"/>
              </w:rPr>
              <w:t>463</w:t>
            </w:r>
          </w:hyperlink>
        </w:p>
        <w:p>
          <w:pPr>
            <w:pStyle w:val="Contents5"/>
            <w:tabs>
              <w:tab w:val="clear" w:pos="7892"/>
              <w:tab w:val="right" w:pos="9026" w:leader="dot"/>
            </w:tabs>
            <w:rPr/>
          </w:pPr>
          <w:hyperlink w:anchor="__RefHeading___Toc2986625_3224264995">
            <w:r>
              <w:rPr>
                <w:webHidden/>
                <w:rStyle w:val="IndexLink"/>
                <w:rtl w:val="true"/>
              </w:rPr>
              <w:t>الأول</w:t>
            </w:r>
            <w:r>
              <w:rPr>
                <w:rStyle w:val="IndexLink"/>
                <w:rtl w:val="true"/>
              </w:rPr>
              <w:t xml:space="preserve">: </w:t>
            </w:r>
            <w:r>
              <w:rPr>
                <w:rStyle w:val="IndexLink"/>
                <w:rtl w:val="true"/>
              </w:rPr>
              <w:t>اختلفوا فی دلالة الخبر علی وقوع المخبر به أو إیقاعه علی قولین،</w:t>
            </w:r>
            <w:r>
              <w:rPr>
                <w:rStyle w:val="IndexLink"/>
                <w:rtl w:val="true"/>
              </w:rPr>
              <w:tab/>
            </w:r>
            <w:r>
              <w:rPr>
                <w:rStyle w:val="IndexLink"/>
              </w:rPr>
              <w:t>463</w:t>
            </w:r>
          </w:hyperlink>
        </w:p>
        <w:p>
          <w:pPr>
            <w:pStyle w:val="Contents5"/>
            <w:tabs>
              <w:tab w:val="clear" w:pos="7892"/>
              <w:tab w:val="right" w:pos="9026" w:leader="dot"/>
            </w:tabs>
            <w:rPr/>
          </w:pPr>
          <w:hyperlink w:anchor="__RefHeading___Toc2986627_3224264995">
            <w:r>
              <w:rPr>
                <w:webHidden/>
                <w:rStyle w:val="IndexLink"/>
                <w:rtl w:val="true"/>
              </w:rPr>
              <w:t>[</w:t>
            </w:r>
            <w:r>
              <w:rPr>
                <w:rStyle w:val="IndexLink"/>
                <w:rtl w:val="true"/>
              </w:rPr>
              <w:t>الثانی</w:t>
            </w:r>
            <w:r>
              <w:rPr>
                <w:rStyle w:val="IndexLink"/>
                <w:rtl w:val="true"/>
              </w:rPr>
              <w:t xml:space="preserve">: </w:t>
            </w:r>
            <w:r>
              <w:rPr>
                <w:rStyle w:val="IndexLink"/>
                <w:rtl w:val="true"/>
              </w:rPr>
              <w:t xml:space="preserve">اختلف البیانیون فی دلالة </w:t>
            </w:r>
            <w:r>
              <w:rPr>
                <w:rStyle w:val="IndexLink"/>
                <w:rtl w:val="true"/>
              </w:rPr>
              <w:t>«</w:t>
            </w:r>
            <w:r>
              <w:rPr>
                <w:rStyle w:val="IndexLink"/>
                <w:rtl w:val="true"/>
              </w:rPr>
              <w:t>بعت</w:t>
            </w:r>
            <w:r>
              <w:rPr>
                <w:rStyle w:val="IndexLink"/>
                <w:rtl w:val="true"/>
              </w:rPr>
              <w:t xml:space="preserve">» </w:t>
            </w:r>
            <w:r>
              <w:rPr>
                <w:rStyle w:val="IndexLink"/>
                <w:rtl w:val="true"/>
              </w:rPr>
              <w:t xml:space="preserve">و نحوه من الأخبار و صیغ العقود </w:t>
            </w:r>
            <w:r>
              <w:rPr>
                <w:rStyle w:val="IndexLink"/>
                <w:rtl w:val="true"/>
              </w:rPr>
              <w:t>...]</w:t>
              <w:tab/>
            </w:r>
            <w:r>
              <w:rPr>
                <w:rStyle w:val="IndexLink"/>
              </w:rPr>
              <w:t>464</w:t>
            </w:r>
          </w:hyperlink>
        </w:p>
        <w:p>
          <w:pPr>
            <w:pStyle w:val="Contents2"/>
            <w:tabs>
              <w:tab w:val="clear" w:pos="8743"/>
              <w:tab w:val="right" w:pos="9026" w:leader="dot"/>
            </w:tabs>
            <w:rPr/>
          </w:pPr>
          <w:hyperlink w:anchor="__RefHeading___Toc2986629_3224264995">
            <w:r>
              <w:rPr>
                <w:webHidden/>
                <w:rStyle w:val="IndexLink"/>
                <w:rtl w:val="true"/>
              </w:rPr>
              <w:t>فهرس الموضوعات</w:t>
            </w:r>
            <w:r>
              <w:rPr>
                <w:rStyle w:val="IndexLink"/>
                <w:rtl w:val="true"/>
              </w:rPr>
              <w:tab/>
            </w:r>
            <w:r>
              <w:rPr>
                <w:rStyle w:val="IndexLink"/>
              </w:rPr>
              <w:t>467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80_153150"/>
      <w:bookmarkStart w:id="1" w:name="pg12880_153150"/>
      <w:bookmarkEnd w:id="1"/>
    </w:p>
    <w:p>
      <w:pPr>
        <w:pStyle w:val="Heading2"/>
        <w:numPr>
          <w:ilvl w:val="1"/>
          <w:numId w:val="1"/>
        </w:numPr>
        <w:rPr/>
      </w:pPr>
      <w:bookmarkStart w:id="2" w:name="pg12880_153150"/>
      <w:bookmarkStart w:id="3" w:name="__RefHeading___Toc2986285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لاری، عبدالحسین،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عبدالحسین اللاری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موتمر احیاآ ذکری آیه‌الله المجاهد السید عبدالحسین اللاری، اللجنه العلمیه للموتمر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آیت‌الله سید عبدالحسین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علمی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بزرگداشت آیت‌الله سید عبدالحسین لاری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 و جهرم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86287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880_153154"/>
      <w:bookmarkStart w:id="8" w:name="pg12880_153154"/>
      <w:bookmarkEnd w:id="8"/>
    </w:p>
    <w:p>
      <w:pPr>
        <w:pStyle w:val="Heading2"/>
        <w:numPr>
          <w:ilvl w:val="1"/>
          <w:numId w:val="1"/>
        </w:numPr>
        <w:rPr/>
      </w:pPr>
      <w:bookmarkStart w:id="9" w:name="pg12880_153154"/>
      <w:bookmarkStart w:id="10" w:name="__RefHeading___Toc2986289_3224264995"/>
      <w:bookmarkStart w:id="11" w:name="_Toc3"/>
      <w:bookmarkEnd w:id="9"/>
      <w:bookmarkEnd w:id="10"/>
      <w:r>
        <w:rPr>
          <w:rtl w:val="true"/>
        </w:rPr>
        <w:t>[</w:t>
      </w:r>
      <w:r>
        <w:rPr>
          <w:rtl w:val="true"/>
        </w:rPr>
        <w:t>تتمة باب الأوامر و النواهی</w:t>
      </w:r>
      <w:r>
        <w:rPr>
          <w:rtl w:val="true"/>
        </w:rPr>
        <w:t>]</w:t>
      </w:r>
      <w:bookmarkEnd w:id="11"/>
    </w:p>
    <w:p>
      <w:pPr>
        <w:pStyle w:val="Heading3"/>
        <w:numPr>
          <w:ilvl w:val="2"/>
          <w:numId w:val="1"/>
        </w:numPr>
        <w:rPr/>
      </w:pPr>
      <w:bookmarkStart w:id="12" w:name="__RefHeading___Toc2986291_3224264995"/>
      <w:bookmarkStart w:id="13" w:name="_Toc4"/>
      <w:bookmarkEnd w:id="12"/>
      <w:r>
        <w:rPr>
          <w:rtl w:val="true"/>
        </w:rPr>
        <w:t>[</w:t>
      </w:r>
      <w:r>
        <w:rPr>
          <w:rtl w:val="true"/>
        </w:rPr>
        <w:t>المقصد الثانی</w:t>
      </w:r>
      <w:r>
        <w:rPr>
          <w:rtl w:val="true"/>
        </w:rPr>
        <w:t xml:space="preserve">: </w:t>
      </w:r>
      <w:r>
        <w:rPr>
          <w:rtl w:val="true"/>
        </w:rPr>
        <w:t>فی النواهی</w:t>
      </w:r>
      <w:r>
        <w:rPr>
          <w:rtl w:val="true"/>
        </w:rPr>
        <w:t>]</w:t>
      </w:r>
      <w:bookmarkEnd w:id="13"/>
    </w:p>
    <w:p>
      <w:pPr>
        <w:pStyle w:val="Heading4"/>
        <w:numPr>
          <w:ilvl w:val="3"/>
          <w:numId w:val="1"/>
        </w:numPr>
        <w:rPr/>
      </w:pPr>
      <w:bookmarkStart w:id="14" w:name="__RefHeading___Toc2986293_3224264995"/>
      <w:bookmarkStart w:id="15" w:name="_Toc5"/>
      <w:bookmarkEnd w:id="14"/>
      <w:r>
        <w:rPr>
          <w:rtl w:val="true"/>
        </w:rPr>
        <w:t>[</w:t>
      </w:r>
      <w:r>
        <w:rPr>
          <w:rtl w:val="true"/>
        </w:rPr>
        <w:t>الفصل الاول</w:t>
      </w:r>
      <w:r>
        <w:rPr>
          <w:rtl w:val="true"/>
        </w:rPr>
        <w:t xml:space="preserve">: </w:t>
      </w:r>
      <w:r>
        <w:rPr>
          <w:rtl w:val="true"/>
        </w:rPr>
        <w:t>اجتماع الأمر و النهی</w:t>
      </w:r>
      <w:r>
        <w:rPr>
          <w:rtl w:val="true"/>
        </w:rPr>
        <w:t>]</w:t>
      </w:r>
      <w:bookmarkEnd w:id="15"/>
    </w:p>
    <w:p>
      <w:pPr>
        <w:pStyle w:val="Heading5"/>
        <w:numPr>
          <w:ilvl w:val="4"/>
          <w:numId w:val="1"/>
        </w:numPr>
        <w:rPr/>
      </w:pPr>
      <w:bookmarkStart w:id="16" w:name="__RefHeading___Toc2986295_3224264995"/>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هل یجوز اجتماع الأمر و النهی فی شی‌ء واحد أو لا؟</w:t>
      </w:r>
    </w:p>
    <w:p>
      <w:pPr>
        <w:pStyle w:val="Heading5"/>
        <w:numPr>
          <w:ilvl w:val="4"/>
          <w:numId w:val="1"/>
        </w:numPr>
        <w:rPr/>
      </w:pPr>
      <w:bookmarkStart w:id="18" w:name="__RefHeading___Toc2986297_3224264995"/>
      <w:bookmarkStart w:id="19" w:name="_Toc7"/>
      <w:bookmarkEnd w:id="18"/>
      <w:r>
        <w:rPr>
          <w:rtl w:val="true"/>
        </w:rPr>
        <w:t>[</w:t>
      </w:r>
      <w:r>
        <w:rPr>
          <w:rtl w:val="true"/>
        </w:rPr>
        <w:t>و تحقیق المقام یقتضی رسم مقدّمات</w:t>
      </w:r>
      <w:r>
        <w:rPr>
          <w:rtl w:val="true"/>
        </w:rPr>
        <w:t>.]</w:t>
      </w:r>
      <w:bookmarkEnd w:id="19"/>
    </w:p>
    <w:p>
      <w:pPr>
        <w:pStyle w:val="Heading6"/>
        <w:numPr>
          <w:ilvl w:val="5"/>
          <w:numId w:val="1"/>
        </w:numPr>
        <w:rPr/>
      </w:pPr>
      <w:bookmarkStart w:id="20" w:name="__RefHeading___Toc2986299_3224264995"/>
      <w:bookmarkStart w:id="21" w:name="_Toc8"/>
      <w:bookmarkEnd w:id="20"/>
      <w:r>
        <w:rPr>
          <w:rtl w:val="true"/>
        </w:rPr>
        <w:t>[ [</w:t>
      </w:r>
      <w:r>
        <w:rPr>
          <w:rtl w:val="true"/>
        </w:rPr>
        <w:t>المقدّمة</w:t>
      </w:r>
      <w:r>
        <w:rPr>
          <w:rtl w:val="true"/>
        </w:rPr>
        <w:t xml:space="preserve">] </w:t>
      </w:r>
      <w:r>
        <w:rPr>
          <w:rtl w:val="true"/>
        </w:rPr>
        <w:t>الأولی</w:t>
      </w:r>
      <w:r>
        <w:rPr>
          <w:rtl w:val="true"/>
        </w:rPr>
        <w:t xml:space="preserve">: </w:t>
      </w:r>
      <w:r>
        <w:rPr>
          <w:rtl w:val="true"/>
        </w:rPr>
        <w:t>إنّ مسألة الاجتماع</w:t>
      </w:r>
      <w:r>
        <w:rPr>
          <w:rtl w:val="true"/>
        </w:rPr>
        <w:t>]</w:t>
      </w:r>
      <w:bookmarkEnd w:id="21"/>
    </w:p>
    <w:p>
      <w:pPr>
        <w:pStyle w:val="BookText"/>
        <w:rPr/>
      </w:pPr>
      <w:r>
        <w:rPr>
          <w:rFonts w:ascii="IRNazanin" w:hAnsi="IRNazanin" w:eastAsia="IRNazanin"/>
          <w:color w:val="111111"/>
          <w:sz w:val="28"/>
          <w:sz w:val="28"/>
          <w:szCs w:val="28"/>
          <w:rtl w:val="true"/>
          <w:lang w:bidi="fa-IR"/>
        </w:rPr>
        <w:t>هل هی من المسائل الکلامیة، کما قاله فی القوانین</w:t>
      </w:r>
      <w:r>
        <w:rPr>
          <w:rStyle w:val="FootnoteAnchor"/>
          <w:rtl w:val="true"/>
        </w:rPr>
        <w:footnoteReference w:id="2"/>
      </w:r>
      <w:r>
        <w:rPr>
          <w:rFonts w:ascii="IRNazanin" w:hAnsi="IRNazanin" w:eastAsia="IRNazanin"/>
          <w:color w:val="111111"/>
          <w:sz w:val="28"/>
          <w:sz w:val="28"/>
          <w:szCs w:val="28"/>
          <w:rtl w:val="true"/>
          <w:lang w:bidi="fa-IR"/>
        </w:rPr>
        <w:t>، أم من المسائل الاصولیة، کما قاله غیره</w:t>
      </w:r>
      <w:r>
        <w:rPr>
          <w:rStyle w:val="FootnoteAnchor"/>
          <w:rtl w:val="true"/>
        </w:rPr>
        <w:footnoteReference w:id="3"/>
      </w:r>
      <w:r>
        <w:rPr>
          <w:rFonts w:ascii="IRNazanin" w:hAnsi="IRNazanin" w:eastAsia="IRNazanin"/>
          <w:color w:val="111111"/>
          <w:sz w:val="28"/>
          <w:sz w:val="28"/>
          <w:szCs w:val="28"/>
          <w:rtl w:val="true"/>
          <w:lang w:bidi="fa-IR"/>
        </w:rPr>
        <w:t>، و علی الثانی هل هی من المبادئ العقلیة، کما استظهره الضوابط</w:t>
      </w:r>
      <w:r>
        <w:rPr>
          <w:rStyle w:val="FootnoteAnchor"/>
          <w:rtl w:val="true"/>
        </w:rPr>
        <w:footnoteReference w:id="4"/>
      </w:r>
      <w:r>
        <w:rPr>
          <w:rFonts w:ascii="IRNazanin" w:hAnsi="IRNazanin" w:eastAsia="IRNazanin"/>
          <w:color w:val="111111"/>
          <w:sz w:val="28"/>
          <w:sz w:val="28"/>
          <w:szCs w:val="28"/>
          <w:rtl w:val="true"/>
          <w:lang w:bidi="fa-IR"/>
        </w:rPr>
        <w:t>و الفصول</w:t>
      </w:r>
      <w:r>
        <w:rPr>
          <w:rStyle w:val="FootnoteAnchor"/>
          <w:rtl w:val="true"/>
        </w:rPr>
        <w:footnoteReference w:id="5"/>
      </w:r>
      <w:r>
        <w:rPr>
          <w:rFonts w:ascii="IRNazanin" w:hAnsi="IRNazanin" w:eastAsia="IRNazanin"/>
          <w:color w:val="111111"/>
          <w:sz w:val="28"/>
          <w:sz w:val="28"/>
          <w:szCs w:val="28"/>
          <w:rtl w:val="true"/>
          <w:lang w:bidi="fa-IR"/>
        </w:rPr>
        <w:t>و الإشارات</w:t>
      </w:r>
      <w:r>
        <w:rPr>
          <w:rStyle w:val="FootnoteAnchor"/>
          <w:rtl w:val="true"/>
        </w:rPr>
        <w:footnoteReference w:id="6"/>
      </w:r>
      <w:r>
        <w:rPr>
          <w:rFonts w:ascii="IRNazanin" w:hAnsi="IRNazanin" w:eastAsia="IRNazanin"/>
          <w:color w:val="111111"/>
          <w:sz w:val="28"/>
          <w:sz w:val="28"/>
          <w:szCs w:val="28"/>
          <w:rtl w:val="true"/>
          <w:lang w:bidi="fa-IR"/>
        </w:rPr>
        <w:t>، أو من المبادئ اللغویة، کما استظهره الشیروانی</w:t>
      </w:r>
      <w:r>
        <w:rPr>
          <w:rStyle w:val="FootnoteAnchor"/>
          <w:rtl w:val="true"/>
        </w:rPr>
        <w:footnoteReference w:id="7"/>
      </w:r>
      <w:r>
        <w:rPr>
          <w:rFonts w:ascii="IRNazanin" w:hAnsi="IRNazanin" w:eastAsia="IRNazanin"/>
          <w:color w:val="111111"/>
          <w:sz w:val="28"/>
          <w:sz w:val="28"/>
          <w:szCs w:val="28"/>
          <w:rtl w:val="true"/>
          <w:lang w:bidi="fa-IR"/>
        </w:rPr>
        <w:t>من کلام المعالم، حیث عقده فی جملة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أنّها باعتبار البحث فیها عن أحوال المکلّف هل یحسن منه ذلک أو یقبح 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البحث فیها عن أحوال الدلیل و القاعدة الممهّدة لاستنباط أحکام الفروع أصولیة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باعتبار البحث فیها عن إمکان اجتماع الحسن و القبح فی شی‌ء واحد </w:t>
      </w:r>
      <w:bookmarkStart w:id="22" w:name="pg12880_153155"/>
    </w:p>
    <w:p>
      <w:pPr>
        <w:pStyle w:val="BookText"/>
        <w:rPr/>
      </w:pPr>
      <w:bookmarkEnd w:id="22"/>
      <w:r>
        <w:rPr>
          <w:rFonts w:ascii="IRNazanin" w:hAnsi="IRNazanin" w:eastAsia="IRNazanin"/>
          <w:color w:val="111111"/>
          <w:sz w:val="28"/>
          <w:sz w:val="28"/>
          <w:szCs w:val="28"/>
          <w:rtl w:val="true"/>
          <w:lang w:bidi="fa-IR"/>
        </w:rPr>
        <w:t>و عدمه عقلیة، فیحکم بالإطلاق عقلا علی الأوّل و التقیید عقلا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البحث فیها عن الصحّة اللغویة و الحسن اللغوی لغویة، فیحکم بالإطلاق عرفا علی الأوّل و التقیید عرفا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مقتضی التحقیق الشأنی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مقتضی التحقیق الفعلی، فلا شبهة فی أنّ نظر الاصولیین من ذکرها فی المقام إنّما هو إلی الاعتبار الثالث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إمکان اجتماع الحسن و القبح فی شی‌ء واحد و امتناعه، فهی اذن مسألة اصولیة عقلیة، و یشهد علی ذلک کون استدلالاتهم فی المقام کلّها عقلیة، و بعد ذلک فلا وجه لاستظهار النزاع اللغوی من کلام المعالم</w:t>
      </w:r>
      <w:r>
        <w:rPr>
          <w:rStyle w:val="FootnoteAnchor"/>
          <w:rtl w:val="true"/>
        </w:rPr>
        <w:footnoteReference w:id="8"/>
      </w:r>
      <w:r>
        <w:rPr>
          <w:rFonts w:ascii="IRNazanin" w:hAnsi="IRNazanin" w:eastAsia="IRNazanin"/>
          <w:color w:val="111111"/>
          <w:sz w:val="28"/>
          <w:sz w:val="28"/>
          <w:szCs w:val="28"/>
          <w:rtl w:val="true"/>
          <w:lang w:bidi="fa-IR"/>
        </w:rPr>
        <w:t>حیث عقده فی جملة مباحث الألفاظ، مع أنّه لیس للمعالم مبادئ احکامیة حتی یذکره فیها، و لذا ذکر غیره ممّا یناسب ذلک المبحث فیها</w:t>
      </w:r>
      <w:r>
        <w:rPr>
          <w:rFonts w:eastAsia="IRNazanin" w:cs="IRNazanin"/>
          <w:color w:val="111111"/>
          <w:sz w:val="28"/>
          <w:szCs w:val="28"/>
          <w:rtl w:val="true"/>
          <w:lang w:bidi="fa-IR"/>
        </w:rPr>
        <w:t>.</w:t>
      </w:r>
    </w:p>
    <w:p>
      <w:pPr>
        <w:pStyle w:val="Heading6"/>
        <w:numPr>
          <w:ilvl w:val="5"/>
          <w:numId w:val="1"/>
        </w:numPr>
        <w:rPr/>
      </w:pPr>
      <w:bookmarkStart w:id="23" w:name="__RefHeading___Toc2986301_3224264995"/>
      <w:bookmarkStart w:id="24" w:name="_Toc9"/>
      <w:bookmarkEnd w:id="23"/>
      <w:r>
        <w:rPr>
          <w:rtl w:val="true"/>
        </w:rPr>
        <w:t>[</w:t>
      </w:r>
      <w:r>
        <w:rPr>
          <w:rtl w:val="true"/>
        </w:rPr>
        <w:t>المقدمة الثانیة</w:t>
      </w:r>
      <w:r>
        <w:rPr>
          <w:rtl w:val="true"/>
        </w:rPr>
        <w:t xml:space="preserve">: </w:t>
      </w:r>
      <w:r>
        <w:rPr>
          <w:rtl w:val="true"/>
        </w:rPr>
        <w:t>فی تحریر محلّ النزاع،</w:t>
      </w:r>
      <w:r>
        <w:rPr>
          <w:rtl w:val="true"/>
        </w:rPr>
        <w:t>]</w:t>
      </w:r>
      <w:bookmarkEnd w:id="24"/>
    </w:p>
    <w:p>
      <w:pPr>
        <w:pStyle w:val="BookText"/>
        <w:rPr/>
      </w:pPr>
      <w:r>
        <w:rPr>
          <w:rFonts w:ascii="IRNazanin" w:hAnsi="IRNazanin" w:eastAsia="IRNazanin"/>
          <w:color w:val="111111"/>
          <w:sz w:val="28"/>
          <w:sz w:val="28"/>
          <w:szCs w:val="28"/>
          <w:rtl w:val="true"/>
          <w:lang w:bidi="fa-IR"/>
        </w:rPr>
        <w:t>و هو من 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الجواز و هو إمّا عقلی أو عرفی أو شرعی، لا خلاف فی الجواز هاهنا بالمعنی الأخیرین، و إنّما الخلاف فی الجواز بالمعنی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من العرف و الشرع بالنظر إلی جنبته العقلی یستحیل انفکاکه عن العقل، بل کل منهما عین الآخر بحسب غیر الخارج، و هذا معنی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حکم به العقل حکم به الشرع و بالعکس، و بالنظر إلی جنبه الخارجی یستحیل الدرک به، و هذا معنی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الجزئی لا یکون کاسبا و لا مکتسبا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اختلافهما صغروی لا کبروی، فإنّ الجواز العقلی ضد الامتناع، و الجواز الشرعی و العرفی ضدّ الحرمة و الغلطة، و الاختلاف فی الصغری لا ینافی الاتّحاد فی الکبری، کما أنّ الاختلاف فی اللفظ لا ینافی الاتّحاد فی المعنی </w:t>
      </w:r>
    </w:p>
    <w:p>
      <w:pPr>
        <w:pStyle w:val="BookText"/>
        <w:rPr/>
      </w:pPr>
      <w:r>
        <w:rPr>
          <w:rFonts w:ascii="IRNazanin" w:hAnsi="IRNazanin" w:eastAsia="IRNazanin"/>
          <w:color w:val="111111"/>
          <w:sz w:val="28"/>
          <w:sz w:val="28"/>
          <w:szCs w:val="28"/>
          <w:rtl w:val="true"/>
          <w:lang w:bidi="fa-IR"/>
        </w:rPr>
        <w:t>و التلازم فی الحکم، و هذا معنی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مشاحة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لک رفع المنافاة بین قولهم بأنّ الأحکام الشرعیة مبنیّة علی التدقیقات لا علی التسامح، و قولهم بأنّها لیست مبنیّة علی التدقیقات الحکمیة و العقلیة، بل علی حسب متفاهم العرف، فإنّ المقصود من هذین القولین المشهور فی السنتهم هو أنّ المدار فی تشخیص موضوعات الأحکام الشرعیة من وحدة الموضوع و تعدّده و بقائه و انعدامه فی جریان الاستصحاب و عدمه، إنّما هو علی التدقیقات العقلیة الموافقة لمصطلح العرف، دون المخالفة له، فإنّ عدم إجراء حکم السفر و الکرّ و غیرها من الأحکام علی موضوعاتها الناقصة عن حدّها المقدّر بمقدار شعیرة لیس من جهة مجرّد عدم صدق الموضوع بحسب التدقیق العقلی، بل إنّما هو من جهة ضمیمة موافقة عدم صدقه الحقیقی بحسب العرف إلّا من باب التسامح و التنزیل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عدم إجراء حکم النجاسة علی الدخان المتصاعد عن النجس و البخار الحاصل منه مع عدم انفکاکهما عن أجزاء متصاغرة جدّا من العین النجسة إنّما هو من جهة عدم صدق موضوع الحکم و العین النجسة علیهما بحسب العرف، و إن صدقا بحسب العقل؟ و قس علی ذلک الحال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فالمراد من ابتناء الأحکام الشرعیة علی المسامحات العرفیة لا التدقیقات العقلیة هو ابتنائها علی متفاهم العرف الغیر الناشئ من تنزیلاتهم، و المراد من ابتنائها علی التدقیقات العقلیة لا المسامحات العرفیة هو عدم ابتنائها علی متفاهمهم الناشئ من تنزیلاتهم، فلا منافاة بین القولین المذکورین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الاجتماع، و یتصوّر باعتبار المکان علی وجوه، لأنّ اجتماع الأمر و النهی إمّا فی متباینین، أو فی متساویین، أو فیما بینهما عموم مطلق مع تعلّق النهی بالأخصّ أو الأعمّ، أو فیما بینهما عموم من 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فی المتباینین، فیجوز فیه الاجتماع ما لم یتلازما بالوفاق، سواء تعاندا فی الجنس أم اتّحدا، و لا عبرة بمنع بعض المعتزلة الاجتماع فی الثانی نظرا إلی ذاتیة الحسن و القبح و إن أمکنهم الجواب عمّا أورد علیهم صاحب الضوابط</w:t>
      </w:r>
      <w:r>
        <w:rPr>
          <w:rStyle w:val="FootnoteAnchor"/>
          <w:rtl w:val="true"/>
        </w:rPr>
        <w:footnoteReference w:id="9"/>
      </w:r>
      <w:r>
        <w:rPr>
          <w:rFonts w:ascii="IRNazanin" w:hAnsi="IRNazanin" w:eastAsia="IRNazanin"/>
          <w:color w:val="111111"/>
          <w:sz w:val="28"/>
          <w:sz w:val="28"/>
          <w:szCs w:val="28"/>
          <w:rtl w:val="true"/>
          <w:lang w:bidi="fa-IR"/>
        </w:rPr>
        <w:t>و غیره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ذاتیة الحسن و القبح بضرورة أنّهما قد یکونان بالوجوه و الاعتبارات فی بعض المقامات إن لم نقل فی غالبها کحسن السجدة للّه تعالی و قبحها للصنم 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ذلک، لکن یمکن تعارض الذاتیین و لا نسلّم دوران الأحکام مدار الصفات الذاتیة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الإمکان المذکور أن یجیبوا عن الأوّل بتخریج مورد النهی فیما إذا کان من أفراد ما اقتضی جنسه حسنا إلی جعله من أفراد ما یقتضی جنسه قبحا و العکس إلی العکس، کما نقل عنهم تخریج النهی عن سجدة الصنم إلی النهی عن تعظیمه، کما أنّ الحال فی الظلم و الغصب ممّا یکون قبحه ذاتیا عدم التخلّف أزلا و أبدا، إلّا إذا تطرق علیه حیثیة کونه تأدیبا أو تخلیصا لنفس محرّمة و نحو ذلک ممّا یرفع موضوع الظلم و الغصب لا حکمه فقط، و لکن لا یخفی ما فی تخریجهم، لأنّا ننقل الکلام الذی فی المخرج عنه إلی المخرج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بأنّ الذاتیین إن کانتا متباینتین فی عرض واحد فلا یمکن اتّحادهما لیمکن تعارضهما و یصدق اجتماع الأمر و النهی، و إن کانتا مرتبتین فی طول واحد فلیس تعارضهما من باب تعارض الذاتیین، بل من باب تعارض الذات و الطبیعة النوعیة مع العوارض المصنّفة أو المشخّصة، و قد سلّمت أنّ ما بالذات لا یزول بالغیر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قرّر صاحب الهدایة إیراد صاحب الضوابط بما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تسلیم </w:t>
      </w:r>
    </w:p>
    <w:p>
      <w:pPr>
        <w:pStyle w:val="BookText"/>
        <w:rPr/>
      </w:pPr>
      <w:r>
        <w:rPr>
          <w:rFonts w:ascii="IRNazanin" w:hAnsi="IRNazanin" w:eastAsia="IRNazanin"/>
          <w:color w:val="111111"/>
          <w:sz w:val="28"/>
          <w:sz w:val="28"/>
          <w:szCs w:val="28"/>
          <w:rtl w:val="true"/>
          <w:lang w:bidi="fa-IR"/>
        </w:rPr>
        <w:t>کونهما أی الحسن و القبح ذاتیین للأفعال فلیس الأمر و النهی دائرا مدار ذلک قطعا، لوجوب الأمر بأقلّ القبیحین حینئذ عند دوران الأمر بینهما، فأیّ مانع إذن من أن یکون بعض أصناف الطبیعة المنهیّ عنها مأمورا به یرتفع النهی بالنسبة إلیه لدوران الأمر بین ارتکاب القبح الحاصل فیه و ما هو أقبح منه و إن لم نقل حینئذ بانقلاب القبیح حسنا فتأمّل</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و إن لم یمکن المعتزلة أن یجیبوا عن هذا التقریر بما أجابوا به عن التقریر الأوّل، إلّا أنّه یمکنهم الجواب عنه بمنع تفاوت بعض أصناف الطبیعة لبعض آخر فی القبح، فإنّ منعهم تفاوتها لا یبعد بکثیر عن منعهم تغایرها، و لعلّ هذا هو الوجه التأمّل الذی فی تقریره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المتساویان و ما یکون بینهما عموما مطلقا مع تعلّق الأمر بالأخصّ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تؤذ فلانا و 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فیهما الاجتماع بالوفاق، لعدم إمکان الخروج عن عهدة التکلیفین، و لا عبرة أیضا ببعض الأشاعرة المجوّزین التکلیف بالمحال و إن کان فی تقریر الإیراد علیهم بکون ذلک محالا لا تکلیفا بالمحال وجوه غیر متّجهة علی اصولهم اعنی علی إنکارهم الحسن و القبح العقلیین کما اشار إلیها صاحب الهدایة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علی فرض قولهم بالحسن و القبح العقلیین فغایة ما یلزمهم هو قبح الأمر بالقبیح و النهی عن الحسن، و لا یلزمهم استحالة الأمر بالقبیح و النهی عن الحسن کما لا یخفی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فی الفصول من تجویز اجتماع الأمر و النهی فی الشی‌ء الواحد إذا اختلف زمانیهما ممثّلا له بالدخول فی الدار المغصوبة، فإنّه منهیّ عن الخروج قبل </w:t>
      </w:r>
    </w:p>
    <w:p>
      <w:pPr>
        <w:pStyle w:val="BookText"/>
        <w:rPr/>
      </w:pPr>
      <w:r>
        <w:rPr>
          <w:rFonts w:ascii="IRNazanin" w:hAnsi="IRNazanin" w:eastAsia="IRNazanin"/>
          <w:color w:val="111111"/>
          <w:sz w:val="28"/>
          <w:sz w:val="28"/>
          <w:szCs w:val="28"/>
          <w:rtl w:val="true"/>
          <w:lang w:bidi="fa-IR"/>
        </w:rPr>
        <w:t>الدخول و مأمور به بعده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اختلاف زمنی المأمور به و المنهیّ عنه، فعلی تقدیر کون المثال من هذا الشق کان وجه جواز الاجتماع فیه هو رجوعه إلی الاجتماع فی المتبانیین المتّحدین فی الجنس، دون المتساوین و المتّحدین بالشخص کما زعم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اختلاف زمنی الأمر و النهی فلا یخلو إمّا أن یکون الحکم التالی صدوره ناسخا للأوّل أو لا، فإن أرید الأوّل فلا یتأتّی فی کلام الشارع، لأنّه نسخ قبل حضور وقت العمل المستلزم للبداء المحال علیه و للنهی مع العلم بانتفاء شرطه، و لو فرض إتیانه فوجه جواز الاجتماع فیه هو رجوعه إلی ما ذکرنا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أرید الثانی، فلا یتعقّل وجه لجواز الاجتماع فیه، ضرورة أنّ مجرّد الاختلاف بین زمان صدور الأمر بالصلاة مثلا و زمان صدور النهی عنه فی وقت واحد لا یجدی إمکان الخروج عن عهدة التکلیفین، و لو فرضنا کون المثال من هذا الشق فإن قلنا بجواز التکلیف بالمحال إذا کان من سوء اختیار المکلّف کان وجه جواز الاجتماع فیه هو ذلک، لا اختلاف زمنی صدور الأمر و النهی، و إلّا فالاجتماع فیه ممنوع من أصله، لما عرفت من عدم وجه لجوازه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یکون بینهما عموما مطلقا و تعلّق الأمر بالأعمّ فلا خلاف ظاهرا فی خروجه عن هذا النزاع و دخوله فی مسألة النهی فی العبادات فی الجملة، کما لا خلاف ظاهرا فی دخول ما یکون بینهما عموم من وجه فی هذا النزاع، و خروجه عن تلک المسألة فی الجملة، ضرورة شهادة العرف علی حمل المطلق علی المقیّد و فحوی کلماتهم عند تحریر الأدلة، و إنّما الخلاف و الإشکال فی انحصار هذا النزاع فی العموم من وجه و نزاع النهی فی العبادات فی العموم المطلق، بحیث یکون ذلک </w:t>
      </w:r>
    </w:p>
    <w:p>
      <w:pPr>
        <w:pStyle w:val="BookText"/>
        <w:rPr/>
      </w:pPr>
      <w:r>
        <w:rPr>
          <w:rFonts w:ascii="IRNazanin" w:hAnsi="IRNazanin" w:eastAsia="IRNazanin"/>
          <w:color w:val="111111"/>
          <w:sz w:val="28"/>
          <w:sz w:val="28"/>
          <w:szCs w:val="28"/>
          <w:rtl w:val="true"/>
          <w:lang w:bidi="fa-IR"/>
        </w:rPr>
        <w:t>هو المدار فی افتراق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نصّ علی الانحصار و أنّ هذا هو المدار العضدی</w:t>
      </w:r>
      <w:r>
        <w:rPr>
          <w:rStyle w:val="FootnoteAnchor"/>
          <w:rtl w:val="true"/>
        </w:rPr>
        <w:footnoteReference w:id="12"/>
      </w:r>
      <w:r>
        <w:rPr>
          <w:rFonts w:ascii="IRNazanin" w:hAnsi="IRNazanin" w:eastAsia="IRNazanin"/>
          <w:color w:val="111111"/>
          <w:sz w:val="28"/>
          <w:sz w:val="28"/>
          <w:szCs w:val="28"/>
          <w:rtl w:val="true"/>
          <w:lang w:bidi="fa-IR"/>
        </w:rPr>
        <w:t>و صاحب الهدایة</w:t>
      </w:r>
      <w:r>
        <w:rPr>
          <w:rStyle w:val="FootnoteAnchor"/>
          <w:rtl w:val="true"/>
        </w:rPr>
        <w:footnoteReference w:id="13"/>
      </w:r>
      <w:r>
        <w:rPr>
          <w:rFonts w:ascii="IRNazanin" w:hAnsi="IRNazanin" w:eastAsia="IRNazanin"/>
          <w:color w:val="111111"/>
          <w:sz w:val="28"/>
          <w:sz w:val="28"/>
          <w:szCs w:val="28"/>
          <w:rtl w:val="true"/>
          <w:lang w:bidi="fa-IR"/>
        </w:rPr>
        <w:t>و القوانین</w:t>
      </w:r>
      <w:r>
        <w:rPr>
          <w:rStyle w:val="FootnoteAnchor"/>
          <w:rtl w:val="true"/>
        </w:rPr>
        <w:footnoteReference w:id="14"/>
      </w:r>
      <w:r>
        <w:rPr>
          <w:rFonts w:ascii="IRNazanin" w:hAnsi="IRNazanin" w:eastAsia="IRNazanin"/>
          <w:color w:val="111111"/>
          <w:sz w:val="28"/>
          <w:sz w:val="28"/>
          <w:szCs w:val="28"/>
          <w:rtl w:val="true"/>
          <w:lang w:bidi="fa-IR"/>
        </w:rPr>
        <w:t>، و هو الأظهر، خلافا للفاضل الشیرازی</w:t>
      </w:r>
      <w:r>
        <w:rPr>
          <w:rStyle w:val="FootnoteAnchor"/>
          <w:rtl w:val="true"/>
        </w:rPr>
        <w:footnoteReference w:id="15"/>
      </w:r>
      <w:r>
        <w:rPr>
          <w:rFonts w:ascii="IRNazanin" w:hAnsi="IRNazanin" w:eastAsia="IRNazanin"/>
          <w:color w:val="111111"/>
          <w:sz w:val="28"/>
          <w:sz w:val="28"/>
          <w:szCs w:val="28"/>
          <w:rtl w:val="true"/>
          <w:lang w:bidi="fa-IR"/>
        </w:rPr>
        <w:t>حیث اعترض علی العضدی و صاحب الفصول</w:t>
      </w:r>
      <w:r>
        <w:rPr>
          <w:rStyle w:val="FootnoteAnchor"/>
          <w:rtl w:val="true"/>
        </w:rPr>
        <w:footnoteReference w:id="16"/>
      </w:r>
      <w:r>
        <w:rPr>
          <w:rFonts w:ascii="IRNazanin" w:hAnsi="IRNazanin" w:eastAsia="IRNazanin"/>
          <w:color w:val="111111"/>
          <w:sz w:val="28"/>
          <w:sz w:val="28"/>
          <w:szCs w:val="28"/>
          <w:rtl w:val="true"/>
          <w:lang w:bidi="fa-IR"/>
        </w:rPr>
        <w:t xml:space="preserve">و غیره حیث اعترضوا علی القوانین بالنقض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 و لا تدانی إلی مکان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بین متعلق الأمر و النهی فی کلّ واحد من المثالین عموم مطلق، و المفروض دخولها فی هذه المسألة، و لاجل هذا النقض عدل الناقضون إلی أنّ المدار فی افتراق المسألتین علی تغایر متعلّق الأمر و النهی و عدمه، لا علی ما ذکره الجماعة من العموم من وجه و العموم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النقض بالمثال الأوّل أنّ المدار فی النسبة علی مادّة الأمر و مادّة النهی مع الغضّ عن لحوق الهیئة لهما، و من البیّن أنّ النسبة بین التحرّک و التدانی إلی مکان مخصوص مع الغضّ عن لحوق هیئة الأمر و النهی المنصرفة إلی الأفراد المقدورة هو العموم من وجه، لاجتماعهما فی التحرّک إلی ذلک المکان و افتراق الأوّل فی التباعد عنه و افتراق الثانی فی انطواء الأرض إلیه، و لو سلّمنا عدم الغضّ عن لحوقهما الهیئة فلنا أن نجیب بأنّ العبرة فی بیان النسب الأربعة عند المنطقیّین إنّما هو علی الأفراد العقلیة لا العادیة فقط</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نصّ صاحب القوانین علی أنّ العبرة علی ذلک فی مسألة التعارض أیضا، حیث جعل النسبة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عن الدار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عن الغصب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أیضا من العموم من وجه، نظرا إلی إمکان التخلّص بغیر الإخراج عقلا و إن امتنع عادة، و علی ذلک فالإیراد بالنقض المذکور علی فرض إتمامه لا یتّجه علی مسلک المورد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النقض بالمثال الثانی أنّ المراد من النسبة، النسبة بین نفس المادّتین مع الغضّ عن لحوق القیود، فاندراج المثال المذکور فی هذه المسألة إنّما هو من جهة الغضّ عن لحوق القید، و أمّا بملاحظة لحوق القید فلا إشکال فی خروجه عن هذه المسألة و دخوله فی مسألة النهی فی العبادة کما هو الحال فی کلّ مثال ذا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اندفاع النقض بالمثالین المذکورین و انحصار هذا النزاع فیما یکون بینهما عموم من وجه و أنّ المدار فی افتراق هذه المسألة عن مسألة النهی فی العبادة علی العموم من وجه لا علی تغایر متعلق الأمر و النهی کما زعمه الناقض، فاعلم أنّ المراد من العموم فی هذا المبحث هو العموم المنطقی، و فی مبحث التراجیح هو العموم الاصولی، حذرا من لزوم التناقض بین اختلافهم فی جواز اجتماع الأمر و النهی هنا و اتّفاقهم علی عدم جواز اجتماعهما هناک، و ذلک من جهة أنّ اختلافهم هناک إنّما هو فی تقدیم الأمر أو النهی أو الطرح و الرجوع إلی الأصل لا غیر، و لیس ذلک إلّا من جهة اتّفاقهم علی عدم جواز اجتماع الأمر و النهی و العمل بهما فی مادّة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أیضا أنّ المنهی عنه الذی بینه و بین المأمور به عموم من وجه إمّا أن یکون عرضا مفارقا للمأمور به أو لازما له، و اللازم إمّا لازم لماهیته أو لازم لشخصه و وجوده، و المراد من اللازم ما یختلف الذات أو الوجود باختلافه و بالمفارق عکسه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أفعال الصلاة و أکوانه الواقعة فی المکان </w:t>
      </w:r>
    </w:p>
    <w:p>
      <w:pPr>
        <w:pStyle w:val="BookText"/>
        <w:rPr/>
      </w:pPr>
      <w:r>
        <w:rPr>
          <w:rFonts w:ascii="IRNazanin" w:hAnsi="IRNazanin" w:eastAsia="IRNazanin"/>
          <w:color w:val="111111"/>
          <w:sz w:val="28"/>
          <w:sz w:val="28"/>
          <w:szCs w:val="28"/>
          <w:rtl w:val="true"/>
          <w:lang w:bidi="fa-IR"/>
        </w:rPr>
        <w:t>المغصوب لا یختلف ذاتها برضاء المالک و عدمه، فرضاء المالک و عدمه من عوارضه المفارقة له، لا اللازمة له، إذ لو تبدّل عدم رضاء المالک برضائه أو العکس فی أثناء الصلاة لم یتبدّل ذات تلک الأفعال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مثال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و لا ترتمس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الغسل جنس و قدر مشترک بین الترتیبی و الارتماسی یختلف ذاته باختلاف أحد نوعیه الترتیبی و الارتماسی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مثال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غسل الارتماسی و لا تکن فی المکان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الشخص الخاص من الغسل الارتماسی من لوازم وجوده کونه فی المکان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المنهیّ عنه فی کلّ وجه من هذه الوجوه الثلاثة إمّا أن یکون نفس متعلّق النهی کالأمثلة المتقدّمة، أو متعلّق متعلّق النهی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 الصلاة و لا توجد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حیوانا، و لا تشتر أبیضا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بماء الورد و لا تأتنی بظرف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المتیقّن دخوله فی هذا النزاع من الأمثلة الستّة هو تعلّق النهی بالعرض المفارق بمثالیه، کما أنّ المتیقن خروجه من هذا النزاع من الأمثلة الأربعة الباقیة هو تعلّق النهی بالعرض اللازم، لوجود المأمور به بمثالیه لما ستعرف إن شاء اللّه من دخول الأوّل فی الاجتماع المصداقی، و الثانی فی الاجتماع الموردی و ظهور أدلّتهم و نصوص کلماتهم علی کون النزاع فی الأوّل دون الثانی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دخول المنهیّ عنه الذی یلازم ماهیة المأمور به کالمثال الثانی و الخامس فقد توقّف فیه صاحب الضوابط</w:t>
      </w:r>
      <w:r>
        <w:rPr>
          <w:rStyle w:val="FootnoteAnchor"/>
          <w:rtl w:val="true"/>
        </w:rPr>
        <w:footnoteReference w:id="17"/>
      </w:r>
      <w:r>
        <w:rPr>
          <w:rFonts w:ascii="IRNazanin" w:hAnsi="IRNazanin" w:eastAsia="IRNazanin"/>
          <w:color w:val="111111"/>
          <w:sz w:val="28"/>
          <w:sz w:val="28"/>
          <w:szCs w:val="28"/>
          <w:rtl w:val="true"/>
          <w:lang w:bidi="fa-IR"/>
        </w:rPr>
        <w:t>قدّس سرّه بل قد ترجّی الاتّفاق علی عدم جواز الاجتماع فی المثال الخامس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توقّفه فی دخولهما فی محلّ النزاع فلا وجه له بعد کون الاجتماع فیها من باب الاجتماع المصداقی، لما تنادی به أدلّتهم من أنّ محلّ النزاع فی مطلق الاجتماع المصداقی، کما لا یخفی علی المتدبّر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الاتّفاق الذی ترجّاه علی عدم جواز الاجتماع فی المثال الخامس فعلی تقدیر وقوعه إنّما هو بالنظر إلی جهة اندراجه فی مسألة النهی فی العبادات، و أمّا بالنظر إلی جهته الاخری التی بها تندرج فی هذه المسألة مع الغضّ عن الجهة الاولی فکلّا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ما ذکرناه من تحریر محلّ النزاع فیما یکون بینها عموم من وجه هو مختار جماعة من المتأخرین، و المستفاد من دلیل أنّ تعلق الأمر و النهی بکلیّین بینهما عموم من وجه هل یقتضی تقیید أحدهما بالآخر أم لا؟ و لکنّ الموجود فی النهایة</w:t>
      </w:r>
      <w:r>
        <w:rPr>
          <w:rStyle w:val="FootnoteAnchor"/>
          <w:rtl w:val="true"/>
        </w:rPr>
        <w:footnoteReference w:id="18"/>
      </w:r>
      <w:r>
        <w:rPr>
          <w:rFonts w:ascii="IRNazanin" w:hAnsi="IRNazanin" w:eastAsia="IRNazanin"/>
          <w:color w:val="111111"/>
          <w:sz w:val="28"/>
          <w:sz w:val="28"/>
          <w:szCs w:val="28"/>
          <w:rtl w:val="true"/>
          <w:lang w:bidi="fa-IR"/>
        </w:rPr>
        <w:t>و المعالم</w:t>
      </w:r>
      <w:r>
        <w:rPr>
          <w:rStyle w:val="FootnoteAnchor"/>
          <w:rtl w:val="true"/>
        </w:rPr>
        <w:footnoteReference w:id="19"/>
      </w:r>
      <w:r>
        <w:rPr>
          <w:rFonts w:ascii="IRNazanin" w:hAnsi="IRNazanin" w:eastAsia="IRNazanin"/>
          <w:color w:val="111111"/>
          <w:sz w:val="28"/>
          <w:sz w:val="28"/>
          <w:szCs w:val="28"/>
          <w:rtl w:val="true"/>
          <w:lang w:bidi="fa-IR"/>
        </w:rPr>
        <w:t>و القوانین</w:t>
      </w:r>
      <w:r>
        <w:rPr>
          <w:rStyle w:val="FootnoteAnchor"/>
          <w:rtl w:val="true"/>
        </w:rPr>
        <w:footnoteReference w:id="20"/>
      </w:r>
      <w:r>
        <w:rPr>
          <w:rFonts w:ascii="IRNazanin" w:hAnsi="IRNazanin" w:eastAsia="IRNazanin"/>
          <w:color w:val="111111"/>
          <w:sz w:val="28"/>
          <w:sz w:val="28"/>
          <w:szCs w:val="28"/>
          <w:rtl w:val="true"/>
          <w:lang w:bidi="fa-IR"/>
        </w:rPr>
        <w:t>و الاشارات</w:t>
      </w:r>
      <w:r>
        <w:rPr>
          <w:rStyle w:val="FootnoteAnchor"/>
          <w:rtl w:val="true"/>
        </w:rPr>
        <w:footnoteReference w:id="21"/>
      </w:r>
      <w:r>
        <w:rPr>
          <w:rFonts w:ascii="IRNazanin" w:hAnsi="IRNazanin" w:eastAsia="IRNazanin"/>
          <w:color w:val="111111"/>
          <w:sz w:val="28"/>
          <w:sz w:val="28"/>
          <w:szCs w:val="28"/>
          <w:rtl w:val="true"/>
          <w:lang w:bidi="fa-IR"/>
        </w:rPr>
        <w:t>و الفصول</w:t>
      </w:r>
      <w:r>
        <w:rPr>
          <w:rStyle w:val="FootnoteAnchor"/>
          <w:rtl w:val="true"/>
        </w:rPr>
        <w:footnoteReference w:id="22"/>
      </w:r>
      <w:r>
        <w:rPr>
          <w:rFonts w:ascii="IRNazanin" w:hAnsi="IRNazanin" w:eastAsia="IRNazanin"/>
          <w:color w:val="111111"/>
          <w:sz w:val="28"/>
          <w:sz w:val="28"/>
          <w:szCs w:val="28"/>
          <w:rtl w:val="true"/>
          <w:lang w:bidi="fa-IR"/>
        </w:rPr>
        <w:t>و المحکی عن الجوامع</w:t>
      </w:r>
      <w:r>
        <w:rPr>
          <w:rStyle w:val="FootnoteAnchor"/>
          <w:rtl w:val="true"/>
        </w:rPr>
        <w:footnoteReference w:id="23"/>
      </w:r>
      <w:r>
        <w:rPr>
          <w:rFonts w:ascii="IRNazanin" w:hAnsi="IRNazanin" w:eastAsia="IRNazanin"/>
          <w:color w:val="111111"/>
          <w:sz w:val="28"/>
          <w:sz w:val="28"/>
          <w:szCs w:val="28"/>
          <w:rtl w:val="true"/>
          <w:lang w:bidi="fa-IR"/>
        </w:rPr>
        <w:t>و الزرکشی</w:t>
      </w:r>
      <w:r>
        <w:rPr>
          <w:rStyle w:val="FootnoteAnchor"/>
          <w:rtl w:val="true"/>
        </w:rPr>
        <w:footnoteReference w:id="24"/>
      </w:r>
      <w:r>
        <w:rPr>
          <w:rFonts w:ascii="IRNazanin" w:hAnsi="IRNazanin" w:eastAsia="IRNazanin"/>
          <w:color w:val="111111"/>
          <w:sz w:val="28"/>
          <w:sz w:val="28"/>
          <w:szCs w:val="28"/>
          <w:rtl w:val="true"/>
          <w:lang w:bidi="fa-IR"/>
        </w:rPr>
        <w:t>و الآمدی</w:t>
      </w:r>
      <w:r>
        <w:rPr>
          <w:rStyle w:val="FootnoteAnchor"/>
          <w:rtl w:val="true"/>
        </w:rPr>
        <w:footnoteReference w:id="25"/>
      </w:r>
      <w:r>
        <w:rPr>
          <w:rFonts w:ascii="IRNazanin" w:hAnsi="IRNazanin" w:eastAsia="IRNazanin"/>
          <w:color w:val="111111"/>
          <w:sz w:val="28"/>
          <w:sz w:val="28"/>
          <w:szCs w:val="28"/>
          <w:rtl w:val="true"/>
          <w:lang w:bidi="fa-IR"/>
        </w:rPr>
        <w:t>و الحاجبی</w:t>
      </w:r>
      <w:r>
        <w:rPr>
          <w:rStyle w:val="FootnoteAnchor"/>
          <w:rtl w:val="true"/>
        </w:rPr>
        <w:footnoteReference w:id="26"/>
      </w:r>
      <w:r>
        <w:rPr>
          <w:rFonts w:ascii="IRNazanin" w:hAnsi="IRNazanin" w:eastAsia="IRNazanin"/>
          <w:color w:val="111111"/>
          <w:sz w:val="28"/>
          <w:sz w:val="28"/>
          <w:szCs w:val="28"/>
          <w:rtl w:val="true"/>
          <w:lang w:bidi="fa-IR"/>
        </w:rPr>
        <w:t>و العضدی</w:t>
      </w:r>
      <w:r>
        <w:rPr>
          <w:rStyle w:val="FootnoteAnchor"/>
          <w:rtl w:val="true"/>
        </w:rPr>
        <w:footnoteReference w:id="27"/>
      </w:r>
      <w:r>
        <w:rPr>
          <w:rFonts w:ascii="IRNazanin" w:hAnsi="IRNazanin" w:eastAsia="IRNazanin"/>
          <w:color w:val="111111"/>
          <w:sz w:val="28"/>
          <w:sz w:val="28"/>
          <w:szCs w:val="28"/>
          <w:rtl w:val="true"/>
          <w:lang w:bidi="fa-IR"/>
        </w:rPr>
        <w:t>و غیرهم هو تحریر نزاع اجتماع الأمر و النهی فی الواحد الشخصی المختلف جهتاه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یستشکل فیه بأنّ الجهتان إن کانتا تقییدیتین فمرجعهما إلی المتباینین، </w:t>
      </w:r>
    </w:p>
    <w:p>
      <w:pPr>
        <w:pStyle w:val="BookText"/>
        <w:rPr/>
      </w:pPr>
      <w:r>
        <w:rPr>
          <w:rFonts w:ascii="IRNazanin" w:hAnsi="IRNazanin" w:eastAsia="IRNazanin"/>
          <w:color w:val="111111"/>
          <w:sz w:val="28"/>
          <w:sz w:val="28"/>
          <w:szCs w:val="28"/>
          <w:rtl w:val="true"/>
          <w:lang w:bidi="fa-IR"/>
        </w:rPr>
        <w:t>و إن کانتا مختلفتین فمرجعهما إلی الأعمّ و الأخصّ المطلق، و إن کانتا تعلیلیتین فمرجعهما إلی المتساویین، ضرورة أنّ تعدد العلل الذهنیة و المعرّفات لا تجدی تعدّد المعلول و تغایر المتعلّق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جهة الواحد الشخصی ظاهر فی تعدّد الجهة التعلیلیة، و قد عرفت أنّ تعدّد الجهة التعلیلیة لا یجدی تعدّد المعلول و تغایر المتعلّق خارجا، و علی ذلک فلا مسرح لتوهّم الخلاف فی امتناع الاجتماع فی هذا المحلّ فضلا عن صدور الخلاف من اساطین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الجهتین من إمکان الاجتماع أو امتناعه علی کلّ تقدیر من تقادیر الجهة قد عرفت أنّه وفاقی لا عبرة بخلاف البعض فیه، و مقتضی الوفاق فی الحکم و الکبری لزوم کون النزاع فی المسألة صغرویا، مع أنّ ظاهر العناوین کونه کبرویا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تحریر النزاع بهذا التعبیر یفترق عن تحریره بالتعبیر الأوّل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التعبیر یعمّ ما إذا کان الأمر و النهی متعلّقین بالفرد صریحا أو من جهة تعلّقهما بالطبیعتین، بخلاف التعبیر الأوّل، لاختصاصه بالأخیر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 أنّ هذا التعبیر یعمّ ما لو کانت النسبة بین الجهتین العموم المطلق أو من وجه، بل التساوی أیضا، و قد عرفت خروج ما عدا صورة العموم من وجه عن محلّ النزاع</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أمّا عن الأول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جلّ الأساطین المجوّزین للاجتماع إنّما هم من المتأخّرین الذین حرّروا النزاع بالتحریر الأوّل، و أمّا جلّ المانعین فإنّما هم من المتقدّمین الذین حرّروا النزاع بالتحریر الثانی، و علی ذلک فلا خلاف بین القولین، لرجوعه إلی الخلاف اللفظی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الجمع بین التحریرین و إرجاع أحدهما إلی الآخر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من اجتماع الأمر و النهی فی الواحد الشخصی من جهتین هو اجتماعهما فی الفرد بالتبع و المقدّمیة بواسطة اجتماعهما فی جهتین بالأصالة و الذاتیة، و من البیّن أنّ ذلک لا ینطبق إلّا علی ما کان بین متعلّق الأمر و النهی فیه عموم من وجه، کما هو مقتضی التحریر الأوّل، فإنّ الصلاة فی الدار المغصوبة قد اجتمع فیه الأمر و النهی المقدّمی بواسطة اجتماع الأمر و النهی الذاتی فی جهتین بینهما عموم من وجه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الغصب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المقصود من اجتماع الأمر و النهی فی الواحد الشخصی من جهتین هو اجتماع المأمور به و المنهیّ عنه فی الفرد بواسطة اجتماع الأمر و النهی فی جهتین، و ذلک أیضا لا ینطبق إلّا علی مقتضی التحریر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الثانی فبأنّ اللازم مشترک الورود بین التحریرین، لإمکان أن یقال فی التحریر الأوّل قبالا لما قلت فی التحریر الثانی بأنّ تعلّق الأمر و النهی إن کان بالطبائع و کان مقدّمة الواجب غیر واجبة فجواز الاجتماع فی العامین من وجه وفاقی، و إلّا فعدم الجواز وفاقی، و مقتضی الوفاق فی الحکم و الکبری لزوم کون النزاع فی المسألة أیضا صغرویا، مع أنّ ظاهر العناوین کونه کبرویا، بل و ستعرف لزومه من جهات أخر توجب الالتزام به و طرح العناوین، کما هو الشأن فی تعارض النصّ 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ذکرنا من أوّل الجهة الثانیة إلی هنا أنّ الاجتماع باعتبار المکان إمّا فی موجود واحد و هو المعبّر عنه بالاجتماع الشخصی، أو فی موجودین بوجودین و هو المعبّر عنه بالاجتماع الموردی، أو فی موجودین بوجود واحد و هو المعبّر عنه بالاجتماع المصداقی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فلا إشکال فی امتناع الاجتماع فیه، کما لا إشکال فی إمکان </w:t>
      </w:r>
    </w:p>
    <w:p>
      <w:pPr>
        <w:pStyle w:val="BookText"/>
        <w:rPr/>
      </w:pPr>
      <w:r>
        <w:rPr>
          <w:rFonts w:ascii="IRNazanin" w:hAnsi="IRNazanin" w:eastAsia="IRNazanin"/>
          <w:color w:val="111111"/>
          <w:sz w:val="28"/>
          <w:sz w:val="28"/>
          <w:szCs w:val="28"/>
          <w:rtl w:val="true"/>
          <w:lang w:bidi="fa-IR"/>
        </w:rPr>
        <w:t>الاجتماع فی الثانی، و أمّا الثالث فهو محلّ هذا النزاع المبتنی علی النزاع فی تعلّق الطلب بالوجود أو الطبیعة علی 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الاجتماع باعتبار الفاعل ایضا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 بأن یجمع المأمور باختیاره بین المأمور به و المنهیّ عنه کالصلاة فی المکان المغصوب علی القول بتعلّق الأحکام بالطبائع، فالأمر تعلّق بطبیعة الصلاة و النهی تعلّق بطبیعة الغصب أو بجمیع أفراده، لاستغراق النهی عن الطبیعة جمیع الأفراد، و علی أیّ تقدیر لم یتعلّق الأمر هنا بشی‌ء تعلّق به النهی حتی یجتمع نفس الأمر و النهی بحیث یتّحد متعلّقهما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أمریّ و 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یستند إلی سوء اختیار المکلف، کما لو دخل فی المکان المغصوب اختیارا فهو مکلّف بالخروج و عدمه، و قسم یستند إلی الأمر کما لو کلّف المحبوس فی المکان المغصوب اضطرارا بالصلاة و ترک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أوّل القسمین خارج عن هذا النزاع و مبنی علی النزاع فی أنّ التکلیف بالمحال المستند إلی سوء اختیار المکلّف محال أو لا، و له عنوان آخر قد سبق ذکره و سیأتی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الأول، فلیس فی الحقیقة من اجتماع الأمر و النهی، و إنّما هو من اجتماع المأمور به و المنهیّ عنه، و لا ریب بجوازه عند الکلّ بالوفاق، کما لا ریب فی عدم جواز القسم الأخیر عند العدلیة بالوفاق هذا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الإشکال فی أنّ مقتضی الوفاق علی جواز المأموری و امتناع الأمری کون النزاع صغرویا، بمعنی أنّ المجوّزین یقولون أنّ هذا اجتماع مأموری و کلّ اجتماع </w:t>
      </w:r>
    </w:p>
    <w:p>
      <w:pPr>
        <w:pStyle w:val="BookText"/>
        <w:rPr/>
      </w:pPr>
      <w:r>
        <w:rPr>
          <w:rFonts w:ascii="IRNazanin" w:hAnsi="IRNazanin" w:eastAsia="IRNazanin"/>
          <w:color w:val="111111"/>
          <w:sz w:val="28"/>
          <w:sz w:val="28"/>
          <w:szCs w:val="28"/>
          <w:rtl w:val="true"/>
          <w:lang w:bidi="fa-IR"/>
        </w:rPr>
        <w:t>مأموری جائز، أمّا الصغری فلتعلّق الأحکام بالطبائع و عدم وجوب المقدمة، و أمّا الکبری فبالوفاق، و المنکرین أنکروا الصغری،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اجتماع أمری و کلّ اجتماع أمری لا یجوز، أمّا الصغری فلتعلّق الأحکام بالأفراد أو لوجوب المقدمة، و أمّا الکبری فبالوفاق، مع أنّ مقتضی ظاهر عناوینهم کونه کبرویا بمعنی أنّ الکلّ متّفقون علی الصغری و کون الاجتماع فی العامین من وجه مأموریا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أمریا و لکن نزاعهم فی أنّ المأموری أو الأمری جائز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الاعتماد علی مقتضی الأوّل، لاعتضاده بمقتضی ادلّة البحث و علله، و من الظاهر عند العرف أنّ المعلول یتبع العلّة فی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الرمان لأنّه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یخصّص مورد المعلول بالأفراد الحامضة و إن کان بحسب اللفظ عامّا، و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اللبن لأنّه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یعمّم المعلول بکلّ الباردات و إن کان بحسب اللفظ خاصّا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یعلم أنّ عنوان النزاع و إن اشتمل علی خصوص الأمر و النهی الظاهرین فی الإلزامی العینی التعیینی التعبدی، إلّا أنّ أدلّة النزاع من لزوم اجتماع الضدّین و عدمه تعمّها و غیرها من الأحکام الخمسة، مضافا إلی ما صرّح به فی الضوابط</w:t>
      </w:r>
      <w:r>
        <w:rPr>
          <w:rStyle w:val="FootnoteAnchor"/>
          <w:rtl w:val="true"/>
        </w:rPr>
        <w:footnoteReference w:id="28"/>
      </w:r>
      <w:r>
        <w:rPr>
          <w:rFonts w:ascii="IRNazanin" w:hAnsi="IRNazanin" w:eastAsia="IRNazanin"/>
          <w:color w:val="111111"/>
          <w:sz w:val="28"/>
          <w:sz w:val="28"/>
          <w:szCs w:val="28"/>
          <w:rtl w:val="true"/>
          <w:lang w:bidi="fa-IR"/>
        </w:rPr>
        <w:t>و الهدایة</w:t>
      </w:r>
      <w:r>
        <w:rPr>
          <w:rStyle w:val="FootnoteAnchor"/>
          <w:rtl w:val="true"/>
        </w:rPr>
        <w:footnoteReference w:id="29"/>
      </w:r>
      <w:r>
        <w:rPr>
          <w:rFonts w:ascii="IRNazanin" w:hAnsi="IRNazanin" w:eastAsia="IRNazanin"/>
          <w:color w:val="111111"/>
          <w:sz w:val="28"/>
          <w:sz w:val="28"/>
          <w:szCs w:val="28"/>
          <w:rtl w:val="true"/>
          <w:lang w:bidi="fa-IR"/>
        </w:rPr>
        <w:t>و الإشارات</w:t>
      </w:r>
      <w:r>
        <w:rPr>
          <w:rStyle w:val="FootnoteAnchor"/>
          <w:rtl w:val="true"/>
        </w:rPr>
        <w:footnoteReference w:id="30"/>
      </w:r>
      <w:r>
        <w:rPr>
          <w:rFonts w:ascii="IRNazanin" w:hAnsi="IRNazanin" w:eastAsia="IRNazanin"/>
          <w:color w:val="111111"/>
          <w:sz w:val="28"/>
          <w:sz w:val="28"/>
          <w:szCs w:val="28"/>
          <w:rtl w:val="true"/>
          <w:lang w:bidi="fa-IR"/>
        </w:rPr>
        <w:t>و القوانین</w:t>
      </w:r>
      <w:r>
        <w:rPr>
          <w:rStyle w:val="FootnoteAnchor"/>
          <w:rtl w:val="true"/>
        </w:rPr>
        <w:footnoteReference w:id="31"/>
      </w:r>
      <w:r>
        <w:rPr>
          <w:rFonts w:ascii="IRNazanin" w:hAnsi="IRNazanin" w:eastAsia="IRNazanin"/>
          <w:color w:val="111111"/>
          <w:sz w:val="28"/>
          <w:sz w:val="28"/>
          <w:szCs w:val="28"/>
          <w:rtl w:val="true"/>
          <w:lang w:bidi="fa-IR"/>
        </w:rPr>
        <w:t>، نعم مضروب الأمر و النهی التخییریین باقسامهما الأربعة من الإیجابیین و الندبیین و المختلفین فی النفسی و الغیری خارجة عن محلّ النزاع، للوفاق علی جواز الاجتماع فی التخییرین،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إحدی الاختین و لا تزوج الاخری</w:t>
      </w:r>
      <w:r>
        <w:rPr>
          <w:rFonts w:eastAsia="IRNazanin" w:cs="IRNazanin"/>
          <w:color w:val="111111"/>
          <w:sz w:val="28"/>
          <w:szCs w:val="28"/>
          <w:rtl w:val="true"/>
          <w:lang w:bidi="fa-IR"/>
        </w:rPr>
        <w:t xml:space="preserve">. </w:t>
      </w:r>
      <w:bookmarkStart w:id="25" w:name="pg12880_153168"/>
    </w:p>
    <w:p>
      <w:pPr>
        <w:pStyle w:val="BookText"/>
        <w:rPr/>
      </w:pPr>
      <w:bookmarkEnd w:id="25"/>
      <w:r>
        <w:rPr>
          <w:rFonts w:ascii="IRNazanin" w:hAnsi="IRNazanin" w:eastAsia="IRNazanin"/>
          <w:color w:val="111111"/>
          <w:sz w:val="28"/>
          <w:sz w:val="28"/>
          <w:szCs w:val="28"/>
          <w:rtl w:val="true"/>
          <w:lang w:bidi="fa-IR"/>
        </w:rPr>
        <w:t>و أمّا التفصیل بین سائر الأقسام فتحکّم بحت، و علی ذلک فما یقال من أنّ جواز اجتماع الواجب التوصّلی مع الحرام اتّفاقی خارج عن محلّ النزاع، فلا بدّ أن یراد من الاجتماع الإسقاط، أو من الوجوب التوصلی وجوبه الغیری البحت الذی هو معنی المقدّمیة لا حکمه، و إلّا فهو مندرج تحت النزاع البتة، لعموم الدلیل و اتّحاد المناط</w:t>
      </w:r>
      <w:r>
        <w:rPr>
          <w:rFonts w:eastAsia="IRNazanin" w:cs="IRNazanin"/>
          <w:color w:val="111111"/>
          <w:sz w:val="28"/>
          <w:szCs w:val="28"/>
          <w:rtl w:val="true"/>
          <w:lang w:bidi="fa-IR"/>
        </w:rPr>
        <w:t>.</w:t>
      </w:r>
    </w:p>
    <w:p>
      <w:pPr>
        <w:pStyle w:val="Heading6"/>
        <w:numPr>
          <w:ilvl w:val="5"/>
          <w:numId w:val="1"/>
        </w:numPr>
        <w:rPr/>
      </w:pPr>
      <w:bookmarkStart w:id="26" w:name="__RefHeading___Toc2986303_3224264995"/>
      <w:bookmarkStart w:id="27" w:name="_Toc10"/>
      <w:bookmarkEnd w:id="26"/>
      <w:r>
        <w:rPr>
          <w:rtl w:val="true"/>
        </w:rPr>
        <w:t>[</w:t>
      </w:r>
      <w:r>
        <w:rPr>
          <w:rtl w:val="true"/>
        </w:rPr>
        <w:t>المقدمة الثالثة</w:t>
      </w:r>
      <w:r>
        <w:rPr>
          <w:rtl w:val="true"/>
        </w:rPr>
        <w:t xml:space="preserve">: </w:t>
      </w:r>
      <w:r>
        <w:rPr>
          <w:rtl w:val="true"/>
        </w:rPr>
        <w:t>فی بیان ثمرة النزاع</w:t>
      </w:r>
      <w:r>
        <w:rPr>
          <w:rtl w:val="true"/>
        </w:rPr>
        <w:t xml:space="preserve">. </w:t>
      </w:r>
      <w:r>
        <w:rPr>
          <w:rtl w:val="true"/>
        </w:rPr>
        <w:t>اختلفوا فی أنّ الثمرة فی مجرّد إمکان</w:t>
      </w:r>
      <w:r>
        <w:rPr>
          <w:rtl w:val="true"/>
        </w:rPr>
        <w:t>]</w:t>
      </w:r>
      <w:bookmarkEnd w:id="27"/>
    </w:p>
    <w:p>
      <w:pPr>
        <w:pStyle w:val="BookText"/>
        <w:rPr/>
      </w:pPr>
      <w:r>
        <w:rPr>
          <w:rFonts w:ascii="IRNazanin" w:hAnsi="IRNazanin" w:eastAsia="IRNazanin"/>
          <w:color w:val="111111"/>
          <w:sz w:val="28"/>
          <w:sz w:val="28"/>
          <w:szCs w:val="28"/>
          <w:rtl w:val="true"/>
          <w:lang w:bidi="fa-IR"/>
        </w:rPr>
        <w:t>کون الشی‌ء الواحد مطلوبا و مبغوضا و عدمه، کما اختاره صاحب القوانین</w:t>
      </w:r>
      <w:r>
        <w:rPr>
          <w:rStyle w:val="FootnoteAnchor"/>
          <w:rtl w:val="true"/>
        </w:rPr>
        <w:footnoteReference w:id="32"/>
      </w:r>
      <w:r>
        <w:rPr>
          <w:rFonts w:ascii="IRNazanin" w:hAnsi="IRNazanin" w:eastAsia="IRNazanin"/>
          <w:color w:val="111111"/>
          <w:sz w:val="28"/>
          <w:sz w:val="28"/>
          <w:szCs w:val="28"/>
          <w:rtl w:val="true"/>
          <w:lang w:bidi="fa-IR"/>
        </w:rPr>
        <w:t>و الضوابط</w:t>
      </w:r>
      <w:r>
        <w:rPr>
          <w:rStyle w:val="FootnoteAnchor"/>
          <w:rtl w:val="true"/>
        </w:rPr>
        <w:footnoteReference w:id="33"/>
      </w:r>
      <w:r>
        <w:rPr>
          <w:rFonts w:ascii="IRNazanin" w:hAnsi="IRNazanin" w:eastAsia="IRNazanin"/>
          <w:color w:val="111111"/>
          <w:sz w:val="28"/>
          <w:sz w:val="28"/>
          <w:szCs w:val="28"/>
          <w:rtl w:val="true"/>
          <w:lang w:bidi="fa-IR"/>
        </w:rPr>
        <w:t>، أو فیما یزید علیه من صحة العبادة المأتی بها فی ضمن الفرد المحرّم و فسادها مع الإثم، کما اختاره المشهور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المعالم</w:t>
      </w:r>
      <w:r>
        <w:rPr>
          <w:rStyle w:val="FootnoteAnchor"/>
          <w:rtl w:val="true"/>
        </w:rPr>
        <w:footnoteReference w:id="34"/>
      </w:r>
      <w:r>
        <w:rPr>
          <w:rFonts w:ascii="IRNazanin" w:hAnsi="IRNazanin" w:eastAsia="IRNazanin"/>
          <w:color w:val="111111"/>
          <w:sz w:val="28"/>
          <w:sz w:val="28"/>
          <w:szCs w:val="28"/>
          <w:rtl w:val="true"/>
          <w:lang w:bidi="fa-IR"/>
        </w:rPr>
        <w:t>و الإشارات</w:t>
      </w:r>
      <w:r>
        <w:rPr>
          <w:rStyle w:val="FootnoteAnchor"/>
          <w:rtl w:val="true"/>
        </w:rPr>
        <w:footnoteReference w:id="35"/>
      </w:r>
      <w:r>
        <w:rPr>
          <w:rFonts w:ascii="IRNazanin" w:hAnsi="IRNazanin" w:eastAsia="IRNazanin"/>
          <w:color w:val="111111"/>
          <w:sz w:val="28"/>
          <w:sz w:val="28"/>
          <w:szCs w:val="28"/>
          <w:rtl w:val="true"/>
          <w:lang w:bidi="fa-IR"/>
        </w:rPr>
        <w:t>و الفصول</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أنّ الثمرة بالنظر إلی نفس ما یقتضیه جواز الاجتماع و عدمه مع الغضّ عن ضمیمة مقتضی الأصل أو الترجیح فی مجرّد إمکان کون الشی‌ء الواحد مطلوبا و مبغوضا و عدمه، و أمّا بالنظر إلیه مع ملاحظة الضمیمة ففی صحّة العبادة و فسادها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علی دعوی ظهور الثمرة فی صحّة العبادة علی القول بالجواز وجود المقتضی و هو الأمر و انتفاء ما یصلح للمانعیة بالفرض، و أمّا الموانع المتخیّلة کالاجماعات المحکیة علی بطلان الصلاة فی الدار المغصوبة مطلقا و کادعاء تقیید مورد الأمر بالنهی عرفا، فعلی تقدیر تسلیمها هی موانع خارجیة، و قد جری </w:t>
      </w:r>
    </w:p>
    <w:p>
      <w:pPr>
        <w:pStyle w:val="BookText"/>
        <w:rPr/>
      </w:pPr>
      <w:r>
        <w:rPr>
          <w:rFonts w:ascii="IRNazanin" w:hAnsi="IRNazanin" w:eastAsia="IRNazanin"/>
          <w:color w:val="111111"/>
          <w:sz w:val="28"/>
          <w:sz w:val="28"/>
          <w:szCs w:val="28"/>
          <w:rtl w:val="true"/>
          <w:lang w:bidi="fa-IR"/>
        </w:rPr>
        <w:t>دیدنهم فی النزاع عن جهة علی الغض عن الجهات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دعوی ظهور الثمرة فی فساد العبادة علی القول بعدم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المقتضی للصحّة و هو الأمر بعد فرض امتناع الاجتماع، و ذلک إمّا من جهة تکافؤ الأمر و النهی حینئذ و الرجوع إلی اصالة الفساد فی العبادات، أو من جهة فهم العرف من إطلاق الأمر و النهی تقیید مورد الأمر بالنهی، کما ادّعاه صاحب الفصول</w:t>
      </w:r>
      <w:r>
        <w:rPr>
          <w:rStyle w:val="FootnoteAnchor"/>
          <w:rtl w:val="true"/>
        </w:rPr>
        <w:footnoteReference w:id="37"/>
      </w:r>
      <w:r>
        <w:rPr>
          <w:rFonts w:ascii="IRNazanin" w:hAnsi="IRNazanin" w:eastAsia="IRNazanin"/>
          <w:color w:val="111111"/>
          <w:sz w:val="28"/>
          <w:sz w:val="28"/>
          <w:szCs w:val="28"/>
          <w:rtl w:val="true"/>
          <w:lang w:bidi="fa-IR"/>
        </w:rPr>
        <w:t>قدّس سرّه أو من جهة قرینة ترجیح النهی علی الأمر بأحد الوجوه الآتیة، کما ادّعاه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المانع و هو عدم الیقین بالمقتضی للصحّة و استصحاب عدم الامتثال بالفرد المشترک و مجری قاعدة الاشتغال فی مقام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التعویل علی الاصول العملیة فی فساد العبادة لا یستلزم الإثم و العصیان بناء علی عدم حجیّة الاصول المثبتة فی الأحکام الشرعیة، بخلاف التعویل علی ما ادّعی من فهم العرف أو وجود قرائن ترجیح النهی و هی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أقوی دلالة من الأمر، إذ النهی للاستغراق و الأمر للطبیعة فیطرح الأمر و یؤخذ بالنهی فیفسد العبادة مع الإثم، کما هو الحال فی تعارض النصّ و الظاهر و المطلق و المقیّد، بل لا تعارض بینهما علی مذهب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الأمر و إن کان من حیث المطلوب للطبیعة، لکنّه من حیث الأجزاء للاستغراق لدلالته التزاما علی أنّه أیّ فرد من الطبیعة أتی به فقد أجزاء فلا فرق بینهما فی إفادة الاستغراق</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یدفعه أنّ إفادة النهی الاستغراق مطابقة لفظیة، و إفادة النهی إیّاه التزام عقلیة، فلا ینافی أظهریة دلالة النهی علی الاستغراق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الاستقراء یقتضی ترجیح محتمل الحرمة علی محتمل الوجوب کحرمة العبادة أیّام الاستظهار و التجنّب عن الإنائین المشتبهین و نحو ذلک ممّا یدلّ علی تغلیب الحرام علی الحلال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 الحرام و الحلال إلّا و غلب الحرام الحلال</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أولویّة دفع المضرّة علی جلب المنفعة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 الوجه الأوّل بأنّ استلزام النهی الاستغراق إنّما هو فی الجملة لا مطلقا، یعنی أنّ النهی إنّما یقتضی نفی جمیع الأفراد فی الجملة، لا فی جمیع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ما أشار إلیه الفصول</w:t>
      </w:r>
      <w:r>
        <w:rPr>
          <w:rStyle w:val="FootnoteAnchor"/>
          <w:rtl w:val="true"/>
        </w:rPr>
        <w:footnoteReference w:id="39"/>
      </w:r>
      <w:r>
        <w:rPr>
          <w:rFonts w:ascii="IRNazanin" w:hAnsi="IRNazanin" w:eastAsia="IRNazanin"/>
          <w:color w:val="111111"/>
          <w:sz w:val="28"/>
          <w:sz w:val="28"/>
          <w:szCs w:val="28"/>
          <w:rtl w:val="true"/>
          <w:lang w:bidi="fa-IR"/>
        </w:rPr>
        <w:t>و الإشارات</w:t>
      </w:r>
      <w:r>
        <w:rPr>
          <w:rStyle w:val="FootnoteAnchor"/>
          <w:rtl w:val="true"/>
        </w:rPr>
        <w:footnoteReference w:id="40"/>
      </w:r>
      <w:r>
        <w:rPr>
          <w:rFonts w:ascii="IRNazanin" w:hAnsi="IRNazanin" w:eastAsia="IRNazanin"/>
          <w:color w:val="111111"/>
          <w:sz w:val="28"/>
          <w:sz w:val="28"/>
          <w:szCs w:val="28"/>
          <w:rtl w:val="true"/>
          <w:lang w:bidi="fa-IR"/>
        </w:rPr>
        <w:t>من أنّ المقصود من اظهریّة دلالة النهی علی دلالة الأمر یتمّ بالالتزام الأوّل، و أمّا الثانی فثبوته فی المقام 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الغصب و نظائره معلوم بالنصّ و الإجماع، نعم ما ذکر من قوة دلالة النهی إنّما یتم فیما إذا کان النهی لفظیا لا 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یظهر أنّ هذا الحکم فی أمثال ذلک لأجل ترجیح الحرمة علی الوجوب، بل لعلّه کان لدلیل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الحرمة فی الإنائین مقطوع بها، بخلافه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القلب بأنّ الاجتناب عن النجاسة واجب و ترک الوضوء حرام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الاستقراء لم یثبت حجّیته علی تقدیر ثبوته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معارض لأصل البراءة، و کذا ما دلّ علی تغلیب الحرام علی الحلال معارض بما دلّ علی أصل الإباحة فیما تعارض فیه النصان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الأوّل أنّ ما یتوقّع أن یکون دلیلا علی الحرمة فی أمثال ذلک ممّا عدی ترجیح الحرمة یتوقّع أن یکون دلیلا علی الحرمة فیما نحن فیه أیضا، إذ المتوقّع لتحریم الصلاة أیّام الاستظهار و تحریم المال المشتبه بمال الغیر فی الشبهة المحصورة و أمثاله هو مقتضی الأصل بعد الغضّ عن کونه مقتضی ترجیح الحرمة و من المعلوم أنّ توقّعه منطبق علی ما نحن فیه لا مفترق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الثانی ما فی الإشارات</w:t>
      </w:r>
      <w:r>
        <w:rPr>
          <w:rStyle w:val="FootnoteAnchor"/>
          <w:rtl w:val="true"/>
        </w:rPr>
        <w:footnoteReference w:id="41"/>
      </w:r>
      <w:r>
        <w:rPr>
          <w:rFonts w:ascii="IRNazanin" w:hAnsi="IRNazanin" w:eastAsia="IRNazanin"/>
          <w:color w:val="111111"/>
          <w:sz w:val="28"/>
          <w:sz w:val="28"/>
          <w:szCs w:val="28"/>
          <w:rtl w:val="true"/>
          <w:lang w:bidi="fa-IR"/>
        </w:rPr>
        <w:t>من أنّ تفرقة الإنائین بالحرمة القطعیّة عن الصلاة فی الدار المغصوبة غیر مجد، فإنّ المجدی تفرقة أحد الإنائین عن الصلاة المفروضة، و من المعلوم عدمه و اتّحادهما فی الدوران بین الحرمة و عدمه،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الثالث ما فی الفصول</w:t>
      </w:r>
      <w:r>
        <w:rPr>
          <w:rStyle w:val="FootnoteAnchor"/>
          <w:rtl w:val="true"/>
        </w:rPr>
        <w:footnoteReference w:id="42"/>
      </w:r>
      <w:r>
        <w:rPr>
          <w:rFonts w:ascii="IRNazanin" w:hAnsi="IRNazanin" w:eastAsia="IRNazanin"/>
          <w:color w:val="111111"/>
          <w:sz w:val="28"/>
          <w:sz w:val="28"/>
          <w:szCs w:val="28"/>
          <w:rtl w:val="true"/>
          <w:lang w:bidi="fa-IR"/>
        </w:rPr>
        <w:t>من أنّ المستدلّ إنّما یستند إلی الاستقراء فی تغلیب جهة حرمة الفعل علی جهة وجوبه، لا تغلیب جهة الحرمة علی جهة الوجوب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الرابع ما فی الإشارات</w:t>
      </w:r>
      <w:r>
        <w:rPr>
          <w:rStyle w:val="FootnoteAnchor"/>
          <w:rtl w:val="true"/>
        </w:rPr>
        <w:footnoteReference w:id="43"/>
      </w:r>
      <w:r>
        <w:rPr>
          <w:rFonts w:ascii="IRNazanin" w:hAnsi="IRNazanin" w:eastAsia="IRNazanin"/>
          <w:color w:val="111111"/>
          <w:sz w:val="28"/>
          <w:sz w:val="28"/>
          <w:szCs w:val="28"/>
          <w:rtl w:val="true"/>
          <w:lang w:bidi="fa-IR"/>
        </w:rPr>
        <w:t>أیضا من أنّ المقام مقام التأیید و الترجیح بالاستقراء لا مقام الاحتجاج به، و شتّان ما بینهما، فإنّ المدار فی الترجیحات علی ما یقوی الارادة و المدار فی الاحتجاج علی ما یعیّنه، مع أنّ المورد ممّن یقول بحجیّة مطلق الظن، فکیف ینکر حجّیة ظن الاستقراء، مضافا إلی إمکان أن یرجع إلی الظن فی دلالة اللفظ</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أصل البراءة لا یعارض الحرمة بعد ثبوت ظهورها </w:t>
      </w:r>
    </w:p>
    <w:p>
      <w:pPr>
        <w:pStyle w:val="BookText"/>
        <w:rPr/>
      </w:pPr>
      <w:r>
        <w:rPr>
          <w:rFonts w:ascii="IRNazanin" w:hAnsi="IRNazanin" w:eastAsia="IRNazanin"/>
          <w:color w:val="111111"/>
          <w:sz w:val="28"/>
          <w:sz w:val="28"/>
          <w:szCs w:val="28"/>
          <w:rtl w:val="true"/>
          <w:lang w:bidi="fa-IR"/>
        </w:rPr>
        <w:t>بالاستقراء أو سائر المرجّحات، سلّمنا، لکنه لا یعارض أصل الاشتغال و استصحاب عدم الامتثال القاضیین بفساد الصلاة المفروضة، لإمکان العمل بالجمیع بأن نحکم بالفساد و عدم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إجماع مرکّب قطعی فی البین علی أنّ کلّ من قال بعدم الإثم قال بعدم الفساد و من قال بالفساد قال بالإثم حصل التعارض، فیرجع إلی المرجّحات، و مع ذلک لا ریب فی أنّ أصالة الشغل و استصحابه بالذات أقوی من أصالة البراءة و استصحابها حیثما تعارضا، إلّا إذا انضمّ إلی أصالة البراءة استصحاب موضوعی کاستصحاب عدالة المصلّی إذا عرفنا عدالته قبل ذلک، فیقدّم أصالة البراءة لقوّة ضمیمته علی قاعدة الشغل و استصحابه الحکمی و هو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فقول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الحرمة معارض بأصل البراءة، علی إطلاقه ممنوع، و کذلک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من الأخبار علی تغلیب الحرام علی الحلال، معارض بما دلّ علی الإباحة فیما تعارض فیه النصّان ممنوع أیضا، لعدم شمول أخبار تغلیب الحرام علی الحلال لمورد أخبار تعارض النصّین، و لو سلّم فهو مخصّص به، لا 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تغلیب الحرام معارض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الحرام بعینه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لکان له وجه و إن قیل بأنّه لا یکافئ أخبار تغلیب الحرام لاعتضادها بالشهرة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علی الوجه الثالث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من بناء العقلاء علی تقدیم دفع المضرّة مطلقا، بل یقدّمون دفع المضرّة إذا کان ما یوازیها من المنفعة المحتملة منفعة یسیرة بالنسبة إلی تلک المضرّة، و یقدّمون جلب المنفعة إذا کان ما یوازیها من </w:t>
      </w:r>
    </w:p>
    <w:p>
      <w:pPr>
        <w:pStyle w:val="BookText"/>
        <w:rPr/>
      </w:pPr>
      <w:r>
        <w:rPr>
          <w:rFonts w:ascii="IRNazanin" w:hAnsi="IRNazanin" w:eastAsia="IRNazanin"/>
          <w:color w:val="111111"/>
          <w:sz w:val="28"/>
          <w:sz w:val="28"/>
          <w:szCs w:val="28"/>
          <w:rtl w:val="true"/>
          <w:lang w:bidi="fa-IR"/>
        </w:rPr>
        <w:t>المضرّة المحتملة مضرّة یسیرة بالنسبة إلی تلک المنفعة، مثلا لو علموا أنّ فی سلوک الطریق الفلانی إمّا منفعة وصول دینار و إمّا مضرّة مهلکة قدّموا دفع تلک المضرّة علی جلب تلک المنفعة، بخلاف ما لو علموا أنّ فی سلوکه إمّا منفعة وصول آلاف من الدنانیر و إمّا مضرّة سماع شتم، فإنّهم یقدّمون جلب تلک المنفعة علی دفع تلک المضرّة، و علی ذلک مبنی تحمّلهم مضارّ السفر و الخطر فی تجاراتهم و زراعتهم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تقدیم العقلاء دفع المضرّة مطلقا لسلّمناه فی امور المعاش لا المعاد، إذ قد تراهم لا یعتمدون علی احتمال الضرر العظیم مع عدم وجود نفع فی الارتکاب أصلا، فکیف فیما احتمل فیه وجود 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وجوب الصلاة فی الدار المغصوبة إمّا عینی، کما إذا تضیّق وقتها و هو فی الدار المغصوبة، أو تخییری کما إذا لم یتضیّق، و علی أیّ تقدیر لیس ما نحن فیه من جزئیات قاعدة تقدیم دفع المضرّة علی جلب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العینیة فلدوران الأمر بین المحذورین، لعدم المعرفة بتفاوت ما یترتّب علی کلّ من الفعل و الترک من النفع و الضرر، و أمّا علی التخییریّة فلعدم فقدان النفع علی فرض الترک، و هذا معنی ما فی القوانین</w:t>
      </w:r>
      <w:r>
        <w:rPr>
          <w:rStyle w:val="FootnoteAnchor"/>
          <w:rtl w:val="true"/>
        </w:rPr>
        <w:footnoteReference w:id="45"/>
      </w:r>
      <w:r>
        <w:rPr>
          <w:rFonts w:ascii="IRNazanin" w:hAnsi="IRNazanin" w:eastAsia="IRNazanin"/>
          <w:color w:val="111111"/>
          <w:sz w:val="28"/>
          <w:sz w:val="28"/>
          <w:szCs w:val="28"/>
          <w:rtl w:val="true"/>
          <w:lang w:bidi="fa-IR"/>
        </w:rPr>
        <w:t>من أنّ فی ترک الواجب أیضا مفسدة إذا تعیّن، فإنّ المقصود من تعیین الواجب تعیینه الاصطلاحی المقابل للتخییر لا تعیینه اللغوی المقابل للاحتمال، و علی ذلک فلا یندفع هذا الاعتراض بما فی الفصول</w:t>
      </w:r>
      <w:r>
        <w:rPr>
          <w:rStyle w:val="FootnoteAnchor"/>
          <w:rtl w:val="true"/>
        </w:rPr>
        <w:footnoteReference w:id="46"/>
      </w:r>
      <w:r>
        <w:rPr>
          <w:rFonts w:ascii="IRNazanin" w:hAnsi="IRNazanin" w:eastAsia="IRNazanin"/>
          <w:color w:val="111111"/>
          <w:sz w:val="28"/>
          <w:sz w:val="28"/>
          <w:szCs w:val="28"/>
          <w:rtl w:val="true"/>
          <w:lang w:bidi="fa-IR"/>
        </w:rPr>
        <w:t>من أنّ الکلام فی صورة عدم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یندفع بشی‌ء آخر و هو أنّ ما نحن فیه إنّما خرج عن موضوع قاعدة تقدیم دفع المضرّة علی جلب المنفعة و عن حکمها علی تقدیر العینیّة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تقدیر التخییریّة فهو و إن خرج عن موضوع تلک القاعدة، لکنّه لا </w:t>
      </w:r>
    </w:p>
    <w:p>
      <w:pPr>
        <w:pStyle w:val="BookText"/>
        <w:rPr/>
      </w:pPr>
      <w:r>
        <w:rPr>
          <w:rFonts w:ascii="IRNazanin" w:hAnsi="IRNazanin" w:eastAsia="IRNazanin"/>
          <w:color w:val="111111"/>
          <w:sz w:val="28"/>
          <w:sz w:val="28"/>
          <w:szCs w:val="28"/>
          <w:rtl w:val="true"/>
          <w:lang w:bidi="fa-IR"/>
        </w:rPr>
        <w:t>یخرج عن حکمها، فإنّه إذا کان العقل و العقلاء یحکمون بتقدیم دفع الضرر المحتمل عند تعارضه مع النفع المحتمل فحکمهم بتقدیم دفع الضرر مع بقاء النفع بطریق أولی، فیلزم تقدیم النهی و إن لم یکن من باب درجه فی قاعدة تقدیم المضرّة علی جلب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الأوّل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الثمرة فی مجرّد إمکان کون الشی‌ء الواحد مطلوبا و مبغوضا و لو بملاحظة الضمیمة المذکورة من مقتضی الأصل و المرجّحات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القوانین</w:t>
      </w:r>
      <w:r>
        <w:rPr>
          <w:rStyle w:val="FootnoteAnchor"/>
          <w:rtl w:val="true"/>
        </w:rPr>
        <w:footnoteReference w:id="47"/>
      </w:r>
      <w:r>
        <w:rPr>
          <w:rFonts w:ascii="IRNazanin" w:hAnsi="IRNazanin" w:eastAsia="IRNazanin"/>
          <w:color w:val="111111"/>
          <w:sz w:val="28"/>
          <w:sz w:val="28"/>
          <w:szCs w:val="28"/>
          <w:rtl w:val="true"/>
          <w:lang w:bidi="fa-IR"/>
        </w:rPr>
        <w:t>من عدم ترتّب شی‌ء علی مقتضی الأصل و المرجّحات المذکورة بواسطة الاعتراضات التی أوردها علی کلّ منها، و قد عرفت اندفاعها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الضوابط</w:t>
      </w:r>
      <w:r>
        <w:rPr>
          <w:rStyle w:val="FootnoteAnchor"/>
          <w:rtl w:val="true"/>
        </w:rPr>
        <w:footnoteReference w:id="48"/>
      </w:r>
      <w:r>
        <w:rPr>
          <w:rFonts w:ascii="IRNazanin" w:hAnsi="IRNazanin" w:eastAsia="IRNazanin"/>
          <w:color w:val="111111"/>
          <w:sz w:val="28"/>
          <w:sz w:val="28"/>
          <w:szCs w:val="28"/>
          <w:rtl w:val="true"/>
          <w:lang w:bidi="fa-IR"/>
        </w:rPr>
        <w:t>من أن الأمر و النهی الواردین إمّا قطعیان أو ظنیّان، أو الأمر قطعیّ و النهی ظنّی، أو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 فغیر معقولة علی مذهب المانع، و إمکان تعقّلها علی مذهب المجوّز إنّما یثمر إمکان الوقوع، و لا تلازم بین الإمکان و الوقوع و الصحّة، إذ لعلّ مذهب المجوّز للاجتماع عقلا عدم وقوعه شرعا من جهة فهم العرف تخصیص مورد الأمر بالنهی، و لا بین عدم الإمکان و الفساد، إذ لا بدّ حینئذ من طرح أحد الشیئین الذین لو لا امتناع اجتماعهما لحصل القطع باجتماعها، و کما یمکن حینئذ طرح الأمر کذا یمکن طرح النهی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الصورة الثالثة فعلی القول بالجواز لا تعارض بینهما، فلذا یعمل بهما إن قلنا بأنّ الاجتماع إذا کان ممکنا کان واقعا، و أمّا علی مذهب المانع فیحصل </w:t>
      </w:r>
    </w:p>
    <w:p>
      <w:pPr>
        <w:pStyle w:val="BookText"/>
        <w:rPr/>
      </w:pPr>
      <w:r>
        <w:rPr>
          <w:rFonts w:ascii="IRNazanin" w:hAnsi="IRNazanin" w:eastAsia="IRNazanin"/>
          <w:color w:val="111111"/>
          <w:sz w:val="28"/>
          <w:sz w:val="28"/>
          <w:szCs w:val="28"/>
          <w:rtl w:val="true"/>
          <w:lang w:bidi="fa-IR"/>
        </w:rPr>
        <w:t>التعارض لحکم العقل بامتناع الاجتماع، فلا بدّ من طرح أحدهما، و لا ریب أنّ المطروح هو النهی الظنی لفرض قطعیة الأمر، فتصحّ العبادة فی ضمن المنهیّ عنه الظنی بغیر إثم، فکیف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المانع الفساد و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الثمرة بین القولین فی تلک الصورة حصول الإثم علی مذهب المجوّز إذا أتی بالواجب فی ضمن المنهیّ عنه ظنّا، و عدم حصوله علی مذهب المانع، فیحصل الثمرة فی الفسق و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الرابعة فلازم المجوّز الصحّة مع الإثم عملا بالأمر و النهی معا إذا قال باستلزام الجواز الوقوع إذا کان نظره إلی الجهة التی نحن فیها، لکن مع قطع النظر عن الامور الخارجیّة من فهم العرف التخصیص و غیره، و لازم المانع الفساد مع الإثم، لأنّ لازمه طرح الأمر لظنیّته و الأخذ بالنهی لقطعیّته، فیتمّ الثمرة التی ذکرها القائل فی تلک الصور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 فلازم المجوز أیضا الصحّة و الإثم فی مادّة الاجتماع عملا بهما، لعدم تعارضهما کما مرّ، و لازم المانع لحصول التعارض الرجوع فی مادّة الاجتماع إلی المرجّحات الخارجیة، کما هو الطریق الذی ذکروه فی تعارض العامّین من وجه إن وجد، و إلّا فالمرجع الأصل، و المرجّح کما یمکن أن یکون فی جانب الأمر فتصحّ العبادة من غیر إثم، کذا یمکن أن یکون فی جانب النهی فتفسد العبادة مع الإثم، ففی تلک الصورة أیضا لا یصحّ ما ذکره هذا القائل علی إطلاقه، إذ لا دلیل علی تقدیم النهی فی مطلق صور الظنیین حتی یتم ما ذکره، انتهی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ما فی احتجاجه بنظیر ذلک علی إنکار ترتّب صحة العبادة و فسادها علی مسألة الضدّ من أنّ الثمرة إنّما یتمّ بفرض النزاع فیما لو احرز مطلوبیة کلا الأمرین من الواجب و الحرام علی وجه لم یتخیل مانع لصحّة العبادة إلّا من جهة امتناع الاجتماع، أو بفرض النزاع فی إثبات الصحّة و الفساد من جهة مانعیة امتناع </w:t>
      </w:r>
      <w:bookmarkStart w:id="28" w:name="pg12880_153176"/>
    </w:p>
    <w:p>
      <w:pPr>
        <w:pStyle w:val="BookText"/>
        <w:rPr/>
      </w:pPr>
      <w:bookmarkEnd w:id="28"/>
      <w:r>
        <w:rPr>
          <w:rFonts w:ascii="IRNazanin" w:hAnsi="IRNazanin" w:eastAsia="IRNazanin"/>
          <w:color w:val="111111"/>
          <w:sz w:val="28"/>
          <w:sz w:val="28"/>
          <w:szCs w:val="28"/>
          <w:rtl w:val="true"/>
          <w:lang w:bidi="fa-IR"/>
        </w:rPr>
        <w:t>الاجتماع لمقتضی الصحّة و عدمه مع الغضّ عن جهات أخر، و ثبوت الثمرة من جهة مخصوصة لا ینافی انتفائها أو ثبوتها من جهات أخر، کما هو الحال فی کثیر من ثمرات المسائل المتنازع فیها</w:t>
      </w:r>
      <w:r>
        <w:rPr>
          <w:rFonts w:eastAsia="IRNazanin" w:cs="IRNazanin"/>
          <w:color w:val="111111"/>
          <w:sz w:val="28"/>
          <w:szCs w:val="28"/>
          <w:rtl w:val="true"/>
          <w:lang w:bidi="fa-IR"/>
        </w:rPr>
        <w:t>.</w:t>
      </w:r>
    </w:p>
    <w:p>
      <w:pPr>
        <w:pStyle w:val="Heading6"/>
        <w:numPr>
          <w:ilvl w:val="5"/>
          <w:numId w:val="1"/>
        </w:numPr>
        <w:rPr/>
      </w:pPr>
      <w:bookmarkStart w:id="29" w:name="__RefHeading___Toc2986305_3224264995"/>
      <w:bookmarkStart w:id="30" w:name="_Toc11"/>
      <w:bookmarkEnd w:id="29"/>
      <w:r>
        <w:rPr>
          <w:rtl w:val="true"/>
        </w:rPr>
        <w:t>[</w:t>
      </w:r>
      <w:r>
        <w:rPr>
          <w:rtl w:val="true"/>
        </w:rPr>
        <w:t>المقدمة الرابعة</w:t>
      </w:r>
      <w:r>
        <w:rPr>
          <w:rtl w:val="true"/>
        </w:rPr>
        <w:t xml:space="preserve">: </w:t>
      </w:r>
      <w:r>
        <w:rPr>
          <w:rtl w:val="true"/>
        </w:rPr>
        <w:t>فی أقوال المسألة و هی ثلاثة</w:t>
      </w:r>
      <w:r>
        <w:rPr>
          <w:rtl w:val="true"/>
        </w:rPr>
        <w:t xml:space="preserve">: </w:t>
      </w:r>
      <w:r>
        <w:rPr>
          <w:rtl w:val="true"/>
        </w:rPr>
        <w:t>الجواز مطلقا، و الامتناع</w:t>
      </w:r>
      <w:r>
        <w:rPr>
          <w:rtl w:val="true"/>
        </w:rPr>
        <w:t>]</w:t>
      </w:r>
      <w:bookmarkEnd w:id="30"/>
    </w:p>
    <w:p>
      <w:pPr>
        <w:pStyle w:val="BookText"/>
        <w:rPr/>
      </w:pPr>
      <w:r>
        <w:rPr>
          <w:rFonts w:ascii="IRNazanin" w:hAnsi="IRNazanin" w:eastAsia="IRNazanin"/>
          <w:color w:val="111111"/>
          <w:sz w:val="28"/>
          <w:sz w:val="28"/>
          <w:szCs w:val="28"/>
          <w:rtl w:val="true"/>
          <w:lang w:bidi="fa-IR"/>
        </w:rPr>
        <w:t>مطلقا، و التفصیل بین جوازه عقلا و عدمه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بالجواز مطلقا فمنسوب إلی فضل ابن شاذان</w:t>
      </w:r>
      <w:r>
        <w:rPr>
          <w:rStyle w:val="FootnoteAnchor"/>
          <w:rtl w:val="true"/>
        </w:rPr>
        <w:footnoteReference w:id="49"/>
      </w:r>
      <w:r>
        <w:rPr>
          <w:rFonts w:ascii="IRNazanin" w:hAnsi="IRNazanin" w:eastAsia="IRNazanin"/>
          <w:color w:val="111111"/>
          <w:sz w:val="28"/>
          <w:sz w:val="28"/>
          <w:szCs w:val="28"/>
          <w:rtl w:val="true"/>
          <w:lang w:bidi="fa-IR"/>
        </w:rPr>
        <w:t>و الکلینی</w:t>
      </w:r>
      <w:r>
        <w:rPr>
          <w:rStyle w:val="FootnoteAnchor"/>
          <w:rtl w:val="true"/>
        </w:rPr>
        <w:footnoteReference w:id="50"/>
      </w:r>
      <w:r>
        <w:rPr>
          <w:rFonts w:ascii="IRNazanin" w:hAnsi="IRNazanin" w:eastAsia="IRNazanin"/>
          <w:color w:val="111111"/>
          <w:sz w:val="28"/>
          <w:sz w:val="28"/>
          <w:szCs w:val="28"/>
          <w:rtl w:val="true"/>
          <w:lang w:bidi="fa-IR"/>
        </w:rPr>
        <w:t>و الذریعة</w:t>
      </w:r>
      <w:r>
        <w:rPr>
          <w:rStyle w:val="FootnoteAnchor"/>
          <w:rtl w:val="true"/>
        </w:rPr>
        <w:footnoteReference w:id="51"/>
      </w:r>
      <w:r>
        <w:rPr>
          <w:rFonts w:ascii="IRNazanin" w:hAnsi="IRNazanin" w:eastAsia="IRNazanin"/>
          <w:color w:val="111111"/>
          <w:sz w:val="28"/>
          <w:sz w:val="28"/>
          <w:szCs w:val="28"/>
          <w:rtl w:val="true"/>
          <w:lang w:bidi="fa-IR"/>
        </w:rPr>
        <w:t>من قدمائنا، و إلی السلطان</w:t>
      </w:r>
      <w:r>
        <w:rPr>
          <w:rStyle w:val="FootnoteAnchor"/>
          <w:rtl w:val="true"/>
        </w:rPr>
        <w:footnoteReference w:id="52"/>
      </w:r>
      <w:r>
        <w:rPr>
          <w:rFonts w:ascii="IRNazanin" w:hAnsi="IRNazanin" w:eastAsia="IRNazanin"/>
          <w:color w:val="111111"/>
          <w:sz w:val="28"/>
          <w:sz w:val="28"/>
          <w:szCs w:val="28"/>
          <w:rtl w:val="true"/>
          <w:lang w:bidi="fa-IR"/>
        </w:rPr>
        <w:t>و الخوانساری</w:t>
      </w:r>
      <w:r>
        <w:rPr>
          <w:rStyle w:val="FootnoteAnchor"/>
          <w:rtl w:val="true"/>
        </w:rPr>
        <w:footnoteReference w:id="53"/>
      </w:r>
      <w:r>
        <w:rPr>
          <w:rFonts w:ascii="IRNazanin" w:hAnsi="IRNazanin" w:eastAsia="IRNazanin"/>
          <w:color w:val="111111"/>
          <w:sz w:val="28"/>
          <w:sz w:val="28"/>
          <w:szCs w:val="28"/>
          <w:rtl w:val="true"/>
          <w:lang w:bidi="fa-IR"/>
        </w:rPr>
        <w:t>و والده</w:t>
      </w:r>
      <w:r>
        <w:rPr>
          <w:rStyle w:val="FootnoteAnchor"/>
          <w:rtl w:val="true"/>
        </w:rPr>
        <w:footnoteReference w:id="54"/>
      </w:r>
      <w:r>
        <w:rPr>
          <w:rFonts w:ascii="IRNazanin" w:hAnsi="IRNazanin" w:eastAsia="IRNazanin"/>
          <w:color w:val="111111"/>
          <w:sz w:val="28"/>
          <w:sz w:val="28"/>
          <w:szCs w:val="28"/>
          <w:rtl w:val="true"/>
          <w:lang w:bidi="fa-IR"/>
        </w:rPr>
        <w:t>و الشیروانی</w:t>
      </w:r>
      <w:r>
        <w:rPr>
          <w:rStyle w:val="FootnoteAnchor"/>
          <w:rtl w:val="true"/>
        </w:rPr>
        <w:footnoteReference w:id="55"/>
      </w:r>
      <w:r>
        <w:rPr>
          <w:rFonts w:ascii="IRNazanin" w:hAnsi="IRNazanin" w:eastAsia="IRNazanin"/>
          <w:color w:val="111111"/>
          <w:sz w:val="28"/>
          <w:sz w:val="28"/>
          <w:szCs w:val="28"/>
          <w:rtl w:val="true"/>
          <w:lang w:bidi="fa-IR"/>
        </w:rPr>
        <w:t>و الکاشانی</w:t>
      </w:r>
      <w:r>
        <w:rPr>
          <w:rStyle w:val="FootnoteAnchor"/>
          <w:rtl w:val="true"/>
        </w:rPr>
        <w:footnoteReference w:id="56"/>
      </w:r>
      <w:r>
        <w:rPr>
          <w:rFonts w:ascii="IRNazanin" w:hAnsi="IRNazanin" w:eastAsia="IRNazanin"/>
          <w:color w:val="111111"/>
          <w:sz w:val="28"/>
          <w:sz w:val="28"/>
          <w:szCs w:val="28"/>
          <w:rtl w:val="true"/>
          <w:lang w:bidi="fa-IR"/>
        </w:rPr>
        <w:t>و السیّد صدر الدین</w:t>
      </w:r>
      <w:r>
        <w:rPr>
          <w:rStyle w:val="FootnoteAnchor"/>
          <w:rtl w:val="true"/>
        </w:rPr>
        <w:footnoteReference w:id="57"/>
      </w:r>
      <w:r>
        <w:rPr>
          <w:rFonts w:ascii="IRNazanin" w:hAnsi="IRNazanin" w:eastAsia="IRNazanin"/>
          <w:color w:val="111111"/>
          <w:sz w:val="28"/>
          <w:sz w:val="28"/>
          <w:szCs w:val="28"/>
          <w:rtl w:val="true"/>
          <w:lang w:bidi="fa-IR"/>
        </w:rPr>
        <w:t>و أمثالهم من فحول متأخّرینا کصاحب القوانین</w:t>
      </w:r>
      <w:r>
        <w:rPr>
          <w:rStyle w:val="FootnoteAnchor"/>
          <w:rtl w:val="true"/>
        </w:rPr>
        <w:footnoteReference w:id="58"/>
      </w:r>
      <w:r>
        <w:rPr>
          <w:rFonts w:ascii="IRNazanin" w:hAnsi="IRNazanin" w:eastAsia="IRNazanin"/>
          <w:color w:val="111111"/>
          <w:sz w:val="28"/>
          <w:sz w:val="28"/>
          <w:szCs w:val="28"/>
          <w:rtl w:val="true"/>
          <w:lang w:bidi="fa-IR"/>
        </w:rPr>
        <w:t>و الإشارات</w:t>
      </w:r>
      <w:r>
        <w:rPr>
          <w:rStyle w:val="FootnoteAnchor"/>
          <w:rtl w:val="true"/>
        </w:rPr>
        <w:footnoteReference w:id="59"/>
      </w:r>
      <w:r>
        <w:rPr>
          <w:rFonts w:ascii="IRNazanin" w:hAnsi="IRNazanin" w:eastAsia="IRNazanin"/>
          <w:color w:val="111111"/>
          <w:sz w:val="28"/>
          <w:sz w:val="28"/>
          <w:szCs w:val="28"/>
          <w:rtl w:val="true"/>
          <w:lang w:bidi="fa-IR"/>
        </w:rPr>
        <w:t>و الضوابط</w:t>
      </w:r>
      <w:r>
        <w:rPr>
          <w:rStyle w:val="FootnoteAnchor"/>
          <w:rtl w:val="true"/>
        </w:rPr>
        <w:footnoteReference w:id="60"/>
      </w:r>
      <w:r>
        <w:rPr>
          <w:rFonts w:ascii="IRNazanin" w:hAnsi="IRNazanin" w:eastAsia="IRNazanin"/>
          <w:color w:val="111111"/>
          <w:sz w:val="28"/>
          <w:sz w:val="28"/>
          <w:szCs w:val="28"/>
          <w:rtl w:val="true"/>
          <w:lang w:bidi="fa-IR"/>
        </w:rPr>
        <w:t>، بل استظهر من کلام الفضل وفاق الامامیّة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بعدم الجواز مطلقا فمنسوب إلی أکثر أصحابنا و المعتزلة، بل ادّعی علیه الوفاق جماعة من الأجلّة کصاحب المدارک</w:t>
      </w:r>
      <w:r>
        <w:rPr>
          <w:rStyle w:val="FootnoteAnchor"/>
          <w:rtl w:val="true"/>
        </w:rPr>
        <w:footnoteReference w:id="61"/>
      </w:r>
      <w:r>
        <w:rPr>
          <w:rFonts w:ascii="IRNazanin" w:hAnsi="IRNazanin" w:eastAsia="IRNazanin"/>
          <w:color w:val="111111"/>
          <w:sz w:val="28"/>
          <w:sz w:val="28"/>
          <w:szCs w:val="28"/>
          <w:rtl w:val="true"/>
          <w:lang w:bidi="fa-IR"/>
        </w:rPr>
        <w:t>و المعالم</w:t>
      </w:r>
      <w:r>
        <w:rPr>
          <w:rStyle w:val="FootnoteAnchor"/>
          <w:rtl w:val="true"/>
        </w:rPr>
        <w:footnoteReference w:id="62"/>
      </w:r>
      <w:r>
        <w:rPr>
          <w:rFonts w:ascii="IRNazanin" w:hAnsi="IRNazanin" w:eastAsia="IRNazanin"/>
          <w:color w:val="111111"/>
          <w:sz w:val="28"/>
          <w:sz w:val="28"/>
          <w:szCs w:val="28"/>
          <w:rtl w:val="true"/>
          <w:lang w:bidi="fa-IR"/>
        </w:rPr>
        <w:t>و المناهج</w:t>
      </w:r>
      <w:r>
        <w:rPr>
          <w:rStyle w:val="FootnoteAnchor"/>
          <w:rtl w:val="true"/>
        </w:rPr>
        <w:footnoteReference w:id="63"/>
      </w:r>
      <w:r>
        <w:rPr>
          <w:rFonts w:ascii="IRNazanin" w:hAnsi="IRNazanin" w:eastAsia="IRNazanin"/>
          <w:color w:val="111111"/>
          <w:sz w:val="28"/>
          <w:sz w:val="28"/>
          <w:szCs w:val="28"/>
          <w:rtl w:val="true"/>
          <w:lang w:bidi="fa-IR"/>
        </w:rPr>
        <w:t>و غیرهم حیث نسبوا الخلاف إلی الأشاعرة خاصّة، و طریق الجمع بین الوفاقین ما عرفت من کون النزاع صغرویا إن لم یکن لفظیا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علی ذلک اختلافهم فی تحریر محلّ النزاع حیث حرّره أکثر المجوّزین فی الکلیّین الذین بینهما عموم من وجه، و أکثر المانعین فی الواحد </w:t>
      </w:r>
    </w:p>
    <w:p>
      <w:pPr>
        <w:pStyle w:val="BookText"/>
        <w:rPr/>
      </w:pPr>
      <w:r>
        <w:rPr>
          <w:rFonts w:ascii="IRNazanin" w:hAnsi="IRNazanin" w:eastAsia="IRNazanin"/>
          <w:color w:val="111111"/>
          <w:sz w:val="28"/>
          <w:sz w:val="28"/>
          <w:szCs w:val="28"/>
          <w:rtl w:val="true"/>
          <w:lang w:bidi="fa-IR"/>
        </w:rPr>
        <w:t>الشخصی المختلف جهتاه، و علی ذلک فیرتفع استغراب صاحب المناهج من دعوی الوفاق علی الجواز حیث تصدّی لإنکار نسبة الجواز إلی الفضل</w:t>
      </w:r>
      <w:r>
        <w:rPr>
          <w:rStyle w:val="FootnoteAnchor"/>
          <w:rtl w:val="true"/>
        </w:rPr>
        <w:footnoteReference w:id="64"/>
      </w:r>
      <w:r>
        <w:rPr>
          <w:rFonts w:ascii="IRNazanin" w:hAnsi="IRNazanin" w:eastAsia="IRNazanin"/>
          <w:color w:val="111111"/>
          <w:sz w:val="28"/>
          <w:sz w:val="28"/>
          <w:szCs w:val="28"/>
          <w:rtl w:val="true"/>
          <w:lang w:bidi="fa-IR"/>
        </w:rPr>
        <w:t>و أمثاله و إن کان مجرّد افتائهم بصحّة الصلاة فی الدار المغصوبة لا یستلزم صدق النسبة إذ لعلّ مستند الصحّة عندهم غیر جواز الاجتماع، فإنّ طرق الصحّة کثیرة و إن انحصرت عندنا فی جواز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الأمر علی النهی بسبب اعتضاده ببعض الأخبار الدالّة علی أنّ للناس من الأرض حق فی الصلاة، أو بسبب أنّ عموم الأمر و إن کان إطلاقیّا، لکنّه طبیعی، و عموم النهی و إن کان استغراقیّا، لکنّه لفظی، و الطبیعة باعتبار عدم انفکاکها عن واحد من الأفراد یشمل الأندر بخلاف العموم اللفظی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 الأوّل أنّ مثل هذه الأخبار غیر معمولة بها، مضافا إلی إمکان حمل الحق فیها علی الحق المحبوب أدائه لا المحتوم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فِی أَمْوالِهِمْ حَقٌّ مَعْلُومٌ لِلسَّائِلِ وَ الْمَحْرُومِ</w:t>
      </w:r>
      <w:r>
        <w:rPr>
          <w:rStyle w:val="FootnoteAnchor"/>
          <w:rtl w:val="true"/>
        </w:rPr>
        <w:footnoteReference w:id="65"/>
      </w:r>
      <w:r>
        <w:rPr>
          <w:rFonts w:ascii="IRNazanin" w:hAnsi="IRNazanin" w:eastAsia="IRNazanin"/>
          <w:color w:val="111111"/>
          <w:sz w:val="28"/>
          <w:sz w:val="28"/>
          <w:szCs w:val="28"/>
          <w:rtl w:val="true"/>
          <w:lang w:bidi="fa-IR"/>
        </w:rPr>
        <w:t>أو من قبیل الحقوق الإلهیة الواجبة علی المکلّف من غیر جواز الأخذ منه جبرا أو تقاصّا، مثل حق الزکاة و حق نفقة الوالد علی الولد و بالعکس، لا من قبیل حقوق الناس الصرفة کحقّ الزوجة علی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نحن فیه لیس من أندر الأفراد حتّی یندرج فی عموم الطبیعة دون عموم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أنّ الحکم لمّا کان علی الطبیعة باعتبار وجودها لا مطلقا لا جرم من انصرافه إلی الوجود الغالب کالعموم اللفظی، لا إلی مطلق الوجود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ادّعاء خروج الصلاة فی المکان المغصوب عن الاجتماع المصداقی </w:t>
      </w:r>
    </w:p>
    <w:p>
      <w:pPr>
        <w:pStyle w:val="BookText"/>
        <w:rPr/>
      </w:pPr>
      <w:r>
        <w:rPr>
          <w:rFonts w:ascii="IRNazanin" w:hAnsi="IRNazanin" w:eastAsia="IRNazanin"/>
          <w:color w:val="111111"/>
          <w:sz w:val="28"/>
          <w:sz w:val="28"/>
          <w:szCs w:val="28"/>
          <w:rtl w:val="true"/>
          <w:lang w:bidi="fa-IR"/>
        </w:rPr>
        <w:t>الذی هو محلّ النزاع و دخوله فی الاجتماع الموردی الذی لا نزاع فی جوازه بترتیب مقدّمتین صغراهما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فیه متعلّق بالکون فی المکان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التحیّز فیه، لا بالکون الحرکة و السکون الذی هو من أجزاء الصلاة، و من البیّن أنّهما صفتان متمایزتان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لاحقة للذات باعتبار ما شغله من الفضاء و الاخری قائمة بالذات، و اتّحادهما اتّحاد موردی من باب المقارنة الخارجیة، و کبراهما أنّ النهی عن الکون الأوّل لا یقتضی النهی عن الکون الثانی إلّا علی ما ذهب إلیه الکعبی من لزوم اتّحاد المتلازمین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الصغری ففیه أنّه إن ارید من النهی المتعلّق بالکون الأوّل النهی التبعی المقدّمی علی أن یکون النهی الأصلی متعلّقا بالغصب الکلّی فهو متعلق بالکونین، لا بالکون الأوّل فقط حتی یخرج عن الاجتماع المصداقی، ضرورة عدم اختصاص المقدّمیة به، و إن ارید منه النهی الأصلی فالمفروض عدم تعلّقه به، اذ المفروض تعلّقه بالغصب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صدرت أدلّة حرمة الغصب بغیر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صدرت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لانصرفت عرفا إلی حرمة الکون المکانی دون الکون الحرکة و السکون و کانت الصلاة فی الدار المغصوبة من باب الاجتماع الموردی دون المصداقی، و لکنّه خلاف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 فلا کلام فیه وفاقا للمشهور، و یتفرّع علیه أحکام کثیرة متفرّقة فی أبواب الفقه کما نصّ علیه الفصول</w:t>
      </w:r>
      <w:r>
        <w:rPr>
          <w:rStyle w:val="FootnoteAnchor"/>
          <w:rtl w:val="true"/>
        </w:rPr>
        <w:footnoteReference w:id="66"/>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آجر نفسه علی الکون فی مکان جاز أن یؤجر نفسه لآخر علی عمل کالخیاطة و التجارة و الصلاة إذا ساغ له التصرّف فیه</w:t>
      </w:r>
      <w:r>
        <w:rPr>
          <w:rFonts w:eastAsia="IRNazanin" w:cs="IRNazanin"/>
          <w:color w:val="111111"/>
          <w:sz w:val="28"/>
          <w:szCs w:val="28"/>
          <w:rtl w:val="true"/>
          <w:lang w:bidi="fa-IR"/>
        </w:rPr>
        <w:t xml:space="preserve">. </w:t>
      </w:r>
      <w:bookmarkStart w:id="31" w:name="pg12880_153179"/>
    </w:p>
    <w:p>
      <w:pPr>
        <w:pStyle w:val="BookText"/>
        <w:rPr/>
      </w:pPr>
      <w:bookmarkEnd w:id="31"/>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المعتکف إذا تحرّک فی المسجد حرکة محرّمة أو سکن فیه سکونا محرّما لم یبطل اعتکافه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صرّح به صاحب الفصول</w:t>
      </w:r>
      <w:r>
        <w:rPr>
          <w:rStyle w:val="FootnoteAnchor"/>
          <w:rtl w:val="true"/>
        </w:rPr>
        <w:footnoteReference w:id="67"/>
      </w:r>
      <w:r>
        <w:rPr>
          <w:rFonts w:ascii="IRNazanin" w:hAnsi="IRNazanin" w:eastAsia="IRNazanin"/>
          <w:color w:val="111111"/>
          <w:sz w:val="28"/>
          <w:sz w:val="28"/>
          <w:szCs w:val="28"/>
          <w:rtl w:val="true"/>
          <w:lang w:bidi="fa-IR"/>
        </w:rPr>
        <w:t>و کثیر من الفقهاء المانعین جواز الاجتماع من صحّة کلّ عبادة تعلّق النهی بکونه المکانی دون کونه الحرکة و السکون، کالصلاة فی مکان نذر أن لا یکون فیه، أو یخاف انخسافه به، أو کان فیه ریاء، أو غیر ذلک ممّا یوجب تطرّق النهی بکونه المکانی دون کونه الحرکة و السکون، و من صحّة کلّ عبادة تعلّق النهی بکونه الحرکة و السکون ما لم یکن ذلک الکون جزء منه أو شرطا کأداء الخمس و الزکاة و الکفّارة فی المکان المغصوب بناء علی أنّ المراد منها الوصول و الدفع مقدّمته، و کالوضوء و الغسل و النافلة فی المکان المغصوب بناء علی أنّها عبارة عن نفس الآثار الحاصلة و أنّ الحرکات المحرّمة مقدّمة لها لا عینها</w:t>
      </w:r>
      <w:r>
        <w:rPr>
          <w:rFonts w:eastAsia="IRNazanin" w:cs="IRNazanin"/>
          <w:color w:val="111111"/>
          <w:sz w:val="28"/>
          <w:szCs w:val="28"/>
          <w:rtl w:val="true"/>
          <w:lang w:bidi="fa-IR"/>
        </w:rPr>
        <w:t>.</w:t>
      </w:r>
    </w:p>
    <w:p>
      <w:pPr>
        <w:pStyle w:val="Heading6"/>
        <w:numPr>
          <w:ilvl w:val="5"/>
          <w:numId w:val="1"/>
        </w:numPr>
        <w:rPr/>
      </w:pPr>
      <w:bookmarkStart w:id="32" w:name="__RefHeading___Toc2986307_3224264995"/>
      <w:bookmarkStart w:id="33" w:name="_Toc12"/>
      <w:bookmarkEnd w:id="32"/>
      <w:r>
        <w:rPr>
          <w:rtl w:val="true"/>
        </w:rPr>
        <w:t>[</w:t>
      </w:r>
      <w:r>
        <w:rPr>
          <w:rtl w:val="true"/>
        </w:rPr>
        <w:t>المقدمة الخامسة</w:t>
      </w:r>
      <w:r>
        <w:rPr>
          <w:rtl w:val="true"/>
        </w:rPr>
        <w:t xml:space="preserve">: </w:t>
      </w:r>
      <w:r>
        <w:rPr>
          <w:rtl w:val="true"/>
        </w:rPr>
        <w:t>فی تأسیس الأصل،</w:t>
      </w:r>
      <w:r>
        <w:rPr>
          <w:rtl w:val="true"/>
        </w:rPr>
        <w:t>]</w:t>
      </w:r>
      <w:bookmarkEnd w:id="3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قد عرفت أنّ من المانعین من یجوّز الاجتماع عقلا و لازمه المنع لفظا، و منهم من منعه لفظا و جوّزه عقلا، فاعلم أنّ الأصل من حیث الإمکان و عدمه مع المجوّز المطلق، لما مرّ غیر مرّة من أصالة الإمکان فی المشکوک إمکانه المأخوذة من قاعدة العدم لا الغلبة، و کذا من حیث اللفظ، لأصالة عدم التقیید و التخصیص فی أحد الخطابین اللازم علی المانع، و من حیث العمل الأصل مع المانع، لأنّه إن أطرح الأمر فقد عمل بالشغل، أو النهی فقد عمل بالبراءة أو هما فقد عمل بهما، و لکن بعد تعارض الأصل اللبّی الذی هو مع المانع و اللفظی الذی هو مع المجوّز یقدّم الأخیر، فیکون الأصل مع المجوّزین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کما أنّ الأصل اللفظی مع المجوّز مطلقا یمکن أن یقرّر الأصل العملی معه أیضا مطلقا، بتقریب أنّ الشک فی صحّة الصلاة فی المکان المغصوب مثلا کالشک فی صحتها فی اللباس المشکوک صحّة الصلاة معه راجع بعد فرض تساقط إطلاقی الصلاة و الغصب بالمعارضة إلی الشک فی المانع من الصحّة بعد إحراز المقتضی، و إلی الشک فی الأقل و الأکثر الارتباطی من الشک فی الجزئیة و الشرطیة، و الأصل العملی فیه هو عدم المانع و البراءة من جزئیة الأکثر عند المشهور إلّا علی القول بالاشتغال و الاحتیاط عند الشک فی الأکثر، و حینئذ فیکون الأصل اللفظی مع المجوّز مطلقا، و کذا الأصل العملی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المقتضی للصحّة فی خصوص محلّ تعارض الإطلاقین غیر محرز بعد اسقاطهما حتّی یرجع الشک إلی المانع، بل هو حینئذ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بإحراز وجود المقتضی فی الشک فی الجزئیة و الشرطیة علی القول بالصحیحی و عدم الإطلاق فی البین، فکما أنّه لم ینکر وجود المقتضی ثمّة و لا کون الشک فیه شک فی المانع مع انتفاء الإطلاق فی البین، کذلک فیما نحن فیه طابق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انتفاء وصف الإطلاق لا یقتضی انتفاء ذات المطلق الذی هو المقتضی فی البین، فإنّ اطلاق المطلق لیس هو المقتضی لمطلوبیة متعلّقه فی الجملة حتی ینتفی المقتضی رأسا بانتفائه، بل المقتضی لمطلوبیة متعلّقه فی الجملة هو ذات المطلق المعرّی عن الإطلاق، و الإطلاق إنّما هو المقتضی لمطلوبیّته بالجملة، ففرض انتفاء الإطلاق یقتضی انتفاء مقتضاه بالخصوص و هو المطلوبیة مطلقا و بالجملة، لا انتفاء مقتضی ذات المطلق و هو المطلوبیة فی الجملة حتی یمنع من أصالة البراءة و أصالة عدم المانع فتدبّر جدّا، و هذا ممّا لا إشکال فیه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الإشکال فی مأخذ دعوی أصالة الإمکان فی المشکوک إمکانه کما </w:t>
      </w:r>
      <w:bookmarkStart w:id="34" w:name="pg12880_153181"/>
    </w:p>
    <w:p>
      <w:pPr>
        <w:pStyle w:val="BookText"/>
        <w:rPr/>
      </w:pPr>
      <w:bookmarkEnd w:id="34"/>
      <w:r>
        <w:rPr>
          <w:rFonts w:ascii="IRNazanin" w:hAnsi="IRNazanin" w:eastAsia="IRNazanin"/>
          <w:color w:val="111111"/>
          <w:sz w:val="28"/>
          <w:sz w:val="28"/>
          <w:szCs w:val="28"/>
          <w:rtl w:val="true"/>
          <w:lang w:bidi="fa-IR"/>
        </w:rPr>
        <w:t>تمسّک به غیر واحد فی غیر موضع، فإنّه إن ارید من أصالة الإمکان استصحاب احتمال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إثبات الامتناع علی المدّعی کما هو قضیّة استصحاب عدم الدلیل علی أحد طرفی الوجوب و الامتناع حال عدم التعقّل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البیّن عدم ترتّب شی‌ء علی مقتضی الاستصحاب بهذا المعنی، لوجوده فی کلّ من طرفی الوجوب و الامتناع أیضا، بل و کما یکون إثبات الامتناع علی المدّعی کذلک یکون إثبات صفة الامکان علی المدّعی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 استصحاب صفة الإمکان فمن المعلوم أنّ الحال فیه هو الحال فی صفتی الوجوب و الامتناع فی توقّف استصحابهما علی یقین سابق و شکّ لا حق، فکما أنّه لا مجری لاستصحاب شی‌ء من صفتی الوجوب و الامتناع فی المشکوک لمعارضته باستصحاب مثله من جهة عدم سبق الیقین فیه، کذلک لا مجری لاستصحاب صفة الإمکان فیه لعین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 قاعدة الغلبة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الممکنات و الظن یلحق الشی‌ء بالأعمّ الأغلب، ففیه أنّ الغلبة بالنسبة إلی الموجودات ممنوعة، ضرورة أنّ امتناع ضدّ کلّ ما هو موجود من الذوات و الصفات کالممتنع غالب و بعد انضمام سائر الممتنعات ذاتا و عرضا یصیر أغلب، و بالنسبة إلی المعدومات یحتاج إلی الإثبات، فإنّ احتمال غلبة ممکناتها معارض باحتمال غلبة ممتنعاتها، و لا أقلّ من التساوی الموجب لانتفاء المدرک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یوجّه الشقّ الأوّل أعنی الإمکان الاحتمالی بأنّ کلّ من قال به قال بالإمکان الوجودی، لعدم القول بالفصل، و هو حسن</w:t>
      </w:r>
      <w:r>
        <w:rPr>
          <w:rFonts w:eastAsia="IRNazanin" w:cs="IRNazanin"/>
          <w:color w:val="111111"/>
          <w:sz w:val="28"/>
          <w:szCs w:val="28"/>
          <w:rtl w:val="true"/>
          <w:lang w:bidi="fa-IR"/>
        </w:rPr>
        <w:t>.</w:t>
      </w:r>
    </w:p>
    <w:p>
      <w:pPr>
        <w:pStyle w:val="Heading6"/>
        <w:numPr>
          <w:ilvl w:val="5"/>
          <w:numId w:val="1"/>
        </w:numPr>
        <w:rPr/>
      </w:pPr>
      <w:bookmarkStart w:id="35" w:name="__RefHeading___Toc2986309_3224264995"/>
      <w:bookmarkStart w:id="36" w:name="_Toc13"/>
      <w:bookmarkEnd w:id="35"/>
      <w:r>
        <w:rPr>
          <w:rtl w:val="true"/>
        </w:rPr>
        <w:t>[</w:t>
      </w:r>
      <w:r>
        <w:rPr>
          <w:rtl w:val="true"/>
        </w:rPr>
        <w:t>المقدّمة السادسة</w:t>
      </w:r>
      <w:r>
        <w:rPr>
          <w:rtl w:val="true"/>
        </w:rPr>
        <w:t xml:space="preserve">: </w:t>
      </w:r>
      <w:r>
        <w:rPr>
          <w:rtl w:val="true"/>
        </w:rPr>
        <w:t>فی بیان مبنی النزاع و مآله، فاعلم أنّ النزاع فی جواز</w:t>
      </w:r>
      <w:r>
        <w:rPr>
          <w:rtl w:val="true"/>
        </w:rPr>
        <w:t>]</w:t>
      </w:r>
      <w:bookmarkEnd w:id="3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الاجتماع و عدمه مبنیّ علی أنّ الجنس و الفصل أو الکلّی و الفرد موجودان بوجود واحد کما هو الحق و المحقّق بالوجدان و البرهان، و أمّا علی القول بأنّهما موجود </w:t>
      </w:r>
      <w:bookmarkStart w:id="37" w:name="pg12880_153182"/>
    </w:p>
    <w:p>
      <w:pPr>
        <w:pStyle w:val="BookText"/>
        <w:rPr/>
      </w:pPr>
      <w:bookmarkEnd w:id="37"/>
      <w:r>
        <w:rPr>
          <w:rFonts w:ascii="IRNazanin" w:hAnsi="IRNazanin" w:eastAsia="IRNazanin"/>
          <w:color w:val="111111"/>
          <w:sz w:val="28"/>
          <w:sz w:val="28"/>
          <w:szCs w:val="28"/>
          <w:rtl w:val="true"/>
          <w:lang w:bidi="fa-IR"/>
        </w:rPr>
        <w:t>واحد فلا مسرح لجواز الاجتماع أصلا، کما أنّه علی القول بأنّهما موجودان بوجودین لا مسرح لعدم الجواز قطعا</w:t>
      </w:r>
      <w:r>
        <w:rPr>
          <w:rFonts w:eastAsia="IRNazanin" w:cs="IRNazanin"/>
          <w:color w:val="111111"/>
          <w:sz w:val="28"/>
          <w:szCs w:val="28"/>
          <w:rtl w:val="true"/>
          <w:lang w:bidi="fa-IR"/>
        </w:rPr>
        <w:t>.</w:t>
      </w:r>
    </w:p>
    <w:p>
      <w:pPr>
        <w:pStyle w:val="Heading6"/>
        <w:numPr>
          <w:ilvl w:val="5"/>
          <w:numId w:val="1"/>
        </w:numPr>
        <w:rPr/>
      </w:pPr>
      <w:bookmarkStart w:id="38" w:name="__RefHeading___Toc2986311_3224264995"/>
      <w:bookmarkStart w:id="39" w:name="_Toc14"/>
      <w:bookmarkEnd w:id="38"/>
      <w:r>
        <w:rPr>
          <w:rtl w:val="true"/>
        </w:rPr>
        <w:t>[</w:t>
      </w:r>
      <w:r>
        <w:rPr>
          <w:rtl w:val="true"/>
        </w:rPr>
        <w:t>إذا عرفت تلک المقدّمات فاعلم أنّ محصّل حجّة المانعین</w:t>
      </w:r>
      <w:r>
        <w:rPr>
          <w:rtl w:val="true"/>
        </w:rPr>
        <w:t>]</w:t>
      </w:r>
      <w:bookmarkEnd w:id="39"/>
    </w:p>
    <w:p>
      <w:pPr>
        <w:pStyle w:val="BookText"/>
        <w:rPr/>
      </w:pPr>
      <w:r>
        <w:rPr>
          <w:rFonts w:ascii="IRNazanin" w:hAnsi="IRNazanin" w:eastAsia="IRNazanin"/>
          <w:color w:val="111111"/>
          <w:sz w:val="28"/>
          <w:sz w:val="28"/>
          <w:szCs w:val="28"/>
          <w:rtl w:val="true"/>
          <w:lang w:bidi="fa-IR"/>
        </w:rPr>
        <w:t>یرجع إلی 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صغراهما رجوع الاجتماع فی ما نحن فیه إلی الاجتماع فی الواحد الشخصی، و کبراهما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الاجتماع فی الواحد الشخصی إلی اجتماع الضدّین و التکلیف المحال أو التکلیف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صحّة الکبری فمن المسلّمات البدیهیة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صحّة الصغری فمبنیّ علی تعلّق الطلب بالفرد و هو الإیجاد و الوجود الخارجی و لو علی القول بأصالة الماهیات و انتزاع الوجود منها، دون العکس علی ما صرّح به فی الفصول</w:t>
      </w:r>
      <w:r>
        <w:rPr>
          <w:rStyle w:val="FootnoteAnchor"/>
          <w:rtl w:val="true"/>
        </w:rPr>
        <w:footnoteReference w:id="68"/>
      </w:r>
      <w:r>
        <w:rPr>
          <w:rFonts w:ascii="IRNazanin" w:hAnsi="IRNazanin" w:eastAsia="IRNazanin"/>
          <w:color w:val="111111"/>
          <w:sz w:val="28"/>
          <w:sz w:val="28"/>
          <w:szCs w:val="28"/>
          <w:rtl w:val="true"/>
          <w:lang w:bidi="fa-IR"/>
        </w:rPr>
        <w:t>، کما أنّ صغری المجوّزین و هو رجوع الاجتماع إلی الاجتماع فی الواحد الجنسی مبنیّ علی تعلّق الطلب بالطبائع المجرّدة عن الوجود و العدم و لو علی القول بعدم وجود الکلّی الطبیعی، کما صرّح به فی القوانین</w:t>
      </w:r>
      <w:r>
        <w:rPr>
          <w:rStyle w:val="FootnoteAnchor"/>
          <w:rtl w:val="true"/>
        </w:rPr>
        <w:footnoteReference w:id="69"/>
      </w:r>
      <w:r>
        <w:rPr>
          <w:rFonts w:ascii="IRNazanin" w:hAnsi="IRNazanin" w:eastAsia="IRNazanin"/>
          <w:color w:val="111111"/>
          <w:sz w:val="28"/>
          <w:sz w:val="28"/>
          <w:szCs w:val="28"/>
          <w:rtl w:val="true"/>
          <w:lang w:bidi="fa-IR"/>
        </w:rPr>
        <w:t>و الضوابط</w:t>
      </w:r>
      <w:r>
        <w:rPr>
          <w:rStyle w:val="FootnoteAnchor"/>
          <w:rtl w:val="true"/>
        </w:rPr>
        <w:footnoteReference w:id="70"/>
      </w:r>
      <w:r>
        <w:rPr>
          <w:rFonts w:ascii="IRNazanin" w:hAnsi="IRNazanin" w:eastAsia="IRNazanin"/>
          <w:color w:val="111111"/>
          <w:sz w:val="28"/>
          <w:sz w:val="28"/>
          <w:szCs w:val="28"/>
          <w:rtl w:val="true"/>
          <w:lang w:bidi="fa-IR"/>
        </w:rPr>
        <w:t>و المدائن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أقوی حجج المانعین علی تصحیح مبناهم المذکور ما تمسّک به صاحب الهدایة</w:t>
      </w:r>
      <w:r>
        <w:rPr>
          <w:rStyle w:val="FootnoteAnchor"/>
          <w:rtl w:val="true"/>
        </w:rPr>
        <w:footnoteReference w:id="72"/>
      </w:r>
      <w:r>
        <w:rPr>
          <w:rFonts w:ascii="IRNazanin" w:hAnsi="IRNazanin" w:eastAsia="IRNazanin"/>
          <w:color w:val="111111"/>
          <w:sz w:val="28"/>
          <w:sz w:val="28"/>
          <w:szCs w:val="28"/>
          <w:rtl w:val="true"/>
          <w:lang w:bidi="fa-IR"/>
        </w:rPr>
        <w:t>و الفصول</w:t>
      </w:r>
      <w:r>
        <w:rPr>
          <w:rStyle w:val="FootnoteAnchor"/>
          <w:rtl w:val="true"/>
        </w:rPr>
        <w:footnoteReference w:id="73"/>
      </w:r>
      <w:r>
        <w:rPr>
          <w:rFonts w:ascii="Amiri" w:hAnsi="Amiri" w:eastAsia="Amiri" w:cs="Amiri"/>
          <w:color w:val="111111"/>
          <w:sz w:val="28"/>
          <w:sz w:val="28"/>
          <w:szCs w:val="28"/>
          <w:rtl w:val="true"/>
          <w:lang w:bidi="ar-SA"/>
        </w:rPr>
        <w:t>قدّس سرّهما و هی وجوه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 النهی مشترکان فی طلب الماهیة، فلا یتمایزان ما لم یعتبر مطلوبیة الماهیة فی أحدهما من حیث الوجود و فی الآخر من حیث العدم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الماهیة من حیث هی لیست إلّا هی، فلا یعقل طلبها من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تأثیر للقدرة إلّا فی الوجود و العدم، فلا یصحّ التکلیف إلّا بهما، لقبح التکلیف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و القبح و إن کانا من الامور الاعتباریة، لکنّهما من لواحق الامور الخارجیة، بمعنی أنّهما أمران یثبتان فی العقل للأفعال الخارجیة باعتبار کونها خارجیة، أ لا تری أنّ من تصوّر ماهیّة الصلاة و نحوه من الماهیات الحسیة المأمور بها لم یعدّ بمجرّد ذلک ممتثلا و لا فاعلا لفعل حسن و لم یستحق عند العقل مدحا و لا ثوابا، مع أنّه أوجد تلک الطبائع حقیقة، و کذا من تصوّر عبادة الأصنام و قتل النفوس المحرّمة و الزنا و شرب الخمر و غیر ذلک من الأفعال المنکرة لم یستحق بمجرّد ذلک ذمّا و لا عقابا و لم یعدّ فاعلا للقبیح، مع أنّه أوجد طبائعها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ابتکر استادنا العلّامة دام ظلّه فی بیان ما فیها من المغالطة و عدم النهوض علی المدّعی بالاجمال 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أقصی ما یقتضیه هذه الوجوه و ما شاکلها إنّما هو تعلّق الطلب بالفرد و الوجود فی الجملة و هو مفروغ عنه، و أمّا تعلّقه به بالأصالة دون التبعیة کما هو محلّ النزاع فکلّا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الوجه الأوّل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الأمر و النهی فی طلب الماهیة و عدم امتیازهما إلّا من حیث الوجود و العدم إنّما ینهض علی المدّعی لو استلزم إجمال الخطاب علی المکلّف أو الإغراء بالجهل، و من البیّن ضرورة عدم الملازمة بعد کون مطلوبیة الفرد و الوجود فی الجملة مفروغا عنه، و کذا کلّ واحد من سائر الوجوه الباقیة إنّما ینهض علی المدّعی لو تقیّدت الماهیّة المطلوبة بقید لا </w:t>
      </w:r>
    </w:p>
    <w:p>
      <w:pPr>
        <w:pStyle w:val="BookText"/>
        <w:rPr/>
      </w:pPr>
      <w:r>
        <w:rPr>
          <w:rFonts w:ascii="IRNazanin" w:hAnsi="IRNazanin" w:eastAsia="IRNazanin"/>
          <w:color w:val="111111"/>
          <w:sz w:val="28"/>
          <w:sz w:val="28"/>
          <w:szCs w:val="28"/>
          <w:rtl w:val="true"/>
          <w:lang w:bidi="fa-IR"/>
        </w:rPr>
        <w:t>بشرط أو بشرط لا، و المفروض عدم تقیّدها کما هو مقتضی الظواهر و الإطلاقات، و من البیّن ضرورة أنّ اللابشرط یجتمع مع ألف شرط و المقدور بالواسطة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یرد علی الوجه الرابع من أنّه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القول بأنّ الحسن و القبح بالاعتبارات فی جمیع الموارد، و قد أبطلنا هذا الإیجاب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أنّه لا دلیل لنا علی بطلانه و لا دلیل أیضا علی صحّته، فیتوقّف فیه و یرجع إلی ظاهر اللفظ المقتضی لتعلّق الحکم بالطبیعة السلیمة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صحّة هذا القول، لکن لازمه تعلّق الحکم بالطبیعة، لأنّ من جملة الاعتبارات المحسّنة و المقبّحة العلم و الجهل، و قد عرفت أنّ اعتقاد أهل العرف و العقلاء أنّ المطلوب و المنهیّ هو الطبیعة، فهی المتّصفة بالحسن و القبح، فهی متعلّقة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صحّة هذا القول مع عدم مدخلیّة العلم و الجهل،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المانع من تعلّق الحکم بالطبیعة مع کون الحسن فی الفرد بأن یکون المقصود بالذات هو الفرد و یکون متعلّق الخطاب هو الکلی، فیختلف المقصود بالذات مع متعلّق الطلب، نظیر التوطینیات و لا یلزم من تبعیة الحکم للصفات أزید من ذلک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سبیل إلی ادّعاء تعلّق الطلب بالأفراد أصالة و رفع الید عن الظواهر و الإطلاقات القاضیة تعلّقه بالطبائع إلّا علی القول بوجوب المقدّمة و کون الفرد مقدمة للطبیعة لا عینها، و لکن قد عرفت فی بحث المقدّمة أنّ هذا المستدل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الفصول</w:t>
      </w:r>
      <w:r>
        <w:rPr>
          <w:rStyle w:val="FootnoteAnchor"/>
          <w:rtl w:val="true"/>
        </w:rPr>
        <w:footnoteReference w:id="74"/>
      </w:r>
      <w:r>
        <w:rPr>
          <w:rFonts w:ascii="IRNazanin" w:hAnsi="IRNazanin" w:eastAsia="IRNazanin"/>
          <w:color w:val="111111"/>
          <w:sz w:val="28"/>
          <w:sz w:val="28"/>
          <w:szCs w:val="28"/>
          <w:rtl w:val="true"/>
          <w:lang w:bidi="fa-IR"/>
        </w:rPr>
        <w:t>و ان قال بوجوب المقدّمة، لکنّه لا یقول بوجوبه أصالة و لا بمقدّمیة الفرد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ذلک فلا ینبغی الارتیاب فی أنّ مطلوبیّة الفرد و الوجود إنّما هی </w:t>
      </w:r>
      <w:bookmarkStart w:id="40" w:name="pg12880_153185"/>
    </w:p>
    <w:p>
      <w:pPr>
        <w:pStyle w:val="BookText"/>
        <w:rPr/>
      </w:pPr>
      <w:bookmarkEnd w:id="40"/>
      <w:r>
        <w:rPr>
          <w:rFonts w:ascii="IRNazanin" w:hAnsi="IRNazanin" w:eastAsia="IRNazanin"/>
          <w:color w:val="111111"/>
          <w:sz w:val="28"/>
          <w:sz w:val="28"/>
          <w:szCs w:val="28"/>
          <w:rtl w:val="true"/>
          <w:lang w:bidi="fa-IR"/>
        </w:rPr>
        <w:t>مطلوبیة تبعیة سریانیة، أمّا علی تفسیر الفرد بسبب الطبیعة و کون الطبائع مسببات الأفراد فظاهر، و أمّا علی تفسیره بالطبیعة المقیّدة بالتشخص أو بالمجموع المرکب من الطبیعة و التشخص فلأنّه و إن لم یکن مقدّمة اصطلاحیة یتوقف علیه الطبیعة فی الخارج، إلّا أنه یلازم الطبیعة فی الخارج، و التلازم الخارجی توقف عقلی، و إذا وقفت علی تحقیق ذلک فلا أظنّ أن یغرّک القول بأنّ الطبیعة عین الفرد فیوهمک رجوع الاجتماع إلی الاجتماع فی الفرد، إذ المراد من العینیة عدم المبانیة، لا عدم المغایرة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المغایرة الخارجیة، لا عدم المغایرة الواقعیة</w:t>
      </w:r>
      <w:r>
        <w:rPr>
          <w:rFonts w:eastAsia="IRNazanin" w:cs="IRNazanin"/>
          <w:color w:val="111111"/>
          <w:sz w:val="28"/>
          <w:szCs w:val="28"/>
          <w:rtl w:val="true"/>
          <w:lang w:bidi="fa-IR"/>
        </w:rPr>
        <w:t>.</w:t>
      </w:r>
    </w:p>
    <w:p>
      <w:pPr>
        <w:pStyle w:val="Heading6"/>
        <w:numPr>
          <w:ilvl w:val="5"/>
          <w:numId w:val="1"/>
        </w:numPr>
        <w:rPr/>
      </w:pPr>
      <w:bookmarkStart w:id="41" w:name="__RefHeading___Toc2986313_3224264995"/>
      <w:bookmarkStart w:id="42" w:name="_Toc15"/>
      <w:bookmarkEnd w:id="41"/>
      <w:r>
        <w:rPr>
          <w:rtl w:val="true"/>
        </w:rPr>
        <w:t>[</w:t>
      </w:r>
      <w:r>
        <w:rPr>
          <w:rtl w:val="true"/>
        </w:rPr>
        <w:t>بیان المختار فی المسأله و البرهنة علیه</w:t>
      </w:r>
      <w:r>
        <w:rPr>
          <w:rtl w:val="true"/>
        </w:rPr>
        <w:t>]</w:t>
      </w:r>
      <w:bookmarkEnd w:id="42"/>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العینیّة عدم کونهما موجودین بوجودین، لا عدم کونهما موجودین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فساد مبنی المانعین و عدم نهوض ادلّتهم علیه فاعلم أنّ لنا علی الجواز وجود المقتضی و عدم المانع، أمّا وجود المقتضی فمضافا إلی أنّه مقتضی أصالة الإمکان المعتضد بأصالة عدم التخصیص و التقیید فی اللفظ لم نقف علی استشکال أحد من المانعین فیه، بل ظاهر ادلّة المانعین حیث إنّ کلّها مسوقة لخصوص إبراز المانع تومی إلی أنّ وجود المقتضی مفروغ عنه بینهم، بل ادّعی الوفاق علیه غیر واحد من المجوّزین کصاحب الضوابط</w:t>
      </w:r>
      <w:r>
        <w:rPr>
          <w:rStyle w:val="FootnoteAnchor"/>
          <w:rtl w:val="true"/>
        </w:rPr>
        <w:footnoteReference w:id="75"/>
      </w:r>
      <w:r>
        <w:rPr>
          <w:rFonts w:ascii="IRNazanin" w:hAnsi="IRNazanin" w:eastAsia="IRNazanin"/>
          <w:color w:val="111111"/>
          <w:sz w:val="28"/>
          <w:sz w:val="28"/>
          <w:szCs w:val="28"/>
          <w:rtl w:val="true"/>
          <w:lang w:bidi="fa-IR"/>
        </w:rPr>
        <w:t>و الإشارات</w:t>
      </w:r>
      <w:r>
        <w:rPr>
          <w:rStyle w:val="FootnoteAnchor"/>
          <w:rtl w:val="true"/>
        </w:rPr>
        <w:footnoteReference w:id="76"/>
      </w:r>
      <w:r>
        <w:rPr>
          <w:rFonts w:ascii="IRNazanin" w:hAnsi="IRNazanin" w:eastAsia="IRNazanin"/>
          <w:color w:val="111111"/>
          <w:sz w:val="28"/>
          <w:sz w:val="28"/>
          <w:szCs w:val="28"/>
          <w:rtl w:val="true"/>
          <w:lang w:bidi="fa-IR"/>
        </w:rPr>
        <w:t>و القوانین</w:t>
      </w:r>
      <w:r>
        <w:rPr>
          <w:rStyle w:val="FootnoteAnchor"/>
          <w:rtl w:val="true"/>
        </w:rPr>
        <w:footnoteReference w:id="77"/>
      </w:r>
      <w:r>
        <w:rPr>
          <w:rFonts w:ascii="IRNazanin" w:hAnsi="IRNazanin" w:eastAsia="IRNazanin"/>
          <w:color w:val="111111"/>
          <w:sz w:val="28"/>
          <w:sz w:val="28"/>
          <w:szCs w:val="28"/>
          <w:rtl w:val="true"/>
          <w:lang w:bidi="fa-IR"/>
        </w:rPr>
        <w:t>، و کذا من المانعین کصاحب الفصول</w:t>
      </w:r>
      <w:r>
        <w:rPr>
          <w:rStyle w:val="FootnoteAnchor"/>
          <w:rtl w:val="true"/>
        </w:rPr>
        <w:footnoteReference w:id="78"/>
      </w:r>
      <w:r>
        <w:rPr>
          <w:rFonts w:ascii="Amiri" w:hAnsi="Amiri" w:eastAsia="Amiri" w:cs="Amiri"/>
          <w:color w:val="111111"/>
          <w:sz w:val="28"/>
          <w:sz w:val="28"/>
          <w:szCs w:val="28"/>
          <w:rtl w:val="true"/>
          <w:lang w:bidi="ar-SA"/>
        </w:rPr>
        <w:t>علی ظنّی</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لو سلّمنا إبراز ما یقدح فی وجوده بعد الدقّة الفلسفیّة لکفانا الحکم بوجوده فهم العرف و العقلاء و بنائهم علی وجوده، لأنّا مکلّفون علی حسب متفاهم </w:t>
      </w:r>
    </w:p>
    <w:p>
      <w:pPr>
        <w:pStyle w:val="BookText"/>
        <w:rPr/>
      </w:pPr>
      <w:r>
        <w:rPr>
          <w:rFonts w:ascii="IRNazanin" w:hAnsi="IRNazanin" w:eastAsia="IRNazanin"/>
          <w:color w:val="111111"/>
          <w:sz w:val="28"/>
          <w:sz w:val="28"/>
          <w:szCs w:val="28"/>
          <w:rtl w:val="true"/>
          <w:lang w:bidi="fa-IR"/>
        </w:rPr>
        <w:t>العرف و ما جرت علیه اصطلاحاتهم و إن کان ذلک علی ضدّ ما یفهمه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المانع فلوجوه تفصیلها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المانع لزوم اجتماع الحکمین المتضادین فی محلّ واحد فقد عرفت أنّ المحلّ متعدّد، لتعلّق کلّ من الحکمین و الخطابین بأحد من الکلیین، أو لتعلّق الأمر بکلیّ الصلاة و النهی بالفرد، و علی أیّ تقدیر فاختلف المتعلّقان و تعدّد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المانع لزوم اجتماع المحبوبیة و المبغوضیة فی شی‌ء واحد فقد عرفت أنّ الوحدة فی نظر الحسّ و الوجود لا یرفع الاثنینیة الواقعیة و تعدد الموجود، فالوحدة اللازمة غیر محذورة و المحذورة منها غیر موجودة، کما لا یخفی، ضرورة أنّه لا یصیر فی المثال المعروف طبیعة الصلاة غصبا و لا طبیعة الغصب صلاة، بل غایة الأمر تصادقهما علی مصداق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المانع عدم إمکان الامتثال فقد عرفت أنّ محلّ الکلام فیما أمکن الامتثال و کان للمکلّف مندوحة عن إیجاد الماهیّة فی ضمن الفرد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المانع لزوم منافاة الغرض فقد عرفت عدم المنافاة، ضرورة أنّ الآمر لم یجوّز الإتیان بالفرد المحرّم بمجرّد حکمه بحصول الامتثال بالکلّی فی ضمنه، و قد اکتفینا بهذا القدر فی تفصیل الکلام اعتمادا علی ما تکفّله الضوابط</w:t>
      </w:r>
      <w:r>
        <w:rPr>
          <w:rStyle w:val="FootnoteAnchor"/>
          <w:rtl w:val="true"/>
        </w:rPr>
        <w:footnoteReference w:id="79"/>
      </w:r>
      <w:r>
        <w:rPr>
          <w:rFonts w:ascii="IRNazanin" w:hAnsi="IRNazanin" w:eastAsia="IRNazanin"/>
          <w:color w:val="111111"/>
          <w:sz w:val="28"/>
          <w:sz w:val="28"/>
          <w:szCs w:val="28"/>
          <w:rtl w:val="true"/>
          <w:lang w:bidi="fa-IR"/>
        </w:rPr>
        <w:t>و القوانین</w:t>
      </w:r>
      <w:r>
        <w:rPr>
          <w:rStyle w:val="FootnoteAnchor"/>
          <w:rtl w:val="true"/>
        </w:rPr>
        <w:footnoteReference w:id="80"/>
      </w:r>
      <w:r>
        <w:rPr>
          <w:rFonts w:ascii="IRNazanin" w:hAnsi="IRNazanin" w:eastAsia="IRNazanin"/>
          <w:color w:val="111111"/>
          <w:sz w:val="28"/>
          <w:sz w:val="28"/>
          <w:szCs w:val="28"/>
          <w:rtl w:val="true"/>
          <w:lang w:bidi="fa-IR"/>
        </w:rPr>
        <w:t>و الإشارات</w:t>
      </w:r>
      <w:r>
        <w:rPr>
          <w:rStyle w:val="FootnoteAnchor"/>
          <w:rtl w:val="true"/>
        </w:rPr>
        <w:footnoteReference w:id="81"/>
      </w:r>
      <w:r>
        <w:rPr>
          <w:rFonts w:ascii="IRNazanin" w:hAnsi="IRNazanin" w:eastAsia="IRNazanin"/>
          <w:color w:val="111111"/>
          <w:sz w:val="28"/>
          <w:sz w:val="28"/>
          <w:szCs w:val="28"/>
          <w:rtl w:val="true"/>
          <w:lang w:bidi="fa-IR"/>
        </w:rPr>
        <w:t>فی المقام من ردّ المانعین بالنقض و الإبرام و من شاء فلیبلغ إلیها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إجمالها فبطرق</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یجز الاجتماع لما جاز التصریح به، و من البیّن جوازه عقلا، </w:t>
      </w:r>
    </w:p>
    <w:p>
      <w:pPr>
        <w:pStyle w:val="BookText"/>
        <w:rPr/>
      </w:pPr>
      <w:r>
        <w:rPr>
          <w:rFonts w:ascii="IRNazanin" w:hAnsi="IRNazanin" w:eastAsia="IRNazanin"/>
          <w:color w:val="111111"/>
          <w:sz w:val="28"/>
          <w:sz w:val="28"/>
          <w:szCs w:val="28"/>
          <w:rtl w:val="true"/>
          <w:lang w:bidi="fa-IR"/>
        </w:rPr>
        <w:t>ضرورة عدم القبح عقلا فی تصرح الآمر بأنّی أطلب منک ماهیة الصلاة لا بشرط، و أنهی عن الفرد المخصوص، و لکن لو عصیتنی و أتیت بالماهیة فی ضمنه لعاقبتک علی الإتیان بالفرد لا علی عدم الامتثال بالماهیة من حیث هی، بل أنت ممتثل بها مطلقا فاعطیک من جهة و اعاقبک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فرض الترتّب و تقدیر کون استدعاء ترک المنهیّ عنه مترتّب علی تقدیر عدم عصیان النهی و مع فرض عصیانه یکون المطلوب مطلق فعل الضد المأمور به فی تصحیح فعل الضد عند جماعة من العلماء، کذلک فی باب الاجتماع یکون فرض الترتّب و تقدیر کون استدعاء ترک المنهیّ عنه مترتّب علی تقدیر عدم عصیان النهی، و مع فرض عصیانه یکون المطلوب إتیان مطلق المأمور به و لو مع الاجتماع مع المنهیّ عنه، فیکون النهی المجامع مع الأمر فی المقام کالنهی المجامع مع الأمر فی باب الضد و باب تزاحم الأهمّ مع غیر الأهمّ نهی تسجیلی المقصود منه استدعاء ترک المنهیّ عنه علی تقدیر عدم العصیان بالصارف و العزم، و مع تقدیر العصیان بترک المنهیّ عنه بواسطة الصارف و العزم علی الترک لا یکون المقصود الاستدعاء بترک المنهیّ عنه، بل مجرّد تسجیل العقوبة و سائر آثار النهی ما عدی استدعاء ترک المنهیّ عنه، و ذلک لأجل القاعدة العقلائیة القاضیة بذلک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الترتّب القاضی به العقل عند جماعة من العلماء مصحح لاجتماع الأمر مع النهی عن الضدّ فی الصلاة المجامعة لترک الازالة مثلا، حیث إنّه مأمور بها من حیث إنّها صلاة و منهیّ عنها من حیث إنّها ترک إزالة، فلیکن ذلک الترتّب کذلک مصحّح أیضا لاجتماع الأمر و النهی فی الصلاة المجامعة للغصب فیما نحن فیه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اعترض علیه استادنا العلّامة الأرجانی</w:t>
      </w:r>
      <w:r>
        <w:rPr>
          <w:rStyle w:val="FootnoteAnchor"/>
          <w:rtl w:val="true"/>
        </w:rPr>
        <w:footnoteReference w:id="82"/>
      </w:r>
      <w:r>
        <w:rPr>
          <w:rFonts w:ascii="IRNazanin" w:hAnsi="IRNazanin" w:eastAsia="IRNazanin"/>
          <w:color w:val="111111"/>
          <w:sz w:val="28"/>
          <w:sz w:val="28"/>
          <w:szCs w:val="28"/>
          <w:rtl w:val="true"/>
          <w:lang w:bidi="fa-IR"/>
        </w:rPr>
        <w:t xml:space="preserve">بالفرق بین المسألتین من حیث إنّ متعلق الأمر فی مسألة الضدّ الصلاة، و متعلّق النهی فیها الإزالة، و هما موضوعان </w:t>
      </w:r>
    </w:p>
    <w:p>
      <w:pPr>
        <w:pStyle w:val="BookText"/>
        <w:rPr/>
      </w:pPr>
      <w:r>
        <w:rPr>
          <w:rFonts w:ascii="IRNazanin" w:hAnsi="IRNazanin" w:eastAsia="IRNazanin"/>
          <w:color w:val="111111"/>
          <w:sz w:val="28"/>
          <w:sz w:val="28"/>
          <w:szCs w:val="28"/>
          <w:rtl w:val="true"/>
          <w:lang w:bidi="fa-IR"/>
        </w:rPr>
        <w:t>متغایران متمایزان و أنّ تقارنهما فی الخارج لیس من باب تقارن العلّة و المعلول و لا المعلولین لعلّة ثالثة، بخلاف متعلّق الأمر فی مسألة الاجتماع، فإنّه عین متعلّق النهی بناء علی وجوب مقدّمة الواجب و سرایة الأمر و النهی المتعلّق بالکلّی إلی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الفرق المبنیّ علی هذا القول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متعلّق الأمر و النهی فیما نحن فیه دون مسألة الضد و إن لم یکن مانعا من تصریح المولی بالترتّب المذکور فیه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ارید منک الصلاة فی الدار المغصوبة علی تقدیر عدم الصارف و عدم العزم بالعصیان، و اریده منک علی تقدیر وجود الصارف و العزم بالعصیان، إلّا أنّه مانع من قضاء العقل بذلک الترتّب المذکور، و ذلک لأنّ تعارض إطلاقی الأمر و النهی فی الواحد الشخصی موجب لتساقطهما و ارتفاع موضوع العلاج و التصحیح بتقیید إطلاق النهی و حمله علی الترتّب و التسجیل بقرینة القاعدة العقلائیة المذکورة، بخلاف تعارض الإطلاقین فی الموضوعین المتغایرین المتمایزین، فإنّه لا یوجب تساقطهما و ارتفاع موضوع الحمل و التقیید بالترتّب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العرف و العقلاء طرّا قدیما و حدیثا سلفا و خلفا ممّن لا یکون ذهنه مسبوق بشبهة علی أنّه إذا أمر المولی عبده بخیاطة ثوب و نهاه عن الکون فی مکان مغصوب فخاطه العبد فی ذلک المکان عدّ مطیعا و عاصیا لجهتی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بناء العرف و العقلاء کما فی المعالم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حجیّة فهم العرف فی مثل هذه المسألة، فإنّها من المباحث العقلیّة النظریة، فیجوز تطرّق الخطاء فیها إلی أفهام العوام کما فی الفصول</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محلّ النزاع فی الواجبات التعبّدیة، و وجوب الخیاطة توصّلی، </w:t>
      </w:r>
    </w:p>
    <w:p>
      <w:pPr>
        <w:pStyle w:val="BookText"/>
        <w:rPr/>
      </w:pPr>
      <w:r>
        <w:rPr>
          <w:rFonts w:ascii="IRNazanin" w:hAnsi="IRNazanin" w:eastAsia="IRNazanin"/>
          <w:color w:val="111111"/>
          <w:sz w:val="28"/>
          <w:sz w:val="28"/>
          <w:szCs w:val="28"/>
          <w:rtl w:val="true"/>
          <w:lang w:bidi="fa-IR"/>
        </w:rPr>
        <w:t>و الواجب التوصلی یجتمع مع الحرام کما فی المعالم</w:t>
      </w:r>
      <w:r>
        <w:rPr>
          <w:rStyle w:val="FootnoteAnchor"/>
          <w:rtl w:val="true"/>
        </w:rPr>
        <w:footnoteReference w:id="85"/>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محلّ النزاع فی الاجتماع المصداقی، و المثال من الاجتماع الموردی، و ذلک إمّا لأنّ الخیاطة عبارة عن الأثر القائم بالثوب، دون نفس الفعل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بعض قطعات الثوب بعضها ببعض بنحو خاص دون حرکة الید و إدخال الإبرة و إخراجها، بل هی أسباب حصول الخیاطة لا عینها و لا جزئها کما فی الصلاة، و إمّا لأنّ الکون المنهیّ عنه فیه هو الکون المکانی دون الکون الحرکة و السکون کما هو الأظهر عرفا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تکن فی مکان کذا، بخلاف الکون فی الصلاة، و هذا الإیراد بکلا شقّیه مستفاد من الفصول</w:t>
      </w:r>
      <w:r>
        <w:rPr>
          <w:rStyle w:val="FootnoteAnchor"/>
          <w:rtl w:val="true"/>
        </w:rPr>
        <w:footnoteReference w:id="86"/>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بأنّ الشاهد علی ثبوت بناء العرف و العقلاء هو جواز تصریح الآمر عرفا و عقلا بأنّی أطلب ماهیة الصلاة لا بشرط، إلی آخر تقریر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باستحالة تطرّق الخطاء علی أفهام جمیع العرف و العقلاء بحسب العادة و الغالب فی درک ما هو من شأنهم و وظیفتهم درکه، فلا یرد النقض بتخلّف المخالفین فإن خطأهم لیس فی الفهم الفطری، بل فی مقدّمات الفهم المشوبة بالعناد و المکابرة، و لا فی جمیع الأعصار، بل فی بعضها، و لا فی الغالب، بل فی النادر و لا فی درک ما هو من شأنهم درکه، بل فی التوقیفیات التی من شأن الغیر بیانها، مضافا إلی أنّ تخطئة العرف یوجب هدم أساس الشریعة، و تخطئة العقلاء یوجب تخطئة العقل، کیف و من القرائن لتخصیص العمومات و تقیید الإطلاقات عند العرف القرائن العقلیة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الثالث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النزاع أعمّ و المناط واحد، فلا معنی للتفکیک، فإذا </w:t>
      </w:r>
    </w:p>
    <w:p>
      <w:pPr>
        <w:pStyle w:val="BookText"/>
        <w:rPr/>
      </w:pPr>
      <w:r>
        <w:rPr>
          <w:rFonts w:ascii="IRNazanin" w:hAnsi="IRNazanin" w:eastAsia="IRNazanin"/>
          <w:color w:val="111111"/>
          <w:sz w:val="28"/>
          <w:sz w:val="28"/>
          <w:szCs w:val="28"/>
          <w:rtl w:val="true"/>
          <w:lang w:bidi="fa-IR"/>
        </w:rPr>
        <w:t>جاز الاجتماع فی التوصّلی جاز فی التعبّدی قطعا إلّا إذا أراد من اجتماع التوصّلی الإسقاط أو من وجوب التوصّلی الوجوب الغیری البحت الذی هو معنی المقدمیّة لا حکمه، و لکنّ الاجتماع بهذا المعنی لا یلائم حصول الإطاعة و الامتثال، کما هو مناط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النزاع فی التعبدیات، بل هو فی التوصّلیات أیضا، ضرورة أنّ وجوب الفرد من باب المقدّمة سواء قلنا بعینیة الفرد للطبیعة أو بمباینته لها، غایة الفرق صیرورة الفرد مقدّمة غیر اصطلاحیة بواسطة انتفاء التوقّف الخارجی علی الأوّل دون الثانی کما عرفت، فعلی أیّ تقدیر یکون وجوب الفرد أیضا توصّلیا سیّما و محلّ البحث الذی هو الکون الذی هو جزء الصلاة وجوبه بالنسبة إلی أصل الصلاة توصّلی، و ذلک لما ذکرنا فی مقدّمة الواجب من عدم الفرق بین المقدّمات الداخلیة و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الرابع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الفرق بین ما نحن فیه و بین المثال بأحد الوجهین المذکورین تحکّم بحت، لإمکان أن نلتزم فیما نحن فیه کالصلاة فی الدار المغصوبة ما التزمت به فی المثال من أحد الوجهین المذکورین حرفا بحرف، فیرجع جمیع أفراد الاجتماع فی محلّ النزاع إلی الاجتماع الموردی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ذکر علی فرض إتمامه مناقشة فی المثال، فلنمثل بما مثّل به بعض المدقّقین من أمر المولی عبده بمشی خمسین خطوة فی کلّ یوم و نهاه عن التصرّف فی ملک الغیر، فمشی الخمسین فی ملک الغیر، فإنّه یعدّ مطیعا و عاصیا لجهتی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طرق الإجمالیّة نقض المانعین بأنّه لو لم یجز لما وقع فی الشرع و قد وقع کثیرا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المکروهة، فانّ صحّتها نقض علی المانعین، خصوصا صحّة </w:t>
      </w:r>
    </w:p>
    <w:p>
      <w:pPr>
        <w:pStyle w:val="BookText"/>
        <w:rPr/>
      </w:pPr>
      <w:r>
        <w:rPr>
          <w:rFonts w:ascii="IRNazanin" w:hAnsi="IRNazanin" w:eastAsia="IRNazanin"/>
          <w:color w:val="111111"/>
          <w:sz w:val="28"/>
          <w:sz w:val="28"/>
          <w:szCs w:val="28"/>
          <w:rtl w:val="true"/>
          <w:lang w:bidi="fa-IR"/>
        </w:rPr>
        <w:t>ما تعلّق النهی بنفسه منها، فإنّ صحة ما تعلّق النهی بنفسه یقتضی الصحّة فیما نحن فیه بالطریق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نقض المانعین بها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الأمر و النهی فیها إمّا الطبیعة، أو الفرد، أو متعلّق الأمر الطبیعة و متعلّق النهی الفرد، و الأوّلان مستلزمان لاجتماع الضدّین، فانّ الأحکام الخمسة کلّها متضادّة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مثبت للمطلوب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مخالفة الغرض فی ترخیص الشارع إتیان الواجب فی ضمن المحرّم، و لا یلزم ذلک فی العبادات المکروهة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کلّ شی‌ء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تصدّی المانعون للجواب عنها بمنع الاجتماع المصداقی فیها بواسطة تأویله إلی الاجتماع الموردی الخارج عن محلّ النزاع، أو بمنع أصل الاجتماع و الالتزام برجحانها فقط بواسطة تأویل الکراهة إلی قلّة الثواب أو المرجوحیة الإضافیة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مضافا إلی عدم المقتضی لارتکاب شی‌ء من هذه التجوّزات البعیدة سوی الأصل الغیر الأصیل أعنی امتناع الاجتماع من غیر دلیل وجود الموانع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 أنّ مفاد النهی العارض للعبادات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المرجوحیة الذاتیة من جمیع الجهات کما هو قضیة إطلاق النهی المتعلّق بنفس العبادات عند عدم القرینة الصارفة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المرجوحیة الذاتیة من جهة خاصّة دون جهة اخری، کما هو قضیّة إطلاق النهی المتعلّق بالوصف المتّحد مع العبادة وجودا عند عدم القرینة الصارفة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المرجوحیة المجازیة بمعنی مرجوحیة غیر الصلاة من الأوصاف المفارقة معها فی الوجود علی أن یکون اتّصاف العبادة بتلک المرجوحیّة من قبیل اتّصاف رجل بأنّه عالم أبوه کما هو قضیة الجواب الأوّل من أجوبة المانعین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المرجوحیّة المجازیة بمعنی الرجحان القلیل علی أن یکون النهی المتعلّق بالعبادة نهی إرشادی مجرّد عن معنی الطلب، کما هو قضیة الجواب الثانی من أجوبة المانعین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المرجوحیة الإضافیة بمعنی مرجوحیتها بالإضافة إلی الغیر، کما هو قضیة الجواب الثالث، و الفرق بینه و بین الجواب الثانی أنّ المرجوحیة بهذا المعنی ملزوم لقلّة الثواب، و قلّة الثواب لازم لها، لکن المجیب بالجواب الثانی کان نظره إلی تدرّج مراتب اللازم و هو الثواب و بالجواب الثالث إلی تدرّج مراتب الملزوم و هو المرجوحیة بالمعنی المذکور، و إلّا فمرجعهما إلی أمر واحد کما یظهر من الفصول</w:t>
      </w:r>
      <w:r>
        <w:rPr>
          <w:rStyle w:val="FootnoteAnchor"/>
          <w:rtl w:val="true"/>
        </w:rPr>
        <w:footnoteReference w:id="87"/>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الوجه الأوّل من بین تلک الوجوه الخمسة و إن کان هو المعنی الحقیقی فی العبادات التی تعلّق النهی بذاتها، إلّا أنّه لمّا قام الإجماع علی صحّة العبادات المکروهة و علی انحصار وجه الصحّة فی جهة رجحان تعذّر الحمل علی المعنی الحقیقی و تعیّن الأخذ بأقرب المجازات إلیه عند عدم القرینة علی التعیین، و من المعلوم أنّ المعنی الثانی بالنسبة إلی المعنی الأوّل تقیید و سائر المعانی بالنسبة إلیه مجاز، و إذا دار الأمر بین التقیید و المجاز فالتقیید أولی و أقرب من المجاز، بل هو معنی حقیقی علی وجه، و کیف کان یتعیّن الأخذ به ما لم تقم القرینة الصارفة عنه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من ذلک أنّ وجه نقض المانعین بصحّة العبادات المکروهة هو إجزاء تعدّد الجهة فیها لصحّة اجتماع الأمر و النهی و الرجحان و المرجوحیة و أنّ المقتضی لتلک الأجوبة البعیدة و ادّعاء القرینة الصارفة عن المعنی الثانی إلی سائر المعانی </w:t>
      </w:r>
    </w:p>
    <w:p>
      <w:pPr>
        <w:pStyle w:val="BookText"/>
        <w:rPr/>
      </w:pPr>
      <w:r>
        <w:rPr>
          <w:rFonts w:ascii="IRNazanin" w:hAnsi="IRNazanin" w:eastAsia="IRNazanin"/>
          <w:color w:val="111111"/>
          <w:sz w:val="28"/>
          <w:sz w:val="28"/>
          <w:szCs w:val="28"/>
          <w:rtl w:val="true"/>
          <w:lang w:bidi="fa-IR"/>
        </w:rPr>
        <w:t>المجازیّة لیس إلّا الأصل الغیر الأصیل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الاجتماع من غیر دلیل،</w:t>
      </w:r>
    </w:p>
    <w:p>
      <w:pPr>
        <w:pStyle w:val="BookText"/>
        <w:rPr/>
      </w:pPr>
      <w:r>
        <w:rPr>
          <w:rFonts w:ascii="IRNazanin" w:hAnsi="IRNazanin" w:eastAsia="IRNazanin"/>
          <w:color w:val="111111"/>
          <w:sz w:val="28"/>
          <w:sz w:val="28"/>
          <w:szCs w:val="28"/>
          <w:rtl w:val="true"/>
          <w:lang w:bidi="fa-IR"/>
        </w:rPr>
        <w:t>مضافا إلی وجود الموانع من صرفها إلی سائر المعانی، إذ من جملة الموانع من صرف النهی عن الذات إلی المعنی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النهی عن الوصف المفارق الذی هو قضیة 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لزوم أن یکون اتصاف العبادات بالکراهة من قبیل اتّصاف رجل بأنّه عالم أبوه فی کونه وصفا سببیا لا حقیقیا، اذ المفروض أنّ المکروه مقارن تلک العبادة لا نفسها، و لم یعهد من المانعین الالتزام به، و لعلّ هذا هو وجه إعراض بعض المانعین عن الجواب الأوّل، حیث نسبه إلی الضعف، و أمّا سائر الموانع المحصّلة من القوانین</w:t>
      </w:r>
      <w:r>
        <w:rPr>
          <w:rStyle w:val="FootnoteAnchor"/>
          <w:rtl w:val="true"/>
        </w:rPr>
        <w:footnoteReference w:id="88"/>
      </w:r>
      <w:r>
        <w:rPr>
          <w:rFonts w:ascii="IRNazanin" w:hAnsi="IRNazanin" w:eastAsia="IRNazanin"/>
          <w:color w:val="111111"/>
          <w:sz w:val="28"/>
          <w:sz w:val="28"/>
          <w:szCs w:val="28"/>
          <w:rtl w:val="true"/>
          <w:lang w:bidi="fa-IR"/>
        </w:rPr>
        <w:t>التی أوردها صاحب النتائج</w:t>
      </w:r>
      <w:r>
        <w:rPr>
          <w:rStyle w:val="FootnoteAnchor"/>
          <w:rtl w:val="true"/>
        </w:rPr>
        <w:footnoteReference w:id="89"/>
      </w:r>
      <w:r>
        <w:rPr>
          <w:rFonts w:ascii="IRNazanin" w:hAnsi="IRNazanin" w:eastAsia="IRNazanin"/>
          <w:color w:val="111111"/>
          <w:sz w:val="28"/>
          <w:sz w:val="28"/>
          <w:szCs w:val="28"/>
          <w:rtl w:val="true"/>
          <w:lang w:bidi="fa-IR"/>
        </w:rPr>
        <w:t>بزیادة تنقیح فغیر متّجهة علی مسلک المانع بعد ادّعائه المقتضی، و ذلک ظاهر بتأمّل المعقول أو مراجعة الفصول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الموانع من صرف النهی إلی المعنی الرابع، و هو الإخبار المجرّد عن معنی الطلب بقلّة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قضیّة جوابهم الثانی و لازم جوابهم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إن ارید أنّ هذا الفرد أقلّ ثوابا من الغیر مطلقا من المماثل و غیره انتقض بعدم الانعکاس، مضافا إلی أنّ إرادة قلّة الثواب إمّا من نفس النهی بتأویله إلی الإخبار، فهو علی فرض تسلیم العلاقة فیه مجاز بعید غیر مشتمل علی قرینة معیّنة بعد تسلیم القرینة الصارفة عن الکراهة المصطلحة التی هی أقرب المجازات، و إمّا أنّ النهی مستعمل فی طلب الترک، لکن الداعی لطلب الترک قلّة الثواب، فلا ریب أنّ مجرّد قلة الثواب لا یصلح لکونه داعیا علی طلب الترک، إذ ربّ شی‌ء هو قلیل الثواب لم ینه الشارع عنه، بل الداعی للنهی هو وجود المفسدة فی المنهیّ عنه و لو بحسبه و إلی أنّ هذا لا یتمّ فیما لا بدل له علی نظر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ارید أنّه أقلّ ثوابا من الغیر فی الجملة، انتقض بعدم الاطّراد، مضافا إلی الوجهین الأخیرین فی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أرید أنّه أقلّ ثوابا من الغیر المعیّن و هو الطبیعة من حیث هی کما انتخبه أفاضلهم متفصیا عن انتفاضه بعدم الانعکاس أو الاطّراد، ففیه أنّه لا یناسب القول بتعلّق الطلب بالأفراد، و لا القول بالإحباط، و لا القول بأنّ الحسن و القبح بالاعتبارات، مضافا إلی الوجهین الأخیرین المتقدّمین، و إلی لزوم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مواضع 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شاکله فی أکثر من معنی، حیث یلزمهم الحکم بالکراهة الاصطلاحیة علی اللبث فی مواضع التهم، و بأقلّ ثوابا علی الصلاة فیها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 و الإجماع القائم علی بطلان الحبط و التکفیر المستند إلی اللوازم القهریة الثابتة للحسنة و السیّئة فقط المستلزم لاستحالة المغفرة التفضّلیة ظاهر فی الحسنة و السیئة المستقلتین، دون الغیر المستقلتین الناشئتین عن إیجاد فعل واحد، کما هو اللازم من تفسیر العبادة المکروهة بأقلّ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عدم نهوض النصّ و الإجماع علی بطلان الحبط و التکفیر فی غیر المستقلتین، لکن یکفینا الدلیل علی بطلانه بناء العقلاء و شهادة الوجدان علی أنّ العبد الآتی مولاه بمطلوب ذی مرتبتین فی ضمن مبغوض بمرتبة یعدّ مطیعا بمرتبتین و عاصیا بمرتبة، لا مطیعا فقط بمرتبة واحدة کما هو قضیة الحبط و التکفیر، و من المعلوم أن لیس للشارع طریقة مخترعة فی کیفیة الإطاعة و العصیان وراء طریقة العرف و العقلاء، هذا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المانع الذی أورده صاحب القوانین</w:t>
      </w:r>
      <w:r>
        <w:rPr>
          <w:rStyle w:val="FootnoteAnchor"/>
          <w:rtl w:val="true"/>
        </w:rPr>
        <w:footnoteReference w:id="90"/>
      </w:r>
      <w:r>
        <w:rPr>
          <w:rFonts w:ascii="IRNazanin" w:hAnsi="IRNazanin" w:eastAsia="IRNazanin"/>
          <w:color w:val="111111"/>
          <w:sz w:val="28"/>
          <w:sz w:val="28"/>
          <w:szCs w:val="28"/>
          <w:rtl w:val="true"/>
          <w:lang w:bidi="fa-IR"/>
        </w:rPr>
        <w:t xml:space="preserve">علی تفسیر الکراهة بقلّة الثواب من أنّه لا یجدی بالنسبة إلی الواقع إذ المطلوب إمّا حصول فعله أو ترکه أو هما معا </w:t>
      </w:r>
    </w:p>
    <w:p>
      <w:pPr>
        <w:pStyle w:val="BookText"/>
        <w:rPr/>
      </w:pPr>
      <w:r>
        <w:rPr>
          <w:rFonts w:ascii="IRNazanin" w:hAnsi="IRNazanin" w:eastAsia="IRNazanin"/>
          <w:color w:val="111111"/>
          <w:sz w:val="28"/>
          <w:sz w:val="28"/>
          <w:szCs w:val="28"/>
          <w:rtl w:val="true"/>
          <w:lang w:bidi="fa-IR"/>
        </w:rPr>
        <w:t>فعلی الأوّل یلزم عدم الکراهة، و علی الثانی عدم الوجوب، و علی الثالث یعود المحذور، فغیر متّجه علی مذهب المانع، إذ لا مانع له من اختیار الشقّ الأوّل و هو مطلوبیة الفعل بعد ادّعائه المقتضی للخروج عن الظاهر و الالتزام بعدم الکراهة الاصطلاحیة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الموانع من صرف النهی إلی المعنی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المرجوحیّة الإضافیة کما هو قضیّة 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الموانع الواردة علی الجواب الثانی، لما عرفت من اتّحاد مرجع الجوابین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تفرّد صاحب الفصول</w:t>
      </w:r>
      <w:r>
        <w:rPr>
          <w:rStyle w:val="FootnoteAnchor"/>
          <w:rtl w:val="true"/>
        </w:rPr>
        <w:footnoteReference w:id="91"/>
      </w:r>
      <w:r>
        <w:rPr>
          <w:rFonts w:ascii="IRNazanin" w:hAnsi="IRNazanin" w:eastAsia="IRNazanin"/>
          <w:color w:val="111111"/>
          <w:sz w:val="28"/>
          <w:sz w:val="28"/>
          <w:szCs w:val="28"/>
          <w:rtl w:val="true"/>
          <w:lang w:bidi="fa-IR"/>
        </w:rPr>
        <w:t>قدّس سرّه بعد ما ارتضی الجوابین الأخیرین بعلاوة جوابین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أنّ الکراهة فی العبادات بمعنی رجحان الترک و أنّ النواهی مستعملة فی طلب الترک تنزیها، کما هو الظاهر منها،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الترک و طلبه غیری، فلا ینافی رجحان الفعل و مطلوبیته لنفسه، و ذلک لأنّ المطلوب للغیر و الراجح له إنّما یکون مطلوبا و راجحا علی تقدیر حصول الغیر لا مطلقا، فالعبادة المکروهة مطلوب فعلها علی تقدیر عدم التوصّل بترکها إلی فعل الأرجح و ترکها علی تقدیر التوصّل بترکه إلی فعله، فلا یلزم توارد الرجحان و المرجوحیة علی شی‌ء واحد،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ترتّب حکم المقدّمة علی خصوص المقدّمة الموصلة لا غیر من متفرّداته التی سبق ردّه بما لا مزید علیه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المرجوحیة فی مکروه الراجح لا حقة لفعله المقیّد بقصد القربة مقیسا إلی ترکه المقیّد به، و المطلوبیة و الرجحان لا حقین لترکه المقیّد به لنفسه، </w:t>
      </w:r>
    </w:p>
    <w:p>
      <w:pPr>
        <w:pStyle w:val="BookText"/>
        <w:rPr/>
      </w:pPr>
      <w:r>
        <w:rPr>
          <w:rFonts w:ascii="IRNazanin" w:hAnsi="IRNazanin" w:eastAsia="IRNazanin"/>
          <w:color w:val="111111"/>
          <w:sz w:val="28"/>
          <w:sz w:val="28"/>
          <w:szCs w:val="28"/>
          <w:rtl w:val="true"/>
          <w:lang w:bidi="fa-IR"/>
        </w:rPr>
        <w:t>فیکون کلّ من الفعل بقصد الامتثال و الترک کذلک راجحا و مطلوبا لنفسه، و یکون الترک أرجح من الفعل، فیکون الفعل مرجوحا بالنسبة إلیه، و بهذا التوجیه یقرب مکروه العبادة من مکروه غیرها، بخلاف التوجیهات المتقدّمة، إذ لیس فیها ما یقتضی مرجوحیّة الفعل بالنسبة إلی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إن اراد کون المقرّب نفس ترک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کلامه إن لم یکن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مبنیّ علی أن تکون القربة قیدا للمأمور به لا وصفا له، و الّا لامتنع اعتباره فی نفس الترک من حیث إنّه ترک بعد ثبوته لفعل المتروک و هو باطل، ضرورة أنّ القرب من الأوصاف اللازمة و المصالح الکامنة فی الشی‌ء، و من المعلوم بدیهة أنّه لا یتعقّل بقاء صفة الشی‌ء و مصلحته فی ترک ذلک الشی‌ء من حیث إنّه ترکه، ضرورة أنّ ترک الموصوف ترک لصفته، و بقاء الصفة فرع بقاء 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اراد کون المقرّب هو ما یلازم الترک من الأعمال و الآثار المترتّبة علی الترک لا نفس الترک کأن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القرب فی ترک صوم عرفة مثلا لیس مستندا إلی نفس الترک، بل إلی ما یترتّب علی الترک من قوّة البدن و حسن الخلق و غیر ذلک ممّا هو أرجح من الصوم فی ذلک الیوم، فهو راجع إلی الجواب الأوّل من الأجوبة المتقدّمة التی عرفت موانعها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مقتضی لصرف النهی و تأویله إلی شی‌ء من هذه المعانی سوی الأصل الغیر الأصیل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الاجتماع من غیر دلیل، و لو سلّمنا المقتضی فقد عرفت وجود الموانع منه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أنتم فی العبادات المکروهة التی لا بدل لها، و ما معنی الکراهة فیها؟ فإن أجبتم بأحد هذه الأجوبة الخمسة ورد علیکم الإیرادات السابقة، و 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بالکراهة الکراهة المصطلحة الکاشفة عن المفسدة، فهو مستلزم لأجل عدم وجود البدل و انحصار الکلی فی الفرد للجمع الأمری بین </w:t>
      </w:r>
    </w:p>
    <w:p>
      <w:pPr>
        <w:pStyle w:val="BookText"/>
        <w:rPr/>
      </w:pPr>
      <w:r>
        <w:rPr>
          <w:rFonts w:ascii="IRNazanin" w:hAnsi="IRNazanin" w:eastAsia="IRNazanin"/>
          <w:color w:val="111111"/>
          <w:sz w:val="28"/>
          <w:sz w:val="28"/>
          <w:szCs w:val="28"/>
          <w:rtl w:val="true"/>
          <w:lang w:bidi="fa-IR"/>
        </w:rPr>
        <w:t>الأمر و النهی و هو قبیح، لعدم إمکان الامتثال بالخطابین، فإنّ الأمر و النهی إمّا متعلّقان بالطبیعة أو بالفرد، أو الأمر بالطبیعة و النهی عن الفرد، أو بالعکس، و الأوّلان مستلزمان لاجتماع الضدین و التکلیف بما لا یطاق، و الثالث مستلزم للتکلیف بما لا یطاق، و الرابع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التقصی عن ذلک منحصر عندنا فی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بثبوت البدل لکلّ ما لا بدل له، إذ لا یلزم أن یکون البدل من جنس المبدل، فالصلاة فی الأوقات المکروهة بدلها قراءة القرآن و زیارة القبور و غیر ذلک ممّا هو أکثر ثوابا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فی الضوابط</w:t>
      </w:r>
      <w:r>
        <w:rPr>
          <w:rStyle w:val="FootnoteAnchor"/>
          <w:rtl w:val="true"/>
        </w:rPr>
        <w:footnoteReference w:id="92"/>
      </w:r>
      <w:r>
        <w:rPr>
          <w:rFonts w:ascii="IRNazanin" w:hAnsi="IRNazanin" w:eastAsia="IRNazanin"/>
          <w:color w:val="111111"/>
          <w:sz w:val="28"/>
          <w:sz w:val="28"/>
          <w:szCs w:val="28"/>
          <w:rtl w:val="true"/>
          <w:lang w:bidi="fa-IR"/>
        </w:rPr>
        <w:t>من أنّ التضادّ المعتبر بین البدل و المبدل إنّما یتحقّق فی العبادات الفعلیة کالصلاة بالنسبة إلی قراءة القرآن و زیارة القبور، دون العبادات الترکیة التی تجتمع و تجامع کلّ عبادة کالصوم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 بأنّ نفس العبادات الترکیة کالصوم و إن لم تضادّ شیئا ممّا هو أهمّ و أکثر ثوابا منها، إلّا أنّها تضادّه بواسطة استلزام ضعف أو سوء خلق أو غیر ذلک ممّا یفوت الأهمّ فی وقته، و قد التزم بما ذکرنا من ثبوت البدلیة لکلّ ما لا بدل له من مکروه العبادات بعض أفاضل المانعین صاحب الفصول</w:t>
      </w:r>
      <w:r>
        <w:rPr>
          <w:rStyle w:val="FootnoteAnchor"/>
          <w:rtl w:val="true"/>
        </w:rPr>
        <w:footnoteReference w:id="93"/>
      </w:r>
      <w:r>
        <w:rPr>
          <w:rFonts w:ascii="IRNazanin" w:hAnsi="IRNazanin" w:eastAsia="IRNazanin"/>
          <w:color w:val="111111"/>
          <w:sz w:val="28"/>
          <w:sz w:val="28"/>
          <w:szCs w:val="28"/>
          <w:rtl w:val="true"/>
          <w:lang w:bidi="fa-IR"/>
        </w:rPr>
        <w:t>قدّس سرّه دفعا لأحد الموانع المانعة من تفسیر الکراهة بقلّة الثواب، و هو عدم جریان قلّة الثواب فیما لا بدل له، و لکن فی بقاء سائر الموانع التی لا مناص له عنها الکفایة 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بمرجوحیّتها فقط و ارتفاع رجحانها من أصل، کما التزم به صاحب القوانین</w:t>
      </w:r>
      <w:r>
        <w:rPr>
          <w:rStyle w:val="FootnoteAnchor"/>
          <w:rtl w:val="true"/>
        </w:rPr>
        <w:footnoteReference w:id="94"/>
      </w:r>
      <w:r>
        <w:rPr>
          <w:rFonts w:ascii="IRNazanin" w:hAnsi="IRNazanin" w:eastAsia="IRNazanin"/>
          <w:color w:val="111111"/>
          <w:sz w:val="28"/>
          <w:sz w:val="28"/>
          <w:szCs w:val="28"/>
          <w:rtl w:val="true"/>
          <w:lang w:bidi="fa-IR"/>
        </w:rPr>
        <w:t xml:space="preserve">قدّس سرّه و لکنّ الالتزام بهذا الأمر و إن کان مخلصا عن لزوم الاجتماع </w:t>
      </w:r>
    </w:p>
    <w:p>
      <w:pPr>
        <w:pStyle w:val="BookText"/>
        <w:rPr/>
      </w:pPr>
      <w:r>
        <w:rPr>
          <w:rFonts w:ascii="IRNazanin" w:hAnsi="IRNazanin" w:eastAsia="IRNazanin"/>
          <w:color w:val="111111"/>
          <w:sz w:val="28"/>
          <w:sz w:val="28"/>
          <w:szCs w:val="28"/>
          <w:rtl w:val="true"/>
          <w:lang w:bidi="fa-IR"/>
        </w:rPr>
        <w:t>الأمری و تکلیف ما لا یطاق فی مکروه ما لا بدل له من العبادات، إلّا أنّه موقع فی محذور أشدّ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انتفاء وجه الصحّة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تصدّی الملتزم المذکور لدفع هذا المحذور بما یرجع محصّله بعد التوجیه و التنقیح إلی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الرجحان و حصول القرب المصحح للعبادات أمر عقلی تابع لطریقة العقلاء و حکم العقل، لا أمر تعبّدی تابع للتوظیف و التوقیف حتی یدور مدار الأمر الخاص وجودا و عدما، و إلّا لما صحّ التعبّد بالاحتیاط فی تکرّر العبادات أداء 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کبراهما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و العقلاء کما یحکمون بامتثال المکلّف و صحة عباداته الراجحة شخصها أو طبیعتها بقصد التقرّب و موافقة الأمر الخاصّ بالنظر إلی أهلیة الآمر أو الخوف منه أو الطمع به أو الحیاء منه أو الشکر له، کذلک یکتفون فی الحکم بامتثاله و صحّة عباداته الراجحة أصلها بمجرّد قصد التقرّب و موافقة الأمر العام الناشئ عن رجحان أصل العبادة بالنظر إلی الدخول فی زیّ المتعبّدین و إقامة صورة العبادة، و إلّا لما صحّ أکثر عباداتنا التی لا ثواب فیها إن لم نقل بأنّ فیها عقابا من جهة عدم حضور القلب و وقوع الحزازات الغیر المبطلة علی ظاهر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توجیهه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کبراه بعد ثبوت صغراه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إذ لو کان رجحان أصل الشی‌ء محبوبا و سببا لصحته و إن لم یتعلّق به أمر خاص لزم عدم فساد عبادة فی العالم و صحّة کلّ عبادة تعلّق النهی التحریمی بذاته، لأنّ رجحان الأصل و الدخول فی زیّ المتعبدین أمر مشترک بین ما لا بدل له من العبادات المکروهة و سائر العبادات المحرّمة کصلاة المرائی و شبهه و صلاة الحائض بناء علی تعلّق النهی بذاته، مع أنّ صحّتها خلاف الاتّفاق، و لا ینطبق إلّا علی مذهب أبی حنیفة فی </w:t>
      </w:r>
    </w:p>
    <w:p>
      <w:pPr>
        <w:pStyle w:val="BookText"/>
        <w:rPr/>
      </w:pPr>
      <w:r>
        <w:rPr>
          <w:rFonts w:ascii="IRNazanin" w:hAnsi="IRNazanin" w:eastAsia="IRNazanin"/>
          <w:color w:val="111111"/>
          <w:sz w:val="28"/>
          <w:sz w:val="28"/>
          <w:szCs w:val="28"/>
          <w:rtl w:val="true"/>
          <w:lang w:bidi="fa-IR"/>
        </w:rPr>
        <w:t>مسألة النهی فی العبادات أو مذهب القائلین بأنّ الحسن و القبح من مقتضیات الماهیة الجنسیة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نسب إلی المرتضی</w:t>
      </w:r>
      <w:r>
        <w:rPr>
          <w:rStyle w:val="FootnoteAnchor"/>
          <w:rtl w:val="true"/>
        </w:rPr>
        <w:footnoteReference w:id="95"/>
      </w:r>
      <w:r>
        <w:rPr>
          <w:rFonts w:ascii="IRNazanin" w:hAnsi="IRNazanin" w:eastAsia="IRNazanin"/>
          <w:color w:val="111111"/>
          <w:sz w:val="28"/>
          <w:sz w:val="28"/>
          <w:szCs w:val="28"/>
          <w:rtl w:val="true"/>
          <w:lang w:bidi="fa-IR"/>
        </w:rPr>
        <w:t>قدّس سرّه من صحّة عبادة المرائی، فعلی تقدیر صدق النسبة لعلّه من جهة البناء علی تعلّق النهی فیها بغیر الذات، و إلّا فقد عرفت أنّه لا ینطبق إلّا علی مذهب من یتبرّأ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هو أنّ القربة لیست قیدا للمأمور به حتی تکون عبارة عن مجرّد الإخطار بالبال و تحصل باعتبار المعتبر، و إلّا لأمکن ترتّبها علی عبادة المرائی، بل و علی جمیع المحرّمات من شرب الخمر و نحوه، بل هی من أوصافه اللازمة له و مصالحه الکامنة فیه، فتکون عبارة إمّا عن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الإخطار بالبال المقرون به، و لا ریب أنّ من علم عدم ترتّب أثر علی فعل امتنع أن یکون الداعی له إلیه ترتّب ذلک الأثر، و قد أشار إلی تفصیل ذلک فی الفصول</w:t>
      </w:r>
      <w:r>
        <w:rPr>
          <w:rStyle w:val="FootnoteAnchor"/>
          <w:rtl w:val="true"/>
        </w:rPr>
        <w:footnoteReference w:id="96"/>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القربة من الأوصاف اللازمة للمأمور به لما انتقض طردا بانتفائها عمّا لم تقصد فیه من العبادات، و عکسا بوجودها فیما قصدت فیه من المباحات، بل المحرّمات مثل الکذب بقصد الإنجاء و الغصب بقصد الإنقاذ</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انتفاء القرب عمّا لم یقصد فیه القرب من العبادات و وجوده فیما قصد فیه من المباحات و المحرّمات لیس من جهة دورانه مدار القصد و الاعتبار وجودا و عدما، بل إنّما هو من جهة امتیاز مؤثّرة عن المشارکات الغیر المؤثّرة له، و ذلک لأنّ جمیع الأفعال لمّا کانت من حیث هی أفعال خالیة عن کلّ حسن و قبح و لم تتّصف من هذه الحیثیة بشی‌ء من الوجوب و الحرمة إلّا بطروّ حیثیة اخری </w:t>
      </w:r>
    </w:p>
    <w:p>
      <w:pPr>
        <w:pStyle w:val="BookText"/>
        <w:rPr/>
      </w:pPr>
      <w:r>
        <w:rPr>
          <w:rFonts w:ascii="IRNazanin" w:hAnsi="IRNazanin" w:eastAsia="IRNazanin"/>
          <w:color w:val="111111"/>
          <w:sz w:val="28"/>
          <w:sz w:val="28"/>
          <w:szCs w:val="28"/>
          <w:rtl w:val="true"/>
          <w:lang w:bidi="fa-IR"/>
        </w:rPr>
        <w:t>علیها من حیثیات الحسن و القبح و کانت الحیثیة الطارئة علیها فی العبادات غیر معلومة عند المکلّف، فلا جرم من انحصار سبیل امتیازها و التوصّل إلیها فی القصد و توجّه النیّة إلیها، فقصد التقرّب إنّما هو لامتیاز المقرّب عن غیر المقرّب، لا لإیجاد القرب فیما لیس فیه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وقفت علی ما فی المقدّمة الکبرویّة من النقض و الحلّ المذکورین ظهر لک ما فی الاستدلال علی تصحیح أمر القربة برجحان أصل الطبیعة و بالدخول فی زیّ المتعبّدین و بقیاس ما نحن فیه علی أکثر عباداتنا الصادرة عن غیر حضور القلب فی الصحّة، و ذلک لأنّ رجحان أصل الطبیعة رجحان شأنی، فکیف یکون الداعی إلیه داعیا فعلیا، و لأنّ المصحّح لقصد التقرب إنّما هو الدخول فی زیّ المتعبّدین المترتّب علیه حصول القرب و أثر شرعی، دون غیر المترتّب علیه شی‌ء، فإنّ توجّه القصد نحو الممتنع ممتنع، و لأنّ قیاس ما نحن فیه علی أکثر عباداتنا الصادرة عن غیر حضور القلب فی الصحّة قیاس مع الفارق، فإنّ المفروض کون المقیس من باب المنهیّ عنه بالذات، و المقیس علیه من باب المنهی عنه بالإضافة، بل الدخول فیما کان من قبیل الأوّل دخول فی زیّ غیر المتعبّدین، لا دخول فی زیّ المتعبّدین أ لا تری أنّ المرائی یستحقّ عقابا زائدا علی عقاب ترک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الرجحان لا یستلزم الأمر، بل یستلزم مطلق المحبوبیة من عدم الدلیل علی محبوبیة تلک العبادة المنهیّ عنه لذاتها حتی یقال بصحتها بمعنی موافقتها المحبوب</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الکاشف عن حسن الطبیعة فی ضمن تلک الأفراد إمّا العقل، فهو غیر مستقلّ فی إدراک حکم العبادة التعبّدیة و حسنها و قبحها إلا أن یکون مذهب المجیب کون حسن الأشیاء و قبحها بالذات أو الوصف اللازم فی جمیع المقامات و الموارد، فیکون الکاشف عن الحسن الذاتی هو العقل عموما و إن لم یدرک </w:t>
      </w:r>
    </w:p>
    <w:p>
      <w:pPr>
        <w:pStyle w:val="BookText"/>
        <w:rPr/>
      </w:pPr>
      <w:r>
        <w:rPr>
          <w:rFonts w:ascii="IRNazanin" w:hAnsi="IRNazanin" w:eastAsia="IRNazanin"/>
          <w:color w:val="111111"/>
          <w:sz w:val="28"/>
          <w:sz w:val="28"/>
          <w:szCs w:val="28"/>
          <w:rtl w:val="true"/>
          <w:lang w:bidi="fa-IR"/>
        </w:rPr>
        <w:t>خصوص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وجود الأمر بها الکاشف عن حسنها، فالمفروض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الاتّفاق علی حسنها فی ضمن تلک الافراد، فممنوع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دلالة النهی التنزیهی علی الصحّة التزاما و إلّا کان حراما، لأنّ العبادة من حیث هی إمّا راجحة و إمّا محرّمة للتشریع، فنمنع دلالة النهی التنزیهی علی الصحّة و استحقاق الثواب، إذ ربّ مکروه لا ثواب و لا رجحان فی فعله أصلا کأکل لحم الحمیر، و توهّم لزوم کون العبادة إمّا راجحة و إمّا محرّمة للتشریع یدفعه أنّ التشریع إنّما یلزم حیث لم یاذن الشارع فی الفعل، و هاهنا أذن فیه، حیث جعله مکروها لا حراما، و وجود الثواب فی فعل العبادة مطلقا لا لزوم فیه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العمومات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موضوع، و الصوم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فنمنع دلالتها علی الحسن بعد ورود النهی عن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عدم الدلیل علی المحبوبیة، لکن مجرّد احتمال المحبوبیة کما یکفی فی صحّة تکرار العبادات قضاء و أداء من باب الاحتیاط علی ما جری علیه السیرة، فلیکفی فیما نحن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الاحتمالین فرق واضح و بون بعید، فإنّ احتمال المحبوبیّة فی تکرار العبادات احتمال مساو إن لم یکن راجحا، بخلاف احتمالها فیما نحن فیه، فإنّ المفروض مرجوحیته لئلّا یلزم خلوّ النهی عن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فبعد إمکان التفصّی بالتزام البدلیة فی مکروه ما لا بدل له من العبادات عن لزوم التکلیف بما لا یطاق و الاجتماع الأمری لا وجه للالتزام بمرجوحیّتها حتی یوجب الوقوع فی محذور أشدّ،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تجرّدها عن وجه الصحّة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لا المانع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الإجماع علی الصحّة لکان المقتضی لالتزام المرجوحیة فیما تعلّق النهی بنفسه موجودا، إلّا أنّ هذا المانع هو الباعث علی رفع </w:t>
      </w:r>
    </w:p>
    <w:p>
      <w:pPr>
        <w:pStyle w:val="BookText"/>
        <w:rPr/>
      </w:pPr>
      <w:r>
        <w:rPr>
          <w:rFonts w:ascii="IRNazanin" w:hAnsi="IRNazanin" w:eastAsia="IRNazanin"/>
          <w:color w:val="111111"/>
          <w:sz w:val="28"/>
          <w:sz w:val="28"/>
          <w:szCs w:val="28"/>
          <w:rtl w:val="true"/>
          <w:lang w:bidi="fa-IR"/>
        </w:rPr>
        <w:t>الید عن هذا المقتضی و تقیید المرجوحیّة المستفادة من النهی بجهة خصوصیة العبادة من الزمان و المکان، لیبقی رجحان فعلیّ مصحّح لقصد التقرّب الذی به قوام صحة العبادة فی أصل الطبیعة، ضرورة أنّ توجّه القصد و الداعی الفعلی نحو الرجحان الشأنی الثابت فی أصل الطبیعة قبل عروض النهی لها ممتنع، و إلّا لامتنع تحقّق عبادة فاسدة فی العالم سوی العاری عن قصد التقرب، لأنّ الرجحان الشأنی لا یزول بعروض المرجوحیّة و الفساد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لیعلم أنّ ما التزمنا ثبوته فی العبادات المکروهة من جهة رجحان مصحّح لقصد التقرّب أعمّ من أن یکون زائدا علی جهة المرجوحیّة الحاصلة من الخصوصیة أو مساویا أو ناقصا عنه، أمّا فیما علم کونه من القسم الأوّل فظاهر، و أمّا فیما لم یعلم کونه من أیّ الأقسام فلأنّ مجرّد الاحتمال کاف فی تصحیح قصد التقرّب و الامتثال، کما هو الشأن و الحال فی تصحیح العبادات المکرّرة قضاء و اداء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علم کونه من أحد القسمین الأخیرین فلأنّ جهة المرجوحیة لا تکافئ جهة الرجحان بحیث یذهبه و یزیله و إن زادت علیها، إلّا علی الحبط و التکفیر فی الحسنات و السیئات بالمعنی الذی یقوله بعض المعتزلة، و هو باطل عند الإمامیة بالنصّ و الإجماع، مضافا إلی بناء العقلاء و شهادة الوجدان علی أنّ العبد الآتی مولاه بمطلوب ذی مرتبة فی ضمن مبغوض ذی مرتبتین یعدّ مطیعا بمرتبة و عاصیا بمرتبتین، لا عاصیا فقط بمرتبة واحدة کما هو قضیّة الحبط و التکفیر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المباحة بالمعنی الأخصّ کصلاة البیت، و المتّصفة بالوجوبین کصلاة الفریضة فی مکان منذور فیه، و بالمستحبین کصلاة النافلة فی مکان مندوب، و بالمختلفین کصلاة الفریضة فی المسجد، و کذا الأعمال المتّصفة </w:t>
      </w:r>
    </w:p>
    <w:p>
      <w:pPr>
        <w:pStyle w:val="BookText"/>
        <w:rPr/>
      </w:pPr>
      <w:r>
        <w:rPr>
          <w:rFonts w:ascii="IRNazanin" w:hAnsi="IRNazanin" w:eastAsia="IRNazanin"/>
          <w:color w:val="111111"/>
          <w:sz w:val="28"/>
          <w:sz w:val="28"/>
          <w:szCs w:val="28"/>
          <w:rtl w:val="true"/>
          <w:lang w:bidi="fa-IR"/>
        </w:rPr>
        <w:t>بالحرامین کالاستمناء فی المسجد، و بالمکروهین کاللغو فیه، و بالمختلفین کالغیبة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نقض المانعین بها بنظیر ما مرّ فی مکروه العبادات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الحکمین فی هذه الأعمال إمّا الطبیعة، و إمّا الفرد، و إمّا طبیعتان فی ضمن الفرد، و الأوّلان مستلزمان لاجتماع الضدّین فی الحکمین المختلفین فی الفصل، و لاجتماع المثلین فی الحکمین المتّحدین فیه، و الثالث مثبت للمطلوب، و لا فرق بین المثلین و الضدّین فی امتناع الاجتماع إلّا بتعدّد المحل، فمناط المنع 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توجیه جواب المانعین عنها بنظیر ما أجابوا به عن مکروه العبادة هو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اجتماع الحکمین فی کلّ من هذه الأقسام إن أمکن حمله علی الاجتماع الموردی تعیّن الحمل علیه، و إلّا فلا یخلو إمّا أن یکون الحکمان متّحدین فی الفصل کما أنّهما متّحدین فی الجنس کالواجبین و المندوبین و الحرامین و المکروهین، و إمّا مختلفین فیه کالواجب و المندوب و الحرام و المکروه، و علی الثانی إمّا أن یختلفا فی الوجه بأن یکون أحدهما نفسیا و الآخر غیریا أو کلاهما غیریین مع اختلاف الغیر، و إمّا أن یتّحدا فیه بأن یکون کلاهما نفسیین أو غیریین مع اتّحاد الغیر، فهذه أقسام ثلاثة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عنه هو الجواب الثانی و الثالث الذین مرّا فی مکروه العبادات من تنزیل الحکمین منزلة الحکم الواحد المختلف له بالشدّة و الضعف، و یعبّر عنه فی المقام بالأکثریة رجحانا علی القول بتبعیّة الحسن و القبح لجهات المکلف به و بالآکدیّة طلبا علی القول بإنکار الحسن و القبح، أو علی القول تبعیّتهما لجهات التکلیف، کما یعبّر عن العبادات المکروهة بالأقلّ ثوابا أو الآکد طلبا، فلا فرق بین الأکثریة هاهنا و الأقلیّة ثمّة إلّا فی انطباق الأوّل علی الجمع و التضعیف، و انطباق الثانی علی الحبط و التکفیر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عنه هو الجواب عن القسم الأوّل حرفا بحرف، و قد أشار إلی توضیحه فی الفصول</w:t>
      </w:r>
      <w:r>
        <w:rPr>
          <w:rStyle w:val="FootnoteAnchor"/>
          <w:rtl w:val="true"/>
        </w:rPr>
        <w:footnoteReference w:id="98"/>
      </w:r>
      <w:r>
        <w:rPr>
          <w:rFonts w:ascii="IRNazanin" w:hAnsi="IRNazanin" w:eastAsia="IRNazanin"/>
          <w:color w:val="111111"/>
          <w:sz w:val="28"/>
          <w:sz w:val="28"/>
          <w:szCs w:val="28"/>
          <w:rtl w:val="true"/>
          <w:lang w:bidi="fa-IR"/>
        </w:rPr>
        <w:t>بأنّه لو امتنع الاجتماع فیه لکان إمّا باعتبار الرجحان و لا حجر من هذه الجهة، إذ انضمام الرجحان الی الرجحان لا یوجب إلّا تأکّد الرجحان، أو باعتبار ما تقوما به من المنع من النقیض و عدمه و لا حجر من هذه الجهة أیضا، لأنّ الوجوب و الندب حیث کانا باعتبار جهتین کان المنع من الترک و عدمه أیضا باعتبارهما، و لا منافاة بین المنع من ترک الفعل لنفسه أو لغیره و بین عدم المنع منه لغیره أو لأمر آخر، فإنّ عدم المنع من النقیض بأحد الاعتبارین راجع إلی عدم اقتضاء ذلک الاعتبار للمنع، و هو لا ینافی اقتضاء اعتبار آخر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التغایر فی وجهی الوجوب و الاستحباب لو أجدی رفع التنافی و جواز الاجتماع لأجدی اعتباره أیضا فی وجهی الوجوب و الحرمة أو الوجوب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ملازمة بین الموردین، فإنّ تنافی الوجوب و الندب لمّا کان من جهة الفصول خاصّة، کان اعتبار التغایر فی وجهیه مجدیا فی رفعه و جواز اجتماعهما، بخلاف تنافی الوجوب و الحرمة أو الوجوب و الکراهة، فإنّه لیس من جهة الفصول خاصّة حتی یجدی فی رفعه مجرّد اعتبار التغایر فی الوجه، بل التنافی فیه من جهة الأجناس أیضا، و التنافی الجنسی لا یرتفع باعتبار التغایر فی وجهی الوجوب و الحرمة، بل لا بدّ فی رفعه إمّا من اعتبار التغایر فی جهتی الفعل الواجب و الحرام کما هو مسلک مجوّزی الاجتماع، و إمّا من طرح أحد الحکمین کما هو مسلک مانعیة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الاصطلاح فی الواجب جار علی ما کان فصله هو المنع من الترک </w:t>
      </w:r>
    </w:p>
    <w:p>
      <w:pPr>
        <w:pStyle w:val="BookText"/>
        <w:rPr/>
      </w:pPr>
      <w:r>
        <w:rPr>
          <w:rFonts w:ascii="IRNazanin" w:hAnsi="IRNazanin" w:eastAsia="IRNazanin"/>
          <w:color w:val="111111"/>
          <w:sz w:val="28"/>
          <w:sz w:val="28"/>
          <w:szCs w:val="28"/>
          <w:rtl w:val="true"/>
          <w:lang w:bidi="fa-IR"/>
        </w:rPr>
        <w:t>من جمیع الجهات و الاعتبارات، و فی المستحب جار علی ما کان فصله هو عدم المنع من الترک من جمیع الجهات و الاعتبارات، و اعتبار التغایر فی وجهی الوجوب و الاستحباب و إن کان رافعا للتنافی، إلّا أنّه لا دلیل علی تسمیة مورده بالواجب و المستحب فی اصطلاح الشرع علی وجه یترتّب علیه أحکام کلّ من الواجب و المستحب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الخروج عن الظاهر و الاصطلاح لا یمنع المانع بعد ادّعائه ثبوت المقتضی له من القطع بامتناع الاجتماع، لأنّه خروج عن الظاهر بدلیل قطعیّ علی 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علیه الموانع التی أوردناها علی الجواب الثانی و الثالث عن مکروه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الحکمین المختلفین فی الفصل المتّحدین فی الوجه کالواجب و المندوب النفسیّین أو الغیریّین مع اتّحاد الغیر فلا یکفیه شی‌ء من أجوبة المانعین التی تقدّم ذکرها، ضرورة تدافع الفصلین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النقیض لعدم المنع منه، بل لا بدّ للمانع فیه من إجراء حکم المتعارضین، فبالنظر إلی تزاحم الحقوقین یقدّم الواجب علی المندوب و الحرام علی المکروه، و بالنظر إلی تعارض الدلیلین یقدّم الواجب علی المندوب و الحرام علی المکروه، و بالنظر إلی تعارض الدلیلین یقدّم الأوفق بالمرجّحات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حکم بعض الفقهاء باستحباب بعض أفراد الواجب النفسی التخییری عقلا أو شرعا لنفسه کالصلاة فی المسجد و کالإتمام فی المواضع الأربعة، أو الغیری للغیر کالسیر ماشیا للحج فیمکن تنزیله علی معنی أنّه أرجح من الأفراد المجرّدة عن الاعتبارات المؤثرة أو أکثر ثوابا منها بقرینة تفسیرهم لمکروه العبادات بما یقابل التفسیرین، و إلّا فیمتنع فیه اعتبار النفسی بمعناه الحقیقی عند المانعین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الأغسال التی وردت به الأخبار الکثیرة و افتی بمضمونها الفقهاء و کذلک تداخل الوضوءات، و تقریب نقض المانعین به بعین ما مرّ من أنّ متعلّق الحکمین، إمّا الطبیعة، و إمّا الفرد، و إمّا طبیعتان فی ضمن الفرد، و الأوّلان مستلزمان لاجتماع الضدّین أو المثلین، و الثالث مثبت للمطلوب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حمل تداخل الأغسال علی جواز الاجتماع لما احتاج المجوّزون إلی حمل القول بالوجوب النفسی و الاستحباب الغیری فی الغسل علی تأویل استحبابه الغیری إلی استحباب کون الغیر مقترنا به، و إلی الحمل القول بالاستحباب النفسی و الوجوب الغیری فیه علی تقیید زمن الاستحباب بما قبل الوقت و زمن الوجوب بما بعد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بعض المجوّزین کصاحب القوانین قدّس سرّه إلی حمل وجوب الغسل و استحبابه علی ما ذکر لیس من جهة وجود المانع من حمله علی الاجتماع کما قد یتوهّمه المانع، بل إنّما هو من جهة عدم وجود المقتضی لحمله علی الاجتماع عنده، حیث لا دلیل علی استحباب الطهارة فی نفسه بعد دخول الوقت فی وجوبها الغیری، و مراعاة الأصل یقتضی عدمه، و أمّا الإطلاقات الدالّة علی الوجوب النفسی التی استدلّ القائل به بها فمحمولة علی القول بنفی الوجوب النفسی علی مطلق الرجحان، لا علی خصوص الاستحباب، و إلّا فبعد وجود المقتضی یتعیّن حمله علی الاجتماع عند کلّ مجوّزیه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توجیه جواب المانعین عن الاجتماع فی تداخل الأغسال بنظیر ما مرّ قد أشار إلیه فی الفصول بما یرجع محصّله إلی أنّ المتداخلین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متّحدان فی الفصل، کتداخل الواجب فی الواجب، و المندوب فی المندوب، أو مختلفان فیه، کتداخل الواجب فی المندوب</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یتّحدا فی الوجه کالنفسیین و الغیریین مع اتّحاد الغیر، أو </w:t>
      </w:r>
    </w:p>
    <w:p>
      <w:pPr>
        <w:pStyle w:val="BookText"/>
        <w:rPr/>
      </w:pPr>
      <w:r>
        <w:rPr>
          <w:rFonts w:ascii="IRNazanin" w:hAnsi="IRNazanin" w:eastAsia="IRNazanin"/>
          <w:color w:val="111111"/>
          <w:sz w:val="28"/>
          <w:sz w:val="28"/>
          <w:szCs w:val="28"/>
          <w:rtl w:val="true"/>
          <w:lang w:bidi="fa-IR"/>
        </w:rPr>
        <w:t>یختلفا فیه کالنفسی و الغیری، و الغیریین مع اختلاف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من هذه الأقسام الثلاثة إمّا أن یکون التداخل قهریّا، کما هو المتعیّن فی تداخل الوضوءات بحسب ما یستفاد من الشرع، أو قصدیا علی وجه یکون القصد شطرا، أو علی وجه یکون القصد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کلّ واحد من هذه الأقسام التسعة واضح ممّا مر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التداخل القهریّ و القصدیّ بالمعنی الأخیر فلأنّ القسم الأوّل و الثالث من المتداخلین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المتّحدین فی الفصل و المختلفین فی الفصل و الوجه، محمول علی أکثریّة الثواب، أو آکدیة الطلب علی حسب ما مرّ فی نظائر المقام، فیکون غسل الجمعة المتّفق فی 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ثوابا من الغیر المتّفق فیه، نظیر حمل الصلاة المتّفقة فی الحمّام علی کونها أقلّ ثوابا من الغیر المتّفقة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الحکمین المختلفین فی الفصل المتّحدین فی الوجه، کالواجب و المستحب النفسیین، أو الغیریین مع اتّحاد الغیر فیمتنع الاجتماع فیه، لظهور التدافع بین الفصلین،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النقیض و عدم المنع منه باعتبار واحد، بل لا بدّ إمّا من طرح أحد الحکمین أو تنزیلهما منزلة الحکم الواحد بمعنی أکثر ثوابا، کالأفضل من افراد الواجب المخیّر علی التفصیل الذی مرّ، و أمّا علی التداخل القصدیّ بالمعنی الأوّل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کون الحکمین لاحقین للفعل مع النسبة الخاصّة، لا بشرط النسبة الخاصة، فلتعدّد الموضوع فی کلّ من الأقسام الثلاثة، فیتعدّد الأحکام مطلقا من دون حاجة إلی تنزیلهما منزلة الحکم الواحد الأکثر ثوابا، و لا إلی تأویل آخر</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ملخّصا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علی الموانع المتقدّمة الواردة علی هذه التنزیلات بعد تسلیم </w:t>
      </w:r>
    </w:p>
    <w:p>
      <w:pPr>
        <w:pStyle w:val="BookText"/>
        <w:rPr/>
      </w:pPr>
      <w:r>
        <w:rPr>
          <w:rFonts w:ascii="IRNazanin" w:hAnsi="IRNazanin" w:eastAsia="IRNazanin"/>
          <w:color w:val="111111"/>
          <w:sz w:val="28"/>
          <w:sz w:val="28"/>
          <w:szCs w:val="28"/>
          <w:rtl w:val="true"/>
          <w:lang w:bidi="fa-IR"/>
        </w:rPr>
        <w:t>المقتضی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الموضوع فی الفرض الأخیر لا یوجب تعدّد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فیه أیضا من تنزیل الأحکام منزلة الحکم الواحد الأکثر ثوابا، کما لا بدّ من ذلک فی غیره، و إلّا فیعود المحذور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المصداقی فی هذا الفرض الأخیر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ذلک أنّ الحکمین و إن تعلّقا بالأصالة علی مرکّبین 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محلّ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مع نیّة الجنابة، و محل الاستحباب الغسل مع نیّة الجمعة، إلّا أنّهما یتعلّقان بالتّبع علی نفس الفعل المتّحد، و هو الغسل باعتبار تعدّد الجهة، فکما أنّ الصلاة فی الدار المغصوبة باعتبار کونه محصّلا لطبیعة الصلاة و فردا من أفراده واجب، و باعتبار کونه محصّلا لطبیعة الغصب و فردا من افراده حرام، کذلک الغسل فی هذا الفرض باعتبار کونه فی ضمن نیّة الجنابة واجب، و باعتبار کونه فی ضمن نیّة الجمعة مستحب، غایته أنّ اجتماع الحکمین فی الغسل بالتبعیة و الغیریة، و فی الصلاة فی الدار المغصوبة بالأصالة و الذاتیة، بناء علی تفسیر الفرد بالطبیعة المتّصفة بالتشخّص، أو المرکّبة معه، و قد عرفت فی تحریر محلّ النزاع أنّ هذا الفرق غیر مجد و أنّ اجتماع الواجب الغیریّ مع الحرام لا ینطبق عند المانع إلّا علی أحد المعنیین الذین لا سبیل إلی إرادة شی‌ء منهما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معنی الإسقاط فلعدم تحقّقه فی الأغیار الداخلیة، و المفروض أنّ الغسل فی هذا الفرض من الأغیار و المقدّمات الداخلیة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معنی المقدّمیة فلعدم انطباقه علی مذهب الموجّه المذکور 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الفصول رحمه اللّه القائل بوجوب الغیریّات وراء معنی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الوجوب و الاستحباب الغیریین فی الغسل إنّما هو مع اختلاف الغیر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الغیر إنّما یرفع تنافی فصلیهما و أمّا تنافی تعدّدهما، فلا </w:t>
      </w:r>
      <w:bookmarkStart w:id="43" w:name="pg12880_153209"/>
    </w:p>
    <w:p>
      <w:pPr>
        <w:pStyle w:val="BookText"/>
        <w:rPr/>
      </w:pPr>
      <w:bookmarkEnd w:id="43"/>
      <w:r>
        <w:rPr>
          <w:rFonts w:ascii="IRNazanin" w:hAnsi="IRNazanin" w:eastAsia="IRNazanin"/>
          <w:color w:val="111111"/>
          <w:sz w:val="28"/>
          <w:sz w:val="28"/>
          <w:szCs w:val="28"/>
          <w:rtl w:val="true"/>
          <w:lang w:bidi="fa-IR"/>
        </w:rPr>
        <w:t>یرتفع إلا بتنزیلهما منزلة الحکم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أن حال الغسل فی هذا الفرض هو الحال فی سائر الفروض المتقدّمة، فلا بدّ فیه من ارتکاب التأویل و التنزیل الذی لا بدّ فی غیره، و إلّا لعاد المحذور الذی تفصّی عنه الموجّه المذکور</w:t>
      </w:r>
      <w:r>
        <w:rPr>
          <w:rFonts w:eastAsia="IRNazanin" w:cs="IRNazanin"/>
          <w:color w:val="111111"/>
          <w:sz w:val="28"/>
          <w:szCs w:val="28"/>
          <w:rtl w:val="true"/>
          <w:lang w:bidi="fa-IR"/>
        </w:rPr>
        <w:t>.</w:t>
      </w:r>
    </w:p>
    <w:p>
      <w:pPr>
        <w:pStyle w:val="Heading6"/>
        <w:numPr>
          <w:ilvl w:val="5"/>
          <w:numId w:val="1"/>
        </w:numPr>
        <w:rPr/>
      </w:pPr>
      <w:bookmarkStart w:id="44" w:name="__RefHeading___Toc2986315_3224264995"/>
      <w:bookmarkStart w:id="45" w:name="_Toc16"/>
      <w:bookmarkEnd w:id="44"/>
      <w:r>
        <w:rPr>
          <w:rtl w:val="true"/>
        </w:rPr>
        <w:t>[</w:t>
      </w:r>
      <w:r>
        <w:rPr>
          <w:rtl w:val="true"/>
        </w:rPr>
        <w:t>بقی الکلام فی التنبیه علی أمور</w:t>
      </w:r>
      <w:r>
        <w:rPr>
          <w:rtl w:val="true"/>
        </w:rPr>
        <w:t>:]</w:t>
      </w:r>
      <w:bookmarkEnd w:id="45"/>
    </w:p>
    <w:p>
      <w:pPr>
        <w:pStyle w:val="Heading6"/>
        <w:numPr>
          <w:ilvl w:val="5"/>
          <w:numId w:val="1"/>
        </w:numPr>
        <w:rPr/>
      </w:pPr>
      <w:bookmarkStart w:id="46" w:name="__RefHeading___Toc2986317_3224264995"/>
      <w:bookmarkStart w:id="47" w:name="_Toc17"/>
      <w:bookmarkEnd w:id="46"/>
      <w:r>
        <w:rPr>
          <w:rtl w:val="true"/>
        </w:rPr>
        <w:t>[</w:t>
      </w:r>
      <w:r>
        <w:rPr>
          <w:rtl w:val="true"/>
        </w:rPr>
        <w:t>الأوّل</w:t>
      </w:r>
      <w:r>
        <w:rPr>
          <w:rtl w:val="true"/>
        </w:rPr>
        <w:t xml:space="preserve">: </w:t>
      </w:r>
      <w:r>
        <w:rPr>
          <w:rtl w:val="true"/>
        </w:rPr>
        <w:t>متفردات صاحب الفصول فی المسألة</w:t>
      </w:r>
      <w:r>
        <w:rPr>
          <w:rtl w:val="true"/>
        </w:rPr>
        <w:t>]</w:t>
      </w:r>
      <w:bookmarkEnd w:id="47"/>
    </w:p>
    <w:p>
      <w:pPr>
        <w:pStyle w:val="BookText"/>
        <w:rPr/>
      </w:pPr>
      <w:r>
        <w:rPr>
          <w:rFonts w:ascii="IRNazanin" w:hAnsi="IRNazanin" w:eastAsia="IRNazanin"/>
          <w:color w:val="111111"/>
          <w:sz w:val="28"/>
          <w:sz w:val="28"/>
          <w:szCs w:val="28"/>
          <w:rtl w:val="true"/>
          <w:lang w:bidi="fa-IR"/>
        </w:rPr>
        <w:t>أنه استفاد من مجموع ما ذکرنا من أوّل المسألة إلی هنا أنّ لصاحب الفصول قدّس سرّه فی التفصّی عن الاجتماع الذی أحاله متفرّدات خمسة فی مقامات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اجتماع الأمر و النهی إلی اجتماع الأمر و النهی المختلف زمنیهما، و قد مرّ ردّه بما لا مزید علیه فی أوائل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الاجتماع إلی الاجتماع التقدیری علی وجه الاستکشاف، لا انقلاب الحکم، و قد مرّ ابتنائه علی أصله الغیر الأصیل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تخصیصه أحکام المقدّمة بالمقدّمة الموصلة الذی مرّ منعه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خصّه بالاجتماع فی مکروه العبادات من تقیید کلّ واحد من الفعل و الترک بقصد التقرّب، و قد عرفت ما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خصّه باجتماع الواجب و المستحب من اعتبار التغایر فی وجهی الوجوب و الاستحباب بالنفسیة و الغیریة، أو بالغیریة مع اختلاف الغیر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خصّه باجتماع الوجوب و الاستحباب النفسیین فی بعض أفراد الواجب التخییری من اعتبار الاستحباب باعتبار تحصیل الرجحان الثابت فی الفعل الزائد علی الرجحان الوجوبی، فإنّه رجحان یرجّح تحصیله علی التعیین مع جواز ترکه لا إلی بدل مطلقا، و لا یخفی أنّ هذا الاعتبار إن کان مجدیا فلا وجه لاختصاصه باجتماع الوجوب و الاستحباب، بل هو جار فی اجتماع الوجوب </w:t>
      </w:r>
      <w:bookmarkStart w:id="48" w:name="pg12880_153210"/>
    </w:p>
    <w:p>
      <w:pPr>
        <w:pStyle w:val="BookText"/>
        <w:rPr/>
      </w:pPr>
      <w:bookmarkEnd w:id="48"/>
      <w:r>
        <w:rPr>
          <w:rFonts w:ascii="IRNazanin" w:hAnsi="IRNazanin" w:eastAsia="IRNazanin"/>
          <w:color w:val="111111"/>
          <w:sz w:val="28"/>
          <w:sz w:val="28"/>
          <w:szCs w:val="28"/>
          <w:rtl w:val="true"/>
          <w:lang w:bidi="fa-IR"/>
        </w:rPr>
        <w:t>و الکراهة، و الوجوب و الإباحة فی بعض أفراد الواجب التخییری أیضا، إلّا أنّه غیر مجد من أصله، کما استدرکه هو أیضا فی آخر کلامه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یضعّفه أنّ تحصیل الرجحان الزائد عین تحصیل رجحان الوجوبی</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قد عرفت أن لیس فی الوجوه التی یتفصّی بها عن الاجتماع وجه سلیم عن الموانع، إلّا أنه لو فرض ثبوت المقتضی لمنع الاجتماع، فأقرب ما یتفصّی به عن الاجتماع من باب ارتکاب أقلّ القبیحین هو الوجه الرابع من متفرّدات صاحب الفصول قدّس سرّه، ثمّ الجواب الأوّل من أجوبة المانعین عن مکروه العبادات، ثمّ الجواب الثانی و الثالث من أجوبتهم، ثمّ الوجه الثانی من متفرّدات صاحب الفصول قدّس سرّه المبتنی علی عدم اعتبار المقدّمة الغیر الموصلة، ثمّ الوجه الأوّل من متفرّداته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وجه ترتّبها بهذا الترتیب المشعر بتفاوت مراتبها فی القبح بتذکّر ما تقدّم</w:t>
      </w:r>
      <w:r>
        <w:rPr>
          <w:rFonts w:eastAsia="IRNazanin" w:cs="IRNazanin"/>
          <w:color w:val="111111"/>
          <w:sz w:val="28"/>
          <w:szCs w:val="28"/>
          <w:rtl w:val="true"/>
          <w:lang w:bidi="fa-IR"/>
        </w:rPr>
        <w:t>.</w:t>
      </w:r>
    </w:p>
    <w:p>
      <w:pPr>
        <w:pStyle w:val="Heading6"/>
        <w:numPr>
          <w:ilvl w:val="5"/>
          <w:numId w:val="1"/>
        </w:numPr>
        <w:rPr/>
      </w:pPr>
      <w:bookmarkStart w:id="49" w:name="__RefHeading___Toc2986319_3224264995"/>
      <w:bookmarkStart w:id="50" w:name="_Toc18"/>
      <w:bookmarkEnd w:id="49"/>
      <w:r>
        <w:rPr>
          <w:rtl w:val="true"/>
        </w:rPr>
        <w:t>[</w:t>
      </w:r>
      <w:r>
        <w:rPr>
          <w:rtl w:val="true"/>
        </w:rPr>
        <w:t>الثانی</w:t>
      </w:r>
      <w:r>
        <w:rPr>
          <w:rtl w:val="true"/>
        </w:rPr>
        <w:t xml:space="preserve">: </w:t>
      </w:r>
      <w:r>
        <w:rPr>
          <w:rtl w:val="true"/>
        </w:rPr>
        <w:t>اتّفق المانعون و المجوّزون علی صحّة العبادات التی تعلّق النهی بها</w:t>
      </w:r>
      <w:r>
        <w:rPr>
          <w:rtl w:val="true"/>
        </w:rPr>
        <w:t>]</w:t>
      </w:r>
      <w:bookmarkEnd w:id="50"/>
    </w:p>
    <w:p>
      <w:pPr>
        <w:pStyle w:val="BookText"/>
        <w:rPr/>
      </w:pPr>
      <w:r>
        <w:rPr>
          <w:rFonts w:ascii="IRNazanin" w:hAnsi="IRNazanin" w:eastAsia="IRNazanin"/>
          <w:color w:val="111111"/>
          <w:sz w:val="28"/>
          <w:sz w:val="28"/>
          <w:szCs w:val="28"/>
          <w:rtl w:val="true"/>
          <w:lang w:bidi="fa-IR"/>
        </w:rPr>
        <w:t>بواسطة تعلّقه بالوصف المتّحد معها فی الوجود کما هو موضوع مسألة الاجتماع، أو بواسطة تعلّق الأمر بالأهمّ منها کما هو موضوع مسألة اقتضاء الأمر بالشی‌ء النهی عن الضدّ إذا کان المکلّف مضطرّا، أو ناسیا لذلک النهی، أو جاهلا مقصّرا بالموضوع، أو قاصرا مطلقا، أو صغیرا علی وجه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اتّفق المجوّزون و المانعون معا علی فساد ما تعلّق النهی الإرشادی بنفسه بلا واسطة، کما هو موضوع مسألة النهی فی العبادات علی وجه من دون فرق بین وجود أحد الأعذار الأربعة و 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المناط وجود الحکم الوضعی و التکلیف الواقعی فهو موجود فی کلتا المسألتین، و إن کان انتفاء الحکم التکلیفی و الظاهری فهو منتف فی کلاهما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مناط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إطلاق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فی المسألة الأولی بحسب الظاهر المعوّل علیه کان مجرّد رفع المانع الظاهری بأحد الأعذار الأربعة مجدیا فی الصحّة فی المسألة الأولی، بخلاف المسألة الثانیة، فإنّ المفروض عدم وجود المقتضی فیها لا ظاهرا، و لا واقعا، و إنّما الموجود هو مجرّد خیال المقتضی من غیر مستند ظاهریّ حتی یجدیه رفع المانع بأحد الأعذار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أمتن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علّة اقتضاء النهی الإرشادی الفساد هو المانعیة، أو فقدان الجزء أو الشرط، و هو من الأحکام الوضعیة التی لا دخل للعلم و الجهل فی تحقّقها، بخلاف اقتضاء النهی التحریمی الفساد، فإنّ علّة اقتضائه هو التحریم، و هو من الأحکام التکلیفیة المنوطة بالعلم، فیختصّ اقتضائه الفساد بحال العلم لا الجهل، و بحال العمل لا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تعذّر القاصر بالحکم حیث یرفع المانع عن المقتضی، و بین تعذّر المقصّر به، حیث لا یرفع المانع عنه؟ ثمّ ما الفرق بین المقصّر بالحکم، حیث لا یرفع المانع و بین المقصّر بالموضوع حیث یرفعه؟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تکلیف القاصر فلأنّه من المستقلّات العقلیة، و أمّا تکلیف المقصّر بالموضوع فهو و إن أمکن عقلا، إلّا أنّ المستفاد من الأخبار و الآثار الشرعیة عدمه، و أمّا تکلیف المقصّر بالحکم فلأنّه مقتضی العقل و الشرع، و ذلک لوجود المقتضی و عدم المانع، مضافا إلی مساعدة الإجماع و الأخبار علی حسب ما سیأتی تفصیل کلّ ذلک فی تنبیه آخر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لا تری أنّه إذا ورد عمومات و علم إجمالا تخصیص أحدها لا یجوز العمل </w:t>
      </w:r>
    </w:p>
    <w:p>
      <w:pPr>
        <w:pStyle w:val="BookText"/>
        <w:rPr/>
      </w:pPr>
      <w:r>
        <w:rPr>
          <w:rFonts w:ascii="IRNazanin" w:hAnsi="IRNazanin" w:eastAsia="IRNazanin"/>
          <w:color w:val="111111"/>
          <w:sz w:val="28"/>
          <w:sz w:val="28"/>
          <w:szCs w:val="28"/>
          <w:rtl w:val="true"/>
          <w:lang w:bidi="fa-IR"/>
        </w:rPr>
        <w:t>بمقتضی شی‌ء من تلک العمومات إلّا بعد الفحص و أنّ ذلک العلم الإجمالی مخلّ بظهور جمیعها بحیث لا یبقی مسرح لمجری أصالة العموم و الحقیقة فی شی‌ء منها إلّا بعد الفحص المنقلب معه الإجمال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لا تلبس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الصلاة فی لباس الحریر لأحد الأعذار الأربعة صحیحة اتّفاقا، بخلاف 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لا تصلّ فی لباس الحریر، فإنّها فاسدة اتّفاقا، من غیر فرق بین وجود أحد الأعذار الأربعة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لیعلم أنّ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اللباس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الصلاة فی لباس الحریر صادق علی کلّ صورة من صور الأعذار الأربعة، بخلاف الصلاة فی الدار المغصوبة، فإنّه لا یصدق علی ما عدی صورة الصغر من سائر صور الاضطرار و الجهل و النسیان، و مقتضی ذلک صحّة الصلاة فی الدار المغصوبة فی صورة الاضطرار و الجهل و النسیان مطلقا، بخلاف الصلاة فی لباس الحریر لأحد هذه الأعذار الثلاثة، فإنّ صحّتها مختصّ بما إذا اندرجت فی مسألة الاجتماع، دون مسألة النهی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عدم صدق الغصب فی صورة وجود أحد تلک الأعذار الثلاثة و صدق لبس الحریر هو أنّ قبح الغصب ذاتیّ و لا یمکن ارتفاع حکم الذاتیّ عن المکلف إلّا بارتفاع موضوعه، بخلاف قبح لبس الحریر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ینشأ من ذلک فرق بین ما إذا صلّی الصغیر فی الدار المغصوبة، و بین ما إذا صلّی فی لباس الحریر، إذ لا یبعد القول بفساد صلاته فی الدار المغصوبة مطلقا، سواء استفید حرمة الغصب بموضوع مسألة الاجتماع، أو بموضوع مسألة النهی فی العبادات، فإنّ غصب الصغیر و إن کان بالنظر إلی صدق الغصب علیه و انتفاء حکمه عنه کلبس الحریر، إلّا أنّه بالنظر إلی قبحه الذاتیّ لیس کلبس الحریر فتدبّر</w:t>
      </w:r>
      <w:r>
        <w:rPr>
          <w:rFonts w:eastAsia="IRNazanin" w:cs="IRNazanin"/>
          <w:color w:val="111111"/>
          <w:sz w:val="28"/>
          <w:szCs w:val="28"/>
          <w:rtl w:val="true"/>
          <w:lang w:bidi="fa-IR"/>
        </w:rPr>
        <w:t xml:space="preserve">. </w:t>
      </w:r>
      <w:bookmarkStart w:id="51" w:name="pg12880_153213"/>
    </w:p>
    <w:p>
      <w:pPr>
        <w:pStyle w:val="BookText"/>
        <w:rPr/>
      </w:pPr>
      <w:bookmarkEnd w:id="51"/>
      <w:r>
        <w:rPr>
          <w:rFonts w:ascii="IRNazanin" w:hAnsi="IRNazanin" w:eastAsia="IRNazanin"/>
          <w:color w:val="111111"/>
          <w:sz w:val="28"/>
          <w:sz w:val="28"/>
          <w:szCs w:val="28"/>
          <w:rtl w:val="true"/>
          <w:lang w:bidi="fa-IR"/>
        </w:rPr>
        <w:t>و إذا عرفت ما ذکرنا ظهر لک منع ما أطلقه صاحب الإشارات</w:t>
      </w:r>
      <w:r>
        <w:rPr>
          <w:rStyle w:val="FootnoteAnchor"/>
          <w:rtl w:val="true"/>
        </w:rPr>
        <w:footnoteReference w:id="101"/>
      </w:r>
      <w:r>
        <w:rPr>
          <w:rFonts w:ascii="Amiri" w:hAnsi="Amiri" w:eastAsia="Amiri" w:cs="Amiri"/>
          <w:color w:val="111111"/>
          <w:sz w:val="28"/>
          <w:sz w:val="28"/>
          <w:szCs w:val="28"/>
          <w:rtl w:val="true"/>
          <w:lang w:bidi="ar-SA"/>
        </w:rPr>
        <w:t>قدّس سرّه فی التنبیه</w:t>
      </w:r>
    </w:p>
    <w:p>
      <w:pPr>
        <w:pStyle w:val="Heading6"/>
        <w:numPr>
          <w:ilvl w:val="5"/>
          <w:numId w:val="1"/>
        </w:numPr>
        <w:rPr/>
      </w:pPr>
      <w:bookmarkStart w:id="52" w:name="__RefHeading___Toc2986321_3224264995"/>
      <w:bookmarkStart w:id="53" w:name="_Toc19"/>
      <w:bookmarkEnd w:id="52"/>
      <w:r>
        <w:rPr>
          <w:rtl w:val="true"/>
        </w:rPr>
        <w:t>[</w:t>
      </w:r>
      <w:r>
        <w:rPr>
          <w:rtl w:val="true"/>
        </w:rPr>
        <w:t>الثالث من تنبیهات مسألة النهی فی العبادات حیث قال</w:t>
      </w:r>
      <w:r>
        <w:rPr>
          <w:rtl w:val="true"/>
        </w:rPr>
        <w:t xml:space="preserve">: </w:t>
      </w:r>
      <w:r>
        <w:rPr>
          <w:rtl w:val="true"/>
        </w:rPr>
        <w:t>إنّ النهی یقتضی الفساد مع</w:t>
      </w:r>
      <w:r>
        <w:rPr>
          <w:rtl w:val="true"/>
        </w:rPr>
        <w:t>]</w:t>
      </w:r>
      <w:bookmarkEnd w:id="53"/>
    </w:p>
    <w:p>
      <w:pPr>
        <w:pStyle w:val="BookText"/>
        <w:rPr/>
      </w:pPr>
      <w:r>
        <w:rPr>
          <w:rFonts w:ascii="IRNazanin" w:hAnsi="IRNazanin" w:eastAsia="IRNazanin"/>
          <w:color w:val="111111"/>
          <w:sz w:val="28"/>
          <w:sz w:val="28"/>
          <w:szCs w:val="28"/>
          <w:rtl w:val="true"/>
          <w:lang w:bidi="fa-IR"/>
        </w:rPr>
        <w:t>العمد لا مطلقا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 إطلاقه ممنوع، کما یظهر وجهه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المعتبر فی عنوان مسألة اجتماع الأمر و النهی فی شی‌ء ذی جهتین إمکان انفکاک کلّ من الجهتین عن الآخر، أمّا ما یمکن الانفکاک عن أحدهما دون الآخر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 لا تصلّ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 الإشارة إلی جواز الاجتماع فیه عقلا و لغة أنّ فهم العرف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فرض انفکاک الأمر عن النهی، و أمّا فرض العکس و هو انفکاک النهی عن الأمر، کما لو توسّط فی المغصوب قهرا أو سهوا، فلا خلاف و لا کلام فی کونه مأمورا بالخروج من غیر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لا یمکن الانفکاک عن أحد الطرفین کالتوسّط فی أرض مغصوب اختیارا، فمندرج فی مسألة التکلیف بالمحال المستند إلی سوء الاختیار، فقیل بجوازه مطلقا، و هو المختار وفاقا لأبی هاشم و أکثر أفاضل المتأخّرین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استادنا العلّامة و صاحب القوانین</w:t>
      </w:r>
      <w:r>
        <w:rPr>
          <w:rStyle w:val="FootnoteAnchor"/>
          <w:rtl w:val="true"/>
        </w:rPr>
        <w:footnoteReference w:id="102"/>
      </w:r>
      <w:r>
        <w:rPr>
          <w:rFonts w:ascii="IRNazanin" w:hAnsi="IRNazanin" w:eastAsia="IRNazanin"/>
          <w:color w:val="111111"/>
          <w:sz w:val="28"/>
          <w:sz w:val="28"/>
          <w:szCs w:val="28"/>
          <w:rtl w:val="true"/>
          <w:lang w:bidi="fa-IR"/>
        </w:rPr>
        <w:t>قدّس سرّه، و قیل بعدم جوازه مطلقا، و هو مختار ابن الحاجب</w:t>
      </w:r>
      <w:r>
        <w:rPr>
          <w:rStyle w:val="FootnoteAnchor"/>
          <w:rtl w:val="true"/>
        </w:rPr>
        <w:footnoteReference w:id="103"/>
      </w:r>
      <w:r>
        <w:rPr>
          <w:rFonts w:ascii="IRNazanin" w:hAnsi="IRNazanin" w:eastAsia="IRNazanin"/>
          <w:color w:val="111111"/>
          <w:sz w:val="28"/>
          <w:sz w:val="28"/>
          <w:szCs w:val="28"/>
          <w:rtl w:val="true"/>
          <w:lang w:bidi="fa-IR"/>
        </w:rPr>
        <w:t>و صاحب الفصول</w:t>
      </w:r>
      <w:r>
        <w:rPr>
          <w:rStyle w:val="FootnoteAnchor"/>
          <w:rtl w:val="true"/>
        </w:rPr>
        <w:footnoteReference w:id="104"/>
      </w:r>
      <w:r>
        <w:rPr>
          <w:rFonts w:ascii="IRNazanin" w:hAnsi="IRNazanin" w:eastAsia="IRNazanin"/>
          <w:color w:val="111111"/>
          <w:sz w:val="28"/>
          <w:sz w:val="28"/>
          <w:szCs w:val="28"/>
          <w:rtl w:val="true"/>
          <w:lang w:bidi="fa-IR"/>
        </w:rPr>
        <w:t>قدّس سرّه، و فصّل ثالث فأجاز التکلیف العقابیّ دون الخطابیّ، و هو مختار الفخر الرازی</w:t>
      </w:r>
      <w:r>
        <w:rPr>
          <w:rStyle w:val="FootnoteAnchor"/>
          <w:rtl w:val="true"/>
        </w:rPr>
        <w:footnoteReference w:id="105"/>
      </w:r>
      <w:r>
        <w:rPr>
          <w:rFonts w:ascii="IRNazanin" w:hAnsi="IRNazanin" w:eastAsia="IRNazanin"/>
          <w:color w:val="111111"/>
          <w:sz w:val="28"/>
          <w:sz w:val="28"/>
          <w:szCs w:val="28"/>
          <w:rtl w:val="true"/>
          <w:lang w:bidi="fa-IR"/>
        </w:rPr>
        <w:t>و صاحب الضوابط</w:t>
      </w:r>
      <w:r>
        <w:rPr>
          <w:rStyle w:val="FootnoteAnchor"/>
          <w:rtl w:val="true"/>
        </w:rPr>
        <w:footnoteReference w:id="106"/>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المفصّل جواز ترتّب العقاب علی نفس ما یفوّت المضطرّ فی </w:t>
      </w:r>
    </w:p>
    <w:p>
      <w:pPr>
        <w:pStyle w:val="BookText"/>
        <w:rPr/>
      </w:pPr>
      <w:r>
        <w:rPr>
          <w:rFonts w:ascii="IRNazanin" w:hAnsi="IRNazanin" w:eastAsia="IRNazanin"/>
          <w:color w:val="111111"/>
          <w:sz w:val="28"/>
          <w:sz w:val="28"/>
          <w:szCs w:val="28"/>
          <w:rtl w:val="true"/>
          <w:lang w:bidi="fa-IR"/>
        </w:rPr>
        <w:t>حال الاضطرار الناشئ عن سلب الاختیار فهو مذهب المجوّز، فإنّ مراد المجوّز المطلق هو جواز التکلیف الخطابی علی وجه التنبیه علی استحقاق العقاب مجازا، لا جواز حصول المکلّف به فی الخارج حقیقة، إذ لا یعقل صدور ذلک عن عاقل، فضلا عن عالم، مضافا إلی تنصیص بعض المجوّزین کصاحب القوانین</w:t>
      </w:r>
      <w:r>
        <w:rPr>
          <w:rStyle w:val="FootnoteAnchor"/>
          <w:rtl w:val="true"/>
        </w:rPr>
        <w:footnoteReference w:id="107"/>
      </w:r>
      <w:r>
        <w:rPr>
          <w:rFonts w:ascii="IRNazanin" w:hAnsi="IRNazanin" w:eastAsia="IRNazanin"/>
          <w:color w:val="111111"/>
          <w:sz w:val="28"/>
          <w:sz w:val="28"/>
          <w:szCs w:val="28"/>
          <w:rtl w:val="true"/>
          <w:lang w:bidi="fa-IR"/>
        </w:rPr>
        <w:t>بنفیه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جواز ترتّب الأثر و العقاب الذی کان یستحقّه ترک التکلیف لو فرض فی حال الاختیار علی ما یستند إلیه الترک و عدم تحقّق وجوب الفعل من سلب القدرة و سوء الاختیار بناء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حرام نفسی و إن کان فائدته التهیّؤ و الاستعداد لواجب آخر مشروط بشرط غیر حاصل، فهو مذهب المانع المطلق کصاحب الفصول</w:t>
      </w:r>
      <w:r>
        <w:rPr>
          <w:rStyle w:val="FootnoteAnchor"/>
          <w:rtl w:val="true"/>
        </w:rPr>
        <w:footnoteReference w:id="108"/>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التفصیل خال عن التحصیل، لرجوعه إلی أحد المطلقین و لهذا ذهب کلّ من صاحبی القوانین</w:t>
      </w:r>
      <w:r>
        <w:rPr>
          <w:rStyle w:val="FootnoteAnchor"/>
          <w:rtl w:val="true"/>
        </w:rPr>
        <w:footnoteReference w:id="109"/>
      </w:r>
      <w:r>
        <w:rPr>
          <w:rFonts w:ascii="IRNazanin" w:hAnsi="IRNazanin" w:eastAsia="IRNazanin"/>
          <w:color w:val="111111"/>
          <w:sz w:val="28"/>
          <w:sz w:val="28"/>
          <w:szCs w:val="28"/>
          <w:rtl w:val="true"/>
          <w:lang w:bidi="fa-IR"/>
        </w:rPr>
        <w:t>و الفصول</w:t>
      </w:r>
      <w:r>
        <w:rPr>
          <w:rStyle w:val="FootnoteAnchor"/>
          <w:rtl w:val="true"/>
        </w:rPr>
        <w:footnoteReference w:id="110"/>
      </w:r>
      <w:r>
        <w:rPr>
          <w:rFonts w:ascii="IRNazanin" w:hAnsi="IRNazanin" w:eastAsia="IRNazanin"/>
          <w:color w:val="111111"/>
          <w:sz w:val="28"/>
          <w:sz w:val="28"/>
          <w:szCs w:val="28"/>
          <w:rtl w:val="true"/>
          <w:lang w:bidi="fa-IR"/>
        </w:rPr>
        <w:t>إلی أنّ قول الفخر راجع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فاستحقاق عقاب ما یفوت فی حال الاضطرار عند المجوّز إن کان فی زمان سلب القدرة و الاختیار و إن لم یصل زمان ما یفوت فی حال الاضطرار کما هو مذهب صاحب الضوابط</w:t>
      </w:r>
      <w:r>
        <w:rPr>
          <w:rStyle w:val="FootnoteAnchor"/>
          <w:rtl w:val="true"/>
        </w:rPr>
        <w:footnoteReference w:id="111"/>
      </w:r>
      <w:r>
        <w:rPr>
          <w:rFonts w:ascii="IRNazanin" w:hAnsi="IRNazanin" w:eastAsia="IRNazanin"/>
          <w:color w:val="111111"/>
          <w:sz w:val="28"/>
          <w:sz w:val="28"/>
          <w:szCs w:val="28"/>
          <w:rtl w:val="true"/>
          <w:lang w:bidi="fa-IR"/>
        </w:rPr>
        <w:t>قدّس سرّه فلا یظهر ثمرة عملیة بینه و بین المانع</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فی زمان الاضطرار دون زمان سلب القدرة و الاختیار کما مرّ الدلیل علی أنّه المختار، نظرا إلی اعتبار</w:t>
      </w:r>
      <w:r>
        <w:rPr>
          <w:rStyle w:val="FootnoteAnchor"/>
          <w:rtl w:val="true"/>
        </w:rPr>
        <w:footnoteReference w:id="112"/>
      </w:r>
      <w:r>
        <w:rPr>
          <w:rFonts w:ascii="IRNazanin" w:hAnsi="IRNazanin" w:eastAsia="IRNazanin"/>
          <w:color w:val="111111"/>
          <w:sz w:val="28"/>
          <w:sz w:val="28"/>
          <w:szCs w:val="28"/>
          <w:rtl w:val="true"/>
          <w:lang w:bidi="fa-IR"/>
        </w:rPr>
        <w:t xml:space="preserve">دون اعتبار فتظهر الثمرة بینه و بین المانع فی </w:t>
      </w:r>
    </w:p>
    <w:p>
      <w:pPr>
        <w:pStyle w:val="BookText"/>
        <w:rPr/>
      </w:pPr>
      <w:r>
        <w:rPr>
          <w:rFonts w:ascii="Amiri" w:hAnsi="Amiri" w:eastAsia="Amiri" w:cs="Amiri"/>
          <w:color w:val="111111"/>
          <w:sz w:val="28"/>
          <w:sz w:val="28"/>
          <w:szCs w:val="28"/>
          <w:rtl w:val="true"/>
          <w:lang w:bidi="ar-SA"/>
        </w:rPr>
        <w:t>الفسق و 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علی الجواز وجود المقتضی و عدم المانع، أمّا وجود المقتضی فلأنّه مقتضی الأصل العقلی و هو أصالة الإمکان فی المشکوک إمکانه علی ما مرّ من الإشکال فی مأخذه، و کذا مقتضی الأصل اللفظی و هو أصالة عدم التقیید و التخصیص فی أحد الخطابین اللازم علی المانع و إن کان مقتضی الأصل العملی مع المانع فی طرحه أحد التکلیفین، إلّا أنّ من المعلوم تقدیم الأصل اللفظی علی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المانع فلأنّ المانع إمّا فهم العرف، و من المعلوم أوّلا عدمه بالتقریب الآتی ذکره عن صاحب القوانین، و ثانیا عدم کونه محلا لهذا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 أعنی القبح العقلی کما استند به المانع فمن الظاهر منعه، و ذلک لما عرفت من أنّ المراد من إمکان التکلیف فی محلّ النزاع لیس إمکان حصول المکلّف به فی الخارج حقیقة حتی یکون قبیحا، بل المراد إمکان حصول التکلیف الابتلائی المنبّه علی استحقاق العقاب مجازا، و لیس فی ذلک قبح بالعیان، فما هو قبیح غیر محلّ النزاع، و ما هو محلّ النزاع غیر قبیح، و مقایسة المانعین الاضطرار بسلب الاختیار کتوسّط أرض مغصوب عمدا علی الاضطرار بلا اختیار کالتوسط فیه سهوا فی قبح التکلیف و العقاب لیس بأشبه من مقایسته علی الاضطرار مع بقاء الاختیار کاضطرار الفروع من الکفار فی عدم قبح التکلیف و العقاب</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لا قبح فی إناطة التکلیف و العقاب بما هو خارج عن الاختیار المستند خروجه إلی سوء الاختیار، بدلیل استناد الأفعال التولیدیة إذا حصل القدرة علی المباشرة إلی العلّة الاولی حقیقة، و شهادة العقل و الأخبار الواردة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سنّ سنّة سیّئة کان له مثل وزر من عمل بها</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 اتّفاق الفقهاء سلفا عن خلف علی عدم معذوریّة الجاهل المقصّر فی حکم غیر الجهر و الإخفات و القصر و الإتمام إلّا بعض من هو معلوم النسب کالمقدّس الأردبیلی</w:t>
      </w:r>
      <w:r>
        <w:rPr>
          <w:rStyle w:val="FootnoteAnchor"/>
          <w:rtl w:val="true"/>
        </w:rPr>
        <w:footnoteReference w:id="114"/>
      </w:r>
      <w:r>
        <w:rPr>
          <w:rFonts w:ascii="IRNazanin" w:hAnsi="IRNazanin" w:eastAsia="IRNazanin"/>
          <w:color w:val="111111"/>
          <w:sz w:val="28"/>
          <w:sz w:val="28"/>
          <w:szCs w:val="28"/>
          <w:rtl w:val="true"/>
          <w:lang w:bidi="fa-IR"/>
        </w:rPr>
        <w:t>و صاحب المدارک</w:t>
      </w:r>
      <w:r>
        <w:rPr>
          <w:rStyle w:val="FootnoteAnchor"/>
          <w:rtl w:val="true"/>
        </w:rPr>
        <w:footnoteReference w:id="115"/>
      </w:r>
      <w:r>
        <w:rPr>
          <w:rFonts w:ascii="IRNazanin" w:hAnsi="IRNazanin" w:eastAsia="IRNazanin"/>
          <w:color w:val="111111"/>
          <w:sz w:val="28"/>
          <w:sz w:val="28"/>
          <w:szCs w:val="28"/>
          <w:rtl w:val="true"/>
          <w:lang w:bidi="fa-IR"/>
        </w:rPr>
        <w:t>، سیّما بناء علی المختار من أنّ التکلیف عبارة عن العلم بالأصلح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الاستشهاد بالخبر ظهور المثلیة فی تعقّب وزر المسن سنّة سیّئة عن عمل العامل بها، و یدلّ علیه صریحا ما دلّ علی تعذیب المصوّر یوم القیامة حتی ینفخ فی الصورة، و ما دلّ علی عدم قبول توبة المرتدّ الفطری مع أنّه مأمور بالتوبة و سائر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الاستشهاد بالاتّفاق أنّ حال الجاهل بعد تقصیره فی تحصل العلم و سلب القدرة و الاختیار عن تحصیله هو حال سائر المضطرین المستند اضطرارهم إلی سلب الاختیار بسوء الاختیار، فکما أنّ تکلیف الجاهل المقصّر و عقابه حال اضطراره جائز، بل واقع بالاتّفاق، کذلک ینبغی أن یجوز تکلیف غیره من سائر المضطرین المستند اضطرارهم إلی سلب الاختیار بسوء الاختیار، لأنّ المسألة عقلیة و العقلیة لا تقبل التخصیص بمورد دون مورد فتأمل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الاستشهاد علی المدّعی بالاتّفاق المذکور أولی من استشهاد صاحب القوانین</w:t>
      </w:r>
      <w:r>
        <w:rPr>
          <w:rStyle w:val="FootnoteAnchor"/>
          <w:rtl w:val="true"/>
        </w:rPr>
        <w:footnoteReference w:id="116"/>
      </w:r>
      <w:r>
        <w:rPr>
          <w:rFonts w:ascii="IRNazanin" w:hAnsi="IRNazanin" w:eastAsia="IRNazanin"/>
          <w:color w:val="111111"/>
          <w:sz w:val="28"/>
          <w:sz w:val="28"/>
          <w:szCs w:val="28"/>
          <w:rtl w:val="true"/>
          <w:lang w:bidi="fa-IR"/>
        </w:rPr>
        <w:t xml:space="preserve">علیه بالاتّفاق علی کون المستطیع مکلّفا بالحج إذا أخّره و إن فاتت استطاعته، لإمکان الاعتراض علی هذا الاتّفاق بأنّه إن ارید فوات الاستطاعة الشرعیة دون العقلیة و العادیة، فالاتّفاق علی کونه مکلّفا حینئذ مسلّم، لکن کون ما </w:t>
      </w:r>
    </w:p>
    <w:p>
      <w:pPr>
        <w:pStyle w:val="BookText"/>
        <w:rPr/>
      </w:pPr>
      <w:r>
        <w:rPr>
          <w:rFonts w:ascii="IRNazanin" w:hAnsi="IRNazanin" w:eastAsia="IRNazanin"/>
          <w:color w:val="111111"/>
          <w:sz w:val="28"/>
          <w:sz w:val="28"/>
          <w:szCs w:val="28"/>
          <w:rtl w:val="true"/>
          <w:lang w:bidi="fa-IR"/>
        </w:rPr>
        <w:t>نحن فیه من هذا القبیل ممنوع، و إن ارید فوات الاستطاعة العقلیّة و العادیة کالقدرة و التمکّن فکون ما نحن فیه من هذا القبیل مسلّم، لکنّ الاتّفاق المذکور حینئذ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الجواب عن هذا الاعتراض بأن فوات الاستطاعة الشرعیة کفوات الاستطاعة العقلیة من غیر فرق، إلّا أنه جواب إقناعیّ لا یلزم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إذا عرفت ما ذکر ظهر لک الحال فی من توسّط عمدا فی أرض مغصوب، فإنّه علی ما اخترناه من إمکان التکلیف بالمحال المستند إلی سوء الاختیار لا ریب فی إمکان کونه مأمورا بالخروج و منهیّا عنه معا، فیحصل العصیان بالفعل و الترک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وقوعه فمبنیّ علی القول بوجوب المقدّمة و اقتضاء الأمر بالشی‌ء النهی عن ضدّه، و أمّا إطلاق بعض المانعین وجوب المقدّمة و الاقتضاء کصاحب القوانین، بأنّه مأمور بالخروج و منهیّ عنه معا</w:t>
      </w:r>
      <w:r>
        <w:rPr>
          <w:rStyle w:val="FootnoteAnchor"/>
          <w:rtl w:val="true"/>
        </w:rPr>
        <w:footnoteReference w:id="117"/>
      </w:r>
      <w:r>
        <w:rPr>
          <w:rFonts w:ascii="IRNazanin" w:hAnsi="IRNazanin" w:eastAsia="IRNazanin"/>
          <w:color w:val="111111"/>
          <w:sz w:val="28"/>
          <w:sz w:val="28"/>
          <w:szCs w:val="28"/>
          <w:rtl w:val="true"/>
          <w:lang w:bidi="fa-IR"/>
        </w:rPr>
        <w:t>فلا بدّ من حمله علی مجرّد الإمکان و إن کان خلاف ظاهر کلامه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غیر ما اخترناه من استحالة التکلیف بالمحال مطلقا فمن لم یقل بوجوب المقدّمة تعیّن عنده أنه منهیّ عنه فقط، و من قال بوجوبها تعیّن عنده ترجیح واحد من الأمر و النهی و طرح الآخر علی حسب ما هو الحال فی تعارض العامّین من وجه إذا اجتمعا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الخروج أخصّ من الغصب، و توارد الأمر و النهی علی العامّ و الخاص یفید عرفا تخصیص أحدهما بالآخر أعنی تخصیص النهی بالأمر و إن قلنا بعدم استفادة ذلک من العامّین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أجاب عنه صاحب القوانین</w:t>
      </w:r>
      <w:r>
        <w:rPr>
          <w:rStyle w:val="FootnoteAnchor"/>
          <w:rtl w:val="true"/>
        </w:rPr>
        <w:footnoteReference w:id="118"/>
      </w:r>
      <w:r>
        <w:rPr>
          <w:rFonts w:ascii="IRNazanin" w:hAnsi="IRNazanin" w:eastAsia="IRNazanin"/>
          <w:color w:val="111111"/>
          <w:sz w:val="28"/>
          <w:sz w:val="28"/>
          <w:szCs w:val="28"/>
          <w:rtl w:val="true"/>
          <w:lang w:bidi="fa-IR"/>
        </w:rPr>
        <w:t xml:space="preserve">بأنّا لا نسلّم أنّ الخروج مورد الأمر من حیث إنّه خروج، بل من حیث إنّه تخلّص من </w:t>
      </w:r>
    </w:p>
    <w:p>
      <w:pPr>
        <w:pStyle w:val="BookText"/>
        <w:rPr/>
      </w:pPr>
      <w:r>
        <w:rPr>
          <w:rFonts w:ascii="IRNazanin" w:hAnsi="IRNazanin" w:eastAsia="IRNazanin"/>
          <w:color w:val="111111"/>
          <w:sz w:val="28"/>
          <w:sz w:val="28"/>
          <w:szCs w:val="28"/>
          <w:rtl w:val="true"/>
          <w:lang w:bidi="fa-IR"/>
        </w:rPr>
        <w:t>الغصب، و هو أعمّ منه من وجه و إن انحصر فی الخروج عادة، فإنّ الظاهر أنّ العام الذی أفراده الموجودة فی الخارج منحصرة فی الفرد بحسب العادة، بل فی نفس الأمر أیضا لا یخرج عن کونه عامّا فی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أورد علی ظاهر جوابه صاحب الإشارات</w:t>
      </w:r>
      <w:r>
        <w:rPr>
          <w:rStyle w:val="FootnoteAnchor"/>
          <w:rtl w:val="true"/>
        </w:rPr>
        <w:footnoteReference w:id="119"/>
      </w:r>
      <w:r>
        <w:rPr>
          <w:rFonts w:ascii="IRNazanin" w:hAnsi="IRNazanin" w:eastAsia="IRNazanin"/>
          <w:color w:val="111111"/>
          <w:sz w:val="28"/>
          <w:sz w:val="28"/>
          <w:szCs w:val="28"/>
          <w:rtl w:val="true"/>
          <w:lang w:bidi="fa-IR"/>
        </w:rPr>
        <w:t>قدّس سرّه من تصریح القوم بخلاف ما ذکر، و أنّ العادة مخصّصة و لا وجه لمعاملة العموم مع الخاص الواقعیّ أو العادی فی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 بأنّ المراد من معاملة العموم مع الخاص العادی، بل الواقعی فی باب التعارض لیس فی مطلق التعارض حتی یتوجّه علیه المنع، بل إنّما هو فی خصوص التعارض الناشئ عن سوء الاختیار کما فیما نحن فیه، فإنّ انحصار التخلّص عن الغصب فی الخروج عنه عادة إنّما حدث بعد الدخول فیه اختیارا، و إلّا فالتخلّص عن الغصب قبل الدخول فیه لا ینحصر فی الخروج عنه، بل یحصل بعدم الدخول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الأمر و النهی بالخروج عن الغصب محال ذاتی، لاستلزامه اجتماع الضدّین، لا محال عرضی و تکلیف بالمحال حتی یجوّز بسوء الاختیار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ممّا تقدّم أنّ ما تعلّق بنفس الخروج من الأمر و النهی فلیس بتکلیف حقیقی حتی یکون محال فی نفسه، بل إنّما هو تکلیف ابتلائی لأجل التنبیه علی استحقاق العقاب حسبما مرّ، و أنّ ما هو تکلیف حقیقی من الأمر و النهی فلیس متعلّقا بنفس الخروج، بل إنّما هو متعلّق بالکلیّین المتباینین فی الجملة أعنی بالغصب و التخلص عنه، فما هو محال من اجتماع الأمر و النهی فی الخروج عن الغصب غیر لازم، و ما هو لازم فیه غیر محال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 المتعیّن علی القول بوجوب المقدّمة و عدم جواز التکلیف بالمحال المستند إلی سوء الاختیار هو ترجیح واحد من الأمر و النهی و طرح الآخر علی حسب ما یقتضیه الحال فی باب تعارض العامّین من وجه، و لکن لیعلم أنّ تمیز الراجح عن المرجوح من الأمر و النهی أمر یختلف بحسب اختلاف المقامات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الفصول</w:t>
      </w:r>
      <w:r>
        <w:rPr>
          <w:rStyle w:val="FootnoteAnchor"/>
          <w:rtl w:val="true"/>
        </w:rPr>
        <w:footnoteReference w:id="120"/>
      </w:r>
      <w:r>
        <w:rPr>
          <w:rFonts w:ascii="IRNazanin" w:hAnsi="IRNazanin" w:eastAsia="IRNazanin"/>
          <w:color w:val="111111"/>
          <w:sz w:val="28"/>
          <w:sz w:val="28"/>
          <w:szCs w:val="28"/>
          <w:rtl w:val="true"/>
          <w:lang w:bidi="fa-IR"/>
        </w:rPr>
        <w:t>من ترجیح الأمر و طرح النهی فناظر إلی أنّ الأمر بالتخلّص عن الغصب موجود فی المقام علی القول بوجوب المقدّمة و أنّ النهی عنه سابق علیه، فاختلف زمانی الأمر و النهی، و یخطّئ ذلک النظر إجمالا بما مرّ فی صدر المبحث من استلزامه النسخ قبل حضور وقت العمل و نهی الناهی مع العلم بانتفاء شرطه و تفصیلا بما یخطّئ به شبهة الحماری</w:t>
      </w:r>
      <w:r>
        <w:rPr>
          <w:rStyle w:val="FootnoteAnchor"/>
          <w:rtl w:val="true"/>
        </w:rPr>
        <w:footnoteReference w:id="121"/>
      </w:r>
      <w:r>
        <w:rPr>
          <w:rFonts w:ascii="IRNazanin" w:hAnsi="IRNazanin" w:eastAsia="IRNazanin"/>
          <w:color w:val="111111"/>
          <w:sz w:val="28"/>
          <w:sz w:val="28"/>
          <w:szCs w:val="28"/>
          <w:rtl w:val="true"/>
          <w:lang w:bidi="fa-IR"/>
        </w:rPr>
        <w:t>و هو فرض شی‌ء مستلزم وجودا و عدما للمحال، حیث إنّ کلّ من وقوع هذا الفرض و عدمه و اللاالوقوع و اللا العدم موقع فی شبهة استلزام محال، فکما تندفع هذه المغالطة بعدم وقوع هذا الفرض علی معنی عدم وقوع ذات المفروض و ماهیته، لا علی معنی عدم وقوع وجوده و صفته، کذلک تندفع المغالطة فیما نحن فیه بأنّ النهی السابق عن التخلّص المأمور به لاحقا إنّما هو نهی عن نفس الغصب الموجب للتخلص، لا عن نفس التخلّص حتی یقیّد بزمان لحوق الأمر به، کما أنّ نهی العبد عن التوبة قبل العصیان نهی عن العصیان الموجب للتوبة، لا عن نفس التوبة حتی یقیّد بزمان لحوق الأمر به، و لیکن علی خاطرک سبیل اندفاع هذه الشبهة، فإنّها شبهة سیّالة فی مسائل الفقه و الاصول</w:t>
      </w:r>
      <w:r>
        <w:rPr>
          <w:rFonts w:eastAsia="IRNazanin" w:cs="IRNazanin"/>
          <w:color w:val="111111"/>
          <w:sz w:val="28"/>
          <w:szCs w:val="28"/>
          <w:rtl w:val="true"/>
          <w:lang w:bidi="fa-IR"/>
        </w:rPr>
        <w:t xml:space="preserve">. </w:t>
      </w:r>
      <w:bookmarkStart w:id="54" w:name="pg12880_153220"/>
    </w:p>
    <w:p>
      <w:pPr>
        <w:pStyle w:val="Heading4"/>
        <w:numPr>
          <w:ilvl w:val="3"/>
          <w:numId w:val="1"/>
        </w:numPr>
        <w:rPr/>
      </w:pPr>
      <w:bookmarkStart w:id="55" w:name="__RefHeading___Toc2986323_3224264995"/>
      <w:bookmarkStart w:id="56" w:name="_Toc20"/>
      <w:bookmarkEnd w:id="54"/>
      <w:bookmarkEnd w:id="55"/>
      <w:r>
        <w:rPr>
          <w:rtl w:val="true"/>
        </w:rPr>
        <w:t>[</w:t>
      </w:r>
      <w:r>
        <w:rPr>
          <w:rtl w:val="true"/>
        </w:rPr>
        <w:t>الفصل الثانی</w:t>
      </w:r>
      <w:r>
        <w:rPr>
          <w:rtl w:val="true"/>
        </w:rPr>
        <w:t>: [</w:t>
      </w:r>
      <w:r>
        <w:rPr>
          <w:rtl w:val="true"/>
        </w:rPr>
        <w:t>دلالة النهی علی فساد المنهیّ عنه</w:t>
      </w:r>
      <w:r>
        <w:rPr>
          <w:rtl w:val="true"/>
        </w:rPr>
        <w:t>]]</w:t>
      </w:r>
      <w:bookmarkEnd w:id="56"/>
    </w:p>
    <w:p>
      <w:pPr>
        <w:pStyle w:val="Heading5"/>
        <w:numPr>
          <w:ilvl w:val="4"/>
          <w:numId w:val="1"/>
        </w:numPr>
        <w:rPr/>
      </w:pPr>
      <w:bookmarkStart w:id="57" w:name="__RefHeading___Toc2986325_3224264995"/>
      <w:bookmarkStart w:id="58" w:name="_Toc21"/>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اختلفوا فی دلالة النهی علی فساد المنهیّ عنه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دلالته علیه فی العبادات دون المعاملات، و هو المنقول عن بعض العامّة و أکثر أصحابنا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Style w:val="FootnoteAnchor"/>
          <w:rtl w:val="true"/>
        </w:rPr>
        <w:footnoteReference w:id="122"/>
      </w:r>
      <w:r>
        <w:rPr>
          <w:rFonts w:ascii="Amiri" w:hAnsi="Amiri" w:eastAsia="Amiri" w:cs="Amiri"/>
          <w:color w:val="111111"/>
          <w:sz w:val="28"/>
          <w:sz w:val="28"/>
          <w:szCs w:val="28"/>
          <w:rtl w:val="true"/>
          <w:lang w:bidi="ar-SA"/>
        </w:rPr>
        <w:t>و العلّامة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دلالته علیه فیهما شرعا لا لغة، و هو المنقول عن السیّد</w:t>
      </w:r>
      <w:r>
        <w:rPr>
          <w:rStyle w:val="FootnoteAnchor"/>
          <w:rtl w:val="true"/>
        </w:rPr>
        <w:footnoteReference w:id="124"/>
      </w:r>
      <w:r>
        <w:rPr>
          <w:rFonts w:ascii="IRNazanin" w:hAnsi="IRNazanin" w:eastAsia="IRNazanin"/>
          <w:color w:val="111111"/>
          <w:sz w:val="28"/>
          <w:sz w:val="28"/>
          <w:szCs w:val="28"/>
          <w:rtl w:val="true"/>
          <w:lang w:bidi="fa-IR"/>
        </w:rPr>
        <w:t>و ابن الحاجب</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دلالته علیه فی العبادات شرعا لا لغة، و هو المنقول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یدلّ علی الصحّة مطلقا، و هو مذهب أبی حنیفة و صاحباه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المسألة یستدعی تقدیم مقدّمات</w:t>
      </w:r>
      <w:r>
        <w:rPr>
          <w:rFonts w:eastAsia="IRNazanin" w:cs="IRNazanin"/>
          <w:color w:val="111111"/>
          <w:sz w:val="28"/>
          <w:szCs w:val="28"/>
          <w:rtl w:val="true"/>
          <w:lang w:bidi="fa-IR"/>
        </w:rPr>
        <w:t>:</w:t>
      </w:r>
    </w:p>
    <w:p>
      <w:pPr>
        <w:pStyle w:val="Heading5"/>
        <w:numPr>
          <w:ilvl w:val="4"/>
          <w:numId w:val="1"/>
        </w:numPr>
        <w:rPr/>
      </w:pPr>
      <w:bookmarkStart w:id="59" w:name="__RefHeading___Toc2986327_3224264995"/>
      <w:bookmarkStart w:id="60" w:name="_Toc22"/>
      <w:bookmarkEnd w:id="59"/>
      <w:r>
        <w:rPr>
          <w:rtl w:val="true"/>
        </w:rPr>
        <w:t>[ [</w:t>
      </w:r>
      <w:r>
        <w:rPr>
          <w:rtl w:val="true"/>
        </w:rPr>
        <w:t>المقدّمة</w:t>
      </w:r>
      <w:r>
        <w:rPr>
          <w:rtl w:val="true"/>
        </w:rPr>
        <w:t xml:space="preserve">] </w:t>
      </w:r>
      <w:r>
        <w:rPr>
          <w:rtl w:val="true"/>
        </w:rPr>
        <w:t>الأولی</w:t>
      </w:r>
      <w:r>
        <w:rPr>
          <w:rtl w:val="true"/>
        </w:rPr>
        <w:t xml:space="preserve">: </w:t>
      </w:r>
      <w:r>
        <w:rPr>
          <w:rtl w:val="true"/>
        </w:rPr>
        <w:t>فی تشخیص معانی مفردات العنوان،</w:t>
      </w:r>
      <w:r>
        <w:rPr>
          <w:rtl w:val="true"/>
        </w:rPr>
        <w:t>]</w:t>
      </w:r>
      <w:bookmarkEnd w:id="6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المراد من الدلالة فهو الدلالة بحسب عرف العام أو عرف الشارع، لا بحسب العقل، و لا اللغة کما توهّم، و ذلک أمّا بناء علی جواز اجتماع الأمر و النهی فواضح، و أمّا بناء علی استحالته عقلا فلأنّ الاستحالة العقلیة قرینة خارجیّة علی تخصیص جهة الصحّة بغیر مورد النهی، فیفسد مورد النهی بواسطة دلالة العامّ علی الخاص عرفا و إن کان بمعونة العقل، إلّا أنّ العقل قرینة علی اقتضاء الفساد لا حاکم بالفساد، و إلّا لکان </w:t>
      </w:r>
    </w:p>
    <w:p>
      <w:pPr>
        <w:pStyle w:val="BookText"/>
        <w:rPr/>
      </w:pPr>
      <w:r>
        <w:rPr>
          <w:rFonts w:ascii="IRNazanin" w:hAnsi="IRNazanin" w:eastAsia="IRNazanin"/>
          <w:color w:val="111111"/>
          <w:sz w:val="28"/>
          <w:sz w:val="28"/>
          <w:szCs w:val="28"/>
          <w:rtl w:val="true"/>
          <w:lang w:bidi="fa-IR"/>
        </w:rPr>
        <w:t>جمیع الدلالات اللفظیة المنضمّ إلیها القرائن العقلیّة عقلیّة، و هو خارج عن اصطلاح أهل المعقول و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إشکال التفکیک بین العرف و العقل فقد عرفت من مقدّمات المسألة السابقة اندفاعه بأنّ اختلافهما صغروی لا کبروی، و قد عرفت منها أیضا أنّ مدار افتراق هذه المسألة عن مسألة اجتماع الأمر و النهی علی العموم المطلق بین المأمور به و المنهیّ عنه، أو بین المأمور و المنهیّ، کما أنّ مدار افتراق مسألة الاجتماع عن هذه المسألة علی العموم من وجه بین المأمور به و المنهیّ عنه، و أنّ المراد من العموم فی المسألتین هو العموم المنطقی، و فی مسألة التعادل و التراجیح هو العموم الاصولی بالتقاریر المتقدّمة تحقیقها بما لا مزید علیه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من النهی فمضافا إلی ظهور انصرافه إلی النهی التحریمی الأصلی و خروج النهی التنزیهی و النهی التبعی عن اسمه قد خرجا عن حکمه أیضا، أمّا خروج النهی التنزیهی فلما عرفت من أنّه علاوة علی عدم استلزامه الفساد اتّفاقا یستلزم الصحّة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خروج النهی التبعی فلما عرفت من أنّ النزاع فی المسألة عرفی لا عقلی، و من المعلوم أنّ النهی التبعی علی تقدیر اقتضائه الفساد فهو بحسب العقل أو المرجّحات الخارجیة، لا بحسب فهم العرف التخصیص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النهی اللبّی و النهی المادی کلفظ التحریم و إن خرجا عن اسم النهی الظاهر فی الصیغة، لکنّهما لم یخرجا عن حکمه کما توهّم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الفساد فهو ضدّ الصحّة، و الصحّة هی استتباع الغایة و الأثر و غایة المعاملات هو ترتب الأثر الشرعی المقصود، و تقیید الأثر بالشرعی مخرج للآثار العقلیة کالزوجیة للأربعة، و بالمقصود مخرج لغیره کترتّب الحدّ علی الزنا و الضمان علی الید و نحو ذلک، و غایة العبادة عند المتکلّمین هو موافقة الأمر، و قد </w:t>
      </w:r>
    </w:p>
    <w:p>
      <w:pPr>
        <w:pStyle w:val="BookText"/>
        <w:rPr/>
      </w:pPr>
      <w:r>
        <w:rPr>
          <w:rFonts w:ascii="IRNazanin" w:hAnsi="IRNazanin" w:eastAsia="IRNazanin"/>
          <w:color w:val="111111"/>
          <w:sz w:val="28"/>
          <w:sz w:val="28"/>
          <w:szCs w:val="28"/>
          <w:rtl w:val="true"/>
          <w:lang w:bidi="fa-IR"/>
        </w:rPr>
        <w:t>فسّرها بعضهم بما یوافق الشریعة حذرا عن لزوم أحد المحذورین من خروج العبادات المندوبة أو ارتکاب عموم المجاز فی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اعتراض الإشارات</w:t>
      </w:r>
      <w:r>
        <w:rPr>
          <w:rStyle w:val="FootnoteAnchor"/>
          <w:rtl w:val="true"/>
        </w:rPr>
        <w:footnoteReference w:id="126"/>
      </w:r>
      <w:r>
        <w:rPr>
          <w:rFonts w:ascii="IRNazanin" w:hAnsi="IRNazanin" w:eastAsia="IRNazanin"/>
          <w:color w:val="111111"/>
          <w:sz w:val="28"/>
          <w:sz w:val="28"/>
          <w:szCs w:val="28"/>
          <w:rtl w:val="true"/>
          <w:lang w:bidi="fa-IR"/>
        </w:rPr>
        <w:t>علی التفسیر المذکور بأنّه موقع فی محذور آخر، فإنّ موافقة الشریعة یعمّ المباح، مدفوع بأنّ المراد من الموصول فی الحد هو خصوص العبادة لا غیر، أ لا تری أنّک لو سألت عن أنّ أیّ المسجدین أحبّ الیک؟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الاجتماع فیه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یحسن للمخاطب أن ینسب إلیک محبوبیّة کلّ مکان یکون الاجتماع فیه أکثر بیتا کان أو خانا أو سوقا، و کذا لو أجبت عن سؤال المرجّح لأحد الرمّانین،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الفقهاء هو سقوط القضاء، و فسّرها بعضهم بما أسقط التکرار، حذرا عن ایهامه خلاف المقصود، و بما من شأنه الإسقاط حذرا عن انتقاض عکس الصحیح بصحیح العید و طرد الفاسد بفاسد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النسبة، أمّا النسبة بین معنی الصحّة فی العبادة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مطلق، لصدق الصحّة بالمعنی الأوّل علی الصلاة بظنّ الطهارة إذا انکشف الخلاف، دون الصحّة بالمعنی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أعمیة قول المتکلّم من قول الفقهاء إنّما یتم إذا ارید باعتبار الموافقة بالنسبة إلی الظاهر و الإسقاط بالنسبة إلی الواقع، و هو تفکیک بلا دلیل، و إلّا فإن اعتبرا بالعکس فالنسبة بالعکس، و إن اعتبرا معا بالنسبة إلی الظاهر أو اعتبرا معا بالنسبة إلی الواقع کما هو قضیة وضع الألفاظ للمعانی الواقعیة فالنسبة التساوی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النسبة بین الصحّة فی المعاملات و الصحّة فی العبادات فربّما قیل أیضا </w:t>
      </w:r>
    </w:p>
    <w:p>
      <w:pPr>
        <w:pStyle w:val="BookText"/>
        <w:rPr/>
      </w:pPr>
      <w:r>
        <w:rPr>
          <w:rFonts w:ascii="IRNazanin" w:hAnsi="IRNazanin" w:eastAsia="IRNazanin"/>
          <w:color w:val="111111"/>
          <w:sz w:val="28"/>
          <w:sz w:val="28"/>
          <w:szCs w:val="28"/>
          <w:rtl w:val="true"/>
          <w:lang w:bidi="fa-IR"/>
        </w:rPr>
        <w:t>عموم بتقریب أنّ أثر کلّ شی‌ء بحسبه، فکلّ ما صدق علیه الأمر أو سقوط القضاء صدق علیه ترتّب أثر و لا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عرفت من أنّ المراد من الصحّة فی المعاملات لیس مطلق الأثر و إن کان أثر کلّ شی‌ء بحسبه، بل المراد الأثر الشرعی المقصود، و من البیّن أنّ موافقة الأمر أو سقوط القضاء و إن کان أثرا مقصودا إلّا أنّه عقلی لا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النسبة بین الصحّة فی المعاملات و الصحّة فی العبادات التباین، کما أنّ الحقّ أنّ النسبة بین معنی الصحّة فی العبادات التساوی، فیکون اختلاف المتکلّمین مع الفقهاء فی تعریف الصحّة ناشئ عن اختلاف محلّ الأنظار، لا عن اختلاف الأوضاع، فإنّ الأنسب بمقاصد الکلام البحث عن الفعل من حیث حصول الامتثال به و لو فی الجملة و عدمه، و الأنسب بمقاصد الفقه البحث عنه من حیث تعلّق الخطاب بقضائه و عدمه، و إلّا فالنزاع لفظی، لأصالة عدم تعدّد الوضع و أغلبیة اشتراک المعنوی من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تشخیص ما لعلّه یثمر فی التعلیقات من صدق الصحّة علی الصلاة بظنّ الطهارة و عدمه،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انکشاف الخلاف فلا تصدق الصحّة الظاهریة و لا الواقعیة علیه إلّا علی القول بالتصویب و الموضوعیة بالنسبة إلی الواقع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 انکشاف الخلاف فتصدق الصحّة الظاهریة علیه و لا تصدق الصحّة الظاهریة و لا الواقعیة علیه إلّا علی القول بالتصویب و الموضوعیة بالنسبة إلی الواقع الأوّلی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بعد انکشاف الخلاف فتصدق الصحّة الظاهریة علیه و لا تصدق الصحّة الواقعیة إمّا لعدم المطابقة للواقع، أو لعدم العلم بالمطابقة إلّا علی القول التصویب بالنسبة إلی الواقع الثانوی، أو النظر إلی أصالة المطابقة، بمعنی أنّ طریق الظاهر </w:t>
      </w:r>
    </w:p>
    <w:p>
      <w:pPr>
        <w:pStyle w:val="BookText"/>
        <w:rPr/>
      </w:pPr>
      <w:r>
        <w:rPr>
          <w:rFonts w:ascii="IRNazanin" w:hAnsi="IRNazanin" w:eastAsia="IRNazanin"/>
          <w:color w:val="111111"/>
          <w:sz w:val="28"/>
          <w:sz w:val="28"/>
          <w:szCs w:val="28"/>
          <w:rtl w:val="true"/>
          <w:lang w:bidi="fa-IR"/>
        </w:rPr>
        <w:t>غالب المطابقة للواقع، و الظنّ یلحق المشکوک بالأعمّ الأغلب، و إلّا فالأصل بمعنی الاستصحاب یقتضی عدم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صاحب القوانین</w:t>
      </w:r>
      <w:r>
        <w:rPr>
          <w:rStyle w:val="FootnoteAnchor"/>
          <w:rtl w:val="true"/>
        </w:rPr>
        <w:footnoteReference w:id="127"/>
      </w:r>
      <w:r>
        <w:rPr>
          <w:rFonts w:ascii="IRNazanin" w:hAnsi="IRNazanin" w:eastAsia="IRNazanin"/>
          <w:color w:val="111111"/>
          <w:sz w:val="28"/>
          <w:sz w:val="28"/>
          <w:szCs w:val="28"/>
          <w:rtl w:val="true"/>
          <w:lang w:bidi="fa-IR"/>
        </w:rPr>
        <w:t>تأسیس الأصل الأوّلی الفساد فی العبادات و المعاملات من جملة مقدّمات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توقّف المسألة علی تأسیس أصل، فلا وجه لجعل التأسیس مقدّمة و إن کان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تأسیسه أصل الفساد فی العبادات هاهنا ینافی قوله بالإجزاء فیها فی مسألة الإجزاء و قوله بالبراءة فیها إذا کان الشکّ فی الکیفیة کالشک فی الشرطیة و الجزئیة فی مسألة البراءة، فإنّ استصحاب الفساد حاکم علی أصل البراءة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بأمر جدید، فالإجزاء بمعنی سقوط القضاء لا ینافی أصالة الفساد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سقوط القضاء فی تعریف الإجزاء أعمّ من سقوط القضاء و الإعادة، و إذا لم ینافی الفساد سقوط القضاء نظرا إلی أنّه بأمر جدید فلا أقلّ من منافاته لسقوط الإعادة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الأوّل أنّ أصالة الفساد فی الشی‌ء و إن لم یکن مقدّمة لاقتضاء النهی عنه الفساد و عدمه، إلّا أنّه مقدّمة لثمرة الاقتضاء و عدمه، إذ بعد فرض الشی‌ء فاسدا بالأصل لا ثمرة للاقتضاء و عدمه و إن کان تقابل الصحّة و الفساد من باب تقابل العدم و الملکة، و مجرّد شأنیة المحلّ و أهلیّته لصدق کل منهما کاف فی صدق کلّ ممّا یکون تقابلهما من هذا الباب، و لا یتوقّف علی اعتبار فعلیّة الصدق بالأصل، إلّا أنّ ثمرة الصدق و عدمه متوقّفة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الثانی أنّ منافاة استصحاب الفساد لمجری البراءة موقوف علی تعارضهما، و من البیّن أنّهما من قبیل الوارد و المورود و المزیل و المزال، لا من قبیل المتعارضین، أمّا علی القول بالبراءة فی صورة الشک فی المکلّف به فلحکومتها علی الاستصحاب، و أمّا علی القول بالاشتغال و الاحتیاط فیه فلحکومته علیها، و علی أیّ تقدیر فلا 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المنهیّ عنه فی المقام فیعمّ المنهیّ عنه لنفسه و لجزئه و لشرطه و لوصفه الداخل و لوصفه الخارج، دون المنهیّ عنه لشی‌ء مفارق متّحد معه فی الوجود کالنهی عن الغصب حال الصلاة أو البیع، لکونه موضوع مسألة اجتماع الأمر و النهی المصداقی، و المنهیّ عنه لشی‌ء مفارق غیر متّحد معه فی الوجود کالنهی عن النظر إلی الأجنبیّة حال الصلاة أو البیع لکونه من باب الاجتماع الموردی، إلّا أنّ تعمیمه المنهیّ عنه بأحد الاعتبارات الخمسة قد یکون اسما و حکما، کما إذا تعلّق النهی بعنوان العبادة و المعاملة بأحد تلک الاعتبارات، و قد یکون حکما فقط، کما إذا تعلّق بغیر عنوانه بأحد الاعتبارات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الضوابط</w:t>
      </w:r>
      <w:r>
        <w:rPr>
          <w:rStyle w:val="FootnoteAnchor"/>
          <w:rtl w:val="true"/>
        </w:rPr>
        <w:footnoteReference w:id="128"/>
      </w:r>
      <w:r>
        <w:rPr>
          <w:rFonts w:ascii="IRNazanin" w:hAnsi="IRNazanin" w:eastAsia="IRNazanin"/>
          <w:color w:val="111111"/>
          <w:sz w:val="28"/>
          <w:sz w:val="28"/>
          <w:szCs w:val="28"/>
          <w:rtl w:val="true"/>
          <w:lang w:bidi="fa-IR"/>
        </w:rPr>
        <w:t>من أنّ المنهیّ عنه لجزئه أو لشرطه خارجان عن النزاع و ذکرهما هنا من باب التطفّل، لأنّ النهی فیهما إن کان لفقد الجزء أو الشرط فالفساد للفقد لا للنهی، و إن کان لوجود الجزء أو الشرط فاسدا فمرجعهما الی المنهیّ عنه لوصفه الداخل أو الخارج، فیمکن الاعتذار عنه بأنّ دخول الشی‌ء فی النزاع من جهة لا ینافی خروجه من جهة اخری، بل و لا من جهات أخر، کما هو الحال فی کثیر من المسائل المتنازع فیها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فلا بد من التکلّم أوّلا فی تعریف کلّ واحد من الأقسام السبعة، </w:t>
      </w:r>
    </w:p>
    <w:p>
      <w:pPr>
        <w:pStyle w:val="BookText"/>
        <w:rPr/>
      </w:pPr>
      <w:r>
        <w:rPr>
          <w:rFonts w:ascii="IRNazanin" w:hAnsi="IRNazanin" w:eastAsia="IRNazanin"/>
          <w:color w:val="111111"/>
          <w:sz w:val="28"/>
          <w:sz w:val="28"/>
          <w:szCs w:val="28"/>
          <w:rtl w:val="true"/>
          <w:lang w:bidi="fa-IR"/>
        </w:rPr>
        <w:t>و ثانیا فی أنّ هذا القسم هل له مصداق فی الشریعة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مقام التعریف فالمنهی عنه لنفسه هو ما تعلّق النهی بطبیعته من حیث هی بأن یکون القیود المأخوذة فی الکلام قیودا للتکلیف و الموضوع، لا المکلّف به، کأن یقول للحائض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فی حالة الحیض منهیّة عن طبیعة الصلاة، لا أنت منهیّة عن الصلاة الکائنة فی حال حیض، فالمنهیّ عنه لنفسه هو ما تعلّق النهی بالمقیّد لا القید، بأن یکون القیود قیودا للنهی أو المنهیّ أو النسبة الحکمیّة، لا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التمثیل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المنهیّ عنه لنفسه من العبادات فکصلاة الحائض من قوله علیه السّلام دعی الصلاة أیّام أقرائک، و ذلک لأنّ أیّام الحیض الواقع فی الکلام و إن احتمل أن یکون قیدا للمنهی و هو الصلاة حتی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منهیّة عن الصلاة الکائنة فی أیّام الحیض، فیکون من باب المنهیّ عنه لوصفه، لا من باب المنهیّ عنه لنفسه، بأن یکون القید قیدا للموضوع و من مشخّصاته، حتی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ایّتها الحائض بوصف کونک حائضا منهیّة عن الصلاة أی طبیعتها، أو یکون قیدا للمحمول أی المنهیّ، حتی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منهیّة ایّام الحیض من الصلاة أی طبیعتها، أو یکون قیدا للنسبة بین الموضوع و المحمول حتی یکون القضیّة عرفیّة عامّة،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منهیّة عن الصلاة ما دمت حائضا، إلّا أنّ المتبادر من الموارد التی یکون القید غیر مقدور للمکلف حدوثا و بقاء کالحیض و المرض هو تعلّق النهی بنفس الطبیعة و أنّ القید لیس للمادّة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جنبا فلا تصلّ، و نحوه من الموارد التی یکون القید فیه مقدورا من حیث البقاء و عدم البقاء و إن لم یکن مقدورا من حیث الحدوث، لم یفهم منه عرفا سلب التکلیف عن الصلاة، نعم لو قال دعی الصلاة فی السفر فهم منه نفی التکلیف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فظهر من الاستقراء کون الموارد مختلفة، إلّا أنّ المتبادر ممّا نحن فیه تعلّق النهی بالطبیعة و کون صلاة الحائض منهیّة عنها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یندفع استدلال بعض الحنفیّة علی کون صلاة الحائض من باب المنهیّ عنه لوصفه، و کون المنهیّ عنه لنفسه منحصرا فی مثل القمار و الإمساک ثلاثة ایّام من المعاملات و العبادات الخالیة عن جهة الصحّة من الأصل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فی الکلام هیئة و مادّة و قید فلا بدّ من تقیید المادّة أوّلا بذلک القید، ثمّ إیراد الهیئة علیها، ففی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یوم الجمعة یقیّد الضرب أوّلا بکونه یوم الجمعة، ثمّ یورد علیه مفاد الهیئة أی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ذلک أنّه لو لم یکن کذلک لزم التناقض فی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أعلم من عمرو فی الفقه و عمرو أعلم من زید فی الحکمة، فإنّه لو لم یفعل کما قلنا، بل کان المراد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الأعلم علی الإطلاق لکان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الفقه أعلم من عمرو مطلقا فی الفقه و غیره، و عمرو فی الحکمة أعلم من زید مطلقا فی الحکمة و غیرها، و هذا تناقض، فلا بدّ من تقیید العلم فی الأوّل بالفقه ثمّ إیراد الأعلمیة فیه، و کذا فی الثانی لیرتفع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هیئة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الحیض، و قد عرفت أنّ القاعدة تقیید المادّة أوّلا بالقید ثمّ إیراد الهیئة علیها، فالمعنی حینئذ انّ الصلاة المقیّدة بکونها أیّام الحیض منهیّة عنها، و لیس هذا إلّا تعلّق النهی بالوصف، انتهی کلام الحنفیّة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اندفاعه ما عرفت من أنّ جعل القیود من متعلّقات المادّة مطلقا خلاف مقتضی الاستقراء، فإنّ مقتضی الاستقراء کون الموارد مختلفة، فمن الموارد ما یقتضی فهم العرف کون القید فیه قیدا للهیئة لا غیر، کما مثّله الحنفیّة، و من الموارد ما یقتضی کون القید فیه قیدا للهیئة لا غیر، کما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أعلم من بکر عند </w:t>
      </w:r>
    </w:p>
    <w:p>
      <w:pPr>
        <w:pStyle w:val="BookText"/>
        <w:rPr/>
      </w:pPr>
      <w:r>
        <w:rPr>
          <w:rFonts w:ascii="IRNazanin" w:hAnsi="IRNazanin" w:eastAsia="IRNazanin"/>
          <w:color w:val="111111"/>
          <w:sz w:val="28"/>
          <w:sz w:val="28"/>
          <w:szCs w:val="28"/>
          <w:rtl w:val="true"/>
          <w:lang w:bidi="fa-IR"/>
        </w:rPr>
        <w:t>أهل الحجاز، و بکر أعلم من زید عند أهل العراق، إذ من الواضح أنّ المراد لیس أعلمیّة زید فی العلم الذی عند أهل الحجاز و کذا فی الجزء الأخیر، بل المراد أفضلیّة زید مطلقا فی جمیع العلوم عند أهل الحجاز و بالعکس، و من الموارد ما هو قابل للقسمین کما فی المثال المتنازع فیه، إلّا أنّ المتبادر عرفا کون القید فیه قیدا للموضوع، و لو سلّمنا عدم کونه قیدا له فلا أقلّ من کونه قیدا للنسبة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ثمرة النزاع تظهر فی صحّة صلاة الحائض أیّام الاستظهار و عدمه، بل فی مطلق صلاة الحائض و عدمه علی ما فی الضوابط</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المنهی عنه لنفسه من المعاملات فمصداقه بیع العبد و السفیه، علی ما فی القوانین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تقدیر أنّ البیع عبارة عن الإیجاب المقترن بالقبول فلا إشکال فی التمثیل بهما، و أمّا علی تقدیر أنّ البیع مرکّب من الإیجاب و القبول فقد أورد علیه فی الضوابط</w:t>
      </w:r>
      <w:r>
        <w:rPr>
          <w:rStyle w:val="FootnoteAnchor"/>
          <w:rtl w:val="true"/>
        </w:rPr>
        <w:footnoteReference w:id="131"/>
      </w:r>
      <w:r>
        <w:rPr>
          <w:rFonts w:ascii="IRNazanin" w:hAnsi="IRNazanin" w:eastAsia="IRNazanin"/>
          <w:color w:val="111111"/>
          <w:sz w:val="28"/>
          <w:sz w:val="28"/>
          <w:szCs w:val="28"/>
          <w:rtl w:val="true"/>
          <w:lang w:bidi="fa-IR"/>
        </w:rPr>
        <w:t>بأنّ کل منهما صدر عن شخص و کلّ منهما منهیّ عن جزء المعاملة بنفسه، لا عن المرکب من حیث هو، إذ الشخص لا ینهی عن فعل غیره حتی أنّه لو تولّی طرفی العقد واحد لکان منهیّا عن کلّ جزء بنهی علی حدة و استحقّ عقابین، فلا نهی هنا یتعلّق بالمرکّب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 بإمکان نهی الشخص عن فعل غیره إذا استند فعل الغیر إلیه نظرا إلی أنّ سبب الحرام حرام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مثّل فی القوانین</w:t>
      </w:r>
      <w:r>
        <w:rPr>
          <w:rStyle w:val="FootnoteAnchor"/>
          <w:rtl w:val="true"/>
        </w:rPr>
        <w:footnoteReference w:id="132"/>
      </w:r>
      <w:r>
        <w:rPr>
          <w:rFonts w:ascii="IRNazanin" w:hAnsi="IRNazanin" w:eastAsia="IRNazanin"/>
          <w:color w:val="111111"/>
          <w:sz w:val="28"/>
          <w:sz w:val="28"/>
          <w:szCs w:val="28"/>
          <w:rtl w:val="true"/>
          <w:lang w:bidi="fa-IR"/>
        </w:rPr>
        <w:t>بنکاح الخامسة لمن عنده أربع، و فی الضوابط</w:t>
      </w:r>
      <w:r>
        <w:rPr>
          <w:rStyle w:val="FootnoteAnchor"/>
          <w:rtl w:val="true"/>
        </w:rPr>
        <w:footnoteReference w:id="133"/>
      </w:r>
      <w:r>
        <w:rPr>
          <w:rFonts w:ascii="IRNazanin" w:hAnsi="IRNazanin" w:eastAsia="IRNazanin"/>
          <w:color w:val="111111"/>
          <w:sz w:val="28"/>
          <w:sz w:val="28"/>
          <w:szCs w:val="28"/>
          <w:rtl w:val="true"/>
          <w:lang w:bidi="fa-IR"/>
        </w:rPr>
        <w:t xml:space="preserve">بذبح الذمّی و طلاق الولیّ، فمنظور فیها، و ذلک لأنّه إن کان المدار فی تعلّق النهی بالنفس علی اعتبار المعتبر فلا وجه للتصدّی إلی ضبط الأقسام السبعة و التمثیل </w:t>
      </w:r>
    </w:p>
    <w:p>
      <w:pPr>
        <w:pStyle w:val="BookText"/>
        <w:rPr/>
      </w:pPr>
      <w:r>
        <w:rPr>
          <w:rFonts w:ascii="IRNazanin" w:hAnsi="IRNazanin" w:eastAsia="IRNazanin"/>
          <w:color w:val="111111"/>
          <w:sz w:val="28"/>
          <w:sz w:val="28"/>
          <w:szCs w:val="28"/>
          <w:rtl w:val="true"/>
          <w:lang w:bidi="fa-IR"/>
        </w:rPr>
        <w:t>لکلّ منها بمثال علی حدة، و إن کان المدار فیه علی فهم العرف فقد عرفت أنّ موارد فهم العرف مختلفة، و أنّ المتیقّن من فهم العرف تعلّق النهی بالطبیعة المقیّدة دون القید إنّما هو فی خصوص ما إذا کان القید غیر مقدور للمکلف حدوثا و بقاء، و من الواضح أنّ تمثیلنا ببیع العبد و السفیه من هذا القبیل، بخلاف التمثیل بنکاح ذی الأربعة و ذبح الذمّی و طلاق الولیّ، فإنّ القید فی الأوّلین مقدور بقائه، و فی الأخیر و إن کان غیر مقدور، إلّا أنّ من المعلوم فی الخارج أنّ الولیّ منهیّ عن طلاق زوجة المولّی علیه لا عن ماهیّة الطلاق، إذ له طلاق زوجته، فبعد قیام الدلیل الخارجی لا یعبأ بظهور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المنهیّ عنه لجزئه فی العبادات فکالنهی عن قراءة العزائم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المنهیّ عنه لجزئه فی المعاملات فکبیع الغاصب مع جهل المشتری علی القول بأنّ البیع مرکّب من الإیجاب و القبول الناقلین، و علی القول الآخر و هو القول بأنّ البیع هو الإیجاب المقرون بالقبول، فالأمثلة کثیرة واضحة کما قال صاحب القوانین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أورد علیه بأنّ الإیجاب المقرون بالقبول أمر بسیط لا جزء له فکیف یتعقّل علی تقدیره وجود مثال منهیّ عنه فضلا عن وجود کثرة الأمثلة و وضوحها؟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فمبنیّ علی أن یکون المراد من البیع مجرّد اللفظ المذکور، و أمّا إذا ارید منه اللفظ المذکور المقترن بقبض المبیع و إقباضه فلا تأمّل فی وضوح المنهیّ عنه لجزئه و کثرة أمثلته، فإنّ من جملة أمثلته علاوة علی مثال بیع الغاصب مع جهل المشتری بیع الأعیان الطاهرة مع الأعیان النجسة، و بیع الشاة مع الهرّة، و غیر ذلک من بیوع ما یملک مع ما لا یملک التی لا تحصی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لعلّ الظاهر من المعاملات المحرّمة فی کلام الفقهاء و غیرهم إرادة ذلک أیضا، إذ لا مدرک لترتّب الحرمة علی مجرّد التلفّظ باللفظ المذکور إلّا إذا توصّل به إلی ترتّب الغایة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المنهیّ عنه لشرطه فإمّا لفقدان الشرط کالصلاة بلا طهارة و بیع الملاقیح، فإنّ القدرة حال البیع شرطه و هو مفقود فیه، أو لکون الشرط منهیّا عنه لوصفه اللازم أو المفارق، أو غیر ذلک من الأقسام، مثل کون الساتر غصبا فی الصلاة، و الوضوء بالماء المتغیّر للصلاة، و کالنهی عن الذبح بغیر الحدید فی غیر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المنهیّ عنه لوصفه الداخل فکالنهی عن الجهر فی الصلاة الإخفاتیة و عن الإخفات فی الصلاة الجهریّة، و النهی عن بیع الربوی و بیع الحصات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المنهیّ عنه لوصفه الخارج فکالنهی عن الصلاة فی الدار المغصوبة، فإنّ کون الصلاة فی الدار المغصوبة لیس من مقوّماتها و ممیّزاتها، بخلاف الجهر و الإخفات بالنسبة إلی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المنهیّ عنه لشرطه و بین المنهی عنه لوصفه، ثمّ ما الفرق بین المنهیّ عنه الداخل و بین المنهی عنه لوصفه الخارج؟</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النهی بشی‌ء من جهة غیر ذاته إن کان مسبوقا باعتبار وجود تلک الجهة أو صفته شرطا فی ذلک الشی‌ء فهو المنهیّ عنه، لفقدان الشرط أو لوجود الشرط علی غیر صفته، و إن لم یکن مسبوقا باعتبار ذلک فهو المنهیّ عنه لوصفه، ثمّ وصفیّة هذا الوصف إن کان معهودا فی الأنظار قبل تطرّق النهی علیه فهو المنهیّ عنه لوصفه الداخل، کوصفیّة الجهر و الإخفات بالنسبة إلی القراءة و وصفیّة الربوی و غیر الربوی بالنسبة إلی البیع، و إلّا فهو المنهیّ عنه لوصفه الخارج کوصفیّة الکون فی الغصب بالنسبة إلی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الحاصل أنّ المنهیّ عنه إمّا أن یکون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تغصب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 فی المکان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کان من قبیل الأوّل فهو داخل فی موضوع المسألة السابقة و خارج عن هذه المسألة خروجا اسمیّا و حکمیّا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من قبیل الثانی فهو داخل فی هذه المسألة دخولا حکمیا لا اسمیّا، و أمّا ما کان من قبیل الثالث فی کونه من قبیل المطلق و المقیّد المختلفین فهو داخل فیه دخولا اسمیّا و حکمیّا،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استشکل صاحب الضوابط</w:t>
      </w:r>
      <w:r>
        <w:rPr>
          <w:rStyle w:val="FootnoteAnchor"/>
          <w:rtl w:val="true"/>
        </w:rPr>
        <w:footnoteReference w:id="135"/>
      </w:r>
      <w:r>
        <w:rPr>
          <w:rFonts w:ascii="IRNazanin" w:hAnsi="IRNazanin" w:eastAsia="IRNazanin"/>
          <w:color w:val="111111"/>
          <w:sz w:val="28"/>
          <w:sz w:val="28"/>
          <w:szCs w:val="28"/>
          <w:rtl w:val="true"/>
          <w:lang w:bidi="fa-IR"/>
        </w:rPr>
        <w:t>علی القوم بأنّ اتّفاقهم علی الحمل فی بحث المطلق و المقیّد مطلقا یناقض اختلافهم هنا فی المطلق و المقیّد المختلفین علی أقوال و لم یرتض لذلک جوابا سوی حمل اتّفاقهم ثمّة علی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أجاب عنه استادنا العلّامة دام مجده بأنّ اختلافهم هنا فی المطلق و المقیّد المختلفین مختصّ بما إذا کان النهی عن المقیّد نهیا تحریمیّا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اتّفاقهم ثمّة إنّما هو فی المطلق و المقیّد المختلفین إذا کان النهی عن المقید نهیا إرشادیا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و لا تعتق رقبة 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العبادات و المعاملات فاضطرب کلماتهم فی تحدیدهما علی وجوه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العبادة بما لم یعلم انحصار المصلحة فیها فی شی‌ء، سواء لم یعلم المصلحة أصلا أو علمت فی الجملة، و لکن لم یعلم الانحصار، و هذا هو السرّ فی توقّف صحتها علی النیّة، و هو قصد التقرّب و الامتثال، و المعاملة ما قابل ذلک، أعنی ما علم انحصار المصلحة فیها فی شی‌ء، و هذا هو السرّ فی عدم توقّف صحّتها علی النیّة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أورد صاحب الفصول</w:t>
      </w:r>
      <w:r>
        <w:rPr>
          <w:rStyle w:val="FootnoteAnchor"/>
          <w:rtl w:val="true"/>
        </w:rPr>
        <w:footnoteReference w:id="136"/>
      </w:r>
      <w:r>
        <w:rPr>
          <w:rFonts w:ascii="IRNazanin" w:hAnsi="IRNazanin" w:eastAsia="IRNazanin"/>
          <w:color w:val="111111"/>
          <w:sz w:val="28"/>
          <w:sz w:val="28"/>
          <w:szCs w:val="28"/>
          <w:rtl w:val="true"/>
          <w:lang w:bidi="fa-IR"/>
        </w:rPr>
        <w:t>علی الحدّ المذکور بانتقاضه عکسا بالعبادة التی علم انحصار المصلحة فیها فی الامتثال بغیرها کالطهارة، أو فی الامتحان و حصول التقرّب و تکمیل النفس کبعض العبادات، و طردا بالواجبات التی لیست عبادة و لا ینحصر مصالحها فی شی‌ء کوجوب توجیه المیّت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بأنّ المراد من عدم العلم بانحصار المصلحة فی العبادات هو عدم العلم بانحصار المصلحة فی تعیین تلک العبادة و انتخابها عن سائر العبادات، لا عدم العلم بانحصار أصل المصلحة فیها حتی ینتقض عکسا بما علم انحصار أصل المصلحة فیه من العبادات کالطهارة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بأنّ المراد من المصلحة فی تحدید العبادة هو مصلحة نفس المأمور به، لا مصلحة مصلحته، فانتقاض طرد الحدّ بوجوب توجیه المیّت إلی القبلة و نحوه مدفوع بأنّ مصلحة وجوب توجیه المیّت إلی القبلة إنّما هو توجّهه إلیه و هو معلوم، و غیر المعلوم إنّما هو مصلحة هذه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سلّمنا ورود هذا الإیراد فلیس للمورد المذکور الإیراد به، لما یرد علیه من أنّ مجرّد الإیصال إلی شی‌ء آخر فی الطهارة لو کان العلم به کافیا فی حصر المصالح علی ما زعمت فلا ریب أنّا نعلم أیضا بأنّ توجیه المیّت إلی القبلة لحصول التوجّه له المطلوب عقلا و شرعا، فتبیّن أنّ تحدید العبادات بما لم یعلم انحصار المصلحة فیها فی شی‌ء سلیم عن الإیراد و الانتقاض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العبادة بما یشترط النیّة فی صحّتها، کما عن المشهور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یلائم القول بأنّ النیّة جزء العبادات، بل و لا یلائم ما هو التحقیق من أنّ النیّة فیها من قبیل العلل الغائیة کجلوس الأمیر بالنسبة إلی </w:t>
      </w:r>
    </w:p>
    <w:p>
      <w:pPr>
        <w:pStyle w:val="BookText"/>
        <w:rPr/>
      </w:pPr>
      <w:r>
        <w:rPr>
          <w:rFonts w:ascii="IRNazanin" w:hAnsi="IRNazanin" w:eastAsia="IRNazanin"/>
          <w:color w:val="111111"/>
          <w:sz w:val="28"/>
          <w:sz w:val="28"/>
          <w:szCs w:val="28"/>
          <w:rtl w:val="true"/>
          <w:lang w:bidi="fa-IR"/>
        </w:rPr>
        <w:t>صنع السریر، لا من العلل الصوریة حتی یکون شرطا، و لا من العلل المادیّة حتی یکون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اشتراط النیّة فاعتبارها شرطا فی صحّة العبادة راجع إلی اعتبارها شرطا فی العبادة، إذ لا یتعقّل انفکاک الصحّة عن تمامیة المادّة و الصورة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الصحّة لا یخلو إمّا بمعنی الامتثال، أو بمعنی سقوط القضاء، أو بمعنی ترتّب الأثر فی الجملة، فإن ارید الأوّل انتقض طرد الحدّ بالمباحات إذا قصد بها التقرّب، و إن ارید الثالث انتقض عکسه بعبادات المخالفین، لترتّب بعض الآثار علیها کحقن الدماء و نحوه مع عدم اشتراط ترتّبها بنیّة التقرّب، و إن ارید الثانی کان الحدّ دوریا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 الإیراد الأوّل بأنّ العلّة الغائیّة فی العبادات إنّما هو التقرّب لا نیّة التقرّب، و شتّان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الثانی بأنّ رجوع شرط صحّة الشی‌ء إلی شرط وجوده مبنیّ علی القول بأنّ ألفاظ العبادة أسام للصحیحة لا غیر، و إلّا فمن البیّن عدم رجوع شرط الصحّة إلی شرط الوجود و إمکان انفکاک الصحّة عن تحقّق الماهیّة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الثالث باختیار الشقّ الأوّل و منع انتقاض طرد حدّ العبادة بالمباحات إذا قصد بها التقرّب، و ذلک إمّا لأنّ الحدّ مسوق لتعریف العبادات المحضة، دون ما یکون عبادة علی بعض الوجوه کصورة الإتیان به بقصد التقرّب، و إمّا لمنع اندراج مطلق المباحات تحت المعاملات، بل التفصیل بین صورة قصد التقرّب بها و عدمه فندرج الأوّل فی العبادات و نخصّ المعاملات بالثانی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یندفع باختیار الشق الثالث و المنع من انتقاض انعکاس العبادة بعبادة المخالفین، و ذلک لأنّ المراد من الآثار المترتّبة علی عبادتهم کحقن الدماء و نحوه </w:t>
      </w:r>
    </w:p>
    <w:p>
      <w:pPr>
        <w:pStyle w:val="BookText"/>
        <w:rPr/>
      </w:pPr>
      <w:r>
        <w:rPr>
          <w:rFonts w:ascii="IRNazanin" w:hAnsi="IRNazanin" w:eastAsia="IRNazanin"/>
          <w:color w:val="111111"/>
          <w:sz w:val="28"/>
          <w:sz w:val="28"/>
          <w:szCs w:val="28"/>
          <w:rtl w:val="true"/>
          <w:lang w:bidi="fa-IR"/>
        </w:rPr>
        <w:t>إن کان الآثار الواقعیّة فمن المعلوم انتفائها عمّا یجرّد عن النیّة، و إن کان الآثار الظاهریة فمن المعلوم أنّها و إن لم تنتفی، إلّا أنّها مترتّبة علی القاعدة الخارجیة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الظاهر علی الصحّة، لا علی نفس العبادة المجرّدة عن النیّة حتی ینتقض الحدّ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تحدیده فی الإشارات</w:t>
      </w:r>
      <w:r>
        <w:rPr>
          <w:rStyle w:val="FootnoteAnchor"/>
          <w:rtl w:val="true"/>
        </w:rPr>
        <w:footnoteReference w:id="137"/>
      </w:r>
      <w:r>
        <w:rPr>
          <w:rFonts w:ascii="Amiri" w:hAnsi="Amiri" w:eastAsia="Amiri" w:cs="Amiri"/>
          <w:color w:val="111111"/>
          <w:sz w:val="28"/>
          <w:sz w:val="28"/>
          <w:szCs w:val="28"/>
          <w:rtl w:val="true"/>
          <w:lang w:bidi="ar-SA"/>
        </w:rPr>
        <w:t>و غیره بما یتوقّف صحّته علی النیّة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تحدیده فی الذکری، بل فی المشهور بما یشترط فیه النیّة، و کیف کان فتوضیح المقام یتمّ فی ضمن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غیر العبادات و المعاملات من الامور الوضعیّة التی لها آثار شرعیة کالتطهیر و التذکیة و نظائرهما و إن خرجت عن محلّ النزاع اسما، لکنّها داخلة فیه حکما، و تخصیصهم موضع النزاع بالعبادات و المعاملات إنّما هو لنکتة عامّة أو خاصّة، کما هو الحال فی تخصیص المعلول و تعمیم العلّة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الرمّان لأنّه حامض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عموم أدلّة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الفقهاء علی عدم وقوع أثر التطهیر بالاستنجاء بالعظم، و علی عدم وقوع التذکیة بغیر الحدید حال الاختیار، و علی نظائر ذلک بورود النهی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یطلق علیه العبادة یطلق العبادة تارة علی ما اعدّ للاطاعة و الانقیاد محضا کالتعبدیّات الصرفة مثل الصلاة و الصوم و نحوهما، و تارة اخری علی ما یشترط فی ترتّب أثره نیّة القربة من حیث إنّه مشروط بها و لو لم یعدّ للاطاعة و الانقیاد، کدفن المیّت و النکاح علی بعض الوجوه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الإتیان به علی قصد الامتثال بالأمر الوجوبی أو الندبی، و تارة ثالثة علی ما یقارن نیّة التقرب </w:t>
      </w:r>
    </w:p>
    <w:p>
      <w:pPr>
        <w:pStyle w:val="BookText"/>
        <w:rPr/>
      </w:pPr>
      <w:r>
        <w:rPr>
          <w:rFonts w:ascii="IRNazanin" w:hAnsi="IRNazanin" w:eastAsia="IRNazanin"/>
          <w:color w:val="111111"/>
          <w:sz w:val="28"/>
          <w:sz w:val="28"/>
          <w:szCs w:val="28"/>
          <w:rtl w:val="true"/>
          <w:lang w:bidi="fa-IR"/>
        </w:rPr>
        <w:t>و لو لم یکن بملاحظة ذات الفعل من حیث هو کالإطلاقین الأوّلین بأن کان بملاحظة الوصف الخارج عن الفعل کالمباحات إذا قصد بها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المعاملة علی ما یقابل کلّ واحد من الإطلاقات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النسبة، أمّا النسبة فی العبادات فالإطلاق الأوّل أخص من الثانی و الثانی من الثالث، و أمّا فی المعاملات فما یقابل الإطلاق الأوّل أعمّ من الثانی، و الثانی من الثالث، و ذلک لما تقرّر فی المنطق من أنّ نقیض الأعمّ و الأخصّ المطلق أعمّ و أخصّ مطلقا، لکنّه بالعکس، أی نقیض الأعمّ أخصّ و نقیض الأخصّ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تشخیص الحقیقة و المجاز فی الإطلاقات المذکورة،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عناوین الفقهاء و تعدادهم فغایة ما یستفاد هو تأیید کون الوضع فی الإطلاق الثانی لا تشخیصه و تعیینه فیه، و ذلک لاختلاف الأنظار و الأغراض، إذ ربّما یعدّون بعض العبادات کالوقف و العتق فی جملة المعاملات بالنظر إلی اعتبار و بالعکس بالنظر إلی اعتبار آخر، و أمّا التبادر فلا ریب فی تشخیصه و تعیینه الحقیقة فی الإطلاق الثانی، و یؤیّده الشهرة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عند الإطلاق من العبادة هو الإطلاق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الإطلاق الأوّل معارض بعدم صحّة سلب العبادة عن المعنی الثانی، و التبادر المعارض بعدم صحّة السلب لیس تبادرا حقیقیا، بل هو تبادر إطلاقی من باب انصراف الکلّی إلی أکمل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سلب العبادة عن المعنی الثالث أیضا موجود، فلم لا تقول بأنّه المعنی الحقیقی؟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التی لا تصحّ سلبها عن المعنی الثالث و هو المباحات المأتیّ بها متقرّبا إنّما هی العبادة بالمعنی اللغوی، دون المعنی الاصطلاحی الذی هو محطّ </w:t>
      </w:r>
    </w:p>
    <w:p>
      <w:pPr>
        <w:pStyle w:val="BookText"/>
        <w:rPr/>
      </w:pP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الفساد علی العبادات مبنیّ علی کون العبادات أسامی للأعمّ، و ما یستغرب فی بادی الرأی من إطلاق العبادة علی الفاسد فإنّما هو العبادة بالمعنی اللغوی، و أمّا بالمعنی الاصطلاحی فلا استغراب فی إطلاقه علی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ممّا ذکرنا أنّ العبادات التی آثارها قهریّة لا یتوقّف ترتّب أثرها علی النیّة کوجوب النیّة، فإنّه لو توقّف أثره علی النیّة لزم التسلسل، و کوجوب اصول العقائد و التخلّق بالأخلاق الحمیدة و غیر ذلک ممّا یکون حسنه و أثره ذاتیا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تأسیس أنّ الأصل فی الأوامر هل هو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التوصّل؟ و الأقرب الأوّل، و ذلک لأنّ المقتضی لحمل الأمر المشکوک علی الأمر التوصّلی إمّا أصالة الحقیقة، أو أصالة البراءة عن وجوب النیّة، أو اصالة الإطلاق، أو غلبة الاستعمال فی التوصّلی، و لا شی‌ء منها بمسلّم فی</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 القول بعدم البراءة أیضا، و ذلک لأنّه لمّا کان الحاکم بوجوب الإطاعة و التقرّب إنّما هو الفعل لا الشرع حذرا من لزوم التسلسل أو الدور کان حکم الشک فی طریقه أیضا راجع إلی العقل الحاکم بالاحتیاط بعد ملاحظة أنّ قبح العقاب بلا بیان علی الشارع، و تأخیر البیان عن وقت الحاجة و عدم البیان فی مقام البیان و أمثاله مخصوص بما إذا کان البیان من شأنه، و أمّا ما کان بیانه من شأن العقل لا غیر، کبیان وجوب الإطاعة و طریقها فلا قبح فی عقابه علیه و لا عذر للمناص عنه و إن لم یبیّنه الشارع</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حکم العقل بذلک لو تحقّق له الشک، إلّا أنّا نمنع الموضوع </w:t>
      </w:r>
    </w:p>
    <w:p>
      <w:pPr>
        <w:pStyle w:val="BookText"/>
        <w:rPr/>
      </w:pPr>
      <w:r>
        <w:rPr>
          <w:rFonts w:ascii="IRNazanin" w:hAnsi="IRNazanin" w:eastAsia="IRNazanin"/>
          <w:color w:val="111111"/>
          <w:sz w:val="28"/>
          <w:sz w:val="28"/>
          <w:szCs w:val="28"/>
          <w:rtl w:val="true"/>
          <w:lang w:bidi="fa-IR"/>
        </w:rPr>
        <w:t>بأنّ العقل لا یشکّ فی الامور التی من شأنه إدراکها حتی یحکم فیها بوجوب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مختصّ بالعقل المجرّد عن طروّ الشبهات و الموانع الخارجیة علیه، أ لا تری أنّ عقولنا قد تتوقّف فی قبح الظلم بالنسبة إلی بعض الأشخاص و بعض الموارد، مع أنّ قبحه نوعا من مستقلّات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الإطلاق المتمسّک به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القربة فی المأمور به شرطا أو شطرا قید زائد علی أصل المأمور به و الأصل عدمه، فمدفوع أیضا بأنّ أصالة الإطلاق إنّما یدفع القیود الغیر المبیّنة إذا أمکن بیانها و لم یتبیّن، و ما نحن فیه و هو تقیید المأمور به بإرادة التعبّد و الامتحان ممّا لم یمکن للمولی بیانه متی تعلّق الغرض به، لأنّ بیانه منه نقض لغرضه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الغلبة فلأنّ غلبة استعمال الأمر فی التوصّلیات بحیث ینصرف إلیها الأمر عند الإطلاق إن ثبت فهو فی أوامر العرف دون الشرع، مع أنّ حجیة الظن الحاصل من الغلبة علی تقدیر ثبوته مبنیّ علی ثبوت انسداد باب العلم و الظن الخاصّ فی معظم الأحکام، و لم یثبت بحمد اللّه عندنا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من ذلک عدم ثبوت ما یدلّ علی أصالة التوصّل فی الأوامر لا من الاصول اللفظیة و لا من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التعبّد فقد یستدلّ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الاستاد دام ظلّه من أنّه کما أنّ بناء العقلاء علی الاحتیاط و أصالة الاشتغال و الأخذ بالمتیقّن عند الشک فی طریق الإطاعة و کیفیّتها، کذلک بنائهم مستمرّ علیه عند الشک فی أصل الإطاعة و عدمها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أیضا من أنّ ملاحظة دیدن العلماء یوجب القطع ببنائهم فی الأوامر الشرعیّة علی التعبد حتی یثبت التوصّل فیها، کما یشهد علی ذلک ملاحظة </w:t>
      </w:r>
      <w:bookmarkStart w:id="61" w:name="pg12880_153238"/>
    </w:p>
    <w:p>
      <w:pPr>
        <w:pStyle w:val="BookText"/>
        <w:rPr/>
      </w:pPr>
      <w:bookmarkEnd w:id="61"/>
      <w:r>
        <w:rPr>
          <w:rFonts w:ascii="IRNazanin" w:hAnsi="IRNazanin" w:eastAsia="IRNazanin"/>
          <w:color w:val="111111"/>
          <w:sz w:val="28"/>
          <w:sz w:val="28"/>
          <w:szCs w:val="28"/>
          <w:rtl w:val="true"/>
          <w:lang w:bidi="fa-IR"/>
        </w:rPr>
        <w:t>کتب الأدعیة و الزیارات و الأذکار و الأوراد المأثورة، حیث تری استمرار بنائهم علی حمل جمیع الأوامر المأثورة فیها علی التعبّد ما لم یعلم التوصّل فیه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تبادر التعبّد و اعتبار القربة فی امتثال المأمور به من مجرّد الأمر عند الإطلاق ما لم یعلم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استحقاق الذم و ترتّبه علی إتیان المأمور به من غیر داعی الأمر ما لم یعلم التوصّل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لک أنّ الحال فیما إذا شکّ بعد القطع بکون داعی الأمر هو التعبّد بالمأمور به، لا حصوله أی وجه اتّفق فی أنّ الداعی هو التعبّد بإیجاده و لو إجمالا فی ضمن فردین أو ازید أو التعبّد به تفصیلا بخصوصه متمیّزا عن غیره، هو الحال فی المثال المتقدّم فی مجری الاحتیاط فیه، و قد وافقنا فیه من لم یوافقنا فی المثال المتقدّم مع عدم الفرق بینهما بحسب 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بینهما إحراز التعبّد فیه دون إحرازه فی المثال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فرق غیر مجد فی إجراء الاحتیاط فیه دون إجرائه فی المثال المتقدم، فإنّ إحراز التعبّد فیه إنّما هو فی الجملة لا تفصیلا، و حمله علی التعبّد التفصیلی لیس إلّا لما ذکرنا من عدم مسرح لمجری البراءة و أنّ المجری مجری الاحتیاط</w:t>
      </w:r>
      <w:r>
        <w:rPr>
          <w:rFonts w:eastAsia="IRNazanin" w:cs="IRNazanin"/>
          <w:color w:val="111111"/>
          <w:sz w:val="28"/>
          <w:szCs w:val="28"/>
          <w:rtl w:val="true"/>
          <w:lang w:bidi="fa-IR"/>
        </w:rPr>
        <w:t>.</w:t>
      </w:r>
    </w:p>
    <w:p>
      <w:pPr>
        <w:pStyle w:val="Heading5"/>
        <w:numPr>
          <w:ilvl w:val="4"/>
          <w:numId w:val="1"/>
        </w:numPr>
        <w:rPr/>
      </w:pPr>
      <w:bookmarkStart w:id="62" w:name="__RefHeading___Toc2986329_3224264995"/>
      <w:bookmarkStart w:id="63" w:name="_Toc23"/>
      <w:bookmarkEnd w:id="62"/>
      <w:r>
        <w:rPr>
          <w:rtl w:val="true"/>
        </w:rPr>
        <w:t>[</w:t>
      </w:r>
      <w:r>
        <w:rPr>
          <w:rtl w:val="true"/>
        </w:rPr>
        <w:t>المقدّمة الثانیة</w:t>
      </w:r>
      <w:r>
        <w:rPr>
          <w:rtl w:val="true"/>
        </w:rPr>
        <w:t xml:space="preserve">: </w:t>
      </w:r>
      <w:r>
        <w:rPr>
          <w:rtl w:val="true"/>
        </w:rPr>
        <w:t>فی تحریر محلّ النزاع من جهتین</w:t>
      </w:r>
      <w:r>
        <w:rPr>
          <w:rtl w:val="true"/>
        </w:rPr>
        <w:t>.]</w:t>
      </w:r>
      <w:bookmarkEnd w:id="6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النزاع هل هو فیما إذا ورد للعبادة أو المعاملة جهة صحّة، ثمّ ورد النهی عن بعض أفراد المکلّف أو المکلّف به، حتی یکون النزاع فی جهة ترجیح دلالة الأخصّ علی الأعمّ بعد کون الأخصّ یدلّ علی الفساد، أم النزاع فی دلالة النهی علی الفساد من حیث هو و إن لم یرد له جهة صحّة أصلا، لیدخل مثل </w:t>
      </w:r>
    </w:p>
    <w:p>
      <w:pPr>
        <w:pStyle w:val="BookText"/>
        <w:rPr/>
      </w:pPr>
      <w:r>
        <w:rPr>
          <w:rFonts w:ascii="IRNazanin" w:hAnsi="IRNazanin" w:eastAsia="IRNazanin"/>
          <w:color w:val="111111"/>
          <w:sz w:val="28"/>
          <w:sz w:val="28"/>
          <w:szCs w:val="28"/>
          <w:rtl w:val="true"/>
          <w:lang w:bidi="fa-IR"/>
        </w:rPr>
        <w:t>النهی عن القمار و صوم الوصال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اختصاص الثمرة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القوانین</w:t>
      </w:r>
      <w:r>
        <w:rPr>
          <w:rStyle w:val="FootnoteAnchor"/>
          <w:rtl w:val="true"/>
        </w:rPr>
        <w:footnoteReference w:id="139"/>
      </w:r>
      <w:r>
        <w:rPr>
          <w:rFonts w:ascii="IRNazanin" w:hAnsi="IRNazanin" w:eastAsia="IRNazanin"/>
          <w:color w:val="111111"/>
          <w:sz w:val="28"/>
          <w:sz w:val="28"/>
          <w:szCs w:val="28"/>
          <w:rtl w:val="true"/>
          <w:lang w:bidi="fa-IR"/>
        </w:rPr>
        <w:t>و تمثیلهم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تصریح استادنا العلامة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إنّما هو فی دلالة النهی من حیث اللفظ، و اللفظ إن دلّ علی الفساد دلّ مطلقا، و إن لم یدل لم یدل مطلقا، و أنّ اختصاص الثمرة لا یدلّ علی اختصاص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نزاعهم فی دلالة الأمر علی الوجوب مطلق مع اختصاص الثمرة بعدم وجود القرینة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النزاع فی دلالة النهی علی الفساد الآنی أم الفساد السنخی، بمعنی أنّ الفساد المستفاد هل یستفاد بطریق کون عدم المنهیّ عنه شرطا فی صحّة المأمور به حتی لا یصحّ إتیانه فی ضمن المنهیّ عنه مطلقا، سواء کان مع العمد أو الجهل، أم المنهیّ لا یفید الاشتراط، بل یفید الحرمة فقط المستلزم للفساد عند تعلّق النهی ظاهرا و حین تعلّقه بالمکلّف، و هو عند العلم بالموضوع حتی لا یفسد إتیانه فی ضمن المنهیّ عنه عند الجهل بالموضوع؟ وجهان مبنیّان علی تشخیص کون النزاع فی النواهی الإرشادیة کما یظهر من الفصول</w:t>
      </w:r>
      <w:r>
        <w:rPr>
          <w:rStyle w:val="FootnoteAnchor"/>
          <w:rtl w:val="true"/>
        </w:rPr>
        <w:footnoteReference w:id="140"/>
      </w:r>
      <w:r>
        <w:rPr>
          <w:rFonts w:ascii="IRNazanin" w:hAnsi="IRNazanin" w:eastAsia="IRNazanin"/>
          <w:color w:val="111111"/>
          <w:sz w:val="28"/>
          <w:sz w:val="28"/>
          <w:szCs w:val="28"/>
          <w:rtl w:val="true"/>
          <w:lang w:bidi="fa-IR"/>
        </w:rPr>
        <w:t>تبعا لبعض المتأخّرین أو فی النواهی التحریمیّة کما یظهر من القوانین</w:t>
      </w:r>
      <w:r>
        <w:rPr>
          <w:rStyle w:val="FootnoteAnchor"/>
          <w:rtl w:val="true"/>
        </w:rPr>
        <w:footnoteReference w:id="141"/>
      </w:r>
      <w:r>
        <w:rPr>
          <w:rFonts w:ascii="IRNazanin" w:hAnsi="IRNazanin" w:eastAsia="IRNazanin"/>
          <w:color w:val="111111"/>
          <w:sz w:val="28"/>
          <w:sz w:val="28"/>
          <w:szCs w:val="28"/>
          <w:rtl w:val="true"/>
          <w:lang w:bidi="fa-IR"/>
        </w:rPr>
        <w:t>و الإشارات</w:t>
      </w:r>
      <w:r>
        <w:rPr>
          <w:rStyle w:val="FootnoteAnchor"/>
          <w:rtl w:val="true"/>
        </w:rPr>
        <w:footnoteReference w:id="142"/>
      </w:r>
      <w:r>
        <w:rPr>
          <w:rFonts w:ascii="IRNazanin" w:hAnsi="IRNazanin" w:eastAsia="IRNazanin"/>
          <w:color w:val="111111"/>
          <w:sz w:val="28"/>
          <w:sz w:val="28"/>
          <w:szCs w:val="28"/>
          <w:rtl w:val="true"/>
          <w:lang w:bidi="fa-IR"/>
        </w:rPr>
        <w:t>تبعا للقدماء، و الفرق بینهما أنّ مدلول النهی المقتضی للفساد علی الأوّل مدلول بسیط مطابقی خبری و هو الفساد، و علی الثانی مرکّب من مدلول مطابقی إنشائی و هو التحریم، و مدلول التزامی خبری و هو الفساد</w:t>
      </w:r>
      <w:r>
        <w:rPr>
          <w:rFonts w:eastAsia="IRNazanin" w:cs="IRNazanin"/>
          <w:color w:val="111111"/>
          <w:sz w:val="28"/>
          <w:szCs w:val="28"/>
          <w:rtl w:val="true"/>
          <w:lang w:bidi="fa-IR"/>
        </w:rPr>
        <w:t xml:space="preserve">. </w:t>
      </w:r>
      <w:bookmarkStart w:id="64" w:name="pg12880_153240"/>
    </w:p>
    <w:p>
      <w:pPr>
        <w:pStyle w:val="BookText"/>
        <w:rPr/>
      </w:pPr>
      <w:bookmarkEnd w:id="64"/>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النهی حقیقة فی التحریم ینافی تحریر النزاع فی کونه للفساد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النهی المطلق حقیقة فی التحریم لا ینافی النزاع فی کون النهی الواقع عقیب الأمر و ما له جهة صحّة للفساد أو للتحریم، نظیر أنّ الأمر المطلق للوجوب لا ینافی النزاع فی أنّ الأمر الواقع عقیب الحظر للاباحة أو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ابتناء تحریر النزاع من الجهة الثانیة علی تشخیص کون النزاع فی النواهی الإرشادیة أو التحریمیة فنقول فی تشخیصه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الاتّفاق علی اقتضاء النواهی الارشادیة الفساد و عدم الخلاف فی حمل المطلق علی المقید إذا کانا مختلفین بواسطة أنّ علّة اقتضائه الفساد هو المانعیة أو فقد الجزء أو الشرط هو تخصیص النزاع باقتضاء النواهی التحریمیّة الفساد و عدمه، أو قلبه إلی النزاع فی الصغری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النهی الواقع عقیب ما له جهة صحة ظاهر فی الإرشادی أو التحریمی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تشخّص لک محلّ النزاع محتملا للنزاع الکبروی و الصغروی فلنشرع فی</w:t>
      </w:r>
    </w:p>
    <w:p>
      <w:pPr>
        <w:pStyle w:val="Heading5"/>
        <w:numPr>
          <w:ilvl w:val="4"/>
          <w:numId w:val="1"/>
        </w:numPr>
        <w:rPr/>
      </w:pPr>
      <w:bookmarkStart w:id="65" w:name="__RefHeading___Toc2986331_3224264995"/>
      <w:bookmarkStart w:id="66" w:name="_Toc24"/>
      <w:bookmarkEnd w:id="65"/>
      <w:r>
        <w:rPr>
          <w:rtl w:val="true"/>
        </w:rPr>
        <w:t>[</w:t>
      </w:r>
      <w:r>
        <w:rPr>
          <w:rtl w:val="true"/>
        </w:rPr>
        <w:t>تحقیق الحقّ فی المسألة و نقول</w:t>
      </w:r>
      <w:r>
        <w:rPr>
          <w:rtl w:val="true"/>
        </w:rPr>
        <w:t>:]</w:t>
      </w:r>
      <w:bookmarkEnd w:id="66"/>
    </w:p>
    <w:p>
      <w:pPr>
        <w:pStyle w:val="Heading6"/>
        <w:numPr>
          <w:ilvl w:val="5"/>
          <w:numId w:val="1"/>
        </w:numPr>
        <w:rPr/>
      </w:pPr>
      <w:bookmarkStart w:id="67" w:name="__RefHeading___Toc2986333_3224264995"/>
      <w:bookmarkStart w:id="68" w:name="_Toc25"/>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أمّا علی تقدیر کون النزاع فی الصغری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النهی ظاهر فی الإرشاد أو التحریم، فالأظهر أنّ وقوع النهی عقیب ما له جهة صحة قرینة علی کونه للارشاد الی اقتضاء الفساد مطلقا، أی فی العبادات و المعاملات، للتبادر و فهم العرف، مضافا إلی الغلبة، کما أنّ وقوع الأمر عقیب الحظر قرینة علی کونه للإباحة لعین ما ذکر، بل الظاهر أنّه لا فرق فی ذلک بین النواهی العرفیة و الشرعیة، و لا بین وقوع النهی المقید عقیب الأمر المطلق، کصلّ و لا تصلّ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وقوع الأمر المقیّد عقیب الأمر المطلق، و کصلّ و صلّ متطهرا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کون القید بعد النهی إرشاد إلی مانعیته عن الصحّة، و بعد الأمر إرشاد شرطیته فی الصحّة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تقدیر کون النزاع فی الکبری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اقتضاء النهی التحریمی </w:t>
      </w:r>
    </w:p>
    <w:p>
      <w:pPr>
        <w:pStyle w:val="BookText"/>
        <w:rPr/>
      </w:pPr>
      <w:r>
        <w:rPr>
          <w:rFonts w:ascii="IRNazanin" w:hAnsi="IRNazanin" w:eastAsia="IRNazanin"/>
          <w:color w:val="111111"/>
          <w:sz w:val="28"/>
          <w:sz w:val="28"/>
          <w:szCs w:val="28"/>
          <w:rtl w:val="true"/>
          <w:lang w:bidi="fa-IR"/>
        </w:rPr>
        <w:t>الفساد و عدمه، فالأظهر من بین الأقوال هو القول بالاقتضاء فی المحرّمات النفسیة من العبادات عرفا لا عقلا، بخلاف المحرّمات التوصّلیة، فإنّها لا تقتضی الفساد لا فی العبادات و لا فی المعاملات، و بخلاف المحرّمات المعاملیة، فإنّها لا تقتضی الفساد لا عرفا و لا عقلا، إلّا إذا کانت نفسیة فتقضی الفساد لکن لا للنهی، بل لدلیل شرعی خارج و هو الاستقراء و صحیحة</w:t>
      </w:r>
      <w:r>
        <w:rPr>
          <w:rStyle w:val="FootnoteAnchor"/>
          <w:rtl w:val="true"/>
        </w:rPr>
        <w:footnoteReference w:id="143"/>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علی اقتضاء النهی النفسی الفساد فی العبادات دون المعاملات عرفا فهم العرف و حکمهم بأنّ وقوع النهی النفسی عقیب ما له جهة أمر قرینة علی تخصیص جهة الأمر و تقییده بغیر مورد النهی، فیفسد مورد النهی من العبادات، لقوام صحّتها بکلا المعنیین علی تعلّق الأمر بها، بخلاف مورد النهی من المعاملات فلا یفسد، لعدم قوام صحّتها علی ذلک، فإنّ صحّة العبادة لمّا کان عبارة عن موافقتها لجهة الأمر وجهة المحبوبیة کان مجرّد فهم العرف من النهی تخصیص تلک الجهة بغیر مورد النهی موجبا لفساد المنهیّ عنه، بخلاف صحة المعاملة، فإنّها عبارة عن ترتّب آثارها علیها من انتقال الثمن و المثمن فی البیع و المنفعة و اجرتها فی الإجارة و ارتفاع الزوجیة فی الطلاق، إلی غیر ذلک، و ظاهر أنّ ترتّب تلک الآثار لا ینافی مبغوضیتها المستفادة من النهی کترتب الضمان علی الغصب، و الدیة علی القتل و الجرح المحرّمین، و المهر علی بعض صور الزنا، و غیر ذلک، فلا منافاة عقلا بین الحرمة و الصحّة فی المعاملات حتی یکون التخصیص عرفا موجبا للفساد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موجب للفراق و العدّة، ثمّ قیل للسفیه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تطلق</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یفهم الفساد، کما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السقمونیا مسهل للصفراء، ثمّ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یفهم منه عدم التأثیر إذا شربه، بخلاف الحرمة و الصحّة فی العبادات، ضرورة منافاة </w:t>
      </w:r>
    </w:p>
    <w:p>
      <w:pPr>
        <w:pStyle w:val="BookText"/>
        <w:rPr/>
      </w:pPr>
      <w:r>
        <w:rPr>
          <w:rFonts w:ascii="IRNazanin" w:hAnsi="IRNazanin" w:eastAsia="IRNazanin"/>
          <w:color w:val="111111"/>
          <w:sz w:val="28"/>
          <w:sz w:val="28"/>
          <w:szCs w:val="28"/>
          <w:rtl w:val="true"/>
          <w:lang w:bidi="fa-IR"/>
        </w:rPr>
        <w:t>صحّتها بکلا معنییه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فالصحّة فی العبادة المنهیّ عنها مستلزم لتوارد الأمر و النهی فی واحد شخصی، بخلاف الصحّة فی المعاملة المنهیّ عنها، فإنّها لا تستلزم توارد الأمر و النهی، فضلا عن کونه فی واحد شخصی، و السرّ فی ذلک اختلاف الصحّة فی العبادات معنی الصحّة فی المعاملات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محبوبیّة مفاد أوامر الشرع یقتضی ترتّب أثر الصحّة، کذلک مبغوضیته یقتضی عدم ترتّب أثر الصحّة و هو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انحصار أثر المعاملات فی المحبوبیة کانحصار أثر العبادات فیها، و قد عرفت افتراقهما و انحصار أثر المعاملات فی مجرّد الإمضاء و لو فی ضمن المبغوضیة، و مع التنزّل فغایة اقتضاء المحبوبیة ترتّب الأثر هو عدم اقتضاء المبغوضیة ترتّبه، لا اقتضاء عدم ترتّبه، سلّمنا لکن غایة اقتضاء المبغوضیة هو عدم ترتّب أثر المحبوبیة لا مطلق الأثر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عدم اقتضاء النواهی التوصلیة الفساد أمّا فی العبادات فلأنّ النهی عن الصلاة من جهة تفویت الجمعة نهی عن التفویت المقارن بالصلاة، لا عن الصلاة المقارنة بالتفویت حتی یحکم العرف بتخصیص جهة الأمر و المحبوبیة بغیر مورد النهی، فیبقی جهة المحبوبیة حینئذ سلیمة عن التخصیص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ذلک بناء العقلاء علی أنّ العبد الآتی مطلوبا فی زمان نهی عنه لأجل تفویته المطلوب الاهم یعدّ مطیعا و عاصیا من جهتی الأمر و النهی، و تحقیق ذلک مبنی علی ما قرّرناه فی مقدّمات مقدّمة الواجب من أنّ الواجبات الغیریة إرشادیات محضة لا یترتّب علیها شی‌ء من الثواب و العقاب و لو کانت أصلیة، بل قد وافقنا علیه من لم یوافقنا علی المبنی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النواهی التوصلیة إرشادیات، و قد قرّرت آنفا اقتضاء الإرشادیات </w:t>
      </w:r>
    </w:p>
    <w:p>
      <w:pPr>
        <w:pStyle w:val="BookText"/>
        <w:rPr/>
      </w:pP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النواهی التوصّلیة مرشدة إلی ترتّب مدلولها التحریمی علی الغیر، و النواهی الإرشادیة التی ذکرنا اقتضائها الفساد إنّما هی مرشدة إلی المانعیة أو فقدان الجزء أو الشرط فی المنهی عنه، و أین هذا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المعاملات فبالأولویة، و ذلک لأنّ النواهی النفسیة المخصّصة لجهة الرضاء و المحبوبیة بغیر مورد النهی إذا لم تقتضی الفساد فی المعاملات فکیف بالنواهی التوصلیة الغیر المخصصة لتلک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اقتضاء النواهی النفسیة فی المعاملات الفساد شرعا الاستقراء، فإنّا وجدنا غالب المعاملات المحرّمة شرعا فاسدة بدلیل خارج، فیلحق المشکوک بالأعمّ الأغلب، و صحیحة</w:t>
      </w:r>
      <w:r>
        <w:rPr>
          <w:rStyle w:val="FootnoteAnchor"/>
          <w:rtl w:val="true"/>
        </w:rPr>
        <w:footnoteReference w:id="144"/>
      </w:r>
      <w:r>
        <w:rPr>
          <w:rFonts w:ascii="IRNazanin" w:hAnsi="IRNazanin" w:eastAsia="IRNazanin"/>
          <w:color w:val="111111"/>
          <w:sz w:val="28"/>
          <w:sz w:val="28"/>
          <w:szCs w:val="28"/>
          <w:rtl w:val="true"/>
          <w:lang w:bidi="fa-IR"/>
        </w:rPr>
        <w:t xml:space="preserve">زرارة عن المملوک تزوّج بغیر إذن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 سیّده إن شاء أجاز و إن شاء فرّق بینهما،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الحکم بن عتبة و إبراهیم النخعی و أصحابهما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النکاح فاسد و لا تحلّ إجازة السید له،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یعص اللّه، إنّما عصی سیّده، فإذا أجازه فهو له جائز</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حمل الروایة علی خلاف ظاهرها، لأنّ ظاهرها أنّه لم یعص اللّه رأسا مع أنّ عصیان السید عصیان اللّه، فلا بدّ حینئذ إمّا من تنزیله علی أنّه لم یعص اللّه بالأصالة، بل عصی سیّده بالأصالة و خالفه تبعا، لأنّ النکاح بالأصالة من الشارع المقدّس صحیح، کما ارتضاه صاحب الضوابط</w:t>
      </w:r>
      <w:r>
        <w:rPr>
          <w:rStyle w:val="FootnoteAnchor"/>
          <w:rtl w:val="true"/>
        </w:rPr>
        <w:footnoteReference w:id="145"/>
      </w:r>
      <w:r>
        <w:rPr>
          <w:rFonts w:ascii="IRNazanin" w:hAnsi="IRNazanin" w:eastAsia="IRNazanin"/>
          <w:color w:val="111111"/>
          <w:sz w:val="28"/>
          <w:sz w:val="28"/>
          <w:szCs w:val="28"/>
          <w:rtl w:val="true"/>
          <w:lang w:bidi="fa-IR"/>
        </w:rPr>
        <w:t xml:space="preserve">، و إمّا من تنزیله علی أنّه لم یخالف مقتضی الحکم الوضعی الواقعی و هو إذن الشارع و رخصته من جهة العمومات بصحّة الفضولی بعد الإجازة، بل خالف الحکم الوضعی الظاهری و هو الإذن من السیّد المستلزم لمخالفة الحکم التکلیفی الظاهری و هو الإذن من الشارع، </w:t>
      </w:r>
    </w:p>
    <w:p>
      <w:pPr>
        <w:pStyle w:val="BookText"/>
        <w:rPr/>
      </w:pPr>
      <w:r>
        <w:rPr>
          <w:rFonts w:ascii="IRNazanin" w:hAnsi="IRNazanin" w:eastAsia="IRNazanin"/>
          <w:color w:val="111111"/>
          <w:sz w:val="28"/>
          <w:sz w:val="28"/>
          <w:szCs w:val="28"/>
          <w:rtl w:val="true"/>
          <w:lang w:bidi="fa-IR"/>
        </w:rPr>
        <w:t>کما ارتضاه صاحب القوانین</w:t>
      </w:r>
      <w:r>
        <w:rPr>
          <w:rStyle w:val="FootnoteAnchor"/>
          <w:rtl w:val="true"/>
        </w:rPr>
        <w:footnoteReference w:id="146"/>
      </w:r>
      <w:r>
        <w:rPr>
          <w:rFonts w:ascii="IRNazanin" w:hAnsi="IRNazanin" w:eastAsia="IRNazanin"/>
          <w:color w:val="111111"/>
          <w:sz w:val="28"/>
          <w:sz w:val="28"/>
          <w:szCs w:val="28"/>
          <w:rtl w:val="true"/>
          <w:lang w:bidi="fa-IR"/>
        </w:rPr>
        <w:t>و الفصول</w:t>
      </w:r>
      <w:r>
        <w:rPr>
          <w:rStyle w:val="FootnoteAnchor"/>
          <w:rtl w:val="true"/>
        </w:rPr>
        <w:footnoteReference w:id="147"/>
      </w:r>
      <w:r>
        <w:rPr>
          <w:rFonts w:ascii="IRNazanin" w:hAnsi="IRNazanin" w:eastAsia="IRNazanin"/>
          <w:color w:val="111111"/>
          <w:sz w:val="28"/>
          <w:sz w:val="28"/>
          <w:szCs w:val="28"/>
          <w:rtl w:val="true"/>
          <w:lang w:bidi="fa-IR"/>
        </w:rPr>
        <w:t>و الإشارات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وجه الاستدلال بصنف هذه الروایات مبنیّ علی التنزیل الأوّل دون الثانی، اذ علی التنزیل الأوّل یکون مفهوم التعلیل حینئذ أنّه إن عصی اللّه بالأصالة فسدت المعاملة، فتدلّ بمفهومها علی فساد المحرّمات النفسیة الأصلیة من المعاملات، و بمنطوقها علی صحّة المحرمات العرضیة التی منها نکاح العبد بغیر إذن سیّده، و أمّا المحرّمات التبعیة و التوصّلیة الأصلیة فلا ینصرف إلیها العصیان حتی تدخل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التنزیل الثانی یکون مفهوم التعلیل أنّه إن خالف الحکم الوضعی الواقعی کالقمار و نحوه ممّا لیس فیه جهة إذن و صحّة أصلا فسدت المعاملة، و أنت خبیر بأنّ فساد ما لیس فیه جهة صحّة و إذن إنّما هو مقتضی الأصل، فمقتضی مفهوم التعلیل علی التنزیل الثانی ملغی عن الإفادة، و هو من الوجوه المرجحة للتنزیل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مخالفة الحکم الوضعی کما هو مقتضی التنزیل الثانی مجاز، و علی مخالفة الحکم التکلیفی الأصلی کما هو مقتضی التنزیل الأوّل تقیید، و هو أولی من المجاز قطعا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أن یکون توهّم فساد نکاح العبد علی حکم بن عتبة و موافقیه ناشئا عن زعم النکاح کالقمار فی عدم الرخصة من الشارع فیه و عدم جهة الصحّة من العمومات فیه، و توهّم ذلک علی أمثال هؤلاء بعید و إن حکی عن الرجال أنّ الحکم عامی</w:t>
      </w:r>
      <w:r>
        <w:rPr>
          <w:rFonts w:eastAsia="IRNazanin" w:cs="IRNazanin"/>
          <w:color w:val="111111"/>
          <w:sz w:val="28"/>
          <w:szCs w:val="28"/>
          <w:rtl w:val="true"/>
          <w:lang w:bidi="fa-IR"/>
        </w:rPr>
        <w:t xml:space="preserve">. </w:t>
      </w:r>
      <w:bookmarkStart w:id="69" w:name="pg12880_153245"/>
    </w:p>
    <w:p>
      <w:pPr>
        <w:pStyle w:val="BookText"/>
        <w:rPr/>
      </w:pPr>
      <w:bookmarkEnd w:id="69"/>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جواب المعصوم علیه السّلام عن نکاح العبد فی بعض الروایات الأخر بأنّه لیس کإتیانه ما حرّم اللّه علیه من نکاح فی عدّة و شبهة لا یلائم التنزیل الثانی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القائلین بالتنزیل الثانی أنّ الأنسب بتصدیر السؤال عن الحکم الوضعی و هو تزویج العبد بغیر إذن سیّده و بتفریع الحکم الوضعی علی الجواب بقوله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أجازه فهو جائز هو اتحاد معنی العصیان فی النفی و الإثبات، و ظاهر أنّه فی طرف الإثبات بمعنی عدم الإذن، فیکون فی الطرف الآخر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مجرّد الأنسبیة لیس بمثابة القرینة الصارفة للحکم التکلیفی و هو العصیان إلی الحکم الوضعی و هو الإذن، أ لا تری أنّ الأفصح لا یرجّح علی الفصیح فی باب التعادل و التراجیح، إذ المتکلم الفصیح لا یجب أن یکون کلّ کلامه أفصح و إن قال به بعض فی خصوص الحدیث النبوی</w:t>
      </w:r>
      <w:r>
        <w:rPr>
          <w:rFonts w:eastAsia="IRNazanin" w:cs="IRNazanin"/>
          <w:color w:val="111111"/>
          <w:sz w:val="28"/>
          <w:szCs w:val="28"/>
          <w:rtl w:val="true"/>
          <w:lang w:bidi="fa-IR"/>
        </w:rPr>
        <w:t>.</w:t>
      </w:r>
    </w:p>
    <w:p>
      <w:pPr>
        <w:pStyle w:val="Heading6"/>
        <w:numPr>
          <w:ilvl w:val="5"/>
          <w:numId w:val="1"/>
        </w:numPr>
        <w:rPr/>
      </w:pPr>
      <w:bookmarkStart w:id="70" w:name="__RefHeading___Toc2986335_3224264995"/>
      <w:bookmarkStart w:id="71" w:name="_Toc26"/>
      <w:bookmarkEnd w:id="70"/>
      <w:r>
        <w:rPr>
          <w:rtl w:val="true"/>
        </w:rPr>
        <w:t>تنبیهان</w:t>
      </w:r>
      <w:r>
        <w:rPr>
          <w:rtl w:val="true"/>
        </w:rPr>
        <w:t>:</w:t>
      </w:r>
      <w:bookmarkEnd w:id="7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أبی حنیفة</w:t>
      </w:r>
      <w:r>
        <w:rPr>
          <w:rStyle w:val="FootnoteAnchor"/>
          <w:rtl w:val="true"/>
        </w:rPr>
        <w:footnoteReference w:id="149"/>
      </w:r>
      <w:r>
        <w:rPr>
          <w:rFonts w:ascii="IRNazanin" w:hAnsi="IRNazanin" w:eastAsia="IRNazanin"/>
          <w:color w:val="111111"/>
          <w:sz w:val="28"/>
          <w:sz w:val="28"/>
          <w:szCs w:val="28"/>
          <w:rtl w:val="true"/>
          <w:lang w:bidi="fa-IR"/>
        </w:rPr>
        <w:t>و صاحباه دلالة النهی علی الصحّة و هو علی ظاهره غیر معقول، بل هو ضروری الفساد، ضرورة أنّ النهی حقیقة فی التحریم و لیس ذلک عین الصحّة و لا مستلزما لها بوجه من الوجوه، بل الظاهر أنّهم لم یریدوا ذلک أیضا، بل مرادهم من دلالة النهی علی الصحّة دلالة المنهیّ عنه علیه إمّا لقرینة ظنیّة عامّة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الألفاظ أسامی للصحیحة عندهم، أو لقرینة قطعیة خاصّة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المنهی عنه لو لم یکن صحیحا لکان ممتنعا و غیر مقدور، و النهی عن الممتنع و غیر المقدور لغو، و علی کلّ من التقدیرین فقضیة دلالة مادّة النهی علی الصحّة بأحد القرینتین قرینة علی صرف هیئة النهی إلی الوصف لا الموصوف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 عن دعوی القرینة الظنیة اعنی کون الألفاظ أسامی للصحیحة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بمنع تحقّقها عند کثیر من المحقّقین و إن کان خلاف ما اخترناه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تحقّقها، لکن فهم العرف الفساد من الهیئة مانع عن اقتضاء تحقّقها صحّة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دعوی القرینة القطعیة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بفساد صلاة الحائض و نکاح المحارم اتّفاقا، و تخصیص القطعیات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هو أنّه إن ارید من الامتناع اللازم علی تقدیر عدم صحّة المنهیّ عنه الامتناع الأصلی قبل تطرّق النهی، فالملازمة ممنوعة، و إن ارید الامتناع العرضی الحاصل من تطرّق النهی علیه فبطلان اللازم و استلزامه اللغویة ممنوع، و حینئذ فلا بدّ من ارتکاب التأویل إمّا فی مادّة المنهیّ عنه و هو الصلاة بحملها علی الأعمّ من الصحیح، و إمّا فی هیئة النهی بتجریدها عن معنی الطلب و حملها علی نفی الحقیقة و کون المنهیّ عنه غیر مقدور للمکلّف، و کلّ من هذین التأویلین و إن کان مفیدا فی مقام الجواب، إلّا أنّ التأویل فی مفاد الهیئة الترکیبیة و هو المقدوریة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الأظهر اقتضاء النهی فساد المنهی عنه ما لم یکن نهیا توصّلیا مطلقا، سواء کان فی العبادات أو المعاملات، و سواء کان تحریمیا أو إرشادیا کاشفا عن المانعیة أو فقدان الجزء أو الشرط، فلا فرق فی اقتضاء النهی الفساد بین شی‌ء من الأقسام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الفرق فی 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مدرک الاقتضاء حسبما عرفت أنّه عرفی فی العبادات و شرعی فی المعاملات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النهی الإرشادی یقتضی الفساد مطلقا لا مع العمد فقط، و النهی التحریمی یقتضی الفساد مع العمد لا مع الجهل بالموضوع، لأنّ علّة اقتضاء </w:t>
      </w:r>
    </w:p>
    <w:p>
      <w:pPr>
        <w:pStyle w:val="BookText"/>
        <w:rPr/>
      </w:pPr>
      <w:r>
        <w:rPr>
          <w:rFonts w:ascii="IRNazanin" w:hAnsi="IRNazanin" w:eastAsia="IRNazanin"/>
          <w:color w:val="111111"/>
          <w:sz w:val="28"/>
          <w:sz w:val="28"/>
          <w:szCs w:val="28"/>
          <w:rtl w:val="true"/>
          <w:lang w:bidi="fa-IR"/>
        </w:rPr>
        <w:t>النهی الإرشادی الفساد هو المانعیة أو فقدان الجزء أو الشرط و هو من الأحکام الوضعیة التی لا دخل للعلم و الجهل فی تحقّقها، بخلاف اقتضاء النهی التحریمی الفساد، فإنّ علّة اقتضائه هو التحریم و هو من الأحکام التکلیفیة المنوطة بالعلم، فیختصّ اقتضائه الفساد بحال العلم و العمد لا بحال السهو و الجهل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الصلاة بلا قراءة إرشادی کاشف عن فقدان الجزء أو الشرط، مع أنّه لا یقتضی الفساد فی حال السهو</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اقتضائه الفساد فی حال السهو إنّما هو مقتضی قیام الدلیل الخارجی علی تدارک السهو فی القراءة بالمرغّمتان</w:t>
      </w:r>
      <w:r>
        <w:rPr>
          <w:rFonts w:eastAsia="IRNazanin" w:cs="IRNazanin"/>
          <w:color w:val="111111"/>
          <w:sz w:val="28"/>
          <w:szCs w:val="28"/>
          <w:rtl w:val="true"/>
          <w:lang w:bidi="fa-IR"/>
        </w:rPr>
        <w:t xml:space="preserve">. </w:t>
      </w:r>
      <w:bookmarkStart w:id="72" w:name="pg12880_153248"/>
    </w:p>
    <w:p>
      <w:pPr>
        <w:pStyle w:val="Heading5"/>
        <w:numPr>
          <w:ilvl w:val="4"/>
          <w:numId w:val="1"/>
        </w:numPr>
        <w:rPr/>
      </w:pPr>
      <w:bookmarkStart w:id="73" w:name="__RefHeading___Toc2986337_3224264995"/>
      <w:bookmarkStart w:id="74" w:name="_Toc27"/>
      <w:bookmarkEnd w:id="72"/>
      <w:bookmarkEnd w:id="73"/>
      <w:r>
        <w:rPr>
          <w:rtl w:val="true"/>
        </w:rPr>
        <w:t>[</w:t>
      </w:r>
      <w:r>
        <w:rPr>
          <w:rtl w:val="true"/>
        </w:rPr>
        <w:t>بحث الإجزاء</w:t>
      </w:r>
      <w:r>
        <w:rPr>
          <w:rtl w:val="true"/>
        </w:rPr>
        <w:t>]</w:t>
      </w:r>
      <w:bookmarkEnd w:id="74"/>
    </w:p>
    <w:p>
      <w:pPr>
        <w:pStyle w:val="Heading6"/>
        <w:numPr>
          <w:ilvl w:val="5"/>
          <w:numId w:val="1"/>
        </w:numPr>
        <w:rPr/>
      </w:pPr>
      <w:bookmarkStart w:id="75" w:name="__RefHeading___Toc2986339_3224264995"/>
      <w:bookmarkStart w:id="76" w:name="_Toc28"/>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اختلفوا فی دلالة الأمر علی الإجزاء و عدمه، و تحصل البصیرة فی المسألة برسم مقدّمات</w:t>
      </w:r>
      <w:r>
        <w:rPr>
          <w:rFonts w:eastAsia="IRNazanin" w:cs="IRNazanin"/>
          <w:color w:val="111111"/>
          <w:sz w:val="28"/>
          <w:szCs w:val="28"/>
          <w:rtl w:val="true"/>
          <w:lang w:bidi="fa-IR"/>
        </w:rPr>
        <w:t>:</w:t>
      </w:r>
    </w:p>
    <w:p>
      <w:pPr>
        <w:pStyle w:val="Heading6"/>
        <w:numPr>
          <w:ilvl w:val="5"/>
          <w:numId w:val="1"/>
        </w:numPr>
        <w:rPr/>
      </w:pPr>
      <w:bookmarkStart w:id="77" w:name="__RefHeading___Toc2986341_3224264995"/>
      <w:bookmarkStart w:id="78" w:name="_Toc29"/>
      <w:bookmarkEnd w:id="77"/>
      <w:r>
        <w:rPr>
          <w:rtl w:val="true"/>
        </w:rPr>
        <w:t>[ [</w:t>
      </w:r>
      <w:r>
        <w:rPr>
          <w:rtl w:val="true"/>
        </w:rPr>
        <w:t>المقدمة</w:t>
      </w:r>
      <w:r>
        <w:rPr>
          <w:rtl w:val="true"/>
        </w:rPr>
        <w:t xml:space="preserve">] </w:t>
      </w:r>
      <w:r>
        <w:rPr>
          <w:rtl w:val="true"/>
        </w:rPr>
        <w:t>الاولی</w:t>
      </w:r>
      <w:r>
        <w:rPr>
          <w:rtl w:val="true"/>
        </w:rPr>
        <w:t xml:space="preserve">: </w:t>
      </w:r>
      <w:r>
        <w:rPr>
          <w:rtl w:val="true"/>
        </w:rPr>
        <w:t>أنّ بعضهم بدّل عنوان دلالة الأمر</w:t>
      </w:r>
      <w:r>
        <w:rPr>
          <w:rtl w:val="true"/>
        </w:rPr>
        <w:t>]</w:t>
      </w:r>
      <w:bookmarkEnd w:id="78"/>
    </w:p>
    <w:p>
      <w:pPr>
        <w:pStyle w:val="BookText"/>
        <w:rPr/>
      </w:pPr>
      <w:r>
        <w:rPr>
          <w:rFonts w:ascii="IRNazanin" w:hAnsi="IRNazanin" w:eastAsia="IRNazanin"/>
          <w:color w:val="111111"/>
          <w:sz w:val="28"/>
          <w:sz w:val="28"/>
          <w:szCs w:val="28"/>
          <w:rtl w:val="true"/>
          <w:lang w:bidi="fa-IR"/>
        </w:rPr>
        <w:t>بدلالة إتیان المأمور به علی وجهه، نظرا إلی عدم دلالة مجرّد الأمر قبل إتیان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ناشئ عن توهّم أنّ المراد من دلالة الأمر علیه دلالته علیه تنجیزا و عدم التفطّن لکون المراد دلالته علیه تعلیقا علی إتیان المأمور به و من الواضح افتراق الآثار المعلّقة علی وجود شی‌ء للآثار المستندة إلی وجود ذلک الشی‌ء، أ لا تری أنّ عدم إمکان إملاء الظرف بأزید من مظروفه المقدّر فیه مستند إلی الظرف لا إلی المظروف المقدّر فیه</w:t>
      </w:r>
      <w:r>
        <w:rPr>
          <w:rFonts w:eastAsia="IRNazanin" w:cs="IRNazanin"/>
          <w:color w:val="111111"/>
          <w:sz w:val="28"/>
          <w:szCs w:val="28"/>
          <w:rtl w:val="true"/>
          <w:lang w:bidi="fa-IR"/>
        </w:rPr>
        <w:t>.</w:t>
      </w:r>
    </w:p>
    <w:p>
      <w:pPr>
        <w:pStyle w:val="Heading6"/>
        <w:numPr>
          <w:ilvl w:val="5"/>
          <w:numId w:val="1"/>
        </w:numPr>
        <w:rPr/>
      </w:pPr>
      <w:bookmarkStart w:id="79" w:name="__RefHeading___Toc2986343_3224264995"/>
      <w:bookmarkStart w:id="80" w:name="_Toc30"/>
      <w:bookmarkEnd w:id="79"/>
      <w:r>
        <w:rPr>
          <w:rtl w:val="true"/>
        </w:rPr>
        <w:t>[</w:t>
      </w:r>
      <w:r>
        <w:rPr>
          <w:rtl w:val="true"/>
        </w:rPr>
        <w:t>المقدمة الثانیة</w:t>
      </w:r>
      <w:r>
        <w:rPr>
          <w:rtl w:val="true"/>
        </w:rPr>
        <w:t xml:space="preserve">: </w:t>
      </w:r>
      <w:r>
        <w:rPr>
          <w:rtl w:val="true"/>
        </w:rPr>
        <w:t>فی دفع ما قد یتوهّم</w:t>
      </w:r>
      <w:r>
        <w:rPr>
          <w:rtl w:val="true"/>
        </w:rPr>
        <w:t>]</w:t>
      </w:r>
      <w:bookmarkEnd w:id="80"/>
    </w:p>
    <w:p>
      <w:pPr>
        <w:pStyle w:val="BookText"/>
        <w:rPr/>
      </w:pPr>
      <w:r>
        <w:rPr>
          <w:rFonts w:ascii="IRNazanin" w:hAnsi="IRNazanin" w:eastAsia="IRNazanin"/>
          <w:color w:val="111111"/>
          <w:sz w:val="28"/>
          <w:sz w:val="28"/>
          <w:szCs w:val="28"/>
          <w:rtl w:val="true"/>
          <w:lang w:bidi="fa-IR"/>
        </w:rPr>
        <w:t>من ابتناء النزاع فی الإجزاء و عدمه علی النزاع فی تابعیة القضاء للأداء و عدمه، أو علی النزاع فی المرّة و التکرار بزعم منافاة الإجزاء لتبعیة القضاء للأداء، أو للقول بالتکرار و عدم الإجزاء لعدم التابعیة أو للقول بالمرّة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اندفاع توهّم ابتناء هذه المسألة علی مسألة تبعیة القضاء للأداء و عدمه هو الفرق بین استلزام إسقاط قضاء ما لم یخلّ به، و عدم استلزام قضاء المخلّ به الذین هما معنی الإجزاء، و عدم تابعیة القضاء و أولویة القول بسقوط القضاء علی تقدیر عدم الإخلال علی القائل بسقوطه علی تقدیر الإخلال لا یوجب لزومه علیه و ابتنائه علی قوله کما توهّم، مع أنّ الأولویة علی تقدیر عدم السقوطین معدولة إلی النزاع الآتی، فلو کانت الأولویّة موجبة لترتّب أحد طرفی هذا النزاع علی النزاع </w:t>
      </w:r>
    </w:p>
    <w:p>
      <w:pPr>
        <w:pStyle w:val="BookText"/>
        <w:rPr/>
      </w:pPr>
      <w:r>
        <w:rPr>
          <w:rFonts w:ascii="IRNazanin" w:hAnsi="IRNazanin" w:eastAsia="IRNazanin"/>
          <w:color w:val="111111"/>
          <w:sz w:val="28"/>
          <w:sz w:val="28"/>
          <w:szCs w:val="28"/>
          <w:rtl w:val="true"/>
          <w:lang w:bidi="fa-IR"/>
        </w:rPr>
        <w:t>الآتی لانعکس الترتّب من أحد طرفی النزاع الآتی المقرون بالأولویة، مع أنّ الظاهر من القائل بالترتّب عدم التفصیل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اندفاع توهّم ابتنائه علی مسألة المرّة و التکرار هو ما أشار إلیه فی القوانین من أنّ نفی المرّة للغیر إنّما هو بالتنصیص، و إسقاط القضاء علی القول بالإجزاء إنّما هو من جهة عدم الدلیل، إذ بعد حصول الإجزاء حصل الامتثال، فلا أمر یمتثل به ثانیا، فیسقط للتشریع، و کذلک ثبوت فعله ثانیا فی التکرار إنّما هو بالأصالة، و التکرار فیما نحن فیه علی القول بعدم دلالته علی الإجزاء إنّما هو من باب القضاء أو الإعادة، انتهی</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افتراق هذه المسألة عن تلک المسألتین بما ذکر مبنی علی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بعدم الإجزاء و إن احتمل لإرادة عدم اقتضاء الأمر للإجزاء و لإرادة اقتضائه عدم الإجزاء، و علی کلّ منهما محتمل لإرادة السلب الکلّی الغیر المنافی للإیجاب الجزئی و لإرادة السلب کلیّة المنافی له، و علی کلّ من الاحتمالات الأربعة محتمل لإرادة التدارک من عدم الإجزاء و لإرادة مطلق التکرار منه، و علی کلّ من هذه الاحتمالات الثمانیة محتمل لإرادة استناد عدم الإجزاء إلی لفظ الأمر و لإرادة استناده إلی أمر خارج، إلّا أنّ الحقیق بالقبول و الأقرب إلی الظهور من الاحتمالات الستّة عشر هو إرادة عدم المانع من اقتضاء التدارک علی وجه الجزئیة، و من المعلوم أنّ عدم الإجزاء بمعنی عدم المانع من اقتضاء الأمر التدارک لا ینافی القول بالمرّة، سواء کانت المرّة لا بشرط أو بشرط لا، أمّا علی الأوّل فللفرق بین القول بعدم الإجزاء بمعنی تدارک ما فات و القول بالمرّة بمعنی عدم تکراره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فلما بینهما مضافا إلی ذلک الفرق فرق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نفی </w:t>
      </w:r>
      <w:bookmarkStart w:id="81" w:name="pg12880_153250"/>
    </w:p>
    <w:p>
      <w:pPr>
        <w:pStyle w:val="BookText"/>
        <w:rPr/>
      </w:pPr>
      <w:bookmarkEnd w:id="81"/>
      <w:r>
        <w:rPr>
          <w:rFonts w:ascii="IRNazanin" w:hAnsi="IRNazanin" w:eastAsia="IRNazanin"/>
          <w:color w:val="111111"/>
          <w:sz w:val="28"/>
          <w:sz w:val="28"/>
          <w:szCs w:val="28"/>
          <w:rtl w:val="true"/>
          <w:lang w:bidi="fa-IR"/>
        </w:rPr>
        <w:t>المرّة للغیر إنّما هو بالتنصیص و المنطوق، و نفی عدم الإجزاء للغیر إنّما هو بالسکوت و المفهوم، نظرا إلی أنّ السکوت فی مقام البیان مفهومه بیان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ارید من عدم الإجزاء التکرار لا التدارک کان منافیا للقول بالمرّة، إلّا أنّه خلاف الظاهر و مستلزم لکون النزاع بینه و بین الإجزاء لفظی، بل الظاهر ما عرفت من أنّ القائل بعدم الإجزاء إنّما یرید عدم المانع من اقتضاء الأمر التدارک، و علی ذلک فلا بدّ و أن یکون مراد القائل بالإجزاء فی قبال ذلک هو وجود المانع من اقتضائه التدارک، لکن لا بمعنی أنّ منطوق الأمر نصّ فی عدم اقتضاء التدارک حتی ینافی القول بالتکرار و یبتنی علی القول بالمرّة، بل بمعنی أنّ مفهوم الأمر و سکوته عن عدم اقتضاء التدارک نصّ فی ذلک، نظرا إلی أنّ السکوت فی مقام البیان له مفهوم</w:t>
      </w:r>
      <w:r>
        <w:rPr>
          <w:rFonts w:eastAsia="IRNazanin" w:cs="IRNazanin"/>
          <w:color w:val="111111"/>
          <w:sz w:val="28"/>
          <w:szCs w:val="28"/>
          <w:rtl w:val="true"/>
          <w:lang w:bidi="fa-IR"/>
        </w:rPr>
        <w:t>.</w:t>
      </w:r>
    </w:p>
    <w:p>
      <w:pPr>
        <w:pStyle w:val="Heading6"/>
        <w:numPr>
          <w:ilvl w:val="5"/>
          <w:numId w:val="1"/>
        </w:numPr>
        <w:rPr/>
      </w:pPr>
      <w:bookmarkStart w:id="82" w:name="__RefHeading___Toc2986345_3224264995"/>
      <w:bookmarkStart w:id="83" w:name="_Toc31"/>
      <w:bookmarkEnd w:id="82"/>
      <w:r>
        <w:rPr>
          <w:rtl w:val="true"/>
        </w:rPr>
        <w:t>[</w:t>
      </w:r>
      <w:r>
        <w:rPr>
          <w:rtl w:val="true"/>
        </w:rPr>
        <w:t>المقدمة الثالثة</w:t>
      </w:r>
      <w:r>
        <w:rPr>
          <w:rtl w:val="true"/>
        </w:rPr>
        <w:t xml:space="preserve">: </w:t>
      </w:r>
      <w:r>
        <w:rPr>
          <w:rtl w:val="true"/>
        </w:rPr>
        <w:t>فی تفسیر المفردات الواقعة فی العنوان</w:t>
      </w:r>
      <w:r>
        <w:rPr>
          <w:rtl w:val="true"/>
        </w:rPr>
        <w:t>]</w:t>
      </w:r>
      <w:bookmarkEnd w:id="83"/>
    </w:p>
    <w:p>
      <w:pPr>
        <w:pStyle w:val="BookText"/>
        <w:rPr/>
      </w:pPr>
      <w:r>
        <w:rPr>
          <w:rFonts w:ascii="IRNazanin" w:hAnsi="IRNazanin" w:eastAsia="IRNazanin"/>
          <w:color w:val="111111"/>
          <w:sz w:val="28"/>
          <w:sz w:val="28"/>
          <w:szCs w:val="28"/>
          <w:rtl w:val="true"/>
          <w:lang w:bidi="fa-IR"/>
        </w:rPr>
        <w:t>و بیان المراد منها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الإجزاء لغة فهو الکفایة، و اصطلاحا فله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التعبّد به، و الآخر إسقاط القضاء، و التعبیر عن الإجزاء بالإسقاط و إن کان أوفق بحسب اللفظ من التعبیر عنه بالسقوط، إلّا أنّ التعبیر بالسقوط بحسب المعنی أوفق منه، و ذلک لأنّ الإجزاء بأحد معنییه لا یساوی الصحّة بأحد معنییها، بل هو من لوازمها، و التعبیر عنه بالإسقاط یوهم المساواة و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المناسب باتّفاقهم علی اقتضاء الأمر الإجزاء بالمعنی الأوّل و اختلافهم فی اقتضائه بالمعنی الثانی هو التعبیر عن المعنی الأوّل بمجرّد حصول الامتثال و لو فی الجملة حتی یفترق عن المعنی المختلف فیه بالعموم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المناسب بکون الإجزاء من مدالیل الألفاظ هو التعبیر عن المعنی الثانی بسقوط التعبّد به مطلقا، أی فی خارج الوقت و داخله، لا تفصیلا بین خارج الوقت </w:t>
      </w:r>
    </w:p>
    <w:p>
      <w:pPr>
        <w:pStyle w:val="BookText"/>
        <w:rPr/>
      </w:pPr>
      <w:r>
        <w:rPr>
          <w:rFonts w:ascii="IRNazanin" w:hAnsi="IRNazanin" w:eastAsia="IRNazanin"/>
          <w:color w:val="111111"/>
          <w:sz w:val="28"/>
          <w:sz w:val="28"/>
          <w:szCs w:val="28"/>
          <w:rtl w:val="true"/>
          <w:lang w:bidi="fa-IR"/>
        </w:rPr>
        <w:t>و داخله کما یوهمه التعبیر بسقوط القضاء، و ممّن صرح بالأنسبیة المذکورة صاحب القوانین</w:t>
      </w:r>
      <w:r>
        <w:rPr>
          <w:rStyle w:val="FootnoteAnchor"/>
          <w:rtl w:val="true"/>
        </w:rPr>
        <w:footnoteReference w:id="151"/>
      </w:r>
      <w:r>
        <w:rPr>
          <w:rFonts w:ascii="IRNazanin" w:hAnsi="IRNazanin" w:eastAsia="IRNazanin"/>
          <w:color w:val="111111"/>
          <w:sz w:val="28"/>
          <w:sz w:val="28"/>
          <w:szCs w:val="28"/>
          <w:rtl w:val="true"/>
          <w:lang w:bidi="fa-IR"/>
        </w:rPr>
        <w:t>، إلّا أنّه علّل أنسبیّة التعبیر عن سقوط القضاء بسقوط التعبّد به مطلقا بایهام خلاف المقصود منطوقا و مفهوما، و هو ممکن الاندفاع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توجیه إیهام منطوقه خلاف المقصود فلشمول منطوق الإجزاء ما أسقط القضاء و إن لم یسقط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اندفاعه فلأنّ ما یقرع السمع من انفکاک سقوط القضاء عن سقوط الإعادة فی ناسی القصر إنّما هو بواسطة انقلاب موضوع الحکم بالتذکّر و عدمه، و إلّا فمع عدم التذکر فی الوقت سقط عنه القضاء و الإعادة معا، و مع التذکّر فی الوقت لم یسقطا عنه، بل وجب علیه الإعادة فی الوقت و القضاء فی خارجه علی تقدیر عدم الإتیان بها، کما هو الحال فی کلّ ما یجب فیه القضاء، فاندفع إیهام انفکاک سقوط القضاء عن سقوط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توجیه إیهام مفهومه خلاف المقصود، فلشمول عدم الإجزاء ما لا یسقط القضاء و إن أسقط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اندفاعه، فلأنّ ما یقرع السمع من انفکاک عدم سقوط القضاء عن عدم سقوط الإعادة إنّما هو مجرّد احتمال عقلی لا وقوع له شرعا، و وقوعه فی الصوم عن المعیّن إنّما هو من باب تعذّر الإعادة لا سقوطه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النسبة بین معنی الإجزاء هو النسبة بین معنی الصحّة حسبما مرّ فی مقدّمات المسألة السابقة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الإجزاء بالمعنی الأوّل و هو حصول الامتثال لازم للصحّة بالمعنی الأوّل و هو موافقة الأمر، و ملزوم للصحّة بالمعنی الثانی و هو إسقاط القضاء، و الإجزاء </w:t>
      </w:r>
    </w:p>
    <w:p>
      <w:pPr>
        <w:pStyle w:val="BookText"/>
        <w:rPr/>
      </w:pPr>
      <w:r>
        <w:rPr>
          <w:rFonts w:ascii="IRNazanin" w:hAnsi="IRNazanin" w:eastAsia="IRNazanin"/>
          <w:color w:val="111111"/>
          <w:sz w:val="28"/>
          <w:sz w:val="28"/>
          <w:szCs w:val="28"/>
          <w:rtl w:val="true"/>
          <w:lang w:bidi="fa-IR"/>
        </w:rPr>
        <w:t>بالمعنی الثانی و هو سقوط التعبّد به لازم للصحّة بکلّ من معنییها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من الدلالة فی المقام فقد تبیّن أنّه الدلالة الالتزامیة العقلیّة بتقریب أنّ السکوت فی مقام البیان بضمیمة قبح التکلیف عقلا من غیر بیان هل یستلزم مفهوما عقلیا و هو الإجزاء، أم لا، و لهذا عدّه بعضهم فی طیّ المسائل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جعل هذا المفهوم من اللوازم اللفظیة للأمر، إلّا أنّه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یلائم أدلّة القول بالإجزاء، لأنّها عقلیة لا 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یلائم ذهاب المشهور إلی الإجزاء، فإنّ الأمر لا یزید علی اللقب بحسب مقتضی اللفظ، فذهاب المشهور إلی عدم اقتضاء لفظ اللقب مفهوما لا یلائم ذهابهم إلی اقتضاء لفظ الأمر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القوانین</w:t>
      </w:r>
      <w:r>
        <w:rPr>
          <w:rStyle w:val="FootnoteAnchor"/>
          <w:rtl w:val="true"/>
        </w:rPr>
        <w:footnoteReference w:id="152"/>
      </w:r>
      <w:r>
        <w:rPr>
          <w:rFonts w:ascii="IRNazanin" w:hAnsi="IRNazanin" w:eastAsia="IRNazanin"/>
          <w:color w:val="111111"/>
          <w:sz w:val="28"/>
          <w:sz w:val="28"/>
          <w:szCs w:val="28"/>
          <w:rtl w:val="true"/>
          <w:lang w:bidi="fa-IR"/>
        </w:rPr>
        <w:t>من تفسیر الإجزاء بعدم اقتضائه التعبّد به و عدم الإجزاء باقتضائه ذلک، فیمکن تنزیله علی أنّ المراد من تفسیر الإجزاء بعدم الاقتضاء هو عدم الاقتضاء من جهة المنطوق، لا عدم الاقتضاء من کلّ جهة حتی یتوجّه إیراد الفصول</w:t>
      </w:r>
      <w:r>
        <w:rPr>
          <w:rStyle w:val="FootnoteAnchor"/>
          <w:rtl w:val="true"/>
        </w:rPr>
        <w:footnoteReference w:id="153"/>
      </w:r>
      <w:r>
        <w:rPr>
          <w:rFonts w:ascii="IRNazanin" w:hAnsi="IRNazanin" w:eastAsia="IRNazanin"/>
          <w:color w:val="111111"/>
          <w:sz w:val="28"/>
          <w:sz w:val="28"/>
          <w:szCs w:val="28"/>
          <w:rtl w:val="true"/>
          <w:lang w:bidi="fa-IR"/>
        </w:rPr>
        <w:t>بأنّ تفسیر الإجزاء بعدم الاقتضاء خلاف مقتضی عناوینهم و حججهم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المراد من الأمر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ینقسم الأمر إلی الأمر الواقعی الاختیاری کالصلاة مع یقین الطهارة، و إلی الأمر الواقعی الاضطراری کالتکالیف الاضطراریة مثل التقیّة عند الخوف و التیمّم لفقد الماء و نحوهما، و إلی الأمر الظاهری الشرعی کالصلاة بظنّ الطهارة و نحوه من الظنون التی نصّ الشارع باعتبارها بالخصوص، و إلی الظاهریّ العقلی و هو کالظاهری الشرعی، لکنّ الفرق أنّ الحاکم بأنّ هذا هو المکلّف به ظاهرا فی الظاهری الشرعی هو الشرع، لعدم استقلال العقل فیه، و هنا الحاکم هو العقل، لاستقلاله فی الإدراک کحکم العقل بأنّ تکلیف الناسی عن أجزاء </w:t>
      </w:r>
    </w:p>
    <w:p>
      <w:pPr>
        <w:pStyle w:val="BookText"/>
        <w:rPr/>
      </w:pPr>
      <w:r>
        <w:rPr>
          <w:rFonts w:ascii="IRNazanin" w:hAnsi="IRNazanin" w:eastAsia="IRNazanin"/>
          <w:color w:val="111111"/>
          <w:sz w:val="28"/>
          <w:sz w:val="28"/>
          <w:szCs w:val="28"/>
          <w:rtl w:val="true"/>
          <w:lang w:bidi="fa-IR"/>
        </w:rPr>
        <w:t>الصلاة و الجاهل المرکّب هو ما اعتقده حذرا عن التکلیف بما لا یطاق و حکمه بأنّ تکلیف القاصر عن تحصیل العلم عند عدم إمکان الاحتیاط هو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أنّه إن ارید من الأمر العقلی مجرّد معذوریة الناسی و الجاهل المرکّب عمّا نساه و جهله ففی التعبیر عنه بالأمر و الحکم العقلی تسامح، و إن ارید منه دعوی إنشاء العقل أمر و حکم حقیقیّ وراء المعذوریّة فمن المعلوم عدم المقتضی له عقلا، ضرورة أنّ العذر عن التکلیف بما لا یطاق إنّما یقتضی عدم التکلیف به، لا التکلیف بعدمه، و بینهما فرق واضح، فإنّ عدم التکلیف بالشی‌ء لا یقتضی الإجزاء و لا حرمة العمل به، بخلاف التکلیف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فداخل فی محلّ النزاع بشهادة أدلّة القول بالإجزاء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صاحب الضوابط</w:t>
      </w:r>
      <w:r>
        <w:rPr>
          <w:rStyle w:val="FootnoteAnchor"/>
          <w:rtl w:val="true"/>
        </w:rPr>
        <w:footnoteReference w:id="154"/>
      </w:r>
      <w:r>
        <w:rPr>
          <w:rFonts w:ascii="IRNazanin" w:hAnsi="IRNazanin" w:eastAsia="IRNazanin"/>
          <w:color w:val="111111"/>
          <w:sz w:val="28"/>
          <w:sz w:val="28"/>
          <w:szCs w:val="28"/>
          <w:rtl w:val="true"/>
          <w:lang w:bidi="fa-IR"/>
        </w:rPr>
        <w:t>خروجه عن محلّ النزاع للاتفاق علی الإجزاء فیه فلعلّه ناظر إلی وضوح فساد القول بعدم الإجزاء فیه و عدم معقولیته، و لکن وضوح فساد القول لا یقتضی عدم القائل به کما نشاهد ذلک فی کثیر من المسائل المتنازع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الأقسام الثلاثة فهی قبل کشف الفساد کالقسم الأوّل فی دخولها فی هذا النزاع، و دعوی صاحب الضوابط</w:t>
      </w:r>
      <w:r>
        <w:rPr>
          <w:rStyle w:val="FootnoteAnchor"/>
          <w:rtl w:val="true"/>
        </w:rPr>
        <w:footnoteReference w:id="155"/>
      </w:r>
      <w:r>
        <w:rPr>
          <w:rFonts w:ascii="IRNazanin" w:hAnsi="IRNazanin" w:eastAsia="IRNazanin"/>
          <w:color w:val="111111"/>
          <w:sz w:val="28"/>
          <w:sz w:val="28"/>
          <w:szCs w:val="28"/>
          <w:rtl w:val="true"/>
          <w:lang w:bidi="fa-IR"/>
        </w:rPr>
        <w:t>أیضا الاتّفاق علی الإجزاء فیها فلعلّه ناظر إلی ما ذکرنا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بعد کشف الفساد و إن کان دخولها فی محلّ النزاع أقرب من دخولها قبل الانکشاف، إلّا أنّ النزاع فیها بعد کشف الفساد راجع إلی النزاع فی المسألة الفقهیة لا الاصولیة، و ذلک لأنّ إجزاء البدل عن المبدل بعد زوال التعذّر عن المبدل لا یندرج تحت أصل، بل الظاهر أنّه یختلف باختلاف الموارد، و اختلاف مفاد أدلّة </w:t>
      </w:r>
      <w:bookmarkStart w:id="84" w:name="pg12880_153254"/>
    </w:p>
    <w:p>
      <w:pPr>
        <w:pStyle w:val="BookText"/>
        <w:rPr/>
      </w:pPr>
      <w:bookmarkEnd w:id="84"/>
      <w:r>
        <w:rPr>
          <w:rFonts w:ascii="IRNazanin" w:hAnsi="IRNazanin" w:eastAsia="IRNazanin"/>
          <w:color w:val="111111"/>
          <w:sz w:val="28"/>
          <w:sz w:val="28"/>
          <w:szCs w:val="28"/>
          <w:rtl w:val="true"/>
          <w:lang w:bidi="fa-IR"/>
        </w:rPr>
        <w:t xml:space="preserve">التکلیف بالبدل، و أدلّة حجیّة الامارة، فلا بدّ من ملاحظة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التکلیف بالبدل فی کلّ مورد من موارد تعذّر المبدل هل تفید الإجزاء المقیّد الدائر مدار التعذر وجودا و عدما فیجب علیه الإعادة فی الوقت إذا زال التعذّر، أو تفید الإجزاء المطلق الغیر الدائر مدار ذلک، فلا یجب علیه الإعادة، و کذا من ملاحظة مفاد أدلّة حجیّة الأمارة هل تفید اعتبارها من باب الطریقیة و المرآتیة للواقع فیجب علیه الإعادة بعد کشف الفساد أو من باب الموضوعیة فلا یجب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هذه المقدّمات فاعلم أنّ للنزاع مرحلتان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إجزاء الأوامر قبل کشف الفساد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موافقة کلّ من الأمر الواقعی و الظاهری هل یقتضی سقوط القضاء بالنسبة إلیه أولا، و هو من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إجزاء الأوامر بعد کشف الفساد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الأمر الظاهری هل یقتضی سقوط القضاء بالنسبة إلی الأمر الواقعی أولا، و هو من المسائل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النزاع فی المرحلة الاولی فتفصیله أنّه اختلف الاصولیّون فی أنّ القسم الأوّل من الأمر و سائر أقسامه قبل کشف الفساد هل یقتضی الإجزاء بمعنی سقوط التعبّد به؟ بعد اتّفاقهم علی اقتضائه الامتثال علی قولین المشهور، نعم و المخالف أبو هاشم و عبد الجبّار</w:t>
      </w:r>
      <w:r>
        <w:rPr>
          <w:rFonts w:eastAsia="IRNazanin" w:cs="IRNazanin"/>
          <w:color w:val="111111"/>
          <w:sz w:val="28"/>
          <w:szCs w:val="28"/>
          <w:rtl w:val="true"/>
          <w:lang w:bidi="fa-IR"/>
        </w:rPr>
        <w:t>.</w:t>
      </w:r>
    </w:p>
    <w:p>
      <w:pPr>
        <w:pStyle w:val="Heading6"/>
        <w:numPr>
          <w:ilvl w:val="5"/>
          <w:numId w:val="1"/>
        </w:numPr>
        <w:rPr/>
      </w:pPr>
      <w:bookmarkStart w:id="85" w:name="__RefHeading___Toc2986347_3224264995"/>
      <w:bookmarkStart w:id="86" w:name="_Toc32"/>
      <w:bookmarkEnd w:id="85"/>
      <w:r>
        <w:rPr>
          <w:rtl w:val="true"/>
        </w:rPr>
        <w:t>[</w:t>
      </w:r>
      <w:r>
        <w:rPr>
          <w:rtl w:val="true"/>
        </w:rPr>
        <w:t>لنا علی الإجزاء فیه وجوه</w:t>
      </w:r>
      <w:r>
        <w:rPr>
          <w:rtl w:val="true"/>
        </w:rPr>
        <w:t>:]</w:t>
      </w:r>
      <w:bookmarkEnd w:id="8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العقل و العرف و الشرع علی أنّ الامتثال یستلزم سقوط القضاء و التکلیف، و مع سقوطهما لا یعقل امتثال، لأنّ الامتثال هو موافقة الأمر فلا معنی للامتثال عقیب الامتثال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إتیان المأمور به علی وجهه یستلزم عدم فوات المصلحة المقصودة بإتیانه، فالإتیان ثانیا إن کان عین المأتی به أوّلا فهو تحصیل للحاصل، و إن کان </w:t>
      </w:r>
      <w:bookmarkStart w:id="87" w:name="pg12880_153255"/>
    </w:p>
    <w:p>
      <w:pPr>
        <w:pStyle w:val="BookText"/>
        <w:rPr/>
      </w:pPr>
      <w:bookmarkEnd w:id="87"/>
      <w:r>
        <w:rPr>
          <w:rFonts w:ascii="IRNazanin" w:hAnsi="IRNazanin" w:eastAsia="IRNazanin"/>
          <w:color w:val="111111"/>
          <w:sz w:val="28"/>
          <w:sz w:val="28"/>
          <w:szCs w:val="28"/>
          <w:rtl w:val="true"/>
          <w:lang w:bidi="fa-IR"/>
        </w:rPr>
        <w:t>غیر المأتی به أوّلا فهو خلاف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إتیان المأمور به علی وجهه أوّلا لو لم یستلزم سقوط التعبد به ثانیا لکان الإتیان به ثانیا و ثالثا فصاعدا لم یستلزم ذلک أیضا، و حینئذ فإن انتهی الإتیان به فی أحد المراتب إلی استلزام السقوط لزم الترجیح بلا مرجّح، و إلّا لزم التسلسل و عدم الخروج عن عهدة التکلیف، و قد تقرّر بعض ما ذکرنا من الاحتجاج فی الفصول</w:t>
      </w:r>
      <w:r>
        <w:rPr>
          <w:rStyle w:val="FootnoteAnchor"/>
          <w:rtl w:val="true"/>
        </w:rPr>
        <w:footnoteReference w:id="156"/>
      </w:r>
      <w:r>
        <w:rPr>
          <w:rFonts w:ascii="IRNazanin" w:hAnsi="IRNazanin" w:eastAsia="IRNazanin"/>
          <w:color w:val="111111"/>
          <w:sz w:val="28"/>
          <w:sz w:val="28"/>
          <w:szCs w:val="28"/>
          <w:rtl w:val="true"/>
          <w:lang w:bidi="fa-IR"/>
        </w:rPr>
        <w:t>و القوانین</w:t>
      </w:r>
      <w:r>
        <w:rPr>
          <w:rStyle w:val="FootnoteAnchor"/>
          <w:rtl w:val="true"/>
        </w:rPr>
        <w:footnoteReference w:id="157"/>
      </w:r>
      <w:r>
        <w:rPr>
          <w:rFonts w:ascii="IRNazanin" w:hAnsi="IRNazanin" w:eastAsia="IRNazanin"/>
          <w:color w:val="111111"/>
          <w:sz w:val="28"/>
          <w:sz w:val="28"/>
          <w:szCs w:val="28"/>
          <w:rtl w:val="true"/>
          <w:lang w:bidi="fa-IR"/>
        </w:rPr>
        <w:t>بما لا یسلم عن الإیراد، فلا تغفل</w:t>
      </w:r>
      <w:r>
        <w:rPr>
          <w:rFonts w:eastAsia="IRNazanin" w:cs="IRNazanin"/>
          <w:color w:val="111111"/>
          <w:sz w:val="28"/>
          <w:szCs w:val="28"/>
          <w:rtl w:val="true"/>
          <w:lang w:bidi="fa-IR"/>
        </w:rPr>
        <w:t>.</w:t>
      </w:r>
    </w:p>
    <w:p>
      <w:pPr>
        <w:pStyle w:val="Heading6"/>
        <w:numPr>
          <w:ilvl w:val="5"/>
          <w:numId w:val="1"/>
        </w:numPr>
        <w:rPr/>
      </w:pPr>
      <w:bookmarkStart w:id="88" w:name="__RefHeading___Toc2986349_3224264995"/>
      <w:bookmarkStart w:id="89" w:name="_Toc33"/>
      <w:bookmarkEnd w:id="88"/>
      <w:r>
        <w:rPr>
          <w:rtl w:val="true"/>
        </w:rPr>
        <w:t>[</w:t>
      </w:r>
      <w:r>
        <w:rPr>
          <w:rtl w:val="true"/>
        </w:rPr>
        <w:t>حجّة القول بعدم الإجزاء فیه</w:t>
      </w:r>
      <w:r>
        <w:rPr>
          <w:rtl w:val="true"/>
        </w:rPr>
        <w:t>]</w:t>
      </w:r>
      <w:bookmarkEnd w:id="89"/>
    </w:p>
    <w:p>
      <w:pPr>
        <w:pStyle w:val="BookText"/>
        <w:rPr/>
      </w:pPr>
      <w:r>
        <w:rPr>
          <w:rFonts w:ascii="IRNazanin" w:hAnsi="IRNazanin" w:eastAsia="IRNazanin"/>
          <w:color w:val="111111"/>
          <w:sz w:val="28"/>
          <w:sz w:val="28"/>
          <w:szCs w:val="28"/>
          <w:rtl w:val="true"/>
          <w:lang w:bidi="fa-IR"/>
        </w:rPr>
        <w:t>أنّه لو سقط لسقط قضاء الحجّ بإتمام فاسده، لتعلّق الأمر به، و أنّه لا یسقط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أنّ الثانی قضاء بالمعنی الذی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القضاء لیس للمأتی به، بل للذی لم یؤت به و هو الحج الصحیح، و أمّا وجوب إتمام الفاسد فلیس للأمر بالحج، بل لأمر آخر، فهو مجز عن الأمر الثانی، لوقوعه علی وجهه، و لهذا لا یقضی فاسدا و غیر مجز عن الأمر الأوّل، إذ لم یأت به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یوجه القول بعدم الإجزاء بأنّ المقصود من عدم الإجزاء بقاء حسن الفعل و فوات وجوبه بفوات الوقت، لا بقاء وجوبه و فوات حسنه بفوات الوقت، فلا مانع من اقتضاء الأمر إتیانه ثانیا، لبقاء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المراد اقتضاء الأمر إتیانه ثانیا علی وجه الإعادة و الاستقلال فهو خارج عن محلّ النزاع و الفرض</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اقتضاء الأمر إتیانه ثانیا علی وجه التدارک لبقاء حسن مرکوز فی نفس الأمر قد أبرزه الأمر الثانی فهو مبنی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بقاء الجواز بعد نسخ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جواز تأخیر البیان عن وقت العمل، و کلا المبنیین خلاف </w:t>
      </w:r>
    </w:p>
    <w:p>
      <w:pPr>
        <w:pStyle w:val="BookText"/>
        <w:rPr/>
      </w:pPr>
      <w:r>
        <w:rPr>
          <w:rFonts w:ascii="IRNazanin" w:hAnsi="IRNazanin" w:eastAsia="IRNazanin"/>
          <w:color w:val="111111"/>
          <w:sz w:val="28"/>
          <w:sz w:val="28"/>
          <w:szCs w:val="28"/>
          <w:rtl w:val="true"/>
          <w:lang w:bidi="fa-IR"/>
        </w:rPr>
        <w:t>التحقیق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إتیان المأمور به ثانیا بهذا التوجیه راجع إلی عدم إتیان المأمور به الأوّل علی وجهه و هو خلاف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النزاع فی المرحلة الثانیة فنقول فی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القسم الثانی و هو الأمر الواقعی الاضطراری فقد ادّعی استادنا العلّامة دام ظلّه إجزائه عن الأمر الواقعی الاختیاری باستقراء جمیع موارده من الفقه، مضافا إلی بناء العقلاء علی الاکتفاء بالبدل و إلی فهم العرف البدلیة علی الإطلاق فی الدلیل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کلّا من الاستقراء و بناء العقلاء و فهم العرف الإجزاء دلیل اجتهادی لا یقاومه الدلیل العملی من استصحاب عدم إجزاء البدل عن المبدل بقاعدة الاشتغال، فمفاد البدل فی حال الاضطرار إنّما هو تقیید المبدل و تخصیصه بحال الاختیار لا تکثیره و تضعیفه علی حال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عدم الإجزاء فی المقام تمسّکا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أفطر یوما و اقضی یوما بدله أحبّ إلیّ من أن یضرب عنقی</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تفریط ناشئ عن عدم التفطّن لکون عدم إجزاء الأمر ببدلیة الإفطار تقیّة عن سقوط قضاء الصوم إنّما هو مقتضی الدلیل الخارجی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المحکی عن بعض الأفاضل من التمسّک بالإجزاء فی جواز دخول المتیمم فی الصلاة إذا زال تعذّره قبل الدخول فیه لو لا المانع الخارجی من الإجماع إفراط ناشئ عن الخلط بین الإجزاء بالمعنی المصطلح و غیره، فإنّ الإجزاء بالمعنی المصطلح فیما انکشف فساده هو الاکتفاء بالمنکشف قبل الانکشاف لا بعده،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الاکتفاء بالمشکوک اکتفائه بعد الانکشاف، لا بالمشکوک استبقائه بعد الانکشاف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الإجزاء فی المقام إنّما هو إجزاء الأوامر النفسیة الاضطراریّة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ترتّب الآثار المستمرّة دون الأوامر الغیریة الاضطراریة بالنسبة إلی بعد الاضطرار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ترتّب الآثار المتجدّدة، فتغسیل الکافرة المسلمة عند التعذّر مجز عن إعادة الغسل بعد زوال التعذّر، لکون الغایة المترتّبة علی غسل المیت من الغایات المستمرّة، بخلاف غسل الجنابة مع الجبیرة، فإنّ ترتّب جواز الدخول معه فی الصلاة بعد إبراء الجرح إنّما هو من الغایات المتجدّدة، و ترتّب الغایات المتجدّدة خارج عن معنی الإجزاء اللغوی فی الحقیقة فضلا عن الإجزاء الاصطلاحی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و هو الأمر الظاهری الشرعی فقد عرفت ابتناء النزاع فی إجزائه عن الأمر الواقعی بعد کشف الفساد علی تشخیص کون اعتبارها هل هو علی وجه الطریقیة و المرآتیة للواقع کما اختاره صاحب الفصول</w:t>
      </w:r>
      <w:r>
        <w:rPr>
          <w:rStyle w:val="FootnoteAnchor"/>
          <w:rtl w:val="true"/>
        </w:rPr>
        <w:footnoteReference w:id="159"/>
      </w:r>
      <w:r>
        <w:rPr>
          <w:rFonts w:ascii="IRNazanin" w:hAnsi="IRNazanin" w:eastAsia="IRNazanin"/>
          <w:color w:val="111111"/>
          <w:sz w:val="28"/>
          <w:sz w:val="28"/>
          <w:szCs w:val="28"/>
          <w:rtl w:val="true"/>
          <w:lang w:bidi="fa-IR"/>
        </w:rPr>
        <w:t>و المناهج</w:t>
      </w:r>
      <w:r>
        <w:rPr>
          <w:rStyle w:val="FootnoteAnchor"/>
          <w:rtl w:val="true"/>
        </w:rPr>
        <w:footnoteReference w:id="160"/>
      </w:r>
      <w:r>
        <w:rPr>
          <w:rFonts w:ascii="IRNazanin" w:hAnsi="IRNazanin" w:eastAsia="IRNazanin"/>
          <w:color w:val="111111"/>
          <w:sz w:val="28"/>
          <w:sz w:val="28"/>
          <w:szCs w:val="28"/>
          <w:rtl w:val="true"/>
          <w:lang w:bidi="fa-IR"/>
        </w:rPr>
        <w:t>و الرسائل قدّس سرّهم أو علی وجه الموضوعیة و الاستقلال کما اختاره صاحب القوانین</w:t>
      </w:r>
      <w:r>
        <w:rPr>
          <w:rStyle w:val="FootnoteAnchor"/>
          <w:rtl w:val="true"/>
        </w:rPr>
        <w:footnoteReference w:id="161"/>
      </w:r>
      <w:r>
        <w:rPr>
          <w:rFonts w:ascii="IRNazanin" w:hAnsi="IRNazanin" w:eastAsia="IRNazanin"/>
          <w:color w:val="111111"/>
          <w:sz w:val="28"/>
          <w:sz w:val="28"/>
          <w:szCs w:val="28"/>
          <w:rtl w:val="true"/>
          <w:lang w:bidi="fa-IR"/>
        </w:rPr>
        <w:t>و الضوابط</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صاحب الفصول رحمه اللّه علی عدم إجزائه بأنّ الأحکام الشرعیة سواء کانت تکلیفیة أو وضعیة إنّما تتبع متعلّقاتها الواقعیة لا الاعتقادیة علما کان أو ظنّا، لأنّ الألفاظ التی تعلّقت تلک الأحکام بها موضوعة بإزاء المعانی الواقعیة علی ما یشهد به صریح العرف و اللغة، و أمّا العلم أو ما یقوم مقامه فإنّما هو طریق إلیها، فلا یعتبر إلّا من حیث کونه کاشفا عنها موصلا إلیها، فالمکلّف فی الفرض المذکور </w:t>
      </w:r>
    </w:p>
    <w:p>
      <w:pPr>
        <w:pStyle w:val="BookText"/>
        <w:rPr/>
      </w:pPr>
      <w:r>
        <w:rPr>
          <w:rFonts w:ascii="IRNazanin" w:hAnsi="IRNazanin" w:eastAsia="IRNazanin"/>
          <w:color w:val="111111"/>
          <w:sz w:val="28"/>
          <w:sz w:val="28"/>
          <w:szCs w:val="28"/>
          <w:rtl w:val="true"/>
          <w:lang w:bidi="fa-IR"/>
        </w:rPr>
        <w:t>مأمور بالصلاة المقرونة بالطهارة الواقعیة، و قد جعل الشارع له مضافا إلی العلم الذی هو طریق عقلی طرقا أخر، فإذا عوّل علی بعض تلک الطرق ثمّ انکشف له فساده من عدم إیصاله إلی الواقع تبیّن أنّه لم یأت بما أمر الشارع به من الصلاة المقرونة بالطهارة الواقعیة، فیلزم استدراکها و لو خارج الوقت، لصدق الفوات فی حقّه، غایة ما فی الباب أن لا یکون آثما به، لتحقّق العذر فی حقّه إلی آخر بیانه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 صاحب القوانین</w:t>
      </w:r>
      <w:r>
        <w:rPr>
          <w:rStyle w:val="FootnoteAnchor"/>
          <w:rtl w:val="true"/>
        </w:rPr>
        <w:footnoteReference w:id="164"/>
      </w:r>
      <w:r>
        <w:rPr>
          <w:rFonts w:ascii="IRNazanin" w:hAnsi="IRNazanin" w:eastAsia="IRNazanin"/>
          <w:color w:val="111111"/>
          <w:sz w:val="28"/>
          <w:sz w:val="28"/>
          <w:szCs w:val="28"/>
          <w:rtl w:val="true"/>
          <w:lang w:bidi="fa-IR"/>
        </w:rPr>
        <w:t>و الضوابط</w:t>
      </w:r>
      <w:r>
        <w:rPr>
          <w:rStyle w:val="FootnoteAnchor"/>
          <w:rtl w:val="true"/>
        </w:rPr>
        <w:footnoteReference w:id="165"/>
      </w:r>
      <w:r>
        <w:rPr>
          <w:rFonts w:ascii="IRNazanin" w:hAnsi="IRNazanin" w:eastAsia="IRNazanin"/>
          <w:color w:val="111111"/>
          <w:sz w:val="28"/>
          <w:sz w:val="28"/>
          <w:szCs w:val="28"/>
          <w:rtl w:val="true"/>
          <w:lang w:bidi="fa-IR"/>
        </w:rPr>
        <w:t>علی إجزاء الأمر الظاهری الشرعی عن الواقع ببناء العقلاء علی الاکتفاء به علی الإطلاق، مضافا إلی فهم العرف فی اللفظیات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ذلک بما ینطبق علی مذهبه أنّ التکلیف الواقع موقوف علی إمکان تحقق الامتثال عقلا و عرفا، و إمکان تحقّقه کذلک منحصر بصورة العلم التفصیلی به، ففی ما عدی العلم التفصیلی کصورة الشک أو العلم الإجمالی أو الظنّ التفصیلی لم یثبت تنجّز تکلیف واقعی وراء التکلیف الظاهری علی المکلّف، و مقتضی البراءة و عدم الدلیل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التکالیف معانیها الواقعیة حال العلم بها و لو بالقوة و الإمکان بشهادة العرف و العادة، فالمدار فی الخطابات علی ما علم صدق الإسم علیه، فالمخاطب إذا لم یقدر علی العلم لم یکن مخاطبا و إن أمکن له الامتثال، فالخطابات غیر عامّة لهذه الحالة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توجیه ذلک بالمثال الخارجی أنّ سیرة العقلاء من الموالی بالنسبة إلی عبیدهم و من السلاطین بالنسبة إلی رعایاهم و من التجّار بالنسبة إلی عمّالهم علی </w:t>
      </w:r>
    </w:p>
    <w:p>
      <w:pPr>
        <w:pStyle w:val="BookText"/>
        <w:rPr/>
      </w:pPr>
      <w:r>
        <w:rPr>
          <w:rFonts w:ascii="IRNazanin" w:hAnsi="IRNazanin" w:eastAsia="IRNazanin"/>
          <w:color w:val="111111"/>
          <w:sz w:val="28"/>
          <w:sz w:val="28"/>
          <w:szCs w:val="28"/>
          <w:rtl w:val="true"/>
          <w:lang w:bidi="fa-IR"/>
        </w:rPr>
        <w:t>الاکتفاء بالأمارات التی أمروا بها من جهة غلبة إیصالها إلی الواقع علی وجه یکون الوقائع النادرة الغیر المصادفة للواقع فی نظرهم خالیة عن الواقع، فیکون مطلوبیة الواقع فی أنظارهم مقصورا علی الوقائع الغالبة المصادفة لا غیر، و مرجعه إلی القناعة عن الواقع بمقدار مطابقة الأمارة الواقع عن مقدار عدم مطابقته، و الظاهر أنّ الشارع لم یجعل طریقا إلی الأحکام وراء إمضاء الطرق المنجعلة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الأوامر الظاهریة عن الأوامر الواقعیة مستلزم لتبعیة المصالح و المفاسد النفس الأمریّة للأحکام و هو مذهب الأشاعرة و لا ینطبق علی مذهب الحقة من العکس أعنی من تبعیة الأحکام للمصالح و المفاسد النفس الأمریة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ممنوعة بالنقض بإجزاء الأوامر الواقعیة الاضطراریة عن الأوامر الواقعیة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بتقریب أنّ المصالح و المفاسد النفس الأمریة لیست ذاتیة علی الإطلاق فی الأعمال و الأفعال، بل قد تختلف بالوجوه و الاعتبارات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کونها ذاتیة، لکن لا نسلّم کونها علل تامّة للأحکام مطلقا، بل قد تکون مقتضیات للأحکام فتختلف عن الاقتضاء بواسطة وجود المانع، بل احتمال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المانع مدفوع بأصالة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احتمال المانع عن الاقتضاء بأصالة العدم لا یثبت اللوازم العقلیة للاقتضاء و هو المقتضی و المعلول حتی عند القائل بحجیّة الأصل المثبت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إجزاء الأمر الظاهری عن الأمر الواقعی مستلزم للتصویب، لأنّ تدارک مصلحة سلوک الأمارة لمصلحة الواقع یقتضی کون الحکم الواقعی فعلی فی حقّ غیر الظانّ بخلافه و شأنی فی حقّه، بمعنی وجود المقتضی لذلک الحکم لو لا الظنّ علی خلافه، و من المعلوم أنّ ثبوت الحکم الواقعی الشأنی بهذا المعنی فی </w:t>
      </w:r>
    </w:p>
    <w:p>
      <w:pPr>
        <w:pStyle w:val="BookText"/>
        <w:rPr/>
      </w:pPr>
      <w:r>
        <w:rPr>
          <w:rFonts w:ascii="IRNazanin" w:hAnsi="IRNazanin" w:eastAsia="IRNazanin"/>
          <w:color w:val="111111"/>
          <w:sz w:val="28"/>
          <w:sz w:val="28"/>
          <w:szCs w:val="28"/>
          <w:rtl w:val="true"/>
          <w:lang w:bidi="fa-IR"/>
        </w:rPr>
        <w:t>حقّ الجاهل کثبوت الحکم الواقعی الشأنی التابع لمؤدّی الأمارة فی عدم ثبوت الحکم الواقعی فی حقّه، لأنّ الصفة المزاحمة بصفة اخری لا تصیر منشأ لحکم، فلا یقال للکذب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قبیح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أنّ سلوک الأمارة تحدث مصلحة فی نفس الفعل القائم علیه الأمارة حتی یزاحم المصلحة الواقعیّة التی فیه، بل المراد أنّ الالتزام بالأمارة فی مقام العمل علی أنّه هو الواقع فی ترتّب الآثار الواقعیة یشتمل علی مصلحة یتدارک بها ما یفوت من مصلحة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المصلحة لیست فی نفس العمل المقرون بداعی الأمارة، بل فی نفس الداعی المقرون بالعمل بالأمارة و هو لیس بتصویب قطعا، إذ المصوّبة یمنعون حکم اللّه فی الواقع، فلا یعقل عندهم إیجاب العمل بما جعل طریقا إلیه و التعبّد بترتّب آثاره فی الظاهر، بل التحقیق عدّ هذا من وجوه الردّ علی المصوّبة، لأنّ الآیات و الأخبار الدالة علی بطلان التصویب لا تشمل هذا الوجه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قلنا بأنّ مستند بناء العقلاء علی إجزاء الأمر الظاهری هو تدارک الواقع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بأنّ مستنده عدم تنجّز الواقع علی غیر العالم به تفصیلا کعدم تنجّزه علی غیر المقدور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فاندفاع التصویب أظهر کما لا یخفی، لأنّ مرجعه إلی القناعة عن الواقع بمقدار غلبة مطابقة الظاهر له عن مقدار عدم مطابقته له و لیس فیه شائبة التصویب أصلا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إجزاء الأمر الظاهری عن الأمر الواقعی مستلزم للدور، و ذلک لتوقّف الأمر الواقعی علی العلم التفصیلی به بالعرض، و توقّف العلم التفصیلی علی الأمر الواقعی بالطبع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الحاصل له علقتان و صفتان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قائم بنفس المعلوم و الآخر بنفس العالم، و الأوّل و إن توقّف التکلیف علیه، لکنّه غیر متوقّف علی التکلیف، بل مستلزم له نظیر القید و المقیّد، و الثانی و إن توقّف علی التکلیف، لکنّ التکلیف غیر متوقّف علیه، فتوهّم الدور ناشئ عن توهّم اتّحاد العلمین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الأمر الظاهری عن الأمر الواقعی مستلزم لارتفاع حسن الاحتیاط و رجحانه بالمرّة، و هو خلاف الإجماع، فإنّ الخلاف إنّما هو فی وجوب الاحتیاط، و أمّا حسنه فمن الإجماعیات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أوّلا ممنوعة بالنقض بحسن الاحتیاط فی تکرار العبادات قبل کشف الفساد لمجرّد احتمال الحزازة فیها، کما هو سیرة الصلحاء و الأتقیاء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هو أنّ إتیان الشی‌ء من حیث التعبد به هو الالتزام بشی‌ء من قبل المولی علی أنّه منه مع عدم العلم به، و من حیث الاحتیاط هو الالتزام بإتیانه لاحتمال کونه منه أو رجاء کونه منه، و شتّان ما بینهما، فإنّ العقل مستقلّ بقبح الأوّل و حسن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التوجیه فی إجزاء الأمر الظاهری عن الواقع و للتأمل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الرابع و هو الأمر الظاهری العقلی فلا دلیل علی إجزائه لا عقلا و لا عرفا حتی اعترف به بعض القائلین بإجزاء الأمر الظاهری الشرعی کصاحب الضوابط</w:t>
      </w:r>
      <w:r>
        <w:rPr>
          <w:rStyle w:val="FootnoteAnchor"/>
          <w:rtl w:val="true"/>
        </w:rPr>
        <w:footnoteReference w:id="166"/>
      </w:r>
      <w:r>
        <w:rPr>
          <w:rFonts w:ascii="IRNazanin" w:hAnsi="IRNazanin" w:eastAsia="IRNazanin"/>
          <w:color w:val="111111"/>
          <w:sz w:val="28"/>
          <w:sz w:val="28"/>
          <w:szCs w:val="28"/>
          <w:rtl w:val="true"/>
          <w:lang w:bidi="fa-IR"/>
        </w:rPr>
        <w:t>، نعم الظاهر من صاحب القوانین</w:t>
      </w:r>
      <w:r>
        <w:rPr>
          <w:rStyle w:val="FootnoteAnchor"/>
          <w:rtl w:val="true"/>
        </w:rPr>
        <w:footnoteReference w:id="167"/>
      </w:r>
      <w:r>
        <w:rPr>
          <w:rFonts w:ascii="IRNazanin" w:hAnsi="IRNazanin" w:eastAsia="IRNazanin"/>
          <w:color w:val="111111"/>
          <w:sz w:val="28"/>
          <w:sz w:val="28"/>
          <w:szCs w:val="28"/>
          <w:rtl w:val="true"/>
          <w:lang w:bidi="fa-IR"/>
        </w:rPr>
        <w:t>قدّس سرّه فی باب الاجتهاد و التقلید عدم الفرق بین الأمر الظاهری الشرعی و العقلی حیث ذهب إلی إجزاء مطلق الأمر الظاهری من غیر فرق بین حکمیهما، بل و لا بین اسمیهما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عدم الفرق بینهما من حیث الحکم و الإسم فهو الأظهر، و أمّا من </w:t>
      </w:r>
      <w:bookmarkStart w:id="90" w:name="pg12880_153262"/>
    </w:p>
    <w:p>
      <w:pPr>
        <w:pStyle w:val="BookText"/>
        <w:rPr/>
      </w:pPr>
      <w:bookmarkEnd w:id="90"/>
      <w:r>
        <w:rPr>
          <w:rFonts w:ascii="IRNazanin" w:hAnsi="IRNazanin" w:eastAsia="IRNazanin"/>
          <w:color w:val="111111"/>
          <w:sz w:val="28"/>
          <w:sz w:val="28"/>
          <w:szCs w:val="28"/>
          <w:rtl w:val="true"/>
          <w:lang w:bidi="fa-IR"/>
        </w:rPr>
        <w:t>حیث کون الحکم هو الإجزاء فقد سبق أنّ للتأمّل فیه مجال، و لعلّ اللّه یحدث بعد ذلک أمرا</w:t>
      </w:r>
      <w:r>
        <w:rPr>
          <w:rFonts w:eastAsia="IRNazanin" w:cs="IRNazanin"/>
          <w:color w:val="111111"/>
          <w:sz w:val="28"/>
          <w:szCs w:val="28"/>
          <w:rtl w:val="true"/>
          <w:lang w:bidi="fa-IR"/>
        </w:rPr>
        <w:t>.</w:t>
      </w:r>
    </w:p>
    <w:p>
      <w:pPr>
        <w:pStyle w:val="Heading6"/>
        <w:numPr>
          <w:ilvl w:val="5"/>
          <w:numId w:val="1"/>
        </w:numPr>
        <w:rPr/>
      </w:pPr>
      <w:bookmarkStart w:id="91" w:name="__RefHeading___Toc2986351_3224264995"/>
      <w:bookmarkStart w:id="92" w:name="_Toc34"/>
      <w:bookmarkEnd w:id="91"/>
      <w:r>
        <w:rPr>
          <w:rtl w:val="true"/>
        </w:rPr>
        <w:t>[</w:t>
      </w:r>
      <w:r>
        <w:rPr>
          <w:rtl w:val="true"/>
        </w:rPr>
        <w:t>تنبیهات</w:t>
      </w:r>
      <w:r>
        <w:rPr>
          <w:rtl w:val="true"/>
        </w:rPr>
        <w:t>:]</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أنّه لا فرق فی صورة إجزاء الأمر بعد کشف الفساد بین أن یکون الکشف علی وجه العلم أو علی وجه الظن المعتبر، خلافا لما یظهر من صاحب کشف الغطاء</w:t>
      </w:r>
      <w:r>
        <w:rPr>
          <w:rStyle w:val="FootnoteAnchor"/>
          <w:rtl w:val="true"/>
        </w:rPr>
        <w:footnoteReference w:id="168"/>
      </w:r>
      <w:r>
        <w:rPr>
          <w:rFonts w:ascii="IRNazanin" w:hAnsi="IRNazanin" w:eastAsia="IRNazanin"/>
          <w:color w:val="111111"/>
          <w:sz w:val="28"/>
          <w:sz w:val="28"/>
          <w:szCs w:val="28"/>
          <w:rtl w:val="true"/>
          <w:lang w:bidi="fa-IR"/>
        </w:rPr>
        <w:t>من الفرق بین الصورتین ببقاء الإجزاء فی الصورة الثانیة دون الاولی، و لا بین أن یکون الکشف بالنسبة إلی المجتهد بأن یتغیّر رأیه، أو بالنسبة إلی المقلّد بأن یتغیّر رأی مجتهده، خلافا لما یظهر من صاحب المفاتیح</w:t>
      </w:r>
      <w:r>
        <w:rPr>
          <w:rStyle w:val="FootnoteAnchor"/>
          <w:rtl w:val="true"/>
        </w:rPr>
        <w:footnoteReference w:id="169"/>
      </w:r>
      <w:r>
        <w:rPr>
          <w:rFonts w:ascii="IRNazanin" w:hAnsi="IRNazanin" w:eastAsia="IRNazanin"/>
          <w:color w:val="111111"/>
          <w:sz w:val="28"/>
          <w:sz w:val="28"/>
          <w:szCs w:val="28"/>
          <w:rtl w:val="true"/>
          <w:lang w:bidi="fa-IR"/>
        </w:rPr>
        <w:t>من الفرق بینهما ببقاء الإجزاء فی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الخلاف الأوّل فلعلّه ناشئ عن توهّم أنّ ترجیح مؤدّی الظن الأخیر بالفساد القاضی بعدم الإجزاء علی مؤدّی الظنّ الأوّل بالصحة القاضیة بالإجزاء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دفعه استحالة اجتماع الظنّین فی طرفی النقیض، فالظنّ الأخیر مزیل للظن الأوّل لا معارض له حتی یکون العمل بمؤدّاه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الخلاف الثانی فلعلّه ناشئ عن توهّم أنّ الطریق المنصوب للمقلّد طریق خاص جعلی راجع إلی الأمر الظاهری الشرعی، و الطرق المنصوبة للمجتهد طرق عامّة منجعلة راجعة إلی الأمر العقلی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 دفعه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باحتمال عدم نصب الطریق الخاص فی حقّ المقلّد أیضا، فیکون رجوعه إلی المجتهد من باب الرجوع إلی أهل الخبرة المرکوز فی أذهان جمیع العقلاء، و یکون بعض ما ورد فی هذا الباب تقریرا لهم لا تأسیسا کما هو </w:t>
      </w:r>
    </w:p>
    <w:p>
      <w:pPr>
        <w:pStyle w:val="BookText"/>
        <w:rPr/>
      </w:pPr>
      <w:r>
        <w:rPr>
          <w:rFonts w:ascii="IRNazanin" w:hAnsi="IRNazanin" w:eastAsia="IRNazanin"/>
          <w:color w:val="111111"/>
          <w:sz w:val="28"/>
          <w:sz w:val="28"/>
          <w:szCs w:val="28"/>
          <w:rtl w:val="true"/>
          <w:lang w:bidi="fa-IR"/>
        </w:rPr>
        <w:t>الحال فی حقّ المجتهد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رجوع الطریق فی حقّ المقلّد إلی الأمر الظاهری الشرعی و فی حقّ المجتهد إلی العقلی، لکن قد عرفت أنّ الأظهر عدم الفرق بینهما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مستند الأمر الظاهری العقلی إمّا الجهل المرکّب، أو الظنّ، و علی کلّ منهما فمتعلّق الأمر إمّا نفس العبادة أو جزئها أو شرطها، و علی کلّ من هذه الأقسام الستّة فالخطأ إمّا فی نفس الحکم الشرعی کما إذا اشتبه وجوب الصلاة بعدم وجوبها، و إمّا فی الموضوع الصرف کما إذا اشتبه دخول وقت الفریضة بما قبل دخوله، و إمّا فی الموضوع المستنبط کما إذا اشتبه الصلاة مثلا بأحد الموجودات و المصادیق الخارجیة مثل الصوم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حکم هذه الأقسام فالإشکال فی إجزاء الخطاء فی نفس الحکم مطلقا و الموضوع المستنبط مطلقا فقد عرفت ما تقدّم فیه من إجزاء الأمر الظاهری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حکی عن الفاضل النراقی</w:t>
      </w:r>
      <w:r>
        <w:rPr>
          <w:rStyle w:val="FootnoteAnchor"/>
          <w:rtl w:val="true"/>
        </w:rPr>
        <w:footnoteReference w:id="170"/>
      </w:r>
      <w:r>
        <w:rPr>
          <w:rFonts w:ascii="IRNazanin" w:hAnsi="IRNazanin" w:eastAsia="IRNazanin"/>
          <w:color w:val="111111"/>
          <w:sz w:val="28"/>
          <w:sz w:val="28"/>
          <w:szCs w:val="28"/>
          <w:rtl w:val="true"/>
          <w:lang w:bidi="fa-IR"/>
        </w:rPr>
        <w:t>فی الموضوع المستنبط إذا کان الخطأ فی الجزء أو الشرط التفصیل بین ما إذا کان مفاد الجزء و الشرط منفصل عن مفاد المقیّد و المشروط، و بین ما إذا کان متّصلا به، فقال بالإجزاء فی الأوّل دون الثانی، و لعلّ مبناه توهّم أنّ القید الغیر المتّصل بالمقیّد تکلیف مستقلّ یتوقف تنجّزه علی علم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القید مفسّر للمقیّد مطلقا، فلا وجه للتفصیل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حکم الخطأ فی الموضوع الصرف فهو عدم الإجزاء مطلقا، بل عدم الإجزاء فی بعض أقسامه من باب السالبة بانتفاء الموضوع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قد حکی عن الفاضل النراقی</w:t>
      </w:r>
      <w:r>
        <w:rPr>
          <w:rStyle w:val="FootnoteAnchor"/>
          <w:rtl w:val="true"/>
        </w:rPr>
        <w:footnoteReference w:id="171"/>
      </w:r>
      <w:r>
        <w:rPr>
          <w:rFonts w:ascii="IRNazanin" w:hAnsi="IRNazanin" w:eastAsia="IRNazanin"/>
          <w:color w:val="111111"/>
          <w:sz w:val="28"/>
          <w:sz w:val="28"/>
          <w:szCs w:val="28"/>
          <w:rtl w:val="true"/>
          <w:lang w:bidi="fa-IR"/>
        </w:rPr>
        <w:t>أیضا فیما إذا کان الخطأ فی الشرط کالاشتباه فی دخول الوقت التفصیل بین ما إذا کان الکشف بعد خروج الوقت، و بین ما إذا کان قبله، فقال بالإجزاء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الصحّة و الفساد فی المعاملات، لکونه نظیر بیان الإجزاء و عدم الإجزاء فی العبادات،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تارک طریقی الاجتهاد و التقلید هل تصحّ ما صادف الواقع منها دون ما لا یصادف مطلقا کما علیه المشهور، أو تصحّ من الغافل مطلقا دون الملتفت فی الجملة، کما هو المحکی عن الفاضل النراقی</w:t>
      </w:r>
      <w:r>
        <w:rPr>
          <w:rStyle w:val="FootnoteAnchor"/>
          <w:rtl w:val="true"/>
        </w:rPr>
        <w:footnoteReference w:id="172"/>
      </w:r>
      <w:r>
        <w:rPr>
          <w:rFonts w:ascii="IRNazanin" w:hAnsi="IRNazanin" w:eastAsia="IRNazanin"/>
          <w:color w:val="111111"/>
          <w:sz w:val="28"/>
          <w:sz w:val="28"/>
          <w:szCs w:val="28"/>
          <w:rtl w:val="true"/>
          <w:lang w:bidi="fa-IR"/>
        </w:rPr>
        <w:t>، أو یصحّ ما صادف أحد آراء المجتهدین دون ما لا یصادف منها، کالمعاملات المجمع علی فسادها، کما علیه الفاضل القمی</w:t>
      </w:r>
      <w:r>
        <w:rPr>
          <w:rStyle w:val="FootnoteAnchor"/>
          <w:rtl w:val="true"/>
        </w:rPr>
        <w:footnoteReference w:id="173"/>
      </w:r>
      <w:r>
        <w:rPr>
          <w:rFonts w:ascii="Amiri" w:hAnsi="Amiri" w:eastAsia="Amiri" w:cs="Amiri"/>
          <w:color w:val="111111"/>
          <w:sz w:val="28"/>
          <w:sz w:val="28"/>
          <w:szCs w:val="28"/>
          <w:rtl w:val="true"/>
          <w:lang w:bidi="ar-SA"/>
        </w:rPr>
        <w:t>قدّس سرّه؟</w:t>
      </w:r>
    </w:p>
    <w:p>
      <w:pPr>
        <w:pStyle w:val="BookText"/>
        <w:rPr/>
      </w:pPr>
      <w:r>
        <w:rPr>
          <w:rFonts w:ascii="IRNazanin" w:hAnsi="IRNazanin" w:eastAsia="IRNazanin"/>
          <w:color w:val="111111"/>
          <w:sz w:val="28"/>
          <w:sz w:val="28"/>
          <w:szCs w:val="28"/>
          <w:rtl w:val="true"/>
          <w:lang w:bidi="fa-IR"/>
        </w:rPr>
        <w:t>و نظیر هذا القول فی المعاملات ما قاله السید الجزائری فی العبادات من أنّ عبادة تارک طریقی الاجتهاد و التقلید صحیحة إذا لم یصادف المجمع علی فساده بأن صادف أحد آراء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المشهور أمّا علی صحّة ما صادف الواقع من المعاملات فلعدم مطلوبیة الاجتهاد و التقلید إلّا من باب الطریقیة الصرفة، و المفروض أنّ المطلوب فی المعاملات مجرّد إیجادها فی الخارج من دون مدخلیة اعتقاد المکلّف، بل و لا مباشرته و لا قصده القربة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لا تری أنّ المتنجّس لو ألقاه فی البحر عصف الریاح تطهر بلا نکیر، و کذلک سائر العقود و الإیقاعات و الواجبات التوصّلیة التی تعلّق غرض الشارع بإیجادها فی الخارج کیف ما اتّفق، و یرشدک إلی ذلک ملاحظة ادلّة عدم اقتضاء النهی </w:t>
      </w:r>
    </w:p>
    <w:p>
      <w:pPr>
        <w:pStyle w:val="BookText"/>
        <w:rPr/>
      </w:pPr>
      <w:r>
        <w:rPr>
          <w:rFonts w:ascii="IRNazanin" w:hAnsi="IRNazanin" w:eastAsia="IRNazanin"/>
          <w:color w:val="111111"/>
          <w:sz w:val="28"/>
          <w:sz w:val="28"/>
          <w:szCs w:val="28"/>
          <w:rtl w:val="true"/>
          <w:lang w:bidi="fa-IR"/>
        </w:rPr>
        <w:t>التحریمی الفساد فی المعاملات، و علی ذلک فمجرّد المصادفة الاتّفاقیة للواقع کاف فی ترتّب أثره و هو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الإجماع علی فساد عمل الجاهل المقصّر و لو صادف عمله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معقد هذا الإجماع علی تقدیر ثبوته إنّما هو فی الأحکام التکلیفیة و محلّ الکلام فی الأحکام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فساد ما لم یصادف الواقع منها، فلعدم معقولیّة التصویب فی الموضوعات حتی عند المصوّبة، فالجعل و التنزیل المتعلّق بها لا یجدی شیئا سوی ترتّب الآثار ظاهرا، فبعد انکشاف فساد معاملة تارک طریقی الاجتهاد و التقلید لا بدّ من البناء علی نقض الآثار التی کانت مترتّبة علی تلک المعاملة قبل الانکشاف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الفاضل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فساد ما لم یصادف أحد آراء المجتهدین فبما مرّ من أنّه لولاه للزم التصویب الذی لا یقوله المصوّبة أیضا، و أمّا علی صحّة ما صادف أحد الآراء فبما مرّ من دعوی بناء العقلاء علی عدم تنجّز حکم واقعی علی المکلّف وراء مؤدّی أحد آراء المجتهدین المتشتّتین، و المفروض أیضا عدم وجوب سلوک أحد الطریقین إلّا من باب الطریقیّة و الوصول إلی ذلک الواقع الثانوی القائم مقام الواقع الأوّلی، فکما أنّ مجرّد المصادفة الاتّفاقیة للواقع الأوّلی کاف فی ترتّب الأثر الواقع الأوّلی، کذلک مجرّد المصادفة الاتّفاقیة للواقع الثانوی کاف فی ترتّب أثر الواقع الثانوی و الصحة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بأنّ حکم الحاکم بفساد المصادف لأحد الآراء إن کان من جهة مخالفته للواقع فهو خلاف المفروض، إذ المفروض موافقته لأحد الآراء الذی هو فی عرض الواقع و عدم الإجماع علی فساده، و إن کان من جهة مخالفته لرأی ذلک الحاکم لزم </w:t>
      </w:r>
    </w:p>
    <w:p>
      <w:pPr>
        <w:pStyle w:val="BookText"/>
        <w:rPr/>
      </w:pPr>
      <w:r>
        <w:rPr>
          <w:rFonts w:ascii="IRNazanin" w:hAnsi="IRNazanin" w:eastAsia="IRNazanin"/>
          <w:color w:val="111111"/>
          <w:sz w:val="28"/>
          <w:sz w:val="28"/>
          <w:szCs w:val="28"/>
          <w:rtl w:val="true"/>
          <w:lang w:bidi="fa-IR"/>
        </w:rPr>
        <w:t>الحکم بفساده فی سلوک أحد الطریقین المخالف لرأی ذلک الحاکم أیضا، و إن کان من جهة کونه تارک الطریقین لزم الحکم بفساده فی صورة المصادفة للواقع أیضا، و اللوازم باطلة، فالملزوم مثلها، و إذا انسدّ سبیل الحکم بالفساد تعیّن الحکم بالصحّة، لعدم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الوجه الأوّل أمّا علی مذهب المشهور من أنّ اعتبار مؤدّی الأمارات الظاهریة إنّما هو من باب الطریقیة لا الموضوعیة، فظاهر، و أمّا علی المذهب الآخر فبأنّ الحکم بصحّة المعاملة من جهة مصادفتها القول بالصحّة دون الحکم بالفساد من جهة مصادفتها القول بالفساد ترجیح بلا مرجّح، بل لا أقلّ من التساقط و الرجوع إلی أصل الفساد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الوجه الثانی باختیار الشق الثانی و المنع من بطلان لازمه فی نظر ذلک الحاکم المفروض، و من أصل الملازمة فی نظر غیره ممّن صادفت المعاملة المفروضة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مذهب الفاضل النراقی</w:t>
      </w:r>
      <w:r>
        <w:rPr>
          <w:rStyle w:val="FootnoteAnchor"/>
          <w:rtl w:val="true"/>
        </w:rPr>
        <w:footnoteReference w:id="174"/>
      </w:r>
      <w:r>
        <w:rPr>
          <w:rFonts w:ascii="IRNazanin" w:hAnsi="IRNazanin" w:eastAsia="IRNazanin"/>
          <w:color w:val="111111"/>
          <w:sz w:val="28"/>
          <w:sz w:val="28"/>
          <w:szCs w:val="28"/>
          <w:rtl w:val="true"/>
          <w:lang w:bidi="fa-IR"/>
        </w:rPr>
        <w:t>رحمه اللّه و تفصیله أنّه ذهب إلی أنّ معاملة الملتفت التارک طریقی الاجتهاد و التقلید فاسدة و لو صادفت الواقع الغیر الضروری إذا کانت من الأحکام المنسوبة إلی المکلّف کعقوده و إیقاعاته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الغافل و الملتفت المصادف عمله للضروریات و الأحکام الغیر المنسوبة إلی المکلّف کالوجوب و الحرمة و نحوهما و الطهارة و النجاسة و نحوهما فالمناط فی الصحّة و عدمها علی الواقع وجودا و عدما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بعد ما وافقنا المشهور فی دوران الصحّة و الفساد علی مصادفة الواقع الأوّلی الثابت فی کلّ واقعة عند المخطئة من أهل الصواب فلم نتعقّل لهذه </w:t>
      </w:r>
    </w:p>
    <w:p>
      <w:pPr>
        <w:pStyle w:val="BookText"/>
        <w:rPr/>
      </w:pPr>
      <w:r>
        <w:rPr>
          <w:rFonts w:ascii="IRNazanin" w:hAnsi="IRNazanin" w:eastAsia="IRNazanin"/>
          <w:color w:val="111111"/>
          <w:sz w:val="28"/>
          <w:sz w:val="28"/>
          <w:szCs w:val="28"/>
          <w:rtl w:val="true"/>
          <w:lang w:bidi="fa-IR"/>
        </w:rPr>
        <w:t>التفصیلات وجه، سواء قلنا بأنّ التسبیبات الشرعیة راجعة إلی تکالیف شرعیة کرجوع الإحراق إلی النار و الزوجیة إلی الاربعة کما هو التحقیق، أو قلنا بتأصّلها و أنّها من الأمور الواقعیة المجعولة کحیاة زید و موت عمر، إذ علی کلّ من التقدیرین فحال الأسباب الشرعیة حال الامور الخارجیة فی عدم مدخلیّة العلم و الجهل فی تأثیرها، فکما أنّه لا فرق بین العلم بموت زید بعد مضی مدّة من موته و بین قیام الطریق الشرعی فی وجوب ترتّب آثار الموت من حینه، کذلک لا فرق بین حصول العلم لسببیّة العقد لأثر بعد صدوره و بین الظنّ الاجتهادی به أو التقلید فیه بعد الصدور فی وجوب ترتیب الأثر علی ذی الأثر من حین حصوله، و قد أبسط الکلام فی هذا المقام استاد أساتیدنا الأعلام فی خاتمة مسألة البراءة من فرائده</w:t>
      </w:r>
      <w:r>
        <w:rPr>
          <w:rStyle w:val="FootnoteAnchor"/>
          <w:rtl w:val="true"/>
        </w:rPr>
        <w:footnoteReference w:id="175"/>
      </w:r>
      <w:r>
        <w:rPr>
          <w:rFonts w:ascii="IRNazanin" w:hAnsi="IRNazanin" w:eastAsia="IRNazanin"/>
          <w:color w:val="111111"/>
          <w:sz w:val="28"/>
          <w:sz w:val="28"/>
          <w:szCs w:val="28"/>
          <w:rtl w:val="true"/>
          <w:lang w:bidi="fa-IR"/>
        </w:rPr>
        <w:t>و من شاء فلیراجع محصّل کلام النراقی</w:t>
      </w:r>
      <w:r>
        <w:rPr>
          <w:rStyle w:val="FootnoteAnchor"/>
          <w:rtl w:val="true"/>
        </w:rPr>
        <w:footnoteReference w:id="176"/>
      </w:r>
      <w:r>
        <w:rPr>
          <w:rFonts w:ascii="IRNazanin" w:hAnsi="IRNazanin" w:eastAsia="IRNazanin"/>
          <w:color w:val="111111"/>
          <w:sz w:val="28"/>
          <w:sz w:val="28"/>
          <w:szCs w:val="28"/>
          <w:rtl w:val="true"/>
          <w:lang w:bidi="fa-IR"/>
        </w:rPr>
        <w:t>من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المجتهد عن رأیه أو المقلّد عن مجتهده هل ینقض آثار معاملاته الماضیة فی المضیّ و المتأخّر مطلقا، کما هو المشهور، بل حکی عن العمیدی</w:t>
      </w:r>
      <w:r>
        <w:rPr>
          <w:rStyle w:val="FootnoteAnchor"/>
          <w:rtl w:val="true"/>
        </w:rPr>
        <w:footnoteReference w:id="177"/>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التفصیل بین آثار ما ینسب إلی المکلّف کعقوده و إیقاعاته فتمضی، دون ما لا ینسب إلیه کالوجوب و الحرمة و الطهارة و النجاسة فلا تمضی کما حکی عن الفاضل النراقی</w:t>
      </w:r>
      <w:r>
        <w:rPr>
          <w:rStyle w:val="FootnoteAnchor"/>
          <w:rtl w:val="true"/>
        </w:rPr>
        <w:footnoteReference w:id="178"/>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التفصیل بین ما یستلزم الاستدامة ما لم یطرأ علیه مزیل بحکم وضعی کالفتوی فی العقود و الإیقاعات فتمضی بعد الرجوع، و بین ما لا یستلزمه کالفتوی فی نجاسة الماء القلیل بالملاقاة و عدم نجاسة الکر و أمثال ذلک من حلّیة المطاعم </w:t>
      </w:r>
    </w:p>
    <w:p>
      <w:pPr>
        <w:pStyle w:val="BookText"/>
        <w:rPr/>
      </w:pPr>
      <w:r>
        <w:rPr>
          <w:rFonts w:ascii="IRNazanin" w:hAnsi="IRNazanin" w:eastAsia="IRNazanin"/>
          <w:color w:val="111111"/>
          <w:sz w:val="28"/>
          <w:sz w:val="28"/>
          <w:szCs w:val="28"/>
          <w:rtl w:val="true"/>
          <w:lang w:bidi="fa-IR"/>
        </w:rPr>
        <w:t>و حرمتها فلا تمضی بعد الرجوع، کما أصرّ الفاضل القمّی</w:t>
      </w:r>
      <w:r>
        <w:rPr>
          <w:rStyle w:val="FootnoteAnchor"/>
          <w:rtl w:val="true"/>
        </w:rPr>
        <w:footnoteReference w:id="179"/>
      </w:r>
      <w:r>
        <w:rPr>
          <w:rFonts w:ascii="IRNazanin" w:hAnsi="IRNazanin" w:eastAsia="IRNazanin"/>
          <w:color w:val="111111"/>
          <w:sz w:val="28"/>
          <w:sz w:val="28"/>
          <w:szCs w:val="28"/>
          <w:rtl w:val="true"/>
          <w:lang w:bidi="fa-IR"/>
        </w:rPr>
        <w:t>علی تحقیقه فی قانون جواز بناء المجتهد فی الفتوی علی الاجتهاد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التفصیل بین الأسباب الشرعیة فتمضی، و بین الأحکام الشرعیة فلا تمضی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أنّه بعد موافقة المشهور فی دوران الصحّة و الفساد علی مصادفة الواقع الثابت فی کلّ واقعة عند المخطئة من أهل الصواب فی حقّ العالم و الجاهل لا سبیل إلی هذه التفصیلات بوجه یعبأ به، نعم لو قلنا بانقلاب الواقع إلی مؤدّی الطرق الظاهریة فأقرب التفصیلات تفصیل النراقی</w:t>
      </w:r>
      <w:r>
        <w:rPr>
          <w:rStyle w:val="FootnoteAnchor"/>
          <w:rtl w:val="true"/>
        </w:rPr>
        <w:footnoteReference w:id="180"/>
      </w:r>
      <w:r>
        <w:rPr>
          <w:rFonts w:ascii="IRNazanin" w:hAnsi="IRNazanin" w:eastAsia="IRNazanin"/>
          <w:color w:val="111111"/>
          <w:sz w:val="28"/>
          <w:sz w:val="28"/>
          <w:szCs w:val="28"/>
          <w:rtl w:val="true"/>
          <w:lang w:bidi="fa-IR"/>
        </w:rPr>
        <w:t>، و دونه تفصیل صاحب القوانین</w:t>
      </w:r>
      <w:r>
        <w:rPr>
          <w:rStyle w:val="FootnoteAnchor"/>
          <w:rtl w:val="true"/>
        </w:rPr>
        <w:footnoteReference w:id="181"/>
      </w:r>
      <w:r>
        <w:rPr>
          <w:rFonts w:ascii="IRNazanin" w:hAnsi="IRNazanin" w:eastAsia="IRNazanin"/>
          <w:color w:val="111111"/>
          <w:sz w:val="28"/>
          <w:sz w:val="28"/>
          <w:szCs w:val="28"/>
          <w:rtl w:val="true"/>
          <w:lang w:bidi="fa-IR"/>
        </w:rPr>
        <w:t>قدّس سرّه و دونه التفصیل الثالث،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المجتهدین فی الرأی أو المقلدین فی التقلید فهل یجب علی کلّ منهما البناء علی نقض أحکام الآخر فی حقّ نفسه، فلا یجوز ملاقاة أحدهما للآخر القائل بطهارة الغسالة مثلا، و لا اقتداء أحدهما بالآخر المکتفی بوجوب أحد التسبیحات الأربع، أو لا یجب علی کلّ منهما نقض أحکام الآخر بأن یجوز ملاقاة أحدهما الآخر القائل بطهارة الغسالة و اقتداء أحدهما بالآخر المکتفی بأحد التسبیحات و غیر ذلک؟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هو الأوّل أمّا علی کون التکلیف بالواقع الأوّلی الثابت فی کلّ واقعة و أنّ اعتبار الظواهر و مؤدّیات الاجتهاد من باب الطریقیة المحضة فلأنّ الواقع فی نظر کلّ منهما رأی نفسه، لا رأی الغیر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کون التکلیف بمؤدّی الطرق دون الواقع فلأنّ الواقع فی حقّ کلّ منهما رأی نفسه لا رأی الغیر</w:t>
      </w:r>
      <w:r>
        <w:rPr>
          <w:rFonts w:eastAsia="IRNazanin" w:cs="IRNazanin"/>
          <w:color w:val="111111"/>
          <w:sz w:val="28"/>
          <w:szCs w:val="28"/>
          <w:rtl w:val="true"/>
          <w:lang w:bidi="fa-IR"/>
        </w:rPr>
        <w:t xml:space="preserve">. </w:t>
      </w:r>
      <w:bookmarkStart w:id="93" w:name="pg12880_153269"/>
    </w:p>
    <w:p>
      <w:pPr>
        <w:pStyle w:val="BookText"/>
        <w:rPr/>
      </w:pPr>
      <w:bookmarkEnd w:id="93"/>
      <w:r>
        <w:rPr>
          <w:rFonts w:ascii="IRNazanin" w:hAnsi="IRNazanin" w:eastAsia="IRNazanin"/>
          <w:color w:val="111111"/>
          <w:sz w:val="28"/>
          <w:sz w:val="28"/>
          <w:szCs w:val="28"/>
          <w:rtl w:val="true"/>
          <w:lang w:bidi="fa-IR"/>
        </w:rPr>
        <w:t>فصل</w:t>
      </w:r>
    </w:p>
    <w:p>
      <w:pPr>
        <w:pStyle w:val="Heading2"/>
        <w:numPr>
          <w:ilvl w:val="1"/>
          <w:numId w:val="1"/>
        </w:numPr>
        <w:rPr/>
      </w:pPr>
      <w:bookmarkStart w:id="94" w:name="__RefHeading___Toc2986353_3224264995"/>
      <w:bookmarkStart w:id="95" w:name="_Toc35"/>
      <w:bookmarkEnd w:id="94"/>
      <w:r>
        <w:rPr>
          <w:rtl w:val="true"/>
        </w:rPr>
        <w:t>[</w:t>
      </w:r>
      <w:r>
        <w:rPr>
          <w:rtl w:val="true"/>
        </w:rPr>
        <w:t>فی المفاهیم</w:t>
      </w:r>
      <w:r>
        <w:rPr>
          <w:rtl w:val="true"/>
        </w:rPr>
        <w:t>]</w:t>
      </w:r>
      <w:bookmarkEnd w:id="95"/>
    </w:p>
    <w:p>
      <w:pPr>
        <w:pStyle w:val="Heading3"/>
        <w:numPr>
          <w:ilvl w:val="2"/>
          <w:numId w:val="1"/>
        </w:numPr>
        <w:rPr/>
      </w:pPr>
      <w:bookmarkStart w:id="96" w:name="__RefHeading___Toc2986355_3224264995"/>
      <w:bookmarkStart w:id="97" w:name="_Toc36"/>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و لنبدأ أوّلا ببیان الموضوع ثمّ الحکم کما هو مقتضی التحقیق فی کلّ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المنطوق و المفهوم من صفات الدلالة کالمطابقة و التضمّن و الالتزام کما حکی عن الحاجبی، أو من صفات الحکم و المدلول کالکلّی و الجزئی کما علیه القوانین</w:t>
      </w:r>
      <w:r>
        <w:rPr>
          <w:rStyle w:val="FootnoteAnchor"/>
          <w:rtl w:val="true"/>
        </w:rPr>
        <w:footnoteReference w:id="182"/>
      </w:r>
      <w:r>
        <w:rPr>
          <w:rFonts w:ascii="IRNazanin" w:hAnsi="IRNazanin" w:eastAsia="IRNazanin"/>
          <w:color w:val="111111"/>
          <w:sz w:val="28"/>
          <w:sz w:val="28"/>
          <w:szCs w:val="28"/>
          <w:rtl w:val="true"/>
          <w:lang w:bidi="fa-IR"/>
        </w:rPr>
        <w:t>و الضوابط</w:t>
      </w:r>
      <w:r>
        <w:rPr>
          <w:rStyle w:val="FootnoteAnchor"/>
          <w:rtl w:val="true"/>
        </w:rPr>
        <w:footnoteReference w:id="183"/>
      </w:r>
      <w:r>
        <w:rPr>
          <w:rFonts w:ascii="IRNazanin" w:hAnsi="IRNazanin" w:eastAsia="IRNazanin"/>
          <w:color w:val="111111"/>
          <w:sz w:val="28"/>
          <w:sz w:val="28"/>
          <w:szCs w:val="28"/>
          <w:rtl w:val="true"/>
          <w:lang w:bidi="fa-IR"/>
        </w:rPr>
        <w:t>و الهدایة</w:t>
      </w:r>
      <w:r>
        <w:rPr>
          <w:rStyle w:val="FootnoteAnchor"/>
          <w:rtl w:val="true"/>
        </w:rPr>
        <w:footnoteReference w:id="184"/>
      </w:r>
      <w:r>
        <w:rPr>
          <w:rFonts w:ascii="IRNazanin" w:hAnsi="IRNazanin" w:eastAsia="IRNazanin"/>
          <w:color w:val="111111"/>
          <w:sz w:val="28"/>
          <w:sz w:val="28"/>
          <w:szCs w:val="28"/>
          <w:rtl w:val="true"/>
          <w:lang w:bidi="fa-IR"/>
        </w:rPr>
        <w:t>و الفصول</w:t>
      </w:r>
      <w:r>
        <w:rPr>
          <w:rStyle w:val="FootnoteAnchor"/>
          <w:rtl w:val="true"/>
        </w:rPr>
        <w:footnoteReference w:id="185"/>
      </w:r>
      <w:r>
        <w:rPr>
          <w:rFonts w:ascii="Amiri" w:hAnsi="Amiri" w:eastAsia="Amiri" w:cs="Amiri"/>
          <w:color w:val="111111"/>
          <w:sz w:val="28"/>
          <w:sz w:val="28"/>
          <w:szCs w:val="28"/>
          <w:rtl w:val="true"/>
          <w:lang w:bidi="ar-SA"/>
        </w:rPr>
        <w:t>و الخلاصة</w:t>
      </w:r>
      <w:r>
        <w:rPr>
          <w:rStyle w:val="FootnoteAnchor"/>
          <w:rtl w:val="true"/>
        </w:rPr>
        <w:footnoteReference w:id="186"/>
      </w:r>
      <w:r>
        <w:rPr>
          <w:rFonts w:ascii="IRNazanin" w:hAnsi="IRNazanin" w:eastAsia="IRNazanin"/>
          <w:color w:val="111111"/>
          <w:sz w:val="28"/>
          <w:sz w:val="28"/>
          <w:szCs w:val="28"/>
          <w:rtl w:val="true"/>
          <w:lang w:bidi="fa-IR"/>
        </w:rPr>
        <w:t>، بل و کلّ من وقفنا علی کلامه من الأعلام، أو من صفات الموضوع کما هو وجه لا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هو الثانی لا الأوّل، لأنّ دلالة اللفظ و هی الحالة الموجبة للانتقال إلی المفهوم و إن کانت فی خصوصیّتها مسبّبة عن الانتقال إلی المعنی المنطوق من اللفظ، لکنّها فی حدّ ذاتها غیر محتاجة إلی الانتقال إلی المعنی، بل هیئة التعلیق کافیة فی إفادتها، و التعلیق نسبته إلی المنطوق و المفهوم علی حدّ سواء، فلا تکون الدلالة علی قسمین أحدهما فی محلّ النطق و الآخر لا فی محلّه، بل الدلالتان کلتاهما فی مرتبة واحدة، و إنّما یکون الفرق متحقّقا بین المدلولین، فإنّ أحدهما تابع و الآخر متبوع</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عرفت ذلک فالمفهوم مدلول خبری أو إنشائی غیر مذکور لازم لمدلول خبری أو إنشائی مذکور مع اختلافهما فی الحکم نفیا و إثباتا أو اتّفاقهما فیه مع </w:t>
      </w:r>
    </w:p>
    <w:p>
      <w:pPr>
        <w:pStyle w:val="BookText"/>
        <w:rPr/>
      </w:pPr>
      <w:r>
        <w:rPr>
          <w:rFonts w:ascii="IRNazanin" w:hAnsi="IRNazanin" w:eastAsia="IRNazanin"/>
          <w:color w:val="111111"/>
          <w:sz w:val="28"/>
          <w:sz w:val="28"/>
          <w:szCs w:val="28"/>
          <w:rtl w:val="true"/>
          <w:lang w:bidi="fa-IR"/>
        </w:rPr>
        <w:t>ظهور الأولویة، و المنطوق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تعریف المنطوق بما دلّ علیه اللفظ فی محلّ النطق و المفهوم بما دلّ علیه اللفظ، لا فی محلّ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 لأنّ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تعریفهم إمّا مصدریة أو موصولة، و علی الثانی إمّا کنایة عن موضوع الحکم أو عن المدلول المثبت للحکم أو عن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یحتمل معنیین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المنطوق دلالة اللفظ علی مدلوله حال کون المدلول أو موضوع ذلک المدلول فی محلّ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یحتمل معان أربعة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المنطوق موضوع دلّ علیه أو علی مدلوله اللفظ حال کون ذلک الموضوع أو ذلک المدلول فی محلّ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 یحتمل معنیین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المنطوق مدلول دلّ علیه اللفظ حال کون ذلک المدلول أو موضوع ذلک المدلول فی محلّ النطق، فهذه احتمالات ثمانیة یعلم تعریف المفهوم بالمقایسة علی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المعنی الأوّل و الثانی فلا ینطبقان إلّا علی کون المفهوم و المنطوق من صفات الدلالة لا المدلول، و قد عرفت خلافه، مضافا إلی ما فی المعنی الأوّل من انتقاض حدّ المنطوق عکسا و حد المفهوم طردا بالمفاهیم الموافقة، فإنّ مدلولها و هو الحکم فی محلّ النطق، و فی المعنی الثانی من انتقاض حدّ المنطوق طردا، و حدّ المفهوم عکسا بمفهوم الحصر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ارید قصر الموصوف علی الصفة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موضوع حکم المفهوم و هو الموصوف مذکور، و من لزوم الاستخدام أو الإضمار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المعنی الثالث و الرابع و الخامس 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إلی استلزام ما فی المعنی الأوّل و الثانی من انتقاض الحدّین طردا و عکسا فی کلّها و من لزوم الاستخدام أو الإضمار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تستلزم کون المفهوم و المنطوق من صفات </w:t>
      </w:r>
    </w:p>
    <w:p>
      <w:pPr>
        <w:pStyle w:val="BookText"/>
        <w:rPr/>
      </w:pPr>
      <w:r>
        <w:rPr>
          <w:rFonts w:ascii="IRNazanin" w:hAnsi="IRNazanin" w:eastAsia="IRNazanin"/>
          <w:color w:val="111111"/>
          <w:sz w:val="28"/>
          <w:sz w:val="28"/>
          <w:szCs w:val="28"/>
          <w:rtl w:val="true"/>
          <w:lang w:bidi="fa-IR"/>
        </w:rPr>
        <w:t>الموضوع لا المدلول، و قد عرفت أن لا قائل به، فهو خروج عن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المعنی السابع فمستلزم لانتقاض حد المنطوق عکسا و حد المفهوم طردا بالمفاهیم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المعنی الثامن فمستلزم لانتقاض حدّ المنطوق طردا و حدّ المفهوم عکسا بمفهوم الحصر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ارید به قصر الموصوف علی الصفة، و للزوم الاستخدام أو الإضمار، مضافا إلی استلزام جعل الظرف فی کلّها حالا عن الخبر و هو باطل عند الأکثر، فلم یبق فی تعریف المفهوم و المنطوق من هذه الاحتمالات الثمانیة وجه سلیم عن الخدشة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الفصول</w:t>
      </w:r>
      <w:r>
        <w:rPr>
          <w:rStyle w:val="FootnoteAnchor"/>
          <w:rtl w:val="true"/>
        </w:rPr>
        <w:footnoteReference w:id="187"/>
      </w:r>
      <w:r>
        <w:rPr>
          <w:rFonts w:ascii="IRNazanin" w:hAnsi="IRNazanin" w:eastAsia="IRNazanin"/>
          <w:color w:val="111111"/>
          <w:sz w:val="28"/>
          <w:sz w:val="28"/>
          <w:szCs w:val="28"/>
          <w:rtl w:val="true"/>
          <w:lang w:bidi="fa-IR"/>
        </w:rPr>
        <w:t>من استلزام الاستخدام بقاء الموصول بلا عائد، لأنّ شرط الاستخدام قیام الظاهر مقام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منع الاستلزام فی المقام، لما عرفت من الأمثلة أنّ المراد من الاستخدام فیها رجوع الضمیر إلی ظاهر ملابس للموصول لا ظاهر أجنبی عنه،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المنطوق حکم دلّ علی موضوعه لا موضوع مطلق حتی یستلزم بقاء الموصول بلا عائد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فمحصل الکلام أنّ المعیار فی الفرق بین المنطوق و المفهوم إمّا وجود الموضوع و عدمه، فقد عرفت انتقاض الحدّین عکسا و طردا بمفهوم الموافقة و مفهوم الحصر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ارید قصر الموصوف علی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وجود المدلول و عدمه فهو مستلزم لانتقاض طرد المنطوق و عکس المفهوم بدلالة وجوب الشی‌ء علی وجوب مقدّمته علی القول بالدلالة اللفظیة، فإنّ الحکم غیر مذکور فیه کالموضوع</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وجودهما فی المنطوق و فقدهما معا فی المفهوم فهو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w:t>
      </w:r>
    </w:p>
    <w:p>
      <w:pPr>
        <w:pStyle w:val="BookText"/>
        <w:rPr/>
      </w:pPr>
      <w:r>
        <w:rPr>
          <w:rFonts w:ascii="IRNazanin" w:hAnsi="IRNazanin" w:eastAsia="IRNazanin"/>
          <w:color w:val="111111"/>
          <w:sz w:val="28"/>
          <w:sz w:val="28"/>
          <w:szCs w:val="28"/>
          <w:rtl w:val="true"/>
          <w:lang w:bidi="fa-IR"/>
        </w:rPr>
        <w:t>لانتقاض طرد المنطوق و عکس المفهوم بدلالة وجوب الشی‌ء علی وجوب مقدّمته،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لثبوت الواسطة بین المفهوم و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وجودهما فی المنطوق و عدم وجودهما فی المفهوم سواء وجد أحدهما فی المفهوم أم لم یوجد شی‌ء منهما فهو مستلزم لانتقاض المنطوق بالمفهوم فی وجوب مقدّمة الواجب علی القول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وجود أحدهما فی المنطوق و فقدهما جمیعا فی المفهوم فهو مستلزم لما استلزمه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عدل المتأخّرون عن التحدید المشهور إلی ما یرجع إلی أحد الاحتمالات السابقة أیضا، بل لا یکاد یأتی لهما بحدّ سالم سوی الحد الأوّل الذی قدّمناه، فالوجه فی المقام أن یجعل الحدود المذکورة حدودا لفظیة تقریبیة و یرجع فی معرفتهما إلی عرف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لنتعرّض لإیرادات و امور أوردوها علی الحد المشهور علاوة علی ما قرّرنا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الفصول</w:t>
      </w:r>
      <w:r>
        <w:rPr>
          <w:rStyle w:val="FootnoteAnchor"/>
          <w:rtl w:val="true"/>
        </w:rPr>
        <w:footnoteReference w:id="188"/>
      </w:r>
      <w:r>
        <w:rPr>
          <w:rFonts w:ascii="IRNazanin" w:hAnsi="IRNazanin" w:eastAsia="IRNazanin"/>
          <w:color w:val="111111"/>
          <w:sz w:val="28"/>
          <w:sz w:val="28"/>
          <w:szCs w:val="28"/>
          <w:rtl w:val="true"/>
          <w:lang w:bidi="fa-IR"/>
        </w:rPr>
        <w:t>من أنّ حد المفهوم لا ینطبق علی شی‌ء من مصادیقه، لأنّها مرکّبة ممّا دلّ علیه اللفظ فی محلّ النطق و ممّا دلّ علیه لا فی محلّه، و المرکّب من الشیئین لیس بأحدهما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المفهوم الاصطلاحی المقابل للمنطوق مدلول واحد غیر مرکّب من مدلولین، و إنّما المرکّب منهما هو المفهوم اللغوی المقابل للفظ، حیث اشتمل علی الجزء الملفوظ به المسمّی بالمنطوق، و علی الجزء الغیر الملفوظ به المسمّی بالمفهوم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الترکیب فلا اختصاص له بالمفهوم فقط، بل یجری فی المنطوق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الإیراد بذلک کاشف عن عدم وقوف الراد علی مقصود المورد، إذ لیس مقصوده ترکیب المفهوم الاصطلاحی من مدلولین، بل مقصوده ترکیب مدلوله الواحد من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حکم لا محالة یکون الموضوع فی محلّ النطق دون الحکم، کما فی المفاهیم الموافقة، أو الحکم فی محلّ النطق دون الموضوع، کما فی المفاهیم المخالفة، فمرجع هذا الإیراد إلی ما قرّرناه من أنّ المعیار فی الفرق بین المنطوق و المفهوم إن کان علی وجود الموضوع و عدمه فهو منقوض بالمفاهیم الموافقة، و إن کان علی وجود الحکم و عدمه فهو منقوض بدلالة وجوب الشی‌ء علی وجوب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الهدایة</w:t>
      </w:r>
      <w:r>
        <w:rPr>
          <w:rStyle w:val="FootnoteAnchor"/>
          <w:rtl w:val="true"/>
        </w:rPr>
        <w:footnoteReference w:id="189"/>
      </w:r>
      <w:r>
        <w:rPr>
          <w:rFonts w:ascii="IRNazanin" w:hAnsi="IRNazanin" w:eastAsia="IRNazanin"/>
          <w:color w:val="111111"/>
          <w:sz w:val="28"/>
          <w:sz w:val="28"/>
          <w:szCs w:val="28"/>
          <w:rtl w:val="true"/>
          <w:lang w:bidi="fa-IR"/>
        </w:rPr>
        <w:t>من أنّ دلالة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شرط فی صحّة الصلاة أو یشترط الصلاة بالطهارة علی انتفاء الصلاة بانتفاء الطهارة مندرجة فی دلالة المنطوق، بخلاف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الصلاة بشرط حصول الطهارة، أو الصلاة واجبة بشرط البلوغ، فإنّ دلالتها علی انتفاء الصحّة بانتفاء الطهارة و انتفاء الوجوب بانتفاء البلوغ من دلالة المفهوم، و الأمر فیه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بعدم تحقّق ظهور للفرق بین المقامین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الفرق بینهما من جهة أنّ لفظة الشرط فی المثال الأوّل جزء الکلام، فلا یشبه التعلیقات العرفیة الخارجة عن جزئی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بخلافها فی المثال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فواضح، و أمّا کون هذا الفرق مجدیا لأن تکون دلالة انتفاء الشرط علی انتفاء المشروط فی عرض مفاد المثال الأوّل لیندرج فی منطوقه و فی طول المفاد المثال </w:t>
      </w:r>
      <w:bookmarkStart w:id="98" w:name="pg12880_153274"/>
    </w:p>
    <w:p>
      <w:pPr>
        <w:pStyle w:val="BookText"/>
        <w:rPr/>
      </w:pPr>
      <w:bookmarkEnd w:id="98"/>
      <w:r>
        <w:rPr>
          <w:rFonts w:ascii="IRNazanin" w:hAnsi="IRNazanin" w:eastAsia="IRNazanin"/>
          <w:color w:val="111111"/>
          <w:sz w:val="28"/>
          <w:sz w:val="28"/>
          <w:szCs w:val="28"/>
          <w:rtl w:val="true"/>
          <w:lang w:bidi="fa-IR"/>
        </w:rPr>
        <w:t>الثانی لیندرج فی مفهومه فأمر تابع لثبوت التبادر العرفی الکاشف عن الوضع، و إلّا فمجرّد مشابهة المثال الثانی بالتعلیقات العرفیة المقترنة بأداة التعلیق لا یوجب اشتراکه معها فی الدلالة المستندة إلی الوضع و التوقیف فتدبّر</w:t>
      </w:r>
      <w:r>
        <w:rPr>
          <w:rFonts w:eastAsia="IRNazanin" w:cs="IRNazanin"/>
          <w:color w:val="111111"/>
          <w:sz w:val="28"/>
          <w:szCs w:val="28"/>
          <w:rtl w:val="true"/>
          <w:lang w:bidi="fa-IR"/>
        </w:rPr>
        <w:t>.</w:t>
      </w:r>
    </w:p>
    <w:p>
      <w:pPr>
        <w:pStyle w:val="Heading3"/>
        <w:numPr>
          <w:ilvl w:val="2"/>
          <w:numId w:val="1"/>
        </w:numPr>
        <w:rPr/>
      </w:pPr>
      <w:bookmarkStart w:id="99" w:name="__RefHeading___Toc2986357_3224264995"/>
      <w:bookmarkStart w:id="100" w:name="_Toc37"/>
      <w:bookmarkEnd w:id="99"/>
      <w:r>
        <w:rPr>
          <w:rtl w:val="true"/>
        </w:rPr>
        <w:t>تقسیم عقلی للمنطوق</w:t>
      </w:r>
      <w:r>
        <w:rPr>
          <w:rtl w:val="true"/>
        </w:rPr>
        <w:t>.</w:t>
      </w:r>
      <w:bookmarkEnd w:id="100"/>
    </w:p>
    <w:p>
      <w:pPr>
        <w:pStyle w:val="BookText"/>
        <w:rPr/>
      </w:pPr>
      <w:r>
        <w:rPr>
          <w:rFonts w:ascii="IRNazanin" w:hAnsi="IRNazanin" w:eastAsia="IRNazanin"/>
          <w:color w:val="111111"/>
          <w:sz w:val="28"/>
          <w:sz w:val="28"/>
          <w:szCs w:val="28"/>
          <w:rtl w:val="true"/>
          <w:lang w:bidi="fa-IR"/>
        </w:rPr>
        <w:t>المنطوق إمّا صریح کالمدلول المطابقی، أو غیر صریح کالمدلول الالتزامی، و أمّا المدلول التضمنی ففی اندراجه فی الصریح، نظرا إلی أنّ الانتقال إلی الأجزاء من حیث إنّها أجزاء ترکّب الکلّ منها، مع أنّ الانتقال إلی الکلّ انتقال واحد و فی مرتبة واحدة بحسب الانتقال و وجود الدلالة فی الخارج، لأنّ الکلّ هو الأجزاء الملتئمة کما علیه المشهور، أو اندراجه فی غیر الصریح، نظرا إلی أنّ الجزء مقدّمة للکلّ بحسب الطبع و وجود المدلول خارجا کما علیه القوانین</w:t>
      </w:r>
      <w:r>
        <w:rPr>
          <w:rStyle w:val="FootnoteAnchor"/>
          <w:rtl w:val="true"/>
        </w:rPr>
        <w:footnoteReference w:id="190"/>
      </w:r>
      <w:r>
        <w:rPr>
          <w:rFonts w:ascii="IRNazanin" w:hAnsi="IRNazanin" w:eastAsia="IRNazanin"/>
          <w:color w:val="111111"/>
          <w:sz w:val="28"/>
          <w:sz w:val="28"/>
          <w:szCs w:val="28"/>
          <w:rtl w:val="true"/>
          <w:lang w:bidi="fa-IR"/>
        </w:rPr>
        <w:t>و الضوابط</w:t>
      </w:r>
      <w:r>
        <w:rPr>
          <w:rStyle w:val="FootnoteAnchor"/>
          <w:rtl w:val="true"/>
        </w:rPr>
        <w:footnoteReference w:id="191"/>
      </w:r>
      <w:r>
        <w:rPr>
          <w:rFonts w:ascii="IRNazanin" w:hAnsi="IRNazanin" w:eastAsia="IRNazanin"/>
          <w:color w:val="111111"/>
          <w:sz w:val="28"/>
          <w:sz w:val="28"/>
          <w:szCs w:val="28"/>
          <w:rtl w:val="true"/>
          <w:lang w:bidi="fa-IR"/>
        </w:rPr>
        <w:t>، أو باعتبار المعتبر فیندرج فی غیر الصریح إذا اعتبر فی التضمنی الانتقال إلی الجزء من حیث إنّه جزء علی أن تکون الحیثیة منتقلا إلیها أیضا، و فی الصریح إذا اعتبر قیدا للجزء علی أن تکون الدلالة علی الجزء الواحد لهذه الحیثیة من دون انتقال إلی الحیثیة، أو اندراجه فی المفهوم، أو اندراجه فی الدلالة العقلیة التبعیة الخارجة عن المنطوق و المفهوم جمیعا وجوه خمسة و أقوال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لک دفع التنافی بین قولهم بأنّ دلالة اللفظ علی الکلّ عین دلالته علی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 بأنّ دلالته علی الجزء تابع للدلالة علی الکلّ، فإنّ القول الأوّل ناظر إلی الوجه الأوّل، و الثانی إلی الثانی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عقلی للمنطوق الغیر 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قسّمه المشهور إلی المدلول علیه بدلالة الاقتضاء، و المدلول علیه بدلالة التنبیه و الإیماء، و المدلول علیه بدلالة </w:t>
      </w:r>
    </w:p>
    <w:p>
      <w:pPr>
        <w:pStyle w:val="BookText"/>
        <w:rPr/>
      </w:pPr>
      <w:r>
        <w:rPr>
          <w:rFonts w:ascii="IRNazanin" w:hAnsi="IRNazanin" w:eastAsia="IRNazanin"/>
          <w:color w:val="111111"/>
          <w:sz w:val="28"/>
          <w:sz w:val="28"/>
          <w:szCs w:val="28"/>
          <w:rtl w:val="true"/>
          <w:lang w:bidi="fa-IR"/>
        </w:rPr>
        <w:t>الإشارة، لأنّه إمّا أن تکون الدلالة مقصودة للمتکلّم أو لا، و علی الأوّل إمّا أن یتوقّف صدق الکلام أو صحته عقلا أو شرعا علیه،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امتی تسع الخطأ </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الْقَرْیَةَ</w:t>
      </w:r>
      <w:r>
        <w:rPr>
          <w:rStyle w:val="FootnoteAnchor"/>
          <w:rtl w:val="true"/>
        </w:rPr>
        <w:footnoteReference w:id="193"/>
      </w:r>
      <w:r>
        <w:rPr>
          <w:rFonts w:ascii="IRNazanin" w:hAnsi="IRNazanin" w:eastAsia="IRNazanin"/>
          <w:color w:val="111111"/>
          <w:sz w:val="28"/>
          <w:sz w:val="28"/>
          <w:szCs w:val="28"/>
          <w:rtl w:val="true"/>
          <w:lang w:bidi="fa-IR"/>
        </w:rPr>
        <w:t>و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عبدک عنی علی ألف، ففی المثال الأوّل لو لم یقدّر المؤاخذة صار کذبا، و فی الثانی لو لم یقدّر الأهل لما صحّ عقلا، و فی الثالث لو لم یقدر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مملّکا لی علی ألف لما صحّ شرعا، إذ لا عتق إلّا فی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و أهلکت واقعت أهلی فی نهار رمضان</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علم منه أنّ الوقاع علّة لوجوب الکفارة و إن لم یتوقّف صدق الکلام و لا صحّته عقلا و لا شرعا علیه، لکنّه مقترن بشی‌ء لو لم یکن ذلک الشی‌ء علّة له لبعد الاقتران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کدلالة الآیتین</w:t>
      </w:r>
      <w:r>
        <w:rPr>
          <w:rStyle w:val="FootnoteAnchor"/>
          <w:rtl w:val="true"/>
        </w:rPr>
        <w:footnoteReference w:id="195"/>
      </w:r>
      <w:r>
        <w:rPr>
          <w:rFonts w:ascii="IRNazanin" w:hAnsi="IRNazanin" w:eastAsia="IRNazanin"/>
          <w:color w:val="111111"/>
          <w:sz w:val="28"/>
          <w:sz w:val="28"/>
          <w:szCs w:val="28"/>
          <w:rtl w:val="true"/>
          <w:lang w:bidi="fa-IR"/>
        </w:rPr>
        <w:t>علی أقلّ الحمل، فإنّه غیر مقصود منها، بل المقصود من أحدهما بیان تعب الامّ فی الحمل و الفصال، و من الاخری بیان أکثر مدّة الانفصال، و ینبغی التکلم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أنّ المدالیل الثلاثة من المنطوق الغیر 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یختلف باعتبار الحیثیات و الاعتبارات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 عن النراقی</w:t>
      </w:r>
      <w:r>
        <w:rPr>
          <w:rStyle w:val="FootnoteAnchor"/>
          <w:rtl w:val="true"/>
        </w:rPr>
        <w:footnoteReference w:id="196"/>
      </w:r>
      <w:r>
        <w:rPr>
          <w:rFonts w:ascii="IRNazanin" w:hAnsi="IRNazanin" w:eastAsia="IRNazanin"/>
          <w:color w:val="111111"/>
          <w:sz w:val="28"/>
          <w:sz w:val="28"/>
          <w:szCs w:val="28"/>
          <w:rtl w:val="true"/>
          <w:lang w:bidi="fa-IR"/>
        </w:rPr>
        <w:t>فی بعض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المشهور و إن لم یکن مشاحة فی الاصطلاح، فیکون کلّ تلک الأمثلة الخمسة مناطیق غیر صریحة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کونها مناطیق فلعدم کونها من المفاهیم الموافقة و لا المخالفة، بل لیست </w:t>
      </w:r>
    </w:p>
    <w:p>
      <w:pPr>
        <w:pStyle w:val="BookText"/>
        <w:rPr/>
      </w:pPr>
      <w:r>
        <w:rPr>
          <w:rFonts w:ascii="IRNazanin" w:hAnsi="IRNazanin" w:eastAsia="IRNazanin"/>
          <w:color w:val="111111"/>
          <w:sz w:val="28"/>
          <w:sz w:val="28"/>
          <w:szCs w:val="28"/>
          <w:rtl w:val="true"/>
          <w:lang w:bidi="fa-IR"/>
        </w:rPr>
        <w:t>أحکاما أخر فی غیر دلالة الإشارة، و أمّا کونها غیر صریحة فلعدم ذکر الموضوع أی ما سوی الحکم من متعلّقات الحکم أجمع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الأوّل حذفت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الرابع العلّیة، و من الخامس قلّة الحمل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کونها من المفاهیم فقال فی القوانین</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من وجهه کون ماله المدلول غیر مذکور فی بعض الأمثلة التی ذکروها للمنطوق الغیر الصریح، فإنّ أقلّ الحمل مثلا غیر مذکور فی الآیتین، فإنّه هو الموضوع لا مطلق الحمل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الأخصّ لا یکون وجها للأعم، فالأولی أن یجعل هذا الوجه وجها لتوهم کونها من المفاهیم، لا لتوجّه کونها من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کونها باعتبار الحیثیات و الاعتبارات فهو أنّه إن اعتبر الموضوع فی الآیتین أقلّ الحمل کان من المفهوم، لأنّ أقلّ الحمل فیه غیر مذکور، و إن اعتبر کونه مطلق الحمل کان من المنطوق الغیر الصریح، لأنّ مطلق الحمل فیه مذکور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أنّ المجازات من المنطوق الصریح کما استظهره صاحبی الهدایة</w:t>
      </w:r>
      <w:r>
        <w:rPr>
          <w:rStyle w:val="FootnoteAnchor"/>
          <w:rtl w:val="true"/>
        </w:rPr>
        <w:footnoteReference w:id="198"/>
      </w:r>
      <w:r>
        <w:rPr>
          <w:rFonts w:ascii="IRNazanin" w:hAnsi="IRNazanin" w:eastAsia="IRNazanin"/>
          <w:color w:val="111111"/>
          <w:sz w:val="28"/>
          <w:sz w:val="28"/>
          <w:szCs w:val="28"/>
          <w:rtl w:val="true"/>
          <w:lang w:bidi="fa-IR"/>
        </w:rPr>
        <w:t>و القوانین</w:t>
      </w:r>
      <w:r>
        <w:rPr>
          <w:rStyle w:val="FootnoteAnchor"/>
          <w:rtl w:val="true"/>
        </w:rPr>
        <w:footnoteReference w:id="199"/>
      </w:r>
      <w:r>
        <w:rPr>
          <w:rFonts w:ascii="IRNazanin" w:hAnsi="IRNazanin" w:eastAsia="IRNazanin"/>
          <w:color w:val="111111"/>
          <w:sz w:val="28"/>
          <w:sz w:val="28"/>
          <w:szCs w:val="28"/>
          <w:rtl w:val="true"/>
          <w:lang w:bidi="fa-IR"/>
        </w:rPr>
        <w:t>من اصطلاحهم، أو من المنطوق الغیر الصریح کما استظهره صاحب الفصول</w:t>
      </w:r>
      <w:r>
        <w:rPr>
          <w:rStyle w:val="FootnoteAnchor"/>
          <w:rtl w:val="true"/>
        </w:rPr>
        <w:footnoteReference w:id="200"/>
      </w:r>
      <w:r>
        <w:rPr>
          <w:rFonts w:ascii="IRNazanin" w:hAnsi="IRNazanin" w:eastAsia="IRNazanin"/>
          <w:color w:val="111111"/>
          <w:sz w:val="28"/>
          <w:sz w:val="28"/>
          <w:szCs w:val="28"/>
          <w:rtl w:val="true"/>
          <w:lang w:bidi="fa-IR"/>
        </w:rPr>
        <w:t xml:space="preserve">و استادنا العلّامة من اصطلاحهم وجهان، من أنّ الدلالة الحاصلة فیها إنّما هو بطریق الالتزام حسب ما نصّ علیه علماء البیان، فیندرج فی غیر الصریح، و من استعمال اللفظ فی خصوص المعنی المجازی و إرادته منه علی نحو الحقیقة، و قد تحقّق الوضع النوعی بالنسبة إلیه، فیندرج لذلک فی المطابقة، </w:t>
      </w:r>
      <w:bookmarkStart w:id="101" w:name="pg12880_153277"/>
    </w:p>
    <w:p>
      <w:pPr>
        <w:pStyle w:val="BookText"/>
        <w:rPr/>
      </w:pPr>
      <w:bookmarkEnd w:id="101"/>
      <w:r>
        <w:rPr>
          <w:rFonts w:ascii="IRNazanin" w:hAnsi="IRNazanin" w:eastAsia="IRNazanin"/>
          <w:color w:val="111111"/>
          <w:sz w:val="28"/>
          <w:sz w:val="28"/>
          <w:szCs w:val="28"/>
          <w:rtl w:val="true"/>
          <w:lang w:bidi="fa-IR"/>
        </w:rPr>
        <w:t>فالالتزام الذی یجعل من المنطوق الغیر الصریح هو ما یستفاد من اللفظ علی سبیل الالتزام من غیر أن یستعمل اللفظ فیه کما هو الحال فی الأمثلة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یفصّل بین ما یکون قرینته لفظیّة 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یرمی، فیندرج فی المنطوق الصریح، و بین ما یکون قرینته عقلیة 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القریة، فیندرج فی غیر الصریح، و لذا عدّ من دلالة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عقلی للمفهوم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إمّا موافق للمنطوق فی الإیجاب و السلب، أو مخالف له فی ذلک، و یسمّی الأوّل بمفهوم الموافقة و فحوی الخطاب و بحسن الخطاب و القیاس الجلی و طریق الأولویة و القیاس بطریق أولی، کما یسمّی الثانی بمفهوم المخالفة و دلیل الخطاب المنقسم بالاستقراء إلی مفهوم الشرط و الوصف و الغایة و الحصر و العدد و اللقب، إلی غیر ذلک، فحصر المفهوم فی مفهوم الموافقة و المخالفة عقلی، کحصر المنطوق فی الصریح و غیر الصریح، و غیر الصریح فی الاقتضاء و التنبیه و الإیماء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حصر مفهوم المخالفة فی أقسامها فاستقرائی</w:t>
      </w:r>
      <w:r>
        <w:rPr>
          <w:rFonts w:eastAsia="IRNazanin" w:cs="IRNazanin"/>
          <w:color w:val="111111"/>
          <w:sz w:val="28"/>
          <w:szCs w:val="28"/>
          <w:rtl w:val="true"/>
          <w:lang w:bidi="fa-IR"/>
        </w:rPr>
        <w:t>.</w:t>
      </w:r>
    </w:p>
    <w:p>
      <w:pPr>
        <w:pStyle w:val="Heading3"/>
        <w:numPr>
          <w:ilvl w:val="2"/>
          <w:numId w:val="1"/>
        </w:numPr>
        <w:rPr/>
      </w:pPr>
      <w:bookmarkStart w:id="102" w:name="__RefHeading___Toc2986359_3224264995"/>
      <w:bookmarkStart w:id="103" w:name="_Toc38"/>
      <w:bookmarkEnd w:id="102"/>
      <w:r>
        <w:rPr>
          <w:rtl w:val="true"/>
        </w:rPr>
        <w:t>أصل اختلفوا فی حجیة مفهوم الشرط</w:t>
      </w:r>
      <w:bookmarkEnd w:id="103"/>
    </w:p>
    <w:p>
      <w:pPr>
        <w:pStyle w:val="Heading4"/>
        <w:numPr>
          <w:ilvl w:val="3"/>
          <w:numId w:val="1"/>
        </w:numPr>
        <w:rPr/>
      </w:pPr>
      <w:bookmarkStart w:id="104" w:name="__RefHeading___Toc2986361_3224264995"/>
      <w:bookmarkStart w:id="105" w:name="_Toc39"/>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علی أقوال، و تتمّ البصیرة فی المسألة بتقدیم مقدّمتین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الألفاظ المأخوذة فی صدر العنوان فنقول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المراد من حجیة المفهوم فهو انفهامه عرفا، إذ لا مجال فی حجیّته بعد فرض مفهومیّته و دلالة اللفظ علیه، للاتّفاق علی حجیّة مدالیل الألفاظ فی جمیع الأدیان خلفا عن سلف کما عرفت، فمرجع الخلاف إلی الخلاف فی الصغری لا </w:t>
      </w:r>
    </w:p>
    <w:p>
      <w:pPr>
        <w:pStyle w:val="BookText"/>
        <w:rPr/>
      </w:pPr>
      <w:r>
        <w:rPr>
          <w:rFonts w:ascii="IRNazanin" w:hAnsi="IRNazanin" w:eastAsia="IRNazanin"/>
          <w:color w:val="111111"/>
          <w:sz w:val="28"/>
          <w:sz w:val="28"/>
          <w:szCs w:val="28"/>
          <w:rtl w:val="true"/>
          <w:lang w:bidi="fa-IR"/>
        </w:rPr>
        <w:t>الکبری کما یتوهّمه بعض من لا خبرة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عدل غیر واحد من الاصولیین عن الاقتفاء بآثار القوم فی التعبیر المذکور إلی التعبیر بأنّ تعلیق الحکم علی شی‌ء بأحد أداة الشرط هل یفید الانتفاء عند الانتفاء أم لا، حذرا عمّا فی التعبیر الأوّل من الإیهام الموکول دفعه إلی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من المفهوم علی ما یشهد به العرف فهو ما یشتمل علی نقیض المنطوق، لا علی ضدّه، فمفهوم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توهّم، فیعمّ الأحکام الأربعة، إلّا أنّه یرجع إلی الإباحة للأصل، إلّا أن تکون الحرمة متأصّلة فیه،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فلان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یرجع إلی أصالة حرمة قتل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مفهوم الإباحة الخاصّة هو نفیها لا الحرمة، فمفهوم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أعمّ من الأحکام الأربعة و انصراف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الحرمة لا یستلزم انصراف المفهوم من لفظه فیه أیضا، إلّا أن یقال إنّه لا یستباح شی‌ء بالخصوص بحیث یذکر الشارع إباحته إلّا حیث یکون الأصل فیه الحرمة، فمن هذه الجهة ینصرف مفهومه إلی الحرمة من حیث رجوعه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کان أعمّ أیضا، إلّا أنّ الظاهر انصرافه إلی الإباحة أیضا حیث لا یکون من الخارج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الضدّان اللذان لا ثالث لهما کالعادل و الفاسق و الطاهر و النجس فقد زعم بعض الأعلام أنّ کلّا منهما مفهوم الآخر، و لا یبعد ذلک، لقوله علیه السّلام فی النبوی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اختلافهم رحمة فاتّفاقهم عذاب، فإنّ مقتضی المفهوم أنّ اتفاقهم لیس برحمة، لکن لمّا کان الرحمة و العذاب من المتقابلات کان </w:t>
      </w:r>
    </w:p>
    <w:p>
      <w:pPr>
        <w:pStyle w:val="BookText"/>
        <w:rPr/>
      </w:pPr>
      <w:r>
        <w:rPr>
          <w:rFonts w:ascii="IRNazanin" w:hAnsi="IRNazanin" w:eastAsia="IRNazanin"/>
          <w:color w:val="111111"/>
          <w:sz w:val="28"/>
          <w:sz w:val="28"/>
          <w:szCs w:val="28"/>
          <w:rtl w:val="true"/>
          <w:lang w:bidi="fa-IR"/>
        </w:rPr>
        <w:t>أحدهما مفهوم الآخر، بل هذا الخبر یدلّ علی أنّ کلّ متقابلین سواء کان لهما ثالث أم لا حکمهما ذلک، و من هذه الجهة ذکر البعض أنّ مفهوم آیة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من الشرط فی المقام فهو الشرط النحوی أعنی ما یلی أحد أدوات الشرط ممّا علّق علیه مضمون جملة اخری، إذ لا نزاع فی لفظ الشرط المستعمل لغة و کذا عرفا، بضمیمة أصالة عدم النقل فی خصوص الإلزام و الالتزام بالشی‌ء فی ضمن البیع، کما عن القاموس</w:t>
      </w:r>
      <w:r>
        <w:rPr>
          <w:rStyle w:val="FootnoteAnchor"/>
          <w:rtl w:val="true"/>
        </w:rPr>
        <w:footnoteReference w:id="202"/>
      </w:r>
      <w:r>
        <w:rPr>
          <w:rFonts w:ascii="IRNazanin" w:hAnsi="IRNazanin" w:eastAsia="IRNazanin"/>
          <w:color w:val="111111"/>
          <w:sz w:val="28"/>
          <w:sz w:val="28"/>
          <w:szCs w:val="28"/>
          <w:rtl w:val="true"/>
          <w:lang w:bidi="fa-IR"/>
        </w:rPr>
        <w:t>و عن الفقهاء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أو فی مطلق الالتزام بالشی‌ء الشامل للنذر و العهد، کما عن الصحاح</w:t>
      </w:r>
      <w:r>
        <w:rPr>
          <w:rStyle w:val="FootnoteAnchor"/>
          <w:rtl w:val="true"/>
        </w:rPr>
        <w:footnoteReference w:id="204"/>
      </w:r>
      <w:r>
        <w:rPr>
          <w:rFonts w:ascii="IRNazanin" w:hAnsi="IRNazanin" w:eastAsia="IRNazanin"/>
          <w:color w:val="111111"/>
          <w:sz w:val="28"/>
          <w:sz w:val="28"/>
          <w:szCs w:val="28"/>
          <w:rtl w:val="true"/>
          <w:lang w:bidi="fa-IR"/>
        </w:rPr>
        <w:t>، و هو مقتضی أصالة الحقیقة و عدم الاشتراک اللفظی فیما یوجد بینهما جامع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فی الشرط الاصولی، و هو ما یستلزم انتفائه انتفاء المشروط به، و لا یلزم وجوده وجود المشروط، و لا فی سائر معانی الشرط من السبب و العلّة التامة و غیرها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خروجها عن محلّ النزاع أنّ ما عدی الشرط النحوی من سائر معانی الشرط إنّما هی من المدالیل المنطوقیة التی لا ینکرها أحد حتی القائل بعدم حجیّة المفهوم، کما لم ینقل عن أحد وجود المفهوم بلا منطوق، أو انتفائهما معا، فاستدلال العلامة</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حجیّة مفهوم الشرط بأنّ وجود الشرط لا یستلزم وجود المشروط فلو لم یستلزم عدمه عدمه لم یکن شرطا، یشعر بخلطه </w:t>
      </w:r>
    </w:p>
    <w:p>
      <w:pPr>
        <w:pStyle w:val="BookText"/>
        <w:rPr/>
      </w:pPr>
      <w:r>
        <w:rPr>
          <w:rFonts w:ascii="IRNazanin" w:hAnsi="IRNazanin" w:eastAsia="IRNazanin"/>
          <w:color w:val="111111"/>
          <w:sz w:val="28"/>
          <w:sz w:val="28"/>
          <w:szCs w:val="28"/>
          <w:rtl w:val="true"/>
          <w:lang w:bidi="fa-IR"/>
        </w:rPr>
        <w:t xml:space="preserve">بین الاصطلاحین و بصحّة إرادة المفهوم المخالف دون المنطوق، و بطلان الثانی ظاهر و کذا الأوّل، لأنّ الواقع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أخواته قد یکون شرطا اصولیا، و قد یکون سببا، و علی التقدیرین هو داخل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محلّ النزاع من مصداق لفظ الشرط هو الشرط النحوی لا الاصولی کما توهّمه العلّامة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کما للشرط إطلاقات متعدّدة و المراد منها المعنی النحوی لا غیر، کذلک للجملة الشرطیة أیضا إطلاقات متعدّدة، و المراد منها فی المقام الجملة المصدّرة بأداة الشرط ممّا تفید تعلیق عدم الجزاء عند عدم الشرط، فیخرج الجملة المصدّرة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الوصلیة و لوها</w:t>
      </w:r>
      <w:r>
        <w:rPr>
          <w:rStyle w:val="FootnoteAnchor"/>
          <w:rtl w:val="true"/>
        </w:rPr>
        <w:footnoteReference w:id="206"/>
      </w:r>
      <w:r>
        <w:rPr>
          <w:rFonts w:ascii="IRNazanin" w:hAnsi="IRNazanin" w:eastAsia="IRNazanin"/>
          <w:color w:val="111111"/>
          <w:sz w:val="28"/>
          <w:sz w:val="28"/>
          <w:szCs w:val="28"/>
          <w:rtl w:val="true"/>
          <w:lang w:bidi="fa-IR"/>
        </w:rPr>
        <w:t>، لعدم إفادتها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بین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إنسانا فهو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إنسانا فهو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دخول کلّ منهما فی محلّ النزاع و کون کلّ منها شرطا لثبوت الحکم، و ذلک لأنّ تخلّف الحکم عن الشرط نادرا بواسطة قرائن خارجیة عن مقتضی اللفظ لا یوجب خروج المثال الثانی عن محلّ النزاع و جعله قسما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قاله صاحب القوانین</w:t>
      </w:r>
      <w:r>
        <w:rPr>
          <w:rStyle w:val="FootnoteAnchor"/>
          <w:rtl w:val="true"/>
        </w:rPr>
        <w:footnoteReference w:id="207"/>
      </w:r>
      <w:r>
        <w:rPr>
          <w:rFonts w:ascii="IRNazanin" w:hAnsi="IRNazanin" w:eastAsia="IRNazanin"/>
          <w:color w:val="111111"/>
          <w:sz w:val="28"/>
          <w:sz w:val="28"/>
          <w:szCs w:val="28"/>
          <w:rtl w:val="true"/>
          <w:lang w:bidi="fa-IR"/>
        </w:rPr>
        <w:t>فی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نزل الثلج فالزمان شتاء من أنّ الشرط فیه شرط لصدور الحکم عن القائل لا لثبوته فی نفس الأمر، لأنّه قد لا ینزل الثلج فی الشتاء</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أنّه إن ارید کونه شرطا لصدور الحکم الدائم المطابقة للواقع فهو لا ینفک عن الثبوت النفس الأمر، و إن ارید کونه شرطا لصدور الحکم الغالب المطابقة فهو لیس بأولی من کونه شرطا للثبوت غالبا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مقتضی أصالة عدم الدلالة بمعنی قاعدة التوظیف فی اللغات و أصالة عدم الوضع للمفهوم بمعنی عدم کونه ملتفتا إلیه، و أصالة البراءة عن التکلیف فیما کان المفهوم مخالفا للأصل، و أصالة عدم التقیید و التخصیص فیما کان المفهوم معارضا لمطلق أو عام و موجبا لتقیید ذلک المطلق أو لتخصیص ذلک العام عدم دلالة اللفظ علی المفهوم، لکن الثانی من الاصول الأربعة غیر معتبر عندنا مع أنّ قاعدة الاشتراک المعنوی هو کون الموضوع له نفس المنطوق لیس إلّا، فالأصل بهذا المعنی أیضا یقتضی ذلک، لأنّ تلک الهیئة استعملت فی إفادة السببیة و فی إفادة لزوم وجود الثانی من وجود الأوّل، و إرادة الاستدلال من انتفاء الثانی علی انتفاء الأوّل کالآیة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فِیهِما آلِهَةٌ إِلَّا اللَّهُ لَفَسَدَتا</w:t>
      </w:r>
      <w:r>
        <w:rPr>
          <w:rStyle w:val="FootnoteAnchor"/>
          <w:rtl w:val="true"/>
        </w:rPr>
        <w:footnoteReference w:id="208"/>
      </w:r>
      <w:r>
        <w:rPr>
          <w:rFonts w:ascii="Amiri" w:hAnsi="Amiri" w:eastAsia="Amiri" w:cs="Amiri"/>
          <w:color w:val="111111"/>
          <w:sz w:val="28"/>
          <w:sz w:val="28"/>
          <w:szCs w:val="28"/>
          <w:rtl w:val="true"/>
          <w:lang w:bidi="ar-SA"/>
        </w:rPr>
        <w:t>و القدر المشترک بین المعنیین مطلق استلزام وجود الأوّل وجود الثانی، و قد استعلمت فی القدر المشترک کثیرا کما فی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نُودِیَ لِلصَّلاةِ مِنْ یَوْمِ الْجُمُعَةِ</w:t>
      </w:r>
      <w:r>
        <w:rPr>
          <w:rStyle w:val="FootnoteAnchor"/>
          <w:rtl w:val="true"/>
        </w:rPr>
        <w:footnoteReference w:id="209"/>
      </w:r>
      <w:r>
        <w:rPr>
          <w:rFonts w:ascii="IRNazanin" w:hAnsi="IRNazanin" w:eastAsia="IRNazanin"/>
          <w:color w:val="111111"/>
          <w:sz w:val="28"/>
          <w:sz w:val="28"/>
          <w:szCs w:val="28"/>
          <w:rtl w:val="true"/>
          <w:lang w:bidi="fa-IR"/>
        </w:rPr>
        <w:t>و قد مرّ أنّ القاعدة فی مثل ذلک الحکم بوضع اللفظ للقدر المشترک عند الشک فی الموضوع 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قد عرفت تلک المقدّمتین فاعلم أنّهم اختلفوا فی حجیّة مفهوم الشرط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التفصیل فی حجیّته فی الإنشاء دون الإخبار، و رابعها التفصیل فی حجیّته فی الشرع دون اللغة، و الحق الحجیّة مطلقا وفاقا للمشهور، بل کاد یکون ضروریا، و لهذا حکی عن الشهید الثانی فی تمهید القواعد</w:t>
      </w:r>
      <w:r>
        <w:rPr>
          <w:rStyle w:val="FootnoteAnchor"/>
          <w:rtl w:val="true"/>
        </w:rPr>
        <w:footnoteReference w:id="210"/>
      </w:r>
      <w:r>
        <w:rPr>
          <w:rFonts w:ascii="IRNazanin" w:hAnsi="IRNazanin" w:eastAsia="IRNazanin"/>
          <w:color w:val="111111"/>
          <w:sz w:val="28"/>
          <w:sz w:val="28"/>
          <w:szCs w:val="28"/>
          <w:rtl w:val="true"/>
          <w:lang w:bidi="fa-IR"/>
        </w:rPr>
        <w:t xml:space="preserve">عن بعضهم الإجماع علی حجیّة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قلتین لم یحمل خبثا</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و مفهوم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 </w:t>
      </w:r>
      <w:bookmarkStart w:id="106" w:name="pg12880_153282"/>
    </w:p>
    <w:p>
      <w:pPr>
        <w:pStyle w:val="BookText"/>
        <w:rPr/>
      </w:pPr>
      <w:bookmarkEnd w:id="106"/>
      <w:r>
        <w:rPr>
          <w:rFonts w:ascii="IRNazanin" w:hAnsi="IRNazanin" w:eastAsia="IRNazanin"/>
          <w:color w:val="111111"/>
          <w:sz w:val="28"/>
          <w:sz w:val="28"/>
          <w:szCs w:val="28"/>
          <w:rtl w:val="true"/>
          <w:lang w:bidi="fa-IR"/>
        </w:rPr>
        <w:t>الماء قدر کرّ لم ینجسه شی‌ء</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2986363_3224264995"/>
      <w:bookmarkStart w:id="108" w:name="_Toc40"/>
      <w:bookmarkEnd w:id="107"/>
      <w:r>
        <w:rPr>
          <w:rtl w:val="true"/>
        </w:rPr>
        <w:t>[</w:t>
      </w:r>
      <w:r>
        <w:rPr>
          <w:rtl w:val="true"/>
        </w:rPr>
        <w:t>لنا علی حجیّته وجوه</w:t>
      </w:r>
      <w:r>
        <w:rPr>
          <w:rtl w:val="true"/>
        </w:rPr>
        <w:t>:]</w:t>
      </w:r>
      <w:bookmarkEnd w:id="10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المفهوم عرفا من التعلیق علی الشرط بأحد أداته، و کذا لغة بأصالة عدم النقل، و تفصیل دعوی التبادر هنا ینحلّ إلی دعوی امور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التعلیق لأجل العلاقة لا لمجرّد الاتّفاق، فمثل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الإنسان ناطقا فالحمار ناهق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الظهور بواسطة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المقدّم و التالی بحسب الوجود فی طول واحد لا فی عرض واحد، کما إذا کانا معلولین لعلة ثالثة، فمثل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الشمس طالعة فالعالم مضی‌ء خارج عن الظهور بواسطة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العلاقة بینهما علاقة السببیة و المسببیة، لا الشرطیة و المشروطیة حتی یکون التلازم بینهما وجودا و عدما لا وجودا فقط، فمثل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إنسانا فهو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الظهور بواسطة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المقدّم سببا للتالی دون العکس فمثل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الشمس طالعة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المذکور فی السببیّة لا کونه جزء سبب، فمثل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جرت الصیغة فقد طلّقت المرأة خارج عن الظهور، لعدم استقلال الصیغة من غیر حضور العدلین فی سببیة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السببیة فی المذکور لا کونه أحد الأسباب المستقلة، فمثل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نام المتوضّی فقد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ظهور اللفظ بدلیل الخارج</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خلاف ظاهرا بین المشهور و غیرهم فی تبادر ما عدی الأمر السادس </w:t>
      </w:r>
    </w:p>
    <w:p>
      <w:pPr>
        <w:pStyle w:val="BookText"/>
        <w:rPr/>
      </w:pPr>
      <w:r>
        <w:rPr>
          <w:rFonts w:ascii="IRNazanin" w:hAnsi="IRNazanin" w:eastAsia="IRNazanin"/>
          <w:color w:val="111111"/>
          <w:sz w:val="28"/>
          <w:sz w:val="28"/>
          <w:szCs w:val="28"/>
          <w:rtl w:val="true"/>
          <w:lang w:bidi="fa-IR"/>
        </w:rPr>
        <w:t>عرفا من التعلیق المذکور، و إنّما الخلاف بین المشهور و غیرهم فی تبادر الأمر السادس و عدمه، کما لا خلاف ظاهرا بین المشهور فی تبادر الأمر السادس، و إنّما الخلاف بینهم فی استناد تبادره إلی الإطلاق کما هو مختار الفصول</w:t>
      </w:r>
      <w:r>
        <w:rPr>
          <w:rStyle w:val="FootnoteAnchor"/>
          <w:rtl w:val="true"/>
        </w:rPr>
        <w:footnoteReference w:id="213"/>
      </w:r>
      <w:r>
        <w:rPr>
          <w:rFonts w:ascii="IRNazanin" w:hAnsi="IRNazanin" w:eastAsia="IRNazanin"/>
          <w:color w:val="111111"/>
          <w:sz w:val="28"/>
          <w:sz w:val="28"/>
          <w:szCs w:val="28"/>
          <w:rtl w:val="true"/>
          <w:lang w:bidi="fa-IR"/>
        </w:rPr>
        <w:t>، أو إلی الوضع کما هو مختار استادنا العلّامة وفاقا لظاهر المعالم</w:t>
      </w:r>
      <w:r>
        <w:rPr>
          <w:rStyle w:val="FootnoteAnchor"/>
          <w:rtl w:val="true"/>
        </w:rPr>
        <w:footnoteReference w:id="214"/>
      </w:r>
      <w:r>
        <w:rPr>
          <w:rFonts w:ascii="IRNazanin" w:hAnsi="IRNazanin" w:eastAsia="IRNazanin"/>
          <w:color w:val="111111"/>
          <w:sz w:val="28"/>
          <w:sz w:val="28"/>
          <w:szCs w:val="28"/>
          <w:rtl w:val="true"/>
          <w:lang w:bidi="fa-IR"/>
        </w:rPr>
        <w:t>و القوانین</w:t>
      </w:r>
      <w:r>
        <w:rPr>
          <w:rStyle w:val="FootnoteAnchor"/>
          <w:rtl w:val="true"/>
        </w:rPr>
        <w:footnoteReference w:id="215"/>
      </w:r>
      <w:r>
        <w:rPr>
          <w:rFonts w:ascii="IRNazanin" w:hAnsi="IRNazanin" w:eastAsia="IRNazanin"/>
          <w:color w:val="111111"/>
          <w:sz w:val="28"/>
          <w:sz w:val="28"/>
          <w:szCs w:val="28"/>
          <w:rtl w:val="true"/>
          <w:lang w:bidi="fa-IR"/>
        </w:rPr>
        <w:t>و الضوابط</w:t>
      </w:r>
      <w:r>
        <w:rPr>
          <w:rStyle w:val="FootnoteAnchor"/>
          <w:rtl w:val="true"/>
        </w:rPr>
        <w:footnoteReference w:id="216"/>
      </w:r>
      <w:r>
        <w:rPr>
          <w:rFonts w:ascii="IRNazanin" w:hAnsi="IRNazanin" w:eastAsia="IRNazanin"/>
          <w:color w:val="111111"/>
          <w:sz w:val="28"/>
          <w:sz w:val="28"/>
          <w:szCs w:val="28"/>
          <w:rtl w:val="true"/>
          <w:lang w:bidi="fa-IR"/>
        </w:rPr>
        <w:t>و بناء علی أنّ الأصل فی التبادر الوضعی للغلبة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علی حجیة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المعصوم علیه السّلام علی ثبوت المفهوم فی عدة من الروایات التی ذکر تفصیلها فی الهدایة</w:t>
      </w:r>
      <w:r>
        <w:rPr>
          <w:rStyle w:val="FootnoteAnchor"/>
          <w:rtl w:val="true"/>
        </w:rPr>
        <w:footnoteReference w:id="217"/>
      </w:r>
      <w:r>
        <w:rPr>
          <w:rFonts w:ascii="IRNazanin" w:hAnsi="IRNazanin" w:eastAsia="IRNazanin"/>
          <w:color w:val="111111"/>
          <w:sz w:val="28"/>
          <w:sz w:val="28"/>
          <w:szCs w:val="28"/>
          <w:rtl w:val="true"/>
          <w:lang w:bidi="fa-IR"/>
        </w:rPr>
        <w:t>بما لا مزید علیه، و من اراد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یفد التعلیق انتفاء المعلّق بانتفاء المعلّق علیه لکان لغوا فی کلام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إثبات للغة بالعقل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الصغری فلأنّ ظاهر تعریفهم المفهوم و استنادهم فی حجیته إلی التبادر و فهم أهل اللسان و غیر ذلک، بل و صریح کلماتهم یعطی کون المفهوم من الدلالة اللفظیة لا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 فلأنّ أقصی ما یقتضیه العقل إثبات إرادة اللافظ لا دلالة اللفظ، فإنّه ثبوت مدالیل الألفاظ من مقتضیات الوضع لا العقل، بخلاف ثبوت المرادات فانّه قد یکون من مقتضیات العقل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یستلزم حجیة مطلق المفاهیم، بل یجری فی المناطیق أیضا، لا </w:t>
      </w:r>
    </w:p>
    <w:p>
      <w:pPr>
        <w:pStyle w:val="BookText"/>
        <w:rPr/>
      </w:pPr>
      <w:r>
        <w:rPr>
          <w:rFonts w:ascii="IRNazanin" w:hAnsi="IRNazanin" w:eastAsia="IRNazanin"/>
          <w:color w:val="111111"/>
          <w:sz w:val="28"/>
          <w:sz w:val="28"/>
          <w:szCs w:val="28"/>
          <w:rtl w:val="true"/>
          <w:lang w:bidi="fa-IR"/>
        </w:rPr>
        <w:t>خصوص مفهوم الشرط الذی هو محلّ الکلام، و 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 فلأنّ الدلیل العقلی لا یخصّص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اللازم فلما ستعرف من عدم حجیّة کثیر من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یستلزم رجوع النزاع إلی تجویز اللغو علی الحکیم و عدمه، و هو ممّا لا یقبل النزاع، و لکن یمکن منع هذه الملازمة بإمکان رجوعه إلی ثبوت اللغویة بدعوی انحصار الفائدة فی المفهوم و عدم ثبوته، لمنع الانحصار، مضافا إلی ما فی الفصول</w:t>
      </w:r>
      <w:r>
        <w:rPr>
          <w:rStyle w:val="FootnoteAnchor"/>
          <w:rtl w:val="true"/>
        </w:rPr>
        <w:footnoteReference w:id="218"/>
      </w:r>
      <w:r>
        <w:rPr>
          <w:rFonts w:ascii="IRNazanin" w:hAnsi="IRNazanin" w:eastAsia="IRNazanin"/>
          <w:color w:val="111111"/>
          <w:sz w:val="28"/>
          <w:sz w:val="28"/>
          <w:szCs w:val="28"/>
          <w:rtl w:val="true"/>
          <w:lang w:bidi="fa-IR"/>
        </w:rPr>
        <w:t>من منع الاستلزام بأنّ النزاع فی الحکم لا یستلزم النزاع فی مدرکه لإمکان الغفلة عنه أو عن دلالته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أعمّ من المدّعی، لأنّ مقتضاه إثبات إرادة فائدة ما، و هو لا ینحصر فی إرادة الانتفاء عند الانتفاء، بل قد یحصل بإرادة بیان الأهمیّة أو الأغلبیة أو بیان محلّ الحاجة أو مطابقة السؤال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توجیه صاحب الفصول</w:t>
      </w:r>
      <w:r>
        <w:rPr>
          <w:rStyle w:val="FootnoteAnchor"/>
          <w:rtl w:val="true"/>
        </w:rPr>
        <w:footnoteReference w:id="219"/>
      </w:r>
      <w:r>
        <w:rPr>
          <w:rFonts w:ascii="IRNazanin" w:hAnsi="IRNazanin" w:eastAsia="IRNazanin"/>
          <w:color w:val="111111"/>
          <w:sz w:val="28"/>
          <w:sz w:val="28"/>
          <w:szCs w:val="28"/>
          <w:rtl w:val="true"/>
          <w:lang w:bidi="fa-IR"/>
        </w:rPr>
        <w:t>و غیره بأنّ انضمام دعوی أظهریة فائدة المفهوم من بین الفوائد المحتملة إلی مقتضی الدلیل العقلی یتمّم الاحتجاج به، مدفوع بما حقّق فی الضوابط</w:t>
      </w:r>
      <w:r>
        <w:rPr>
          <w:rStyle w:val="FootnoteAnchor"/>
          <w:rtl w:val="true"/>
        </w:rPr>
        <w:footnoteReference w:id="220"/>
      </w:r>
      <w:r>
        <w:rPr>
          <w:rFonts w:ascii="IRNazanin" w:hAnsi="IRNazanin" w:eastAsia="IRNazanin"/>
          <w:color w:val="111111"/>
          <w:sz w:val="28"/>
          <w:sz w:val="28"/>
          <w:szCs w:val="28"/>
          <w:rtl w:val="true"/>
          <w:lang w:bidi="fa-IR"/>
        </w:rPr>
        <w:t>تفصیلا و مبسوطا بما لا مزید علیه و من شاء فلیراجع، و محصّله أنّه إن استندت الأظهریة إلی حاقّ اللفظ فمرجعها إلی ما اخترناه من التبادر، و إن استندت إلی الخارج کالغلبة و الشیاع ففی الاعتبار من باب الظنّ الخاص أو المطلق، و عدم الاعتبار مطلقا تابع لذلک الأمر الخارج</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توجیهه بتوجیه آخر و هو فرض انحصار الفائدة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أیضا أوّلا بلزوم الخروج عن محلّ النزاع، لأنّ محلّه فی صورة عدم 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بأنّه أخصّ من المدّعی، لأنّ المدّعی أعمّ من صورة الانحصار و عدمه</w:t>
      </w:r>
      <w:r>
        <w:rPr>
          <w:rFonts w:eastAsia="IRNazanin" w:cs="IRNazanin"/>
          <w:color w:val="111111"/>
          <w:sz w:val="28"/>
          <w:szCs w:val="28"/>
          <w:rtl w:val="true"/>
          <w:lang w:bidi="fa-IR"/>
        </w:rPr>
        <w:t xml:space="preserve">. </w:t>
      </w:r>
      <w:bookmarkStart w:id="109" w:name="pg12880_153285"/>
    </w:p>
    <w:p>
      <w:pPr>
        <w:pStyle w:val="Heading4"/>
        <w:numPr>
          <w:ilvl w:val="3"/>
          <w:numId w:val="1"/>
        </w:numPr>
        <w:rPr/>
      </w:pPr>
      <w:bookmarkStart w:id="110" w:name="__RefHeading___Toc2986365_3224264995"/>
      <w:bookmarkStart w:id="111" w:name="_Toc41"/>
      <w:bookmarkEnd w:id="109"/>
      <w:bookmarkEnd w:id="110"/>
      <w:r>
        <w:rPr>
          <w:rtl w:val="true"/>
        </w:rPr>
        <w:t>[</w:t>
      </w:r>
      <w:r>
        <w:rPr>
          <w:rtl w:val="true"/>
        </w:rPr>
        <w:t>حجة النافی وجوه</w:t>
      </w:r>
      <w:r>
        <w:rPr>
          <w:rtl w:val="true"/>
        </w:rPr>
        <w:t>:]</w:t>
      </w:r>
      <w:bookmarkEnd w:id="111"/>
    </w:p>
    <w:p>
      <w:pPr>
        <w:pStyle w:val="Heading5"/>
        <w:numPr>
          <w:ilvl w:val="4"/>
          <w:numId w:val="1"/>
        </w:numPr>
        <w:rPr/>
      </w:pPr>
      <w:bookmarkStart w:id="112" w:name="__RefHeading___Toc2986367_3224264995"/>
      <w:bookmarkStart w:id="113" w:name="_Toc42"/>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دلّت لکانت إحدی الثلاث و کلّها منتفیة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المطابقة و التضمّن فظاهر، کیف و لو دلّ علیه بأحد الوجهین لکان منطوقا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الالتزام فلأنّ من شروطه اللزوم العقلی أو العرفی، و کلاهما منتفیان فی المقام، ضرورة أنّه لا ملازمة بین حصول الجزاء عند حصول الشرط و انتفائه عند انتفائه لا عقلا و لا عادة، لعدم کون المفهوم بالنسبة إلی المنطوق من قبیل البصر بالنسبة إلی العمی، و لا من قبیل الجود بالنسبة إلی حاتم، و لذا لا یراد بها الانتفاء عند الانتفاء فی کثیر من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أمّا علی ما ذهب إلیه بعض من اختیار کون الدلالة فی المقام تضمّنیة فبمنع ظهور الفساد و ملازمة کونه منطوقا، لما عرفت من أنّ مناط الفرق بین المنطوق و المفهوم کما نصّوا علیه کون متعلّق الحکم مذکورا فی أحدهما غیر مذکور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مذهب التحقیق فباختیار حصول الدلالة الالتزامیة، لکن لا بدعوی حصول الملازمة بین ثبوت الجزاء عند ثبوت الشرط و عدمه عند عدمه لوضوح خلافه، بل لأنّ الواضع القضیة الشرطیة لاحظ معنی یلزم من إرادته الانتفاء عند الانتفاء و وضع القضیة بازائه، فإفادتها الملازمة و إن لم تکن عقلیّة کملازمة العمی للبصر و لا عرفیة کملازمة الجود لحاتم إلّا أنّها ملازمة جعلیة وضعیة لا تنفکّ عن الملازمة العقلیة أو العادیة أو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دلّ علی الحکمین لجاز أن یبطل حکم المنطوق و یبقی إرادة المفهوم کما یجوز عکسه، مع أنّه لا یجوز ذلک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مع عدم ظهور الملازمة المدّعی أنّه إنّما یتمّ لو قلنا بکون دلالته علی </w:t>
      </w:r>
    </w:p>
    <w:p>
      <w:pPr>
        <w:pStyle w:val="BookText"/>
        <w:rPr/>
      </w:pPr>
      <w:r>
        <w:rPr>
          <w:rFonts w:ascii="IRNazanin" w:hAnsi="IRNazanin" w:eastAsia="IRNazanin"/>
          <w:color w:val="111111"/>
          <w:sz w:val="28"/>
          <w:sz w:val="28"/>
          <w:szCs w:val="28"/>
          <w:rtl w:val="true"/>
          <w:lang w:bidi="fa-IR"/>
        </w:rPr>
        <w:t>الانتفاء بالانتفاء تضمنیّة و هو ضعیف، و أمّا لو قلنا بکونها التزامیة فهی إنّما تتبع إرادة المنطوق، فمع عدم إرادة المنطوق من أین یجی‌ء الدلالة علی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نجد فی کلام العرب لفظا یتضمّن معنی الإثبات و النفی جمیعا بلفظ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اجیب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w:t>
      </w:r>
      <w:r>
        <w:rPr>
          <w:rStyle w:val="FootnoteAnchor"/>
          <w:rtl w:val="true"/>
        </w:rPr>
        <w:footnoteReference w:id="221"/>
      </w:r>
      <w:r>
        <w:rPr>
          <w:rFonts w:ascii="IRNazanin" w:hAnsi="IRNazanin" w:eastAsia="IRNazanin"/>
          <w:color w:val="111111"/>
          <w:sz w:val="28"/>
          <w:sz w:val="28"/>
          <w:szCs w:val="28"/>
          <w:rtl w:val="true"/>
          <w:lang w:bidi="fa-IR"/>
        </w:rPr>
        <w:t>لأنّ الحصر معناه النفی و الإثبات جمیعا بلفظ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الوجدان لا یدلّ علی عدم الوجود، بل و لو سلّمنا الدلالة فهی من الأدلّة الفقاهیة التی لا تقاوم الأدلّة الاجتهادیة المثبتة للوجود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احتج به السید</w:t>
      </w:r>
      <w:r>
        <w:rPr>
          <w:rStyle w:val="FootnoteAnchor"/>
          <w:rtl w:val="true"/>
        </w:rPr>
        <w:footnoteReference w:id="222"/>
      </w:r>
      <w:r>
        <w:rPr>
          <w:rFonts w:ascii="IRNazanin" w:hAnsi="IRNazanin" w:eastAsia="IRNazanin"/>
          <w:color w:val="111111"/>
          <w:sz w:val="28"/>
          <w:sz w:val="28"/>
          <w:szCs w:val="28"/>
          <w:rtl w:val="true"/>
          <w:lang w:bidi="fa-IR"/>
        </w:rPr>
        <w:t>من أنّ تأثیر الشرط هو تعلّق الحکم به و لیس یمتنع أن یخلفه و ینوب منابه شرط آخر و یجری مجراه، و لا یخرج عن أن یکون شرطا إلی آخر احتجاجه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بما فی الروایات المتقدّمة من تقریر المعصوم علیه السّلام بثبوت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تقریره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 اعتبار شی‌ء عند الاطلاق کونه شرطا علی التعیین حسب ما مرّ من استناد هذا الظهور إلی الوضع أو الاطلاق أو الغلبة، و حینئذ فلیس فی قیام بعض الشروط مقام بعض دلالة علی انتفاء الظهور المدّعی، لأنّ الاحتمال لا یضرّ بالاستدلال بالظواهر، و إلّا لا نسدّ باب الاستدلال بظواهر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عدم سببیّة شی‌ء آخر عند الشک فی سببیّة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عدم سببیة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لا یثبت دعوی دلالة اللفظ علیه </w:t>
      </w:r>
    </w:p>
    <w:p>
      <w:pPr>
        <w:pStyle w:val="BookText"/>
        <w:rPr/>
      </w:pPr>
      <w:r>
        <w:rPr>
          <w:rFonts w:ascii="IRNazanin" w:hAnsi="IRNazanin" w:eastAsia="IRNazanin"/>
          <w:color w:val="111111"/>
          <w:sz w:val="28"/>
          <w:sz w:val="28"/>
          <w:szCs w:val="28"/>
          <w:rtl w:val="true"/>
          <w:lang w:bidi="fa-IR"/>
        </w:rPr>
        <w:t>بالتبادر و لا ینفی الاحتمال المبطل للاستدلال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تمسّکنا بالأصل لیس لإثبات المقتضی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دلالة اللفظ حتی یستظهر المنع من إثباته، بل إنّما هو لرفع المانع أعنی لرفع التجوّز نفی الخلاف و هو یفید الدلالة اللفظیة و ینافی الاحتمال المبطل للاستدلال، لأنّ احتمال المانع احتمال مرجوح لا یعبأ به بعد وجود المقتضی، بخلاف احتمال المقتضی، فالمراد من الأصل المذکور الأصل اللفظی لا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سببیة شی‌ء آخر قد یعارض بأصالة البراءة عن مقتضی المفهوم کما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جعت یباح لک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إباحة الأکل و عدمه حین الشبع مسبّب عن الشک فی سببیة شی‌ء آخر قائم مقام سببیة الشی‌ء المنطوق به و عدمه، و قد تقرّر فی محلّه أنّ الأصل فی الشک السببی حاکم علی الأصل فی الشک المسبّب، و بعد الحکومة لا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سببیة أمر وجودی یقوم مقام السبب المنطوق به لا یرفع احتمال سببیّة أمر عدمی 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الأمر العدمی المحتمل للسببیة عدم غیر المنطوق به فمن البیّن أنّه لا فرق فی مجری اصالة العدم بین احتمال سببیّة وجود غیر المنطوق به و بین احتمال سببیّة عدم المنطوق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الأمر العدمی المحتمل للسببیّة عدم المنطوق به فمن البیّن أنّه بعد اعتبار المنطوق به سببا لشی‌ء یستحیل اعتبار عدمه سببا لذلک الشی‌ء، لما تقرّر فی محلّه من أنّ السبب ما یلزم من وجوده الوجود و من عدمه العدم لذاته، لا ما یلزم من وجوده الوجود و من عدمه الوجود أیضا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دلالة الشرط علی السببیّة و العلیة عرفا، لکن لا نسلّم دلالته </w:t>
      </w:r>
    </w:p>
    <w:p>
      <w:pPr>
        <w:pStyle w:val="BookText"/>
        <w:rPr/>
      </w:pPr>
      <w:r>
        <w:rPr>
          <w:rFonts w:ascii="IRNazanin" w:hAnsi="IRNazanin" w:eastAsia="IRNazanin"/>
          <w:color w:val="111111"/>
          <w:sz w:val="28"/>
          <w:sz w:val="28"/>
          <w:szCs w:val="28"/>
          <w:rtl w:val="true"/>
          <w:lang w:bidi="fa-IR"/>
        </w:rPr>
        <w:t>علیه شرعا، لما ذکره الفقهاء من أنّ العلل الشرعیة معرّفات لا علل حقیقة، بمعنی أنّ الدائر مدار العلل الشرعیة وجودا و عدما هو معرفة المعلول 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بالمعرّف لیس مطلق العلل الشرعیة حتی المستفادة من التعلیق علی الشرط و نحوه من المفاهیم الثابت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مرادهم من المعرّفات إنّما هی العلل المجعولة فی الشرع علل و اسبابا لأحکام مخصوصة کعلیّة الأحداث لوجوب الطهارة و نحوه، دون العلل التی هی منشأ للحکم و جهات حسن تشریعه و ما یستند إلیه مطلوبیة الفعل و مبغوضیّته کإنکار الخمر الموجب لمبغوضیته، و بیان الفارق أنّ العلل الاولی إذا قیست إلی الاحکام التی ترتّب علیها شرعا کانت معرّفات لها و مبیّنات لتحقّقها بعللها الواقعیة، لعدم کونها من العلل الحقیقیة و المنحصرة فی العلل الأربعة الراجعة إلی العلّة الغائیة، بخلاف غیرها من العلل الحقیقیة، و ما ذکره الفقهاء من العلل الشرعیة معرّفات فإنّما عنوا به القسم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احتجّ به موافقوا السید من نقض مثبتی المفهوم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تُکْرِهُوا فَتَیاتِکُمْ عَلَی الْبِغاءِ إِنْ أَرَدْنَ تَحَصُّناً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توجیه النقض به محتمل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ظاهر کلامهم، بل و صریح بعضهم من النقض باستعمال الشرط فی الآیة من غیر إرادة المفهوم شرعا، للإجماع علی حرمة الإکراه و لو لم یردن التحصن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باستعماله فیها من غیر إرادة المفهوم عقلا، لأنّهن إذا لم یردن التحصّن فقد أردن البغاء، و مع إرادتهنّ البغاء یمتنع إکراههنّ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باستعماله فیها من غیر إرادة المفهوم عرفا، لشیوع ذلک الاستعمال و کثرته فی کلام الفصحاء و البلغاء حتی أنّه حکی عن الشیخ الحر أنّ مائة و عشرین آیة من القرآن لم یوجد فیها مفهوم الشرط، و ذکر أنّ الآیات التی اعتبر فیها مفهوم للشرط لا تکاد تبلغ هذا المقدار، و کذا الأخبار و أکثر کلام الفصحاء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التوجیه الأوّل أنّه لا یتمّ إلا بثبوت 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الشک فی الموضوع له، و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کون الأصل فی الاستعمال الحقیقة، و کلاهما ممنوعتان، أمّا الاولی فلما عرفت من تبادر المفهوم من الشرط و دلالته علیه وضعا، مضافا إلی تقدیر المعصوم علیه السّلام علی دلالته، و علی ذلک فعدم إرادته من الآیة شرعا إنّما هو بواسطة قرینة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التوجیه الثانی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ملازمة عدم إرادة التحصّن لإرادة البغاء ممنوع، لأنّ عدم الارتفاع إنّما هو من خواص المتناقضین، و هذان الإرادتان من قبیل المتضادّین، فلا یمتنع ارتفاعهما و إمکان الواسطة، لکن لا بواسطة إمکان الذهول حتی یقال إنّها تنتفی عند التنبیه، بل بواسطة إمکان التردّد و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امتناع الإکراه علی تقدیر إرادتهنّ البغاء ممنوع، لإمکان تحقّق الإکراه مع إرادة البغاء أیضا، کما إذا أردن بغاء خاص و حملن علی بغاء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التوجیه المذکور لا یتمّ أیضا إلّا بثبوت المقدّمتین الممنوعتین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فامتناع إرادة المفهوم من الآیة عقلا إنّما هو بواسطة ما ذکر من القرینة العقلیة، فلا ینافی دلالة اللفظ علیه وضعا بدلیل التبادر و غیره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التوجیه الثالث أنّ شیوع استعمال الشرط فی عدم المفهوم علی تقدیر تسلیمه لا یکافئ ظهور الانصراف إلی المفهوم کما یشهد علیه الوجدان و التتبّع فی </w:t>
      </w:r>
    </w:p>
    <w:p>
      <w:pPr>
        <w:pStyle w:val="BookText"/>
        <w:rPr/>
      </w:pPr>
      <w:r>
        <w:rPr>
          <w:rFonts w:ascii="IRNazanin" w:hAnsi="IRNazanin" w:eastAsia="IRNazanin"/>
          <w:color w:val="111111"/>
          <w:sz w:val="28"/>
          <w:sz w:val="28"/>
          <w:szCs w:val="28"/>
          <w:rtl w:val="true"/>
          <w:lang w:bidi="fa-IR"/>
        </w:rPr>
        <w:t>محاورات أهل اللسان، فإنّ شیوع استعمال لفظ الشرط فی عدم المفهوم علی تقدیر تسلیمه لیس باکثر من شیوع استعمال العامّ فی الخاص، و لا من شیوع استعمال الأمر فی الندب، و مع ذلک فعند التجرّد عن القرائن ینصرف العامّ إلی العموم و الأمر إلی الوجوب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حجج أخر للنافین، لکنّها کحجج المفصّلین ضعیفة مردودة، و من شاء فلیطلبها من الهدایة، هذا و یمکن القول بتفصیل آخر غیر التفصیلین السابقین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حجیّة مفهوم الشرط فی الإخبار دون الإنشاء بأنّ الإنشاء عند المشهور موضوع بالوضع العامّ و الموضوع له الخاصّ، و مقتضی تعلیقه علی الشرط هو انتفاء ذلک الإنشاء المخصوص بانتفاء شرطه دون انتفاء مطلق الإنشاء، بخلاف الإخبار، فإنّه لمّا کان موضوعا بالوضع العامّ و الموضوع له العامّ أفاد تعلیقه علی الشرط انتفاء مطلق الحکم المخبر به بانتفاء شرطه، فأکرم زیدا إن لم یجئک، ینافی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وجب إکرامه، لعموم نفی مفهومه، و لا ینافی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فأکرمه، لعدم 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استادنا العلّامة بأنّ الموضوع له فی الإنشاء و إن کان خاصا، إلّا أنّ العادة فی محاورات العرف قرینة علی أنّ المراد من تعلیقه علی الشرط انتفاء مطلق الإنشاء بانتفاء شرطه، لا خصوص الإنشاء المخصوص، فإنّ انتفائه حاصل من دون التعلیق أیضا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الإنشائیات لمّا کانت تابعة للمصالح النفس الأمریة الغیر المختلفة بتجدّد الآنات و الخصوصیات، کان مرجعها إلی الإرشاد و الإخبار عن تلک المصالح، کیف و لو سلّم ذلک لجری فی الإخبار ایضا، فإنّه و إن کان موضوعا بالوضع العام و الموضوع له العام، إلّا أنّه أیضا مستعمل فی الخصوصیات</w:t>
      </w:r>
      <w:r>
        <w:rPr>
          <w:rFonts w:eastAsia="IRNazanin" w:cs="IRNazanin"/>
          <w:color w:val="111111"/>
          <w:sz w:val="28"/>
          <w:szCs w:val="28"/>
          <w:rtl w:val="true"/>
          <w:lang w:bidi="fa-IR"/>
        </w:rPr>
        <w:t xml:space="preserve">. </w:t>
      </w:r>
      <w:bookmarkStart w:id="114" w:name="pg12880_153291"/>
    </w:p>
    <w:p>
      <w:pPr>
        <w:pStyle w:val="Heading5"/>
        <w:numPr>
          <w:ilvl w:val="4"/>
          <w:numId w:val="1"/>
        </w:numPr>
        <w:rPr/>
      </w:pPr>
      <w:bookmarkStart w:id="115" w:name="__RefHeading___Toc2986369_3224264995"/>
      <w:bookmarkStart w:id="116" w:name="_Toc43"/>
      <w:bookmarkEnd w:id="114"/>
      <w:bookmarkEnd w:id="115"/>
      <w:r>
        <w:rPr>
          <w:rtl w:val="true"/>
        </w:rPr>
        <w:t>تنبیهات</w:t>
      </w:r>
      <w:r>
        <w:rPr>
          <w:rtl w:val="true"/>
        </w:rPr>
        <w:t>:</w:t>
      </w:r>
      <w:bookmarkEnd w:id="11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الشهید فی التمهید</w:t>
      </w:r>
      <w:r>
        <w:rPr>
          <w:rStyle w:val="FootnoteAnchor"/>
          <w:rtl w:val="true"/>
        </w:rPr>
        <w:footnoteReference w:id="224"/>
      </w:r>
      <w:r>
        <w:rPr>
          <w:rFonts w:ascii="IRNazanin" w:hAnsi="IRNazanin" w:eastAsia="IRNazanin"/>
          <w:color w:val="111111"/>
          <w:sz w:val="28"/>
          <w:sz w:val="28"/>
          <w:szCs w:val="28"/>
          <w:rtl w:val="true"/>
          <w:lang w:bidi="fa-IR"/>
        </w:rPr>
        <w:t>خروج الشرط و الوصف فی الانشاءات الغیر التکلیفیة کإنشاء النذر و الوقف و الوصیة و سائر العقود و الإیقاعات عن محلّ النزاع، لقیام الإجماع علی انتفاء الجزاء و الحکم بانتفاء الشرط و الوصف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انتفاء الحکم فی العقود و الإیقاعات إنّما هو عند انتفاء الشرط و الوصف، لا بانتفاء الشرط و الوصف حتّی یوجب الخروج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انتفاء الحکم عند انتفاء الشرط و الوصف فی العقود و الإیقاعات إنّما هو من جهة عدم إنشائها، لا من إنشائها العدم حتی یوجب الخروج عن محلّ النزاع، أ لا تری أنّها تفید الانتفاء عن غیر المذکور و لو کان لقبا؟</w:t>
      </w:r>
    </w:p>
    <w:p>
      <w:pPr>
        <w:pStyle w:val="BookText"/>
        <w:rPr/>
      </w:pPr>
      <w:r>
        <w:rPr>
          <w:rFonts w:ascii="IRNazanin" w:hAnsi="IRNazanin" w:eastAsia="IRNazanin"/>
          <w:color w:val="111111"/>
          <w:sz w:val="28"/>
          <w:sz w:val="28"/>
          <w:szCs w:val="28"/>
          <w:rtl w:val="true"/>
          <w:lang w:bidi="fa-IR"/>
        </w:rPr>
        <w:t>فإفادة انتفاء الحکم عن غیر المذکور فیها لیس من آثار إفادتها تخصیص الحکم بالمذکور، بل هو من آثار اختصاص الحکم به بعد ضمیمة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الإنشاءات الغیر التکلیفیة و التکلیفیة، و ما السرّ فی أنّ انتفاء الحکم فی الإنشاءات التکلیفیة إنّما هو بسبب انتفاء الشرط و الوصف، و فی الإنشاءات الغیر التکلیفیة بمقتضی العدم الازلی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و السرّ فی ذلک هو أنّ الأحکام الشرعیة لمّا کانت عند العدلیة تابعة للمصالح النفس الأمریة، کان الإنشاء فیها غیر المنشئ، بل هو کاشف عنه و إرشاد إلیه، بخلاف الأحکام الغیر التکلیفیة، فإنّها لمّا لم تکن کذلک کان الإنشاء فیها عین المنشئ لا غیره، و من الواضح أنّ کلّ ما کان الإنشاء فیه عین المنشئ کان انتفاء حکم الإنشاء عن غیر مورد الإنشاء إنّما هو من آثار عدم الإنشاء، لا من </w:t>
      </w:r>
    </w:p>
    <w:p>
      <w:pPr>
        <w:pStyle w:val="BookText"/>
        <w:rPr/>
      </w:pPr>
      <w:r>
        <w:rPr>
          <w:rFonts w:ascii="IRNazanin" w:hAnsi="IRNazanin" w:eastAsia="IRNazanin"/>
          <w:color w:val="111111"/>
          <w:sz w:val="28"/>
          <w:sz w:val="28"/>
          <w:szCs w:val="28"/>
          <w:rtl w:val="true"/>
          <w:lang w:bidi="fa-IR"/>
        </w:rPr>
        <w:t>آثار إنشاء العدم، بخلاف ما کان الإنشاء فیه غیر المنشئ، فإنّ انتفاء الحکم عن غیر مورد الإنشاء إنّما هو من آثار إنشاء العدم لا عدم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الإجماع علی انتفاء حکم المنطوق عن غیر مورد النطق فی العقود و الإیقاعات لیس إجماعا علی حجیّة مفهوم الشرط و الوصف فیها حتی یتوهّم خروج مفهومهما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هذا التوهّم ما توهّمه الشیخ البهائی فی حواشی زبدته</w:t>
      </w:r>
      <w:r>
        <w:rPr>
          <w:rStyle w:val="FootnoteAnchor"/>
          <w:rtl w:val="true"/>
        </w:rPr>
        <w:footnoteReference w:id="225"/>
      </w:r>
      <w:r>
        <w:rPr>
          <w:rFonts w:ascii="IRNazanin" w:hAnsi="IRNazanin" w:eastAsia="IRNazanin"/>
          <w:color w:val="111111"/>
          <w:sz w:val="28"/>
          <w:sz w:val="28"/>
          <w:szCs w:val="28"/>
          <w:rtl w:val="true"/>
          <w:lang w:bidi="fa-IR"/>
        </w:rPr>
        <w:t>فی مباحث المفاهیم من تخصیص النزاع فی حجیّة مفهوم الوصف بما إذا لم یکن فی مقابله مطلق، حیث رأی وفاقهم علی تقیید المطلق بالمقیّد، فزعم من وفاقهم علی تقیید المطلق بالمقیّد وفاقهم علی حجیّة مفهوم الوصف إذا کان فی مقابله مطلق، و لم یتفطّن لعدم المنافاة بین القول بعدم حجیّة المفهوم و وجوب حمل المطلق علی المقیّد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أعتق رقبة مؤمنة، إذ یکفی فی نفی جواز عتق الغیر وحدة المطلوب مع ملاحظة المنطوق و لا حاجة إلی استفادته من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یظهر من بعضهم ابتناء حجیّة المفهوم علی إفادة القضیة الشرطیة الشرط دون السبب، لاحتمال تعدّد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الفرق بین الإفادتین تحکّم بحت، لأنّ احتمال تعدّد الشرط لا یقصر عن احتمال تعدّد السبب، فإن قلنا بأنّ الاحتمال احتمال غیر 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مذهب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 الاستدلال مطلقا، و إن قلنا بأنّه احتمال 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ینافیه مطلقا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المفهوم لیس ضدّ المنطوق کما توهّمه بعض، حیث فرّع علیه أنّ مفهوم وجوب إکرام زید علی تقدیر المجی‌ء حرمة إکرامه علی تقدیر عدم </w:t>
      </w:r>
    </w:p>
    <w:p>
      <w:pPr>
        <w:pStyle w:val="BookText"/>
        <w:rPr/>
      </w:pPr>
      <w:r>
        <w:rPr>
          <w:rFonts w:ascii="IRNazanin" w:hAnsi="IRNazanin" w:eastAsia="IRNazanin"/>
          <w:color w:val="111111"/>
          <w:sz w:val="28"/>
          <w:sz w:val="28"/>
          <w:szCs w:val="28"/>
          <w:rtl w:val="true"/>
          <w:lang w:bidi="fa-IR"/>
        </w:rPr>
        <w:t>المجی‌ء، لما عرفت فی مقدّمة المسألة من تبادر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نقیضه کما توهّمه بعض آخر، حیث فرّع علیه اعتبار المخالفة فی الکمّ کما تعتبر فی الکیف، لضرورة تعدّد الموضوع، بل هما قضیّتان متلازمتان یشتمل کلّ منهما علی نقیض الآخر، لا ضدّه بدلیل التبادر العرفی، فهما خلافان موافقان فی جمیع القیود إلّا الإیجاب و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المعیار نقل ألفاظ المنطوق بعین معانیها إلی المفهوم مع تغییر الکیف، فما فهم من تلک الألفاظ عرفا لو تکلّم متکلّم بها فهو المفهوم، و یبتنی علی المعیار المذکور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 الوجوب مطلقا تعیینا و تخییرا کما هو المشهور، نظرا إلی أنّ النکرة فی سیاق النفی یفید العموم، لا رفع خصوص الوجوب التعیینی کما توهّمه جمع من العامة جمودا علی لزوم موافقة المفهوم للمنطوق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 استادنا العلّامة حیث رتّب مذهب العامّة علی القول بأنّ تبادر الوجوب التعیینی تبادر وضعی أو إطلاقی مستندة الغلبة، و رتّب مذهب المشهور علی القول بأنّه تبادر إطلاقی مستنده إطلاق اللفظ أو عدم البیان فی معرض البیان معلّلا بأنّ المنطوق علی القولین الأوّلین لمّا کان بمنزلة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زید فأکرمه تعیینا، من جهة أنّ انصرافه إلی التعیین من نفس الإطلاق، کان لازمه علی تقدیر عدم المجی‌ء رفع خصوص الوجوب التعیینی، لا الوجوب مطلقا، و علی القولین الأخیرین لمّا کان بمنزلة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فأکرمه مطلقا، من جهة أنّ انصرافه إلی التعیین من لوازم الإطلاق لا من نفسه کان لازمه علی تقدیر عدم المجی‌ء رفع الوجوب مطلقا، لا خصوص الوجوب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تفصیله دام ظلّه ناشئ عن مقایسة القید المفهوم من نفس</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افعل، علی القید الملفوظ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تعیینا، و قد عاهدنا منه و من غیره فی بحث </w:t>
      </w:r>
    </w:p>
    <w:p>
      <w:pPr>
        <w:pStyle w:val="BookText"/>
        <w:rPr/>
      </w:pPr>
      <w:r>
        <w:rPr>
          <w:rFonts w:ascii="IRNazanin" w:hAnsi="IRNazanin" w:eastAsia="IRNazanin"/>
          <w:color w:val="111111"/>
          <w:sz w:val="28"/>
          <w:sz w:val="28"/>
          <w:szCs w:val="28"/>
          <w:rtl w:val="true"/>
          <w:lang w:bidi="fa-IR"/>
        </w:rPr>
        <w:t>المرّة و التکرار أنّه لا یقاس مدلول لفظ واحد علی مدلولی لفظین فی الاقتضاء، فتعلیل التفصیل بالمقایسة قیاس مع الفارق لا یرفع إطلاق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فلو انقلب المنطوق بالنفی و المفهوم بالإثبات انعکس الأمر، فمفاد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إن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وجوب الإکرام مطلقا علی تقدیر المجی‌ء و وجوبه تعیینا علی تقدیر عدم المجی‌ء، و بالمقایسة علی قید التعیین المستفاد من إطلاق الأمر فی جانب المنطوق و المفهوم یعلم حال سائر القیود المستفادة منه من الإطلاق و النفسیة و العینیة و التنجیزیة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فمدلول الوجوب المطلق النفسی العینی التنجیزی فی جانب المنطوق هو رفع الوجوب مطلقا حتی الوجوب المشروط الغیری الکفائی التعلیقی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العموم الاستغراقی المتعلّق بجزاء الشرط هو عموم السلب فی المفهوم لا سلب العموم، فمفهوم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وجوب إکرام أحد من العلماء علی تقدیر عدم المجی‌ء کما هو المعروف، لا عدم وجوب إکرام الجمیع من حیث المجموع کما توهمه جماعة من الفحول کالعلّامة</w:t>
      </w:r>
      <w:r>
        <w:rPr>
          <w:rStyle w:val="FootnoteAnchor"/>
          <w:rtl w:val="true"/>
        </w:rPr>
        <w:footnoteReference w:id="226"/>
      </w:r>
      <w:r>
        <w:rPr>
          <w:rFonts w:ascii="IRNazanin" w:hAnsi="IRNazanin" w:eastAsia="IRNazanin"/>
          <w:color w:val="111111"/>
          <w:sz w:val="28"/>
          <w:sz w:val="28"/>
          <w:szCs w:val="28"/>
          <w:rtl w:val="true"/>
          <w:lang w:bidi="fa-IR"/>
        </w:rPr>
        <w:t>الخوانساری</w:t>
      </w:r>
      <w:r>
        <w:rPr>
          <w:rStyle w:val="FootnoteAnchor"/>
          <w:rtl w:val="true"/>
        </w:rPr>
        <w:footnoteReference w:id="227"/>
      </w:r>
      <w:r>
        <w:rPr>
          <w:rFonts w:ascii="IRNazanin" w:hAnsi="IRNazanin" w:eastAsia="IRNazanin"/>
          <w:color w:val="111111"/>
          <w:sz w:val="28"/>
          <w:sz w:val="28"/>
          <w:szCs w:val="28"/>
          <w:rtl w:val="true"/>
          <w:lang w:bidi="fa-IR"/>
        </w:rPr>
        <w:t>و صدر الدین</w:t>
      </w:r>
      <w:r>
        <w:rPr>
          <w:rStyle w:val="FootnoteAnchor"/>
          <w:rtl w:val="true"/>
        </w:rPr>
        <w:footnoteReference w:id="228"/>
      </w:r>
      <w:r>
        <w:rPr>
          <w:rFonts w:ascii="IRNazanin" w:hAnsi="IRNazanin" w:eastAsia="IRNazanin"/>
          <w:color w:val="111111"/>
          <w:sz w:val="28"/>
          <w:sz w:val="28"/>
          <w:szCs w:val="28"/>
          <w:rtl w:val="true"/>
          <w:lang w:bidi="fa-IR"/>
        </w:rPr>
        <w:t>فی بعض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المذهب المعروف العرف و العقل، أمّا الأوّل فلمساعدة دیدن العرف الموجب لظهور اللفظ عند دورانه بین التبیین و الإجمال علی الحمل علی الأوّل دون الثانی، لا سیّما مساعدة دیدن الشرع، و ما یقال من أنّ دیدن العقلاء الإجمال فالمراد منه الإیجاز المقابل للإطناب، دون الإبهام المقابل للإفهام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یقال من أنّ إجمال المفهوم فی المقام لعلّه لعدم وجود أمر مشهور مشترک بین أفراد المنطوق و بعض افراد المسکوت عنه، یعنی أنّ جمیع أفراد ما </w:t>
      </w:r>
    </w:p>
    <w:p>
      <w:pPr>
        <w:pStyle w:val="BookText"/>
        <w:rPr/>
      </w:pPr>
      <w:r>
        <w:rPr>
          <w:rFonts w:ascii="IRNazanin" w:hAnsi="IRNazanin" w:eastAsia="IRNazanin"/>
          <w:color w:val="111111"/>
          <w:sz w:val="28"/>
          <w:sz w:val="28"/>
          <w:szCs w:val="28"/>
          <w:rtl w:val="true"/>
          <w:lang w:bidi="fa-IR"/>
        </w:rPr>
        <w:t>یؤکل لحمه مثلا یجوز الشرب و التوضّی من سؤره، فنطق به فی الکلام، و إنّما لم یشرک بعض الأفراد الغیر المأکول أیضا مع کونه شریکا للمنطوق لأجل عدم لفظ مشهور جامع لهما فیبقی بیانه إلی 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ما أشار إلیه فی القوانین</w:t>
      </w:r>
      <w:r>
        <w:rPr>
          <w:rStyle w:val="FootnoteAnchor"/>
          <w:rtl w:val="true"/>
        </w:rPr>
        <w:footnoteReference w:id="229"/>
      </w:r>
      <w:r>
        <w:rPr>
          <w:rFonts w:ascii="IRNazanin" w:hAnsi="IRNazanin" w:eastAsia="IRNazanin"/>
          <w:color w:val="111111"/>
          <w:sz w:val="28"/>
          <w:sz w:val="28"/>
          <w:szCs w:val="28"/>
          <w:rtl w:val="true"/>
          <w:lang w:bidi="fa-IR"/>
        </w:rPr>
        <w:t>من أنّه لا ینحصر الإفادة فی وجود اللفظ المشهور المشترک، فقد یصح أن 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حیوان یجوز التوضّی من سؤره إلّا الکلب مثلا، و کذلک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غنم سائمة فیه الزکاة مع ثبوت الحکم لبعض المعلوفة ایضا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غنم فیه الزکاة إلّا النوع الفلانی، فلم ینقطع المناص حتی یلتزم تأخیر البیان و غیره من الحزازات، فلا بدّ للقید من فائدة و المفروض أنّه لیس إلّا نفی الحکم عن غیر محلّ النطق، مع أنّ القول بکون استعمال القید هنا لذلک، لا لإخراج غیر المقیّد عن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عن مقتضی القول بحجیّة المفهوم، إذ هو مبنی إمّا علی التبادر من اللفظ أو علی لزوم خلوّ کلام الحکیم عن الفائدة لولاه کما تقدّم، و هو إنّما یصح لو لم یکن هناک فائدة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مقتضی کون الشی‌ء سببا و علّة لإکرام کلّ واحد واحد من العلماء ظاهرا هو کون عدمه سببا، و علّة لعدم إکرام کلّ واحد واحد منهم عقلا لأنّ انتفاء العلّة یقتضی انتفاء المعلول عقلا، فلا مسرح لتوهّم بقائه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الخلاف مختص بوقوع العموم فی الجزاء</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وقع فی الشرط کإن جاءک العلماء فأکرمهم، أو تصدّق بدرهم، أو أکرم البصریین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خلاف فی أنّ المفهوم فی المثال الأوّل هو عموم السلب لا سلب العموم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انتفاء الجزاء و هو الإکرام عند انتفاء مجی‌ء أحد من العلماء، لا عند انتفاء مجی‌ء کلّهم، فلو جاء بعضهم أکرم الجائین، و فی المثالین الاخیرین </w:t>
      </w:r>
    </w:p>
    <w:p>
      <w:pPr>
        <w:pStyle w:val="BookText"/>
        <w:rPr/>
      </w:pPr>
      <w:r>
        <w:rPr>
          <w:rFonts w:ascii="IRNazanin" w:hAnsi="IRNazanin" w:eastAsia="IRNazanin"/>
          <w:color w:val="111111"/>
          <w:sz w:val="28"/>
          <w:sz w:val="28"/>
          <w:szCs w:val="28"/>
          <w:rtl w:val="true"/>
          <w:lang w:bidi="fa-IR"/>
        </w:rPr>
        <w:t>بالعکس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الجزاء و هو التصدّق و إکرام البصریین عند انتفاء مجی‌ء کلّ العلماء و إن جاء بعضهم، لا عند انتفاء مجی‌ء أحد من العلماء، فالمفهوم فی المثال الأوّل مطابق للمنطوق کمّا، و فی الأخیرین غیر مطابق 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المتبادر من النکرة المنفیة فی جزاء الشرط هو الإیجاب الجزئی فی المفهوم دون الإیجاب الکلّی، فمفهوم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لا ینجّسه شی‌ء</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هو أنّه إذا لم یکن قدر کر ینجّسه شی‌ء کما هو المشهور، لا أنّه ینجّسه کلّ شی‌ء من النجاسات کما توهّمه بعض الأعلام فی تعلیقاته علی مدارک الأحکام، حیث حاول الاحتجاج به علی تنجیس ما دون الکرّ بملاقات کلّ واحد من النجاسات زاعما أنّ عموم الشی‌ء المذکور فی المنطوق یسری إلی المفهوم أیضا، و قد عرفت من المعیار المذکور کون المتبادر خلافه، کیف و لو صحّ ما ذکره لکان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یجئک زید فلا یجب أن تعطیه شیئا، أو لا یجب أن تتصدّق علیه بشی‌ء، الحکم بوجوب إعطائه جمیع الأشیاء و وجوب التصدّق علیه بجمیع الأشیاء علی تقدیر المجی‌ء، مع أنّ الضرورة قاضیة بخلافه عرفا، و الظاهر أنّ ما ذکره فی المقام إنّما نشأ من الخلط بین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من 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بعضهم لحجیّة المفاهیم بل لاطّراد حکم جمیع المطلقات شروط مرجع کلّها إلی عدم اقتران اللفظ بما یخلّ بظهوره من الامور الصالحة لقرینیة صرفه عن الظهور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الحکم مورد الأدون أو المساوی للمسکوت عنه،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ضربک أبوک لا تهنه، و إلّا لدلّ علی ثبوت الحکم فیه من باب مفهوم الموافقة، و اعتبار هذا الشرط من الاتفاقیات ظاهرا، ضرورة أنّ حجیة مفهوم </w:t>
      </w:r>
    </w:p>
    <w:p>
      <w:pPr>
        <w:pStyle w:val="BookText"/>
        <w:rPr/>
      </w:pPr>
      <w:r>
        <w:rPr>
          <w:rFonts w:ascii="IRNazanin" w:hAnsi="IRNazanin" w:eastAsia="IRNazanin"/>
          <w:color w:val="111111"/>
          <w:sz w:val="28"/>
          <w:sz w:val="28"/>
          <w:szCs w:val="28"/>
          <w:rtl w:val="true"/>
          <w:lang w:bidi="fa-IR"/>
        </w:rPr>
        <w:t>الموافقة یصرف ظهور اللفظ عن مفهومه المخالف بعد امتناع إرادتهما من لفظ واحد، لما بینهما من التضادّ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القید مورد مطابقة الجواب للسؤال، و لا مورد مطابقة القضیة للواقعة الخاصة، و لا لمصلحة من مصالح السکوت عن حکم المسکوت عنه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الغنم السائمة زکاة فی جواب السؤال عن الغنم السائمة، أو فی واقعة کون الغنم سائمة، أو کون السکوت عن حکم المعلوفة مصلحة من جهالة أو خوف فتنة، أو نحو ذلک، و اعتبار هذا الشرط منصوص به فی کتب أکثر الاصولیین، بل لم نقف علی مخالف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اعتباره أنّ اعتبار الألفاظ إنّما هو من باب الظهور العرفی، و اتّصال الشی‌ء المحتمل قرینیته باللفظ یخرجه عن ذلک الظهور المتّبع إلی الإجمال، و لو کان اتّباعه من باب الظنّ النوعی أو التعبد کما لا یخفی علی المتتبع فی فهم العرف و بعد إجمال اللفظ و حصول الإخلال بظهوره من الاقتران بما یصلح لقرینیة صرفه لم یبق مسرح لمجری أصالة عدم القرینة، لابقاء الظاهر علی صفة الظهور، سواء کان مأخذه استصحاب عدم القرینة أو قاعدة العدم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القید مورد الغالب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بإنسان أبیض أو ذی رأس و اعتبار هذا الشرط مشهور فی الألسنة و منصوص به فی کلام غیر واحد، بل حکی الاتّفاق علیه فی الهدایة</w:t>
      </w:r>
      <w:r>
        <w:rPr>
          <w:rStyle w:val="FootnoteAnchor"/>
          <w:rtl w:val="true"/>
        </w:rPr>
        <w:footnoteReference w:id="231"/>
      </w:r>
      <w:r>
        <w:rPr>
          <w:rFonts w:ascii="IRNazanin" w:hAnsi="IRNazanin" w:eastAsia="IRNazanin"/>
          <w:color w:val="111111"/>
          <w:sz w:val="28"/>
          <w:sz w:val="28"/>
          <w:szCs w:val="28"/>
          <w:rtl w:val="true"/>
          <w:lang w:bidi="fa-IR"/>
        </w:rPr>
        <w:t>عن غیر واحد، بل لم نقف علی مخالف فیه سوی تفصیل صاحب الضوابط</w:t>
      </w:r>
      <w:r>
        <w:rPr>
          <w:rStyle w:val="FootnoteAnchor"/>
          <w:rtl w:val="true"/>
        </w:rPr>
        <w:footnoteReference w:id="232"/>
      </w:r>
      <w:r>
        <w:rPr>
          <w:rFonts w:ascii="IRNazanin" w:hAnsi="IRNazanin" w:eastAsia="IRNazanin"/>
          <w:color w:val="111111"/>
          <w:sz w:val="28"/>
          <w:sz w:val="28"/>
          <w:szCs w:val="28"/>
          <w:rtl w:val="true"/>
          <w:lang w:bidi="fa-IR"/>
        </w:rPr>
        <w:t xml:space="preserve">حیث استظهر اعتباره فی مفهوم الشرط دون الوصف، و هو تحکّم بحت إن لم یکن بالعکس، إلّا أنّ الوجوه التی ذکرت لاعتباره لا تخلو من </w:t>
      </w:r>
    </w:p>
    <w:p>
      <w:pPr>
        <w:pStyle w:val="BookText"/>
        <w:rPr/>
      </w:pPr>
      <w:r>
        <w:rPr>
          <w:rFonts w:ascii="IRNazanin" w:hAnsi="IRNazanin" w:eastAsia="IRNazanin"/>
          <w:color w:val="111111"/>
          <w:sz w:val="28"/>
          <w:sz w:val="28"/>
          <w:szCs w:val="28"/>
          <w:rtl w:val="true"/>
          <w:lang w:bidi="fa-IR"/>
        </w:rPr>
        <w:t>الخدشة سیّما الوجه الذی فی القوانین</w:t>
      </w:r>
      <w:r>
        <w:rPr>
          <w:rStyle w:val="FootnoteAnchor"/>
          <w:rtl w:val="true"/>
        </w:rPr>
        <w:footnoteReference w:id="233"/>
      </w:r>
      <w:r>
        <w:rPr>
          <w:rFonts w:ascii="IRNazanin" w:hAnsi="IRNazanin" w:eastAsia="IRNazanin"/>
          <w:color w:val="111111"/>
          <w:sz w:val="28"/>
          <w:sz w:val="28"/>
          <w:szCs w:val="28"/>
          <w:rtl w:val="true"/>
          <w:lang w:bidi="fa-IR"/>
        </w:rPr>
        <w:t>و إن کان بعد التنقیح راجعا إلی الوجه الذی فی الهدایة و الضوابط، فإنّ المحصّل من جمیعها هو أنّ المطلق الوارد مورد الغالب لمّا لم یعم الأفراد النادرة عرفا من جهة أنّ النادر فی حکم المعدوم، و کان عدم إفادة التعمیم بمعونة الأصل مساو لمفاد التخصیص احتمل انصراف تقییده عن إفادة التخصیص إلی مفاد نکتة اخری بقرینة أولویّة التأسیس من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القید الوارد مورد الغالب فی صورة استلزامه محذور التأکید لا یفید التخصیص الذی هو معنی المفهوم، بل یفید مجرّد الاختصاص الذی هو مفاد المنطوق و فی صورة إفادته التخصیص الذی هو معنی المفهوم لا یستلزم محذور التأکید حتی یوجب انصرافه إلی نکتة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وجّه استلزام محذور التأکید فی هذه الصورة أیضا بتقریب أنّ مفاد التخصیص ملزوم مفاد الاختصاص، فیکون مفاد المفهوم باعتبار ملزومه تأکیدا لمفاد المنطوق و هو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أمکن دفعه بمنع استلزام کونه تأکیدا للمنطوق حینئذ إمّا بواسطة صرف المنطوق عن إفادة الاختصاص بقرینة دلالة المفهوم علی التخصیص المستلزم له، أو صرف المفهوم و التخصیص عن افادة ملزومه و هو الاختصاص بقرینة دلالة المنطوق علیه، فإنّ صرف القید عن إفادة المفهوم لیس بأولی من صرف المنطوق أو المفهوم عن إفادة الاختصاص</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یدّعی مرجوحیّة صرف المنطوق عن الاختصاص بواسطة استلزامه ما لا یستلزمه صرف القید عن المفهوم من الإهمال و العراء عن نکتة اخری و ممنوعیة صرف المفهوم بواسطة أنّه مدلول وضعی یمتنع انفکاک ملزومه عنه، لا مدلول إطلاقی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یمکن الانفکاک</w:t>
      </w:r>
      <w:r>
        <w:rPr>
          <w:rFonts w:eastAsia="IRNazanin" w:cs="IRNazanin"/>
          <w:color w:val="111111"/>
          <w:sz w:val="28"/>
          <w:szCs w:val="28"/>
          <w:rtl w:val="true"/>
          <w:lang w:bidi="fa-IR"/>
        </w:rPr>
        <w:t xml:space="preserve">. </w:t>
      </w:r>
      <w:bookmarkStart w:id="117" w:name="pg12880_153299"/>
    </w:p>
    <w:p>
      <w:pPr>
        <w:pStyle w:val="Heading3"/>
        <w:numPr>
          <w:ilvl w:val="2"/>
          <w:numId w:val="1"/>
        </w:numPr>
        <w:rPr/>
      </w:pPr>
      <w:bookmarkStart w:id="118" w:name="__RefHeading___Toc2986371_3224264995"/>
      <w:bookmarkStart w:id="119" w:name="_Toc44"/>
      <w:bookmarkEnd w:id="117"/>
      <w:bookmarkEnd w:id="118"/>
      <w:r>
        <w:rPr>
          <w:rtl w:val="true"/>
        </w:rPr>
        <w:t>[</w:t>
      </w:r>
      <w:r>
        <w:rPr>
          <w:rtl w:val="true"/>
        </w:rPr>
        <w:t>أصل</w:t>
      </w:r>
      <w:r>
        <w:rPr>
          <w:rtl w:val="true"/>
        </w:rPr>
        <w:t xml:space="preserve">: </w:t>
      </w:r>
      <w:r>
        <w:rPr>
          <w:rtl w:val="true"/>
        </w:rPr>
        <w:t>فی مفهوم الوصف</w:t>
      </w:r>
      <w:r>
        <w:rPr>
          <w:rtl w:val="true"/>
        </w:rPr>
        <w:t>]</w:t>
      </w:r>
      <w:bookmarkEnd w:id="119"/>
    </w:p>
    <w:p>
      <w:pPr>
        <w:pStyle w:val="Heading4"/>
        <w:numPr>
          <w:ilvl w:val="3"/>
          <w:numId w:val="1"/>
        </w:numPr>
        <w:rPr/>
      </w:pPr>
      <w:bookmarkStart w:id="120" w:name="__RefHeading___Toc2986373_3224264995"/>
      <w:bookmarkStart w:id="121" w:name="_Toc45"/>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اختلفوا فی اقتضاء تعلیق الحکم علی صفة نفیه عند انتفائها علی أقوال، و تتمّ البصیرة بتقدیم مقدّمات</w:t>
      </w:r>
      <w:r>
        <w:rPr>
          <w:rFonts w:eastAsia="IRNazanin" w:cs="IRNazanin"/>
          <w:color w:val="111111"/>
          <w:sz w:val="28"/>
          <w:szCs w:val="28"/>
          <w:rtl w:val="true"/>
          <w:lang w:bidi="fa-IR"/>
        </w:rPr>
        <w:t>.</w:t>
      </w:r>
    </w:p>
    <w:p>
      <w:pPr>
        <w:pStyle w:val="Heading4"/>
        <w:numPr>
          <w:ilvl w:val="3"/>
          <w:numId w:val="1"/>
        </w:numPr>
        <w:rPr/>
      </w:pPr>
      <w:bookmarkStart w:id="122" w:name="__RefHeading___Toc2986375_3224264995"/>
      <w:bookmarkStart w:id="123" w:name="_Toc46"/>
      <w:bookmarkEnd w:id="122"/>
      <w:r>
        <w:rPr>
          <w:rtl w:val="true"/>
        </w:rPr>
        <w:t>[ [</w:t>
      </w:r>
      <w:r>
        <w:rPr>
          <w:rtl w:val="true"/>
        </w:rPr>
        <w:t>المقدّمة</w:t>
      </w:r>
      <w:r>
        <w:rPr>
          <w:rtl w:val="true"/>
        </w:rPr>
        <w:t xml:space="preserve">] </w:t>
      </w:r>
      <w:r>
        <w:rPr>
          <w:rtl w:val="true"/>
        </w:rPr>
        <w:t>الاولی</w:t>
      </w:r>
      <w:r>
        <w:rPr>
          <w:rtl w:val="true"/>
        </w:rPr>
        <w:t xml:space="preserve">: </w:t>
      </w:r>
      <w:r>
        <w:rPr>
          <w:rtl w:val="true"/>
        </w:rPr>
        <w:t>فی تفسیر الألفاظ المأخوذة فی العنوان</w:t>
      </w:r>
      <w:r>
        <w:rPr>
          <w:rtl w:val="true"/>
        </w:rPr>
        <w:t>.]</w:t>
      </w:r>
      <w:bookmarkEnd w:id="123"/>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المراد من الاقتضاء و الثمرة فقد عرفته من المسألة السابقة و أمّا المراد من الوصف فالظاهر من إطلاق عنوانهم و تعداد أمثلتهم، بل و تنصیص بعضهم کونه أعمّ من الوصف المعتمد علی موصوف کأکرم رجلا عالما و الرجل العالم، و من الغیر المعتمد علیه، کفی السائمة زکاة إِنْ جاءَکُمْ فاسِقٌ بِنَبَإٍ فَتَبَیَّنُوا</w:t>
      </w:r>
      <w:r>
        <w:rPr>
          <w:rStyle w:val="FootnoteAnchor"/>
          <w:rtl w:val="true"/>
        </w:rPr>
        <w:footnoteReference w:id="234"/>
      </w:r>
      <w:r>
        <w:rPr>
          <w:rFonts w:ascii="IRNazanin" w:hAnsi="IRNazanin" w:eastAsia="IRNazanin"/>
          <w:color w:val="111111"/>
          <w:sz w:val="28"/>
          <w:sz w:val="28"/>
          <w:szCs w:val="28"/>
          <w:rtl w:val="true"/>
          <w:lang w:bidi="fa-IR"/>
        </w:rPr>
        <w:t>بل و من الوصف الصریح کأسماء الفاعلین و المفعولین و أفعل التفضیل، و من الوصف المقدّر کالمنسوبات نحو بغدادی و رومی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الشعر یعادله الوضوء، فإنّ مفاده الشعر الکثیر، و عدّ من ذلک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یمتلی بطن الرجل قیحا خیر من أن یمتلی شعرا</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فإنّ امتلاء البطن من الشعر کنایة عن الشعر الکثیر، بل الأوفق إلی الاعتبار تعمیمه لقید الموضوع کالصلات و الإضافات، و لقید الحکم کالحال و المفعول و الزمان و المکان، خلافا لمن زعم کون المنسوبات أو قیود الحکم أو قیود الموضوع الغیر المذکور من الألقاب، و لعلّ منشؤه الخلط بین اصطلاح النحاة و الاصولیین فی الوصف</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یعتبر أن یکون الوصف أخصّ من الموصوف وجودا و لو من وجه، إذ لو ساواه أو کان أعمّ منه لم یبق للمفهوم مورد، بناء علی ما هو المتبادر المتّبع عند </w:t>
      </w:r>
      <w:bookmarkStart w:id="124" w:name="pg12880_153300"/>
    </w:p>
    <w:p>
      <w:pPr>
        <w:pStyle w:val="BookText"/>
        <w:rPr/>
      </w:pPr>
      <w:bookmarkEnd w:id="124"/>
      <w:r>
        <w:rPr>
          <w:rFonts w:ascii="IRNazanin" w:hAnsi="IRNazanin" w:eastAsia="IRNazanin"/>
          <w:color w:val="111111"/>
          <w:sz w:val="28"/>
          <w:sz w:val="28"/>
          <w:szCs w:val="28"/>
          <w:rtl w:val="true"/>
          <w:lang w:bidi="fa-IR"/>
        </w:rPr>
        <w:t>الخاصّة و أکثر العامّة من اتّحاد المفهوم للمنطوق فی أصل المورد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مذهب بعض الشافعیّة من عدم الاتّحاد بواسطة دعوی فهم العلیّة العامّة من الوصف، فلا یعتبر أخصیة الوصف من الموصوف أیضا، بل یدور الحکم مدار نفس الوصف وجودا و عدما، فیلتزم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أشتهی العسل الحلو، أنّ مفهومه عدم اشتهاء الرمّان الحامض، 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السائمة زکاة عدم الزکاة فی معلوفة الإبل، و لکنّ الانصاف أنّ المتبادر عدم فهم العلیّة العامة کما لا یخفی</w:t>
      </w:r>
      <w:r>
        <w:rPr>
          <w:rFonts w:eastAsia="IRNazanin" w:cs="IRNazanin"/>
          <w:color w:val="111111"/>
          <w:sz w:val="28"/>
          <w:szCs w:val="28"/>
          <w:rtl w:val="true"/>
          <w:lang w:bidi="fa-IR"/>
        </w:rPr>
        <w:t>.</w:t>
      </w:r>
    </w:p>
    <w:p>
      <w:pPr>
        <w:pStyle w:val="Heading4"/>
        <w:numPr>
          <w:ilvl w:val="3"/>
          <w:numId w:val="1"/>
        </w:numPr>
        <w:rPr/>
      </w:pPr>
      <w:bookmarkStart w:id="125" w:name="__RefHeading___Toc2986377_3224264995"/>
      <w:bookmarkStart w:id="126" w:name="_Toc47"/>
      <w:bookmarkEnd w:id="125"/>
      <w:r>
        <w:rPr>
          <w:rtl w:val="true"/>
        </w:rPr>
        <w:t>[</w:t>
      </w:r>
      <w:r>
        <w:rPr>
          <w:rtl w:val="true"/>
        </w:rPr>
        <w:t>المقدمة الثانیة</w:t>
      </w:r>
      <w:r>
        <w:rPr>
          <w:rtl w:val="true"/>
        </w:rPr>
        <w:t xml:space="preserve">: </w:t>
      </w:r>
      <w:r>
        <w:rPr>
          <w:rtl w:val="true"/>
        </w:rPr>
        <w:t>فی تحریر محلّ النزاع</w:t>
      </w:r>
      <w:r>
        <w:rPr>
          <w:rtl w:val="true"/>
        </w:rPr>
        <w:t>.]</w:t>
      </w:r>
      <w:bookmarkEnd w:id="126"/>
    </w:p>
    <w:p>
      <w:pPr>
        <w:pStyle w:val="BookText"/>
        <w:rPr/>
      </w:pPr>
      <w:r>
        <w:rPr>
          <w:rFonts w:ascii="IRNazanin" w:hAnsi="IRNazanin" w:eastAsia="IRNazanin"/>
          <w:color w:val="111111"/>
          <w:sz w:val="28"/>
          <w:sz w:val="28"/>
          <w:szCs w:val="28"/>
          <w:rtl w:val="true"/>
          <w:lang w:bidi="fa-IR"/>
        </w:rPr>
        <w:t>اعلم أنّ النزاع فی حجیّة مفهوم الوصف إنّما هو فی خصوص الاستعمالات العرفیة و المحاورات الدائرة فی ألسنة العامّة المجرّدة عن القرائن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الحدود و التعریفات و بیان الأحکام المدوّنة فی کتب الفقهیة، بل و فی سائر الکتب المصنّفة و سائر العلوم المدوّنة فقد جری دیدنهم علی حجّیته من دون خلاف، و لهذا تراهم یناقشون فی ذکر قید لا یکون مخرجا لشی‌ء، و یمیّزون اختلاف آراء العلماء و فتاوی الفقهاء من جهة اختلافهم فی القیود المأخوذة فی کلماتهم و فتاویهم</w:t>
      </w:r>
      <w:r>
        <w:rPr>
          <w:rFonts w:eastAsia="IRNazanin" w:cs="IRNazanin"/>
          <w:color w:val="111111"/>
          <w:sz w:val="28"/>
          <w:szCs w:val="28"/>
          <w:rtl w:val="true"/>
          <w:lang w:bidi="fa-IR"/>
        </w:rPr>
        <w:t>.</w:t>
      </w:r>
    </w:p>
    <w:p>
      <w:pPr>
        <w:pStyle w:val="Heading4"/>
        <w:numPr>
          <w:ilvl w:val="3"/>
          <w:numId w:val="1"/>
        </w:numPr>
        <w:rPr/>
      </w:pPr>
      <w:bookmarkStart w:id="127" w:name="__RefHeading___Toc2986379_3224264995"/>
      <w:bookmarkStart w:id="128" w:name="_Toc48"/>
      <w:bookmarkEnd w:id="127"/>
      <w:r>
        <w:rPr>
          <w:rtl w:val="true"/>
        </w:rPr>
        <w:t>[</w:t>
      </w:r>
      <w:r>
        <w:rPr>
          <w:rtl w:val="true"/>
        </w:rPr>
        <w:t>إذا عرفت ذلک فاعلم أنّهم اختلفوا فی المسألة علی أقوال</w:t>
      </w:r>
      <w:r>
        <w:rPr>
          <w:rtl w:val="true"/>
        </w:rPr>
        <w:t>:]</w:t>
      </w:r>
      <w:bookmarkEnd w:id="128"/>
    </w:p>
    <w:p>
      <w:pPr>
        <w:pStyle w:val="Heading5"/>
        <w:numPr>
          <w:ilvl w:val="4"/>
          <w:numId w:val="1"/>
        </w:numPr>
        <w:rPr/>
      </w:pPr>
      <w:bookmarkStart w:id="129" w:name="__RefHeading___Toc2986381_3224264995"/>
      <w:bookmarkStart w:id="130" w:name="_Toc49"/>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بالاقتضاء، و هو المحکیّ عن المفید</w:t>
      </w:r>
      <w:r>
        <w:rPr>
          <w:rStyle w:val="FootnoteAnchor"/>
          <w:rtl w:val="true"/>
        </w:rPr>
        <w:footnoteReference w:id="236"/>
      </w:r>
      <w:r>
        <w:rPr>
          <w:rFonts w:ascii="IRNazanin" w:hAnsi="IRNazanin" w:eastAsia="IRNazanin"/>
          <w:color w:val="111111"/>
          <w:sz w:val="28"/>
          <w:sz w:val="28"/>
          <w:szCs w:val="28"/>
          <w:rtl w:val="true"/>
          <w:lang w:bidi="fa-IR"/>
        </w:rPr>
        <w:t>و الشهید</w:t>
      </w:r>
      <w:r>
        <w:rPr>
          <w:rStyle w:val="FootnoteAnchor"/>
          <w:rtl w:val="true"/>
        </w:rPr>
        <w:footnoteReference w:id="237"/>
      </w:r>
      <w:r>
        <w:rPr>
          <w:rFonts w:ascii="IRNazanin" w:hAnsi="IRNazanin" w:eastAsia="IRNazanin"/>
          <w:color w:val="111111"/>
          <w:sz w:val="28"/>
          <w:sz w:val="28"/>
          <w:szCs w:val="28"/>
          <w:rtl w:val="true"/>
          <w:lang w:bidi="fa-IR"/>
        </w:rPr>
        <w:t>و أبی عبیدة</w:t>
      </w:r>
      <w:r>
        <w:rPr>
          <w:rStyle w:val="FootnoteAnchor"/>
          <w:rtl w:val="true"/>
        </w:rPr>
        <w:footnoteReference w:id="238"/>
      </w:r>
      <w:r>
        <w:rPr>
          <w:rFonts w:ascii="IRNazanin" w:hAnsi="IRNazanin" w:eastAsia="IRNazanin"/>
          <w:color w:val="111111"/>
          <w:sz w:val="28"/>
          <w:sz w:val="28"/>
          <w:szCs w:val="28"/>
          <w:rtl w:val="true"/>
          <w:lang w:bidi="fa-IR"/>
        </w:rPr>
        <w:t>و جماعة من الفقهاء و المتکلّمین و أهل العربیة بل و عن کثیر من العلماء و عن الشافعی</w:t>
      </w:r>
      <w:r>
        <w:rPr>
          <w:rStyle w:val="FootnoteAnchor"/>
          <w:rtl w:val="true"/>
        </w:rPr>
        <w:footnoteReference w:id="239"/>
      </w:r>
      <w:r>
        <w:rPr>
          <w:rFonts w:ascii="IRNazanin" w:hAnsi="IRNazanin" w:eastAsia="IRNazanin"/>
          <w:color w:val="111111"/>
          <w:sz w:val="28"/>
          <w:sz w:val="28"/>
          <w:szCs w:val="28"/>
          <w:rtl w:val="true"/>
          <w:lang w:bidi="fa-IR"/>
        </w:rPr>
        <w:t>و المالکی</w:t>
      </w:r>
      <w:r>
        <w:rPr>
          <w:rStyle w:val="FootnoteAnchor"/>
          <w:rtl w:val="true"/>
        </w:rPr>
        <w:footnoteReference w:id="240"/>
      </w:r>
      <w:r>
        <w:rPr>
          <w:rFonts w:ascii="IRNazanin" w:hAnsi="IRNazanin" w:eastAsia="IRNazanin"/>
          <w:color w:val="111111"/>
          <w:sz w:val="28"/>
          <w:sz w:val="28"/>
          <w:szCs w:val="28"/>
          <w:rtl w:val="true"/>
          <w:lang w:bidi="fa-IR"/>
        </w:rPr>
        <w:t>و الحنبلی</w:t>
      </w:r>
      <w:r>
        <w:rPr>
          <w:rStyle w:val="FootnoteAnchor"/>
          <w:rtl w:val="true"/>
        </w:rPr>
        <w:footnoteReference w:id="241"/>
      </w:r>
      <w:r>
        <w:rPr>
          <w:rFonts w:ascii="IRNazanin" w:hAnsi="IRNazanin" w:eastAsia="IRNazanin"/>
          <w:color w:val="111111"/>
          <w:sz w:val="28"/>
          <w:sz w:val="28"/>
          <w:szCs w:val="28"/>
          <w:rtl w:val="true"/>
          <w:lang w:bidi="fa-IR"/>
        </w:rPr>
        <w:t>و الأشعری</w:t>
      </w:r>
      <w:r>
        <w:rPr>
          <w:rStyle w:val="FootnoteAnchor"/>
          <w:rtl w:val="true"/>
        </w:rPr>
        <w:footnoteReference w:id="242"/>
      </w:r>
      <w:r>
        <w:rPr>
          <w:rFonts w:ascii="IRNazanin" w:hAnsi="IRNazanin" w:eastAsia="IRNazanin"/>
          <w:color w:val="111111"/>
          <w:sz w:val="28"/>
          <w:sz w:val="28"/>
          <w:szCs w:val="28"/>
          <w:rtl w:val="true"/>
          <w:lang w:bidi="fa-IR"/>
        </w:rPr>
        <w:t>و إمام</w:t>
      </w:r>
      <w:r>
        <w:rPr>
          <w:rStyle w:val="FootnoteAnchor"/>
          <w:rtl w:val="true"/>
        </w:rPr>
        <w:footnoteReference w:id="243"/>
      </w:r>
      <w:r>
        <w:rPr>
          <w:rFonts w:ascii="IRNazanin" w:hAnsi="IRNazanin" w:eastAsia="IRNazanin"/>
          <w:color w:val="111111"/>
          <w:sz w:val="28"/>
          <w:sz w:val="28"/>
          <w:szCs w:val="28"/>
          <w:rtl w:val="true"/>
          <w:lang w:bidi="fa-IR"/>
        </w:rPr>
        <w:t>الحرمین و البیضاوی</w:t>
      </w:r>
      <w:r>
        <w:rPr>
          <w:rStyle w:val="FootnoteAnchor"/>
          <w:rtl w:val="true"/>
        </w:rPr>
        <w:footnoteReference w:id="244"/>
      </w:r>
      <w:r>
        <w:rPr>
          <w:rFonts w:ascii="IRNazanin" w:hAnsi="IRNazanin" w:eastAsia="IRNazanin"/>
          <w:color w:val="111111"/>
          <w:sz w:val="28"/>
          <w:sz w:val="28"/>
          <w:szCs w:val="28"/>
          <w:rtl w:val="true"/>
          <w:lang w:bidi="fa-IR"/>
        </w:rPr>
        <w:t>و العضدی</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بالعدم و هو المحکی عن السیّد</w:t>
      </w:r>
      <w:r>
        <w:rPr>
          <w:rStyle w:val="FootnoteAnchor"/>
          <w:rtl w:val="true"/>
        </w:rPr>
        <w:footnoteReference w:id="246"/>
      </w:r>
      <w:r>
        <w:rPr>
          <w:rFonts w:ascii="Amiri" w:hAnsi="Amiri" w:eastAsia="Amiri" w:cs="Amiri"/>
          <w:color w:val="111111"/>
          <w:sz w:val="28"/>
          <w:sz w:val="28"/>
          <w:szCs w:val="28"/>
          <w:rtl w:val="true"/>
          <w:lang w:bidi="ar-SA"/>
        </w:rPr>
        <w:t>و المحقّق</w:t>
      </w:r>
      <w:r>
        <w:rPr>
          <w:rStyle w:val="FootnoteAnchor"/>
          <w:rtl w:val="true"/>
        </w:rPr>
        <w:footnoteReference w:id="247"/>
      </w:r>
      <w:r>
        <w:rPr>
          <w:rFonts w:ascii="Amiri" w:hAnsi="Amiri" w:eastAsia="Amiri" w:cs="Amiri"/>
          <w:color w:val="111111"/>
          <w:sz w:val="28"/>
          <w:sz w:val="28"/>
          <w:szCs w:val="28"/>
          <w:rtl w:val="true"/>
          <w:lang w:bidi="ar-SA"/>
        </w:rPr>
        <w:t>و العلّامة</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ابن زهرة</w:t>
      </w:r>
      <w:r>
        <w:rPr>
          <w:rStyle w:val="FootnoteAnchor"/>
          <w:rtl w:val="true"/>
        </w:rPr>
        <w:footnoteReference w:id="249"/>
      </w:r>
      <w:r>
        <w:rPr>
          <w:rFonts w:ascii="IRNazanin" w:hAnsi="IRNazanin" w:eastAsia="IRNazanin"/>
          <w:color w:val="111111"/>
          <w:sz w:val="28"/>
          <w:sz w:val="28"/>
          <w:szCs w:val="28"/>
          <w:rtl w:val="true"/>
          <w:lang w:bidi="fa-IR"/>
        </w:rPr>
        <w:t>و الشهید الثانی</w:t>
      </w:r>
      <w:r>
        <w:rPr>
          <w:rStyle w:val="FootnoteAnchor"/>
          <w:rtl w:val="true"/>
        </w:rPr>
        <w:footnoteReference w:id="250"/>
      </w:r>
      <w:r>
        <w:rPr>
          <w:rFonts w:ascii="IRNazanin" w:hAnsi="IRNazanin" w:eastAsia="IRNazanin"/>
          <w:color w:val="111111"/>
          <w:sz w:val="28"/>
          <w:sz w:val="28"/>
          <w:szCs w:val="28"/>
          <w:rtl w:val="true"/>
          <w:lang w:bidi="fa-IR"/>
        </w:rPr>
        <w:t>بل و عن أکثر الخاصّة منهم صاحب المعالم</w:t>
      </w:r>
      <w:r>
        <w:rPr>
          <w:rStyle w:val="FootnoteAnchor"/>
          <w:rtl w:val="true"/>
        </w:rPr>
        <w:footnoteReference w:id="251"/>
      </w:r>
      <w:r>
        <w:rPr>
          <w:rFonts w:ascii="IRNazanin" w:hAnsi="IRNazanin" w:eastAsia="IRNazanin"/>
          <w:color w:val="111111"/>
          <w:sz w:val="28"/>
          <w:sz w:val="28"/>
          <w:szCs w:val="28"/>
          <w:rtl w:val="true"/>
          <w:lang w:bidi="fa-IR"/>
        </w:rPr>
        <w:t>و الهدایة</w:t>
      </w:r>
      <w:r>
        <w:rPr>
          <w:rStyle w:val="FootnoteAnchor"/>
          <w:rtl w:val="true"/>
        </w:rPr>
        <w:footnoteReference w:id="252"/>
      </w:r>
      <w:r>
        <w:rPr>
          <w:rFonts w:ascii="IRNazanin" w:hAnsi="IRNazanin" w:eastAsia="IRNazanin"/>
          <w:color w:val="111111"/>
          <w:sz w:val="28"/>
          <w:sz w:val="28"/>
          <w:szCs w:val="28"/>
          <w:rtl w:val="true"/>
          <w:lang w:bidi="fa-IR"/>
        </w:rPr>
        <w:t>و الفصول</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و هو المحکی عن مختصر الحاجبی</w:t>
      </w:r>
      <w:r>
        <w:rPr>
          <w:rStyle w:val="FootnoteAnchor"/>
          <w:rtl w:val="true"/>
        </w:rPr>
        <w:footnoteReference w:id="254"/>
      </w:r>
      <w:r>
        <w:rPr>
          <w:rFonts w:ascii="IRNazanin" w:hAnsi="IRNazanin" w:eastAsia="IRNazanin"/>
          <w:color w:val="111111"/>
          <w:sz w:val="28"/>
          <w:sz w:val="28"/>
          <w:szCs w:val="28"/>
          <w:rtl w:val="true"/>
          <w:lang w:bidi="fa-IR"/>
        </w:rPr>
        <w:t>و بعض أفاضل المتأخّرین منهم صاحبی القوانین</w:t>
      </w:r>
      <w:r>
        <w:rPr>
          <w:rStyle w:val="FootnoteAnchor"/>
          <w:rtl w:val="true"/>
        </w:rPr>
        <w:footnoteReference w:id="255"/>
      </w:r>
      <w:r>
        <w:rPr>
          <w:rFonts w:ascii="IRNazanin" w:hAnsi="IRNazanin" w:eastAsia="IRNazanin"/>
          <w:color w:val="111111"/>
          <w:sz w:val="28"/>
          <w:sz w:val="28"/>
          <w:szCs w:val="28"/>
          <w:rtl w:val="true"/>
          <w:lang w:bidi="fa-IR"/>
        </w:rPr>
        <w:t>و الضوابط</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أنّه إن ارید من الاقتضاء المذکور الدلالة الوضعیة فالحقّ مع النافین، ضرورة عدم دلالة شی‌ء من الألفاظ المفردة المستعملة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عالما أو رجلا عالما، أو مات الیوم فاضل، أو اهین فاسق، إلی غیر ذلک من الأمثلة الکثیرة علی الانحصار و انتفاء الحکم عن غیر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دلالة الإسناد و الحکم و التعلیق و الهیئة الترکیبیة فظاهر، و أمّا عدم دلالة الوصف المعلّق علیه فلأنّ غایة افتراق الوصف عن الجوامد و الألقاب إنّما هو الإشعار بالعلیّة و جواز إرادة العلیة دون الدلالة علی العلیة و وجوب اعتبار العلیة کما لا یخفی علی المتفطّن فی أوضاع المشتقّات، و إلّا لاطّرد فی جمیع المقامات إلّا أن تقوم قرینة صارفة علی خلافه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ارید من الاقتضاء المذکور الظهور الإطلاقی الناشئ عن غلبة إرادة المفهوم و أولویته و أظهریته من سائر الفوائد فلا یبعد أن یکون الحقّ مع المثبتین، بل لو لا تصریح صاحبی الفصول و الهدایة علی نفی الاقتضاء بکلا شقّیه و توقّف صاحبی القوانین و الضوابط فی الاقتضاء بکلا شقّیه لأمکن أن یکون النزاع فی </w:t>
      </w:r>
    </w:p>
    <w:p>
      <w:pPr>
        <w:pStyle w:val="BookText"/>
        <w:rPr/>
      </w:pPr>
      <w:r>
        <w:rPr>
          <w:rFonts w:ascii="IRNazanin" w:hAnsi="IRNazanin" w:eastAsia="IRNazanin"/>
          <w:color w:val="111111"/>
          <w:sz w:val="28"/>
          <w:sz w:val="28"/>
          <w:szCs w:val="28"/>
          <w:rtl w:val="true"/>
          <w:lang w:bidi="fa-IR"/>
        </w:rPr>
        <w:t>المسألة لفظیا، إلّا أنّ الظهور الإطلاقی الناشئ عمّا ذکر من غلبة إرادة المفهوم و أظهریته من بین الفوائد إن کان مطّردا فی جمیع المقامات و لم یتوقّف تحقّقه علی شی‌ء آخر فقلّ ما ینفکّ عن الوضع الذی عرفت استبعاده جدّا، و إلّا فهو تابع للموارد الخاصّة و راجع فی الحقیقة إلی نفی الاقتضاء بکلا شقّیه أو التوقف فی کلا شقّیه و هو الأظهر، فإنّ الفوائد المحتملة کثیرة، مثل الاهتمام بحال المذکور، أو احتیاج السامع إلیه، أو سبق بیان غیره، أو لیستدلّ السامع علی حکم المسکوت عنه فیحصل له رتبة الاجتهاد، أو غیر ذلک من الأغراض المتشتّتة؛ و لا ریب أنّ اظهریة المفهوم من بینها لیس أمرا مطّردا فی جمیع المقامات، و إلّا لما تخلف عنها إلّا بنصب القرینة الصارفة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الاقتضاء بکلا شقیه مناف لما اشتهر فی الألسنة من أنّ الأصل فی القید أن یکون احترازیا لا توضیحیا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المنافاة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المذکور معارض بما نقل عن الأخفش</w:t>
      </w:r>
      <w:r>
        <w:rPr>
          <w:rStyle w:val="FootnoteAnchor"/>
          <w:rtl w:val="true"/>
        </w:rPr>
        <w:footnoteReference w:id="257"/>
      </w:r>
      <w:r>
        <w:rPr>
          <w:rFonts w:ascii="IRNazanin" w:hAnsi="IRNazanin" w:eastAsia="IRNazanin"/>
          <w:color w:val="111111"/>
          <w:sz w:val="28"/>
          <w:sz w:val="28"/>
          <w:szCs w:val="28"/>
          <w:rtl w:val="true"/>
          <w:lang w:bidi="fa-IR"/>
        </w:rPr>
        <w:t>و جماعة من أئمّة العرب من أنّ وضع الصفة للتوضیح فقط لا للتقیید و أنّ مجیئها للتقیید خلاف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مورد الأصل المذکور إنّما هو فی خصوص الحدود و التعریفات و بیان الأحکام و غیره ممّا جری دیدنهم علی حجیّة القیود فیه، و محلّ الکلام إنّما هو فی خصوص الاستعمالات العرفیة و المحاورات الدائرة فی ألسنة العامّة المجرّدة عن القرائن العادیة و هی جریان الدیدن فی بعض المقامات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الاحتراز الاحتراز عن إدخال غیر المذکور فی حکم المذکور بحسب الإرادة، لا عن دخوله فیه بحسب الواقع،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w:t>
      </w:r>
      <w:bookmarkStart w:id="131" w:name="pg12880_153303"/>
    </w:p>
    <w:p>
      <w:pPr>
        <w:pStyle w:val="BookText"/>
        <w:rPr/>
      </w:pPr>
      <w:bookmarkEnd w:id="131"/>
      <w:r>
        <w:rPr>
          <w:rFonts w:ascii="IRNazanin" w:hAnsi="IRNazanin" w:eastAsia="IRNazanin"/>
          <w:color w:val="111111"/>
          <w:sz w:val="28"/>
          <w:sz w:val="28"/>
          <w:szCs w:val="28"/>
          <w:rtl w:val="true"/>
          <w:lang w:bidi="fa-IR"/>
        </w:rPr>
        <w:t>من القید الاحترازی اختصاص الحکم بالمقیّد، لا تخصیصه به علی وجه النفی عما عداه،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القید الاحترازی تخصیص الموضوع بالحکم لا تخصیص الحکم بالموضوع، نظیر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زید الّا شاعر، لا نظیر ما شاعر إلّا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اتّفاقهم علی عدّ الصفات من المخصّصات المتّصلة و علی لزوم حمل المطلق علی المقیّد فی مباحث التخصیص و التقیید مناف لما ذکر من نفی الاقتضاء بکلا شقّیه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العامّ بالوصف و تقیید المطلق به لا ینحصر فی إفادته تخصیص الحکم و تقییده بمورده حتی ینافی ما ذکر، بل قد یحصل أیضا من مجرد تخصیص اللفظ و تقییده بمورده المعبّر عنه باختصاص الحکم به، لا تخصیص الحکم به</w:t>
      </w:r>
      <w:r>
        <w:rPr>
          <w:rFonts w:eastAsia="IRNazanin" w:cs="IRNazanin"/>
          <w:color w:val="111111"/>
          <w:sz w:val="28"/>
          <w:szCs w:val="28"/>
          <w:rtl w:val="true"/>
          <w:lang w:bidi="fa-IR"/>
        </w:rPr>
        <w:t>.</w:t>
      </w:r>
    </w:p>
    <w:p>
      <w:pPr>
        <w:pStyle w:val="Heading5"/>
        <w:numPr>
          <w:ilvl w:val="4"/>
          <w:numId w:val="1"/>
        </w:numPr>
        <w:rPr/>
      </w:pPr>
      <w:bookmarkStart w:id="132" w:name="__RefHeading___Toc2986383_3224264995"/>
      <w:bookmarkStart w:id="133" w:name="_Toc50"/>
      <w:bookmarkEnd w:id="132"/>
      <w:r>
        <w:rPr>
          <w:rtl w:val="true"/>
        </w:rPr>
        <w:t>تنبیه</w:t>
      </w:r>
      <w:r>
        <w:rPr>
          <w:rtl w:val="true"/>
        </w:rPr>
        <w:t>:</w:t>
      </w:r>
      <w:bookmarkEnd w:id="13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الثمرات بین القول بحجیّة مفهوم الوصف و عدمه هو ثبوت الموضوع المشکوک بالمفهوم و عدمه، فلو شکّ فی ثبوت مصداق للمفهوم و عدمه ثبت بأصالة عدم کون السالبة بانتفاء الموضوع علی القول بالحجیّة، و لم یثبت علی القول بالعدم،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المؤمن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یَتَکَبَّرُونَ فِی الْأَرْضِ بِغَیْرِ الْحَقِ</w:t>
      </w:r>
      <w:r>
        <w:rPr>
          <w:rStyle w:val="FootnoteAnchor"/>
          <w:rtl w:val="true"/>
        </w:rPr>
        <w:footnoteReference w:id="258"/>
      </w:r>
      <w:r>
        <w:rPr>
          <w:rFonts w:ascii="IRNazanin" w:hAnsi="IRNazanin" w:eastAsia="IRNazanin"/>
          <w:color w:val="111111"/>
          <w:sz w:val="28"/>
          <w:sz w:val="28"/>
          <w:szCs w:val="28"/>
          <w:rtl w:val="true"/>
          <w:lang w:bidi="fa-IR"/>
        </w:rPr>
        <w:t>یدلّ علی اجتماع الإیمان مع الفسق و الاستکبار مع الحق بناء علی القول بالحجیّة، و لا یدلّ بناء علی القول بالعدم</w:t>
      </w:r>
      <w:r>
        <w:rPr>
          <w:rFonts w:eastAsia="IRNazanin" w:cs="IRNazanin"/>
          <w:color w:val="111111"/>
          <w:sz w:val="28"/>
          <w:szCs w:val="28"/>
          <w:rtl w:val="true"/>
          <w:lang w:bidi="fa-IR"/>
        </w:rPr>
        <w:t xml:space="preserve">. </w:t>
      </w:r>
      <w:bookmarkStart w:id="134" w:name="pg12880_153304"/>
    </w:p>
    <w:p>
      <w:pPr>
        <w:pStyle w:val="Heading3"/>
        <w:numPr>
          <w:ilvl w:val="2"/>
          <w:numId w:val="1"/>
        </w:numPr>
        <w:rPr/>
      </w:pPr>
      <w:bookmarkStart w:id="135" w:name="__RefHeading___Toc2986385_3224264995"/>
      <w:bookmarkStart w:id="136" w:name="_Toc51"/>
      <w:bookmarkEnd w:id="134"/>
      <w:bookmarkEnd w:id="135"/>
      <w:r>
        <w:rPr>
          <w:rtl w:val="true"/>
        </w:rPr>
        <w:t>[</w:t>
      </w:r>
      <w:r>
        <w:rPr>
          <w:rtl w:val="true"/>
        </w:rPr>
        <w:t>أصل التقیید بالغایة</w:t>
      </w:r>
      <w:r>
        <w:rPr>
          <w:rtl w:val="true"/>
        </w:rPr>
        <w:t>]</w:t>
      </w:r>
      <w:bookmarkEnd w:id="136"/>
    </w:p>
    <w:p>
      <w:pPr>
        <w:pStyle w:val="Heading4"/>
        <w:numPr>
          <w:ilvl w:val="3"/>
          <w:numId w:val="1"/>
        </w:numPr>
        <w:rPr/>
      </w:pPr>
      <w:bookmarkStart w:id="137" w:name="__RefHeading___Toc2986387_3224264995"/>
      <w:bookmarkStart w:id="138" w:name="_Toc52"/>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هل یقتضی مخالفة ما بعدها لما قبلها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نسبه صاحب المعالم</w:t>
      </w:r>
      <w:r>
        <w:rPr>
          <w:rStyle w:val="FootnoteAnchor"/>
          <w:rtl w:val="true"/>
        </w:rPr>
        <w:footnoteReference w:id="259"/>
      </w:r>
      <w:r>
        <w:rPr>
          <w:rFonts w:ascii="IRNazanin" w:hAnsi="IRNazanin" w:eastAsia="IRNazanin"/>
          <w:color w:val="111111"/>
          <w:sz w:val="28"/>
          <w:sz w:val="28"/>
          <w:szCs w:val="28"/>
          <w:rtl w:val="true"/>
          <w:lang w:bidi="fa-IR"/>
        </w:rPr>
        <w:t>و القوانین</w:t>
      </w:r>
      <w:r>
        <w:rPr>
          <w:rStyle w:val="FootnoteAnchor"/>
          <w:rtl w:val="true"/>
        </w:rPr>
        <w:footnoteReference w:id="260"/>
      </w:r>
      <w:r>
        <w:rPr>
          <w:rFonts w:ascii="IRNazanin" w:hAnsi="IRNazanin" w:eastAsia="IRNazanin"/>
          <w:color w:val="111111"/>
          <w:sz w:val="28"/>
          <w:sz w:val="28"/>
          <w:szCs w:val="28"/>
          <w:rtl w:val="true"/>
          <w:lang w:bidi="fa-IR"/>
        </w:rPr>
        <w:t>و الضوابط</w:t>
      </w:r>
      <w:r>
        <w:rPr>
          <w:rStyle w:val="FootnoteAnchor"/>
          <w:rtl w:val="true"/>
        </w:rPr>
        <w:footnoteReference w:id="261"/>
      </w:r>
      <w:r>
        <w:rPr>
          <w:rFonts w:ascii="IRNazanin" w:hAnsi="IRNazanin" w:eastAsia="IRNazanin"/>
          <w:color w:val="111111"/>
          <w:sz w:val="28"/>
          <w:sz w:val="28"/>
          <w:szCs w:val="28"/>
          <w:rtl w:val="true"/>
          <w:lang w:bidi="fa-IR"/>
        </w:rPr>
        <w:t>وفاقا لبعض من تقدّم إلی کلّ من قال بحجیّة الشرط، بل و إلی بعض من لم یقل، بل حکی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صاحب الفصول</w:t>
      </w:r>
      <w:r>
        <w:rPr>
          <w:rStyle w:val="FootnoteAnchor"/>
          <w:rtl w:val="true"/>
        </w:rPr>
        <w:footnoteReference w:id="262"/>
      </w:r>
      <w:r>
        <w:rPr>
          <w:rFonts w:ascii="IRNazanin" w:hAnsi="IRNazanin" w:eastAsia="IRNazanin"/>
          <w:color w:val="111111"/>
          <w:sz w:val="28"/>
          <w:sz w:val="28"/>
          <w:szCs w:val="28"/>
          <w:rtl w:val="true"/>
          <w:lang w:bidi="fa-IR"/>
        </w:rPr>
        <w:t>وفاقا للمحکی عن السیّد</w:t>
      </w:r>
      <w:r>
        <w:rPr>
          <w:rStyle w:val="FootnoteAnchor"/>
          <w:rtl w:val="true"/>
        </w:rPr>
        <w:footnoteReference w:id="263"/>
      </w:r>
      <w:r>
        <w:rPr>
          <w:rFonts w:ascii="IRNazanin" w:hAnsi="IRNazanin" w:eastAsia="IRNazanin"/>
          <w:color w:val="111111"/>
          <w:sz w:val="28"/>
          <w:sz w:val="28"/>
          <w:szCs w:val="28"/>
          <w:rtl w:val="true"/>
          <w:lang w:bidi="fa-IR"/>
        </w:rPr>
        <w:t>و الفاضل التونی</w:t>
      </w:r>
      <w:r>
        <w:rPr>
          <w:rStyle w:val="FootnoteAnchor"/>
          <w:rtl w:val="true"/>
        </w:rPr>
        <w:footnoteReference w:id="264"/>
      </w:r>
      <w:r>
        <w:rPr>
          <w:rFonts w:ascii="IRNazanin" w:hAnsi="IRNazanin" w:eastAsia="IRNazanin"/>
          <w:color w:val="111111"/>
          <w:sz w:val="28"/>
          <w:sz w:val="28"/>
          <w:szCs w:val="28"/>
          <w:rtl w:val="true"/>
          <w:lang w:bidi="fa-IR"/>
        </w:rPr>
        <w:t>و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لنقدّم الکلام فی تشخیص موضوع المسألة قبل التعرّض لحکمها اقتفاء بآثار المحقّقین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المراد من الغایة هنا فهو النهایة زمانا أو مکانا،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الاعتباری المنتزع من المغیّا من حیث ینقطع استمراره، لأنّه هو المعنی الحقیقی المتبادر المنصوص به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غیر الغایة فی قولهم غایة الشی‌ء لفائدته و ثمرته، سواء قلنا بأنّه معنی مجازی بعلاقة المشابهة أو المجاورة، أم قلنا باشتراک لفظ الغایة بینهما معنی، کما هو الأقرب إلی اصالة عدم ملاحظة العلاقة اللازمة من المجاز و عدم تعدّد الوضع اللازم من الاشتراک اللفظی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غیر الغایة فی قول النحاة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لانتهاء الغایة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لابتداء الغایة، </w:t>
      </w:r>
      <w:bookmarkStart w:id="139" w:name="pg12880_153305"/>
    </w:p>
    <w:p>
      <w:pPr>
        <w:pStyle w:val="BookText"/>
        <w:rPr/>
      </w:pPr>
      <w:bookmarkEnd w:id="139"/>
      <w:r>
        <w:rPr>
          <w:rFonts w:ascii="IRNazanin" w:hAnsi="IRNazanin" w:eastAsia="IRNazanin"/>
          <w:color w:val="111111"/>
          <w:sz w:val="28"/>
          <w:sz w:val="28"/>
          <w:szCs w:val="28"/>
          <w:rtl w:val="true"/>
          <w:lang w:bidi="fa-IR"/>
        </w:rPr>
        <w:t xml:space="preserve">فإنّ المراد بها هناک المسافة بعلاقة الجزء و الکلّ بناء علی ما صرّح به بعضهم من کون الإضافة غیر بیانیّة، و أمّا علی ما صرّح به بعض آخر من کونها بیانیة بتقریب کون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لانتهاء هو الغایة بالنسبة إلی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لابتداء هو الغایة بالنسبة إلی الآخر تفصّیا عن التجوّز فی إطلاق الغایة علی المسافة لتبادر الغیر، فلا تغایر بین الإطلاقین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غیر الغایة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داخلة فی المغیّا أم لا، لأنّ المراد من هذه الغایة معروض تلک الغایة و مدخول أداة الغایة کالکوفة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إلی الکوفة، و اللیل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إلی اللیل، دون الأمر الاعتباری العرضی المنتزع من هذا المعروض و المدخول المتبادر المنصوص به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ممّا بعد الغایة ففیه خلاف ناشئ عن الخلاف فی تشخیص محلّ الغایة المعبّر عنه بدخول الغایة فی المغیّا و عدمه، و قبل التعرّض لتحقیقه</w:t>
      </w:r>
    </w:p>
    <w:p>
      <w:pPr>
        <w:pStyle w:val="Heading4"/>
        <w:numPr>
          <w:ilvl w:val="3"/>
          <w:numId w:val="1"/>
        </w:numPr>
        <w:rPr/>
      </w:pPr>
      <w:bookmarkStart w:id="140" w:name="__RefHeading___Toc2986389_3224264995"/>
      <w:bookmarkStart w:id="141" w:name="_Toc53"/>
      <w:bookmarkEnd w:id="140"/>
      <w:r>
        <w:rPr>
          <w:rtl w:val="true"/>
        </w:rPr>
        <w:t>[</w:t>
      </w:r>
      <w:r>
        <w:rPr>
          <w:rtl w:val="true"/>
        </w:rPr>
        <w:t>ینبغی التنبیه علی امور</w:t>
      </w:r>
      <w:r>
        <w:rPr>
          <w:rtl w:val="true"/>
        </w:rPr>
        <w:t>:]</w:t>
      </w:r>
      <w:bookmarkEnd w:id="141"/>
    </w:p>
    <w:p>
      <w:pPr>
        <w:pStyle w:val="Heading5"/>
        <w:numPr>
          <w:ilvl w:val="4"/>
          <w:numId w:val="1"/>
        </w:numPr>
        <w:rPr/>
      </w:pPr>
      <w:bookmarkStart w:id="142" w:name="__RefHeading___Toc2986391_3224264995"/>
      <w:bookmarkStart w:id="143" w:name="_Toc54"/>
      <w:bookmarkEnd w:id="142"/>
      <w:r>
        <w:rPr>
          <w:rtl w:val="true"/>
        </w:rPr>
        <w:t>[</w:t>
      </w:r>
      <w:r>
        <w:rPr>
          <w:rtl w:val="true"/>
        </w:rPr>
        <w:t>الأوّل</w:t>
      </w:r>
      <w:r>
        <w:rPr>
          <w:rtl w:val="true"/>
        </w:rPr>
        <w:t xml:space="preserve">: </w:t>
      </w:r>
      <w:r>
        <w:rPr>
          <w:rtl w:val="true"/>
        </w:rPr>
        <w:t>أنّ الفرق بین الخلافین</w:t>
      </w:r>
      <w:r>
        <w:rPr>
          <w:rtl w:val="true"/>
        </w:rPr>
        <w:t>]</w:t>
      </w:r>
      <w:bookmarkEnd w:id="143"/>
    </w:p>
    <w:p>
      <w:pPr>
        <w:pStyle w:val="BookText"/>
        <w:rPr/>
      </w:pPr>
      <w:r>
        <w:rPr>
          <w:rFonts w:ascii="IRNazanin" w:hAnsi="IRNazanin" w:eastAsia="IRNazanin"/>
          <w:color w:val="111111"/>
          <w:sz w:val="28"/>
          <w:sz w:val="28"/>
          <w:szCs w:val="28"/>
          <w:rtl w:val="true"/>
          <w:lang w:bidi="fa-IR"/>
        </w:rPr>
        <w:t>أنّ هذا الخلاف خلاف موضوعی فی تشخیص دائرة المنطوق و محلّ الغایة، و الخلاف الآخر خلاف حکمی فی ثبوت المفهوم و عدمه من مدلول الغایة، فلا یترتّب أحد طرفی النزاع الأخیر علی شی‌ء من طرفی النزاع الأوّل، بل کلّ منهما نزاع مستقلّ جار علی کلّ طرف من طرفی النزاع الآخر من غیر فرق، فإنّ النزاع الأوّل فی دخول اللیل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الصیام و عدمه، و النزاع الآخر فی أنّ الغیر الداخل فی الصیام مطلقا سواء کان من ابتداء اللیل إلی ما بعد، أو من انتهاء اللیل إلی ما بعد هل هو محکوم علیه بعدم الصیام أو مسکوت عنه</w:t>
      </w:r>
      <w:r>
        <w:rPr>
          <w:rFonts w:eastAsia="IRNazanin" w:cs="IRNazanin"/>
          <w:color w:val="111111"/>
          <w:sz w:val="28"/>
          <w:szCs w:val="28"/>
          <w:rtl w:val="true"/>
          <w:lang w:bidi="fa-IR"/>
        </w:rPr>
        <w:t>.</w:t>
      </w:r>
    </w:p>
    <w:p>
      <w:pPr>
        <w:pStyle w:val="Heading5"/>
        <w:numPr>
          <w:ilvl w:val="4"/>
          <w:numId w:val="1"/>
        </w:numPr>
        <w:rPr/>
      </w:pPr>
      <w:bookmarkStart w:id="144" w:name="__RefHeading___Toc2986393_3224264995"/>
      <w:bookmarkStart w:id="145" w:name="_Toc55"/>
      <w:bookmarkEnd w:id="144"/>
      <w:r>
        <w:rPr>
          <w:rtl w:val="true"/>
        </w:rPr>
        <w:t>[</w:t>
      </w:r>
      <w:r>
        <w:rPr>
          <w:rtl w:val="true"/>
        </w:rPr>
        <w:t>الثانی</w:t>
      </w:r>
      <w:r>
        <w:rPr>
          <w:rtl w:val="true"/>
        </w:rPr>
        <w:t xml:space="preserve">: </w:t>
      </w:r>
      <w:r>
        <w:rPr>
          <w:rtl w:val="true"/>
        </w:rPr>
        <w:t>أنّ الثمرة فی النزاع</w:t>
      </w:r>
      <w:r>
        <w:rPr>
          <w:rtl w:val="true"/>
        </w:rPr>
        <w:t>]</w:t>
      </w:r>
      <w:bookmarkEnd w:id="14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تظهر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وُجُوهَکُمْ </w:t>
      </w:r>
      <w:bookmarkStart w:id="146" w:name="pg12880_153306"/>
    </w:p>
    <w:p>
      <w:pPr>
        <w:pStyle w:val="BookText"/>
        <w:rPr/>
      </w:pPr>
      <w:bookmarkEnd w:id="146"/>
      <w:r>
        <w:rPr>
          <w:rFonts w:ascii="Amiri" w:hAnsi="Amiri" w:eastAsia="Amiri" w:cs="Amiri"/>
          <w:color w:val="111111"/>
          <w:sz w:val="28"/>
          <w:sz w:val="28"/>
          <w:szCs w:val="28"/>
          <w:rtl w:val="true"/>
          <w:lang w:bidi="ar-SA"/>
        </w:rPr>
        <w:t>وَ أَیْدِیَکُمْ إِلَی الْمَرافِقِ</w:t>
      </w:r>
      <w:r>
        <w:rPr>
          <w:rStyle w:val="FootnoteAnchor"/>
          <w:rtl w:val="true"/>
        </w:rPr>
        <w:footnoteReference w:id="265"/>
      </w:r>
      <w:r>
        <w:rPr>
          <w:rFonts w:ascii="Amiri" w:hAnsi="Amiri" w:eastAsia="Amiri" w:cs="Amiri"/>
          <w:color w:val="111111"/>
          <w:sz w:val="28"/>
          <w:sz w:val="28"/>
          <w:szCs w:val="28"/>
          <w:rtl w:val="true"/>
          <w:lang w:bidi="ar-SA"/>
        </w:rPr>
        <w:t>فعلی الدخول یجب غسل المرفق بالأصالة و لو قطع الید، و علی الثانی لا یجب و لو لم یقطع إلّا من باب التبعیة و المقدمیة، و فی النزاع الثانی تظهر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تَقْرَبُوهُنَّ حَتَّی یَطْهُرْنَ</w:t>
      </w:r>
      <w:r>
        <w:rPr>
          <w:rStyle w:val="FootnoteAnchor"/>
          <w:rtl w:val="true"/>
        </w:rPr>
        <w:footnoteReference w:id="266"/>
      </w:r>
      <w:r>
        <w:rPr>
          <w:rFonts w:ascii="IRNazanin" w:hAnsi="IRNazanin" w:eastAsia="IRNazanin"/>
          <w:color w:val="111111"/>
          <w:sz w:val="28"/>
          <w:sz w:val="28"/>
          <w:szCs w:val="28"/>
          <w:rtl w:val="true"/>
          <w:lang w:bidi="fa-IR"/>
        </w:rPr>
        <w:t>فعلی القول بمخالفة ما بعد الغایة لما قبلها جاز المقاربة، و علی القول بالسکوت حرمت لاستصحاب الحرمة</w:t>
      </w:r>
      <w:r>
        <w:rPr>
          <w:rFonts w:eastAsia="IRNazanin" w:cs="IRNazanin"/>
          <w:color w:val="111111"/>
          <w:sz w:val="28"/>
          <w:szCs w:val="28"/>
          <w:rtl w:val="true"/>
          <w:lang w:bidi="fa-IR"/>
        </w:rPr>
        <w:t>.</w:t>
      </w:r>
    </w:p>
    <w:p>
      <w:pPr>
        <w:pStyle w:val="Heading5"/>
        <w:numPr>
          <w:ilvl w:val="4"/>
          <w:numId w:val="1"/>
        </w:numPr>
        <w:rPr/>
      </w:pPr>
      <w:bookmarkStart w:id="147" w:name="__RefHeading___Toc2986395_3224264995"/>
      <w:bookmarkStart w:id="148" w:name="_Toc56"/>
      <w:bookmarkEnd w:id="147"/>
      <w:r>
        <w:rPr>
          <w:rtl w:val="true"/>
        </w:rPr>
        <w:t>[</w:t>
      </w:r>
      <w:r>
        <w:rPr>
          <w:rtl w:val="true"/>
        </w:rPr>
        <w:t>الثالث</w:t>
      </w:r>
      <w:r>
        <w:rPr>
          <w:rtl w:val="true"/>
        </w:rPr>
        <w:t xml:space="preserve">: </w:t>
      </w:r>
      <w:r>
        <w:rPr>
          <w:rtl w:val="true"/>
        </w:rPr>
        <w:t>فی تحریر محلّ النزاع الأوّل،</w:t>
      </w:r>
      <w:r>
        <w:rPr>
          <w:rtl w:val="true"/>
        </w:rPr>
        <w:t>]</w:t>
      </w:r>
      <w:bookmarkEnd w:id="148"/>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فی دخول المرفق فی المغسول و عدمه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 من الأصابع إلی المرفق أیضا جار فی دخول الأصابع و عدمه، إذ کما أنّ النهایة أمر انتزاعی ممکن الاعتبار فی کلّ من طرفی الشی‌ء، کذلک البدایة أیضا أمر انتزاعی ممکن الاعتبار فی کلّ من طرفی الشی‌ء، و قد سکت أکثر المتعرّضین لدخول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عدمه عن دخول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مع أنّه بمنزلته فی الدخول تارة و الخروج تارة اخری، ففی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القرآن من أوّله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الدخول، و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من دار زید إلی دار عمرو ظاهر فی عدم الدخول</w:t>
      </w:r>
      <w:r>
        <w:rPr>
          <w:rFonts w:eastAsia="IRNazanin" w:cs="IRNazanin"/>
          <w:color w:val="111111"/>
          <w:sz w:val="28"/>
          <w:szCs w:val="28"/>
          <w:rtl w:val="true"/>
          <w:lang w:bidi="fa-IR"/>
        </w:rPr>
        <w:t>.</w:t>
      </w:r>
    </w:p>
    <w:p>
      <w:pPr>
        <w:pStyle w:val="Heading5"/>
        <w:numPr>
          <w:ilvl w:val="4"/>
          <w:numId w:val="1"/>
        </w:numPr>
        <w:rPr/>
      </w:pPr>
      <w:bookmarkStart w:id="149" w:name="__RefHeading___Toc2986397_3224264995"/>
      <w:bookmarkStart w:id="150" w:name="_Toc57"/>
      <w:bookmarkEnd w:id="149"/>
      <w:r>
        <w:rPr>
          <w:rtl w:val="true"/>
        </w:rPr>
        <w:t>[</w:t>
      </w:r>
      <w:r>
        <w:rPr>
          <w:rtl w:val="true"/>
        </w:rPr>
        <w:t>الرابع</w:t>
      </w:r>
      <w:r>
        <w:rPr>
          <w:rtl w:val="true"/>
        </w:rPr>
        <w:t xml:space="preserve">: </w:t>
      </w:r>
      <w:r>
        <w:rPr>
          <w:rtl w:val="true"/>
        </w:rPr>
        <w:t>فی بیان الأقوال</w:t>
      </w:r>
      <w:r>
        <w:rPr>
          <w:rtl w:val="true"/>
        </w:rPr>
        <w:t>:]</w:t>
      </w:r>
      <w:bookmarkEnd w:id="150"/>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بدخول الغایة فی المغیّا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بالعدم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بالتفصیل بین ما إذا اختلف الغایة و المغیّا جنسا، فیدخل و إلّا فلا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الغایة المدلول علیها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الجارّة فلا،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الناس حتی الأنبیاء،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الابتدائیة </w:t>
      </w:r>
      <w:bookmarkStart w:id="151" w:name="pg12880_153307"/>
    </w:p>
    <w:p>
      <w:pPr>
        <w:pStyle w:val="BookText"/>
        <w:rPr/>
      </w:pPr>
      <w:bookmarkEnd w:id="151"/>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فواجبا حتی کلیب یسبّنی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نزاع فی دخول مدخولیهما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w:t>
      </w:r>
    </w:p>
    <w:p>
      <w:pPr>
        <w:pStyle w:val="Heading5"/>
        <w:numPr>
          <w:ilvl w:val="4"/>
          <w:numId w:val="1"/>
        </w:numPr>
        <w:rPr/>
      </w:pPr>
      <w:bookmarkStart w:id="152" w:name="__RefHeading___Toc2986399_3224264995"/>
      <w:bookmarkStart w:id="153" w:name="_Toc58"/>
      <w:bookmarkEnd w:id="152"/>
      <w:r>
        <w:rPr>
          <w:rtl w:val="true"/>
        </w:rPr>
        <w:t>[</w:t>
      </w:r>
      <w:r>
        <w:rPr>
          <w:rtl w:val="true"/>
        </w:rPr>
        <w:t>الخامس</w:t>
      </w:r>
      <w:r>
        <w:rPr>
          <w:rtl w:val="true"/>
        </w:rPr>
        <w:t xml:space="preserve">: </w:t>
      </w:r>
      <w:r>
        <w:rPr>
          <w:rtl w:val="true"/>
        </w:rPr>
        <w:t>فی تأسیس الأصل</w:t>
      </w:r>
      <w:r>
        <w:rPr>
          <w:rtl w:val="true"/>
        </w:rPr>
        <w:t>]</w:t>
      </w:r>
      <w:bookmarkEnd w:id="153"/>
    </w:p>
    <w:p>
      <w:pPr>
        <w:pStyle w:val="Heading6"/>
        <w:numPr>
          <w:ilvl w:val="5"/>
          <w:numId w:val="1"/>
        </w:numPr>
        <w:rPr/>
      </w:pPr>
      <w:bookmarkStart w:id="154" w:name="__RefHeading___Toc2986401_3224264995"/>
      <w:bookmarkStart w:id="155" w:name="_Toc59"/>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 فقد تمسّک فی القوانین</w:t>
      </w:r>
      <w:r>
        <w:rPr>
          <w:rStyle w:val="FootnoteAnchor"/>
          <w:rtl w:val="true"/>
        </w:rPr>
        <w:footnoteReference w:id="267"/>
      </w:r>
      <w:r>
        <w:rPr>
          <w:rFonts w:ascii="IRNazanin" w:hAnsi="IRNazanin" w:eastAsia="IRNazanin"/>
          <w:color w:val="111111"/>
          <w:sz w:val="28"/>
          <w:sz w:val="28"/>
          <w:szCs w:val="28"/>
          <w:rtl w:val="true"/>
          <w:lang w:bidi="fa-IR"/>
        </w:rPr>
        <w:t>و الضوابط</w:t>
      </w:r>
      <w:r>
        <w:rPr>
          <w:rStyle w:val="FootnoteAnchor"/>
          <w:rtl w:val="true"/>
        </w:rPr>
        <w:footnoteReference w:id="268"/>
      </w:r>
      <w:r>
        <w:rPr>
          <w:rFonts w:ascii="IRNazanin" w:hAnsi="IRNazanin" w:eastAsia="IRNazanin"/>
          <w:color w:val="111111"/>
          <w:sz w:val="28"/>
          <w:sz w:val="28"/>
          <w:szCs w:val="28"/>
          <w:rtl w:val="true"/>
          <w:lang w:bidi="fa-IR"/>
        </w:rPr>
        <w:t>بأنّ الأصل عدم الدلالة علی الدخول و لا علی الخروج، لتوقیفیة الألفاظ، مضافا إلی أصالة البراءة و أصالة عدم التقیید و التخصیص و لو فی بعض الموارد، و اصالة عدم الإرادة و عدم الوضع بناء علی اعتبارهما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إن کان المقصود من مجری الاصول إثبات القول بالتوقّف فی الدلالة علی الدخول و عدمه فهو من مقتضیات الشک فی الدلالة، و لا حاجة فی إثباته إلی مجری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المقصود من مجراها إثبات غیر القول بالتوقّف من سائر الأقوال الأخر فهی غیر مثبتة له، ضرورة أنّ اعتبار أصالة العدم لیس من باب التعبّد عندنا، بل إنّما هو من باب حصول الظن و هو غیر حاصل منه بالنسبة إلی أوضاع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حصوله من أصالة عدم النقل و عدم تعدّد الوضع المعتبر فی إثبات الأوضاع فإنّما هو من جهة الغلبة التی لا مسرح لادّعائها فی عدم الوضع، کما أنّ حصوله من أصالة البراءة المعتبرة فی إثبات الأحکام، و من أصالة عدم القرینة المعتبرة فی إثبات المرادات إنّما هو من جهة حکم العقل بقبح العقاب بلا بیان و قبح الإغراء بالجهل الذی لا مسرح لادّعائه فی إثبات الأوضاع</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 قد عرفت الامور الخمسة فاعلم أنّ أقرب الأقوال إلی القواعد هو القول بالتوقّف فی الدلالة علی الدخول و عدمه، لکن لا من جهة اشتراک الغایة بین المعنیین لفظا حتی یرد علیه أنّ وضع اللفظ مشترکا بین الوجود و العدم یستلزم خلوّ </w:t>
      </w:r>
      <w:bookmarkStart w:id="156" w:name="pg12880_153308"/>
    </w:p>
    <w:p>
      <w:pPr>
        <w:pStyle w:val="BookText"/>
        <w:rPr/>
      </w:pPr>
      <w:bookmarkEnd w:id="156"/>
      <w:r>
        <w:rPr>
          <w:rFonts w:ascii="IRNazanin" w:hAnsi="IRNazanin" w:eastAsia="IRNazanin"/>
          <w:color w:val="111111"/>
          <w:sz w:val="28"/>
          <w:sz w:val="28"/>
          <w:szCs w:val="28"/>
          <w:rtl w:val="true"/>
          <w:lang w:bidi="fa-IR"/>
        </w:rPr>
        <w:t>الوضع عن الفائدة، لأنّ التردّد بین النفی و الإثبات حاصل لکلّ أحد قبل إطلاق اللفظ أیضا و إن کان استلزام الإیراد مبنیّ علی فرض اتّحاد الواضع، بل و زمان الوضع دون فرض تعدّد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إمّا من جهة وضعه لمطلق الغایة مع الغضّ عن دخوله فی المغیّا و عدمه نظرا إلی مقتضی قاعدة أنّ الحقیقة الواحدة خیر من الاشتراک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جهة عدم العلم بوضعه للدخول أو لعدمه، نظرا إلی أنّه لم یحصل من الاستقراء و التتبع إلّا اختلاف المقامات و تفاوتها، ففی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دخول الکوفة، و فی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البصرة إلی الکوفة خمسون فرسخا یفهم عدم الدخول، و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 لک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الخروج، فلم نجد موضعا مجرّدا عن القرینة یفهم من حاقّه الدخول أو الخروج أو 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یحتجّ به لسائر الأقوال من تبادر الخروج مطلقا، أو الدخول مطلقا، أو التفصیل فهو ممنوع لیس من حاقّ اللفظ، بل من الاکتناف ببعض القرائن الحالیّة أو العادیّة</w:t>
      </w:r>
      <w:r>
        <w:rPr>
          <w:rFonts w:eastAsia="IRNazanin" w:cs="IRNazanin"/>
          <w:color w:val="111111"/>
          <w:sz w:val="28"/>
          <w:szCs w:val="28"/>
          <w:rtl w:val="true"/>
          <w:lang w:bidi="fa-IR"/>
        </w:rPr>
        <w:t>.</w:t>
      </w:r>
    </w:p>
    <w:p>
      <w:pPr>
        <w:pStyle w:val="Heading6"/>
        <w:numPr>
          <w:ilvl w:val="5"/>
          <w:numId w:val="1"/>
        </w:numPr>
        <w:rPr/>
      </w:pPr>
      <w:bookmarkStart w:id="157" w:name="__RefHeading___Toc2986403_3224264995"/>
      <w:bookmarkStart w:id="158" w:name="_Toc60"/>
      <w:bookmarkEnd w:id="157"/>
      <w:r>
        <w:rPr>
          <w:rtl w:val="true"/>
        </w:rPr>
        <w:t>تنبیه</w:t>
      </w:r>
      <w:r>
        <w:rPr>
          <w:rtl w:val="true"/>
        </w:rPr>
        <w:t>:</w:t>
      </w:r>
      <w:bookmarkEnd w:id="158"/>
    </w:p>
    <w:p>
      <w:pPr>
        <w:pStyle w:val="BookText"/>
        <w:rPr/>
      </w:pPr>
      <w:r>
        <w:rPr>
          <w:rFonts w:ascii="IRNazanin" w:hAnsi="IRNazanin" w:eastAsia="IRNazanin"/>
          <w:color w:val="111111"/>
          <w:sz w:val="28"/>
          <w:sz w:val="28"/>
          <w:szCs w:val="28"/>
          <w:rtl w:val="true"/>
          <w:lang w:bidi="fa-IR"/>
        </w:rPr>
        <w:t>متفرّع علی القول المختار من التوقّف و الإجمال فی المنطوق من حیث الغایة، و هو أنّه إذا ورد عامّ مخصّص أو مطلق مقیّد بما یشتمل علی الغایة من أحد المخصّصات أو المقیّدات المتّصلة الخمسة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هذا الشهر کلّه إلّا من الیوم الرابع إلی الیوم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سریان إجمال الغایة إلی العموم و الإطلاق، فیوجب إجمالهما بالنسبة إلی الغایة مطلقا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القول باعتبار الظواهر من باب الظنّ الشخصی فظاهر، و أمّا علی اعتبارها من باب الظنّ النوعی فلأنّ مجرّد اتّصال ما یحتمل التخصیص و التقیید باللفظ مخرج له عن الظهور المتّبع إلی الإجمال، و بعد إجمال اللفظ المخلّ بظهور </w:t>
      </w:r>
    </w:p>
    <w:p>
      <w:pPr>
        <w:pStyle w:val="BookText"/>
        <w:rPr/>
      </w:pPr>
      <w:r>
        <w:rPr>
          <w:rFonts w:ascii="IRNazanin" w:hAnsi="IRNazanin" w:eastAsia="IRNazanin"/>
          <w:color w:val="111111"/>
          <w:sz w:val="28"/>
          <w:sz w:val="28"/>
          <w:szCs w:val="28"/>
          <w:rtl w:val="true"/>
          <w:lang w:bidi="fa-IR"/>
        </w:rPr>
        <w:t>العام و المطلق بواسطة اتّصاله بمحتمل التخصیص و التقیید لم یبق مسرح لمجری أصالة عدم القرینة، لإبقاء الظاهر علی صفة الظهور، سواء کان مأخذه استصحاب عدم القرینة أو قاعدة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خصّص أو قیّد بما یشتمل علی الغایة لکن لا بأحد المقیّدات المتّصلة بل بأحد المقیّدات المستقلة و إن لم تنفصل عن الکلام، ففی سریان إجمال الغایة إلی العموم و الإطلاق بحیث یوجب إجمالهما بالنسبة إلی الغایة، أو سریان العموم و الإطلاق إلی الغایة بحیث یوجب تبیین المجمل و اندراجه تحت العموم و الإطلاق وجهان مبنیّان علی أنّ اعتبار ظواهر الألفاظ هل هو من باب الظنّ الشخصی أو الظنّ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هذا الشهر، فتعقّبه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تصم من الیوم الرابع إلی الیوم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مخلّ بشمول إطلاق الشهر للیوم الثامن عند عدم القرینة بناء علی الأوّل، و غیر مخلّ بشمول إطلاقه بناء علی الثانی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تقرّرت هذه المقدّمات فلنرجع إلی أصل المسألة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النزاع فی حجیّة مفهوم الغایة بعد التنقیح راجع إلی النزاع فی تشخیص کون الغایة غایة لموضوع الحکم حتی یکون مفاده اختصاص الحکم بما قبل الغایة و السکوت عما بعدها، أو غایة لحکم الموضوع حتی یکون مفاده تخصیص الحکم بما قبل الغایة و نفیه عمّا بعدها، و إلّا فمخالفة ما بعد الغایة لما قبلها إنّما هی معنی الغایة و موضوعها، لا حکم من أحکامها حتی یمکن النزاع فیه، فمرجع النزاع فی الحقیقة إلی ما ذکرنا من تشخیص کون الغایة غایة للموضوع أو للحکم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 بالمثال الخارجی تشخیص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أنّ الصیام المغیّا إلی اللیل واجب، أو الوجوب المغیّا إلی اللیل ثابت للصیام، و لیس مرجّح لأحد الطرفین من القواعد الاصولیة و لا النحویة إلّا فی صورة تأخیر الموضوع أو </w:t>
      </w:r>
      <w:bookmarkStart w:id="159" w:name="pg12880_153310"/>
    </w:p>
    <w:p>
      <w:pPr>
        <w:pStyle w:val="BookText"/>
        <w:rPr/>
      </w:pPr>
      <w:bookmarkEnd w:id="159"/>
      <w:r>
        <w:rPr>
          <w:rFonts w:ascii="IRNazanin" w:hAnsi="IRNazanin" w:eastAsia="IRNazanin"/>
          <w:color w:val="111111"/>
          <w:sz w:val="28"/>
          <w:sz w:val="28"/>
          <w:szCs w:val="28"/>
          <w:rtl w:val="true"/>
          <w:lang w:bidi="fa-IR"/>
        </w:rPr>
        <w:t>الحکم عن الغایة یرجّح کونها قیدا للمتقدّم، و إلّا ففی صورة تقدّمهما معا أو تأخّرهما معا لا مرجّح لأحدهما إلّا التبادر الذی قد تکاثر ادّعائه من الطرفین، و لکن لمّا کان ادّعائه لیس إلّا من شأن الخبیر المتدرّب فی محاورات العرف و المتفحّص فی قبائل العرب و کان الفقیه بالنسبة إلیه متّهم فی حدسه مع کونه دلیل إقناعی، فلا مناص عن التوقّف فیما کان بتلک المثابة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یرجّح به کون الغایة قیدا للموضوع لا الحکم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و نحوه ممّا هو من الانشائیات بأنّ الوجوب هو الإنشاء، و الإنشاء معنی حرفیّ غیر قابل لتعلّق الظرف به فانحصر المتعلّق بالمادّة، ففیه أنّه کما أنّ هیئة الفعل باستقلالها غیر قابلة لتعلّق الظرف بها، کذلک مادّة الفعل باستقلالها غیر قابلة له، و إلّا لوجب قابلیّة جمیع الأسماء له، لاشتمال جمیع الأسماء علی مادّة الفعل، و أمّا قابلیة المادّة بمعونة عروض الهیئة علیها فلیس بأولی من قابلیة الهیئة بمعونة عروضها علی المادّة</w:t>
      </w:r>
      <w:r>
        <w:rPr>
          <w:rFonts w:eastAsia="IRNazanin" w:cs="IRNazanin"/>
          <w:color w:val="111111"/>
          <w:sz w:val="28"/>
          <w:szCs w:val="28"/>
          <w:rtl w:val="true"/>
          <w:lang w:bidi="fa-IR"/>
        </w:rPr>
        <w:t>.</w:t>
      </w:r>
    </w:p>
    <w:p>
      <w:pPr>
        <w:pStyle w:val="Heading6"/>
        <w:numPr>
          <w:ilvl w:val="5"/>
          <w:numId w:val="1"/>
        </w:numPr>
        <w:rPr/>
      </w:pPr>
      <w:bookmarkStart w:id="160" w:name="__RefHeading___Toc2986405_3224264995"/>
      <w:bookmarkStart w:id="161" w:name="_Toc61"/>
      <w:bookmarkEnd w:id="160"/>
      <w:r>
        <w:rPr>
          <w:rtl w:val="true"/>
        </w:rPr>
        <w:t>تنبیه</w:t>
      </w:r>
      <w:r>
        <w:rPr>
          <w:rtl w:val="true"/>
        </w:rPr>
        <w:t>:</w:t>
      </w:r>
      <w:bookmarkEnd w:id="161"/>
    </w:p>
    <w:p>
      <w:pPr>
        <w:pStyle w:val="BookText"/>
        <w:rPr/>
      </w:pPr>
      <w:r>
        <w:rPr>
          <w:rFonts w:ascii="IRNazanin" w:hAnsi="IRNazanin" w:eastAsia="IRNazanin"/>
          <w:color w:val="111111"/>
          <w:sz w:val="28"/>
          <w:sz w:val="28"/>
          <w:szCs w:val="28"/>
          <w:rtl w:val="true"/>
          <w:lang w:bidi="fa-IR"/>
        </w:rPr>
        <w:t>قال فی الفصول یتصوّر النزاع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مخالفة ما بعد الغایة لما قبلها فی الحکم السنخی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مخالفته لما قبلها فی الحکم الشخصی المذکور، فإن کان النزاع فی الأوّل فالحق مع النافین، و إلّا فمع المثبتین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خبیر بأنّ الظاهر من تصویر النزاع و تردیده فی مخالفة ما بعد الغایة لما قبلها بالنسبة إلی الحکم الشخصی یعطی إمکان المخالفة بالنسبة إلی الحکم الشخصی و احتماله، و من المعلوم بالضرورة امتناعه عقلا، فلا ینبغی التعبیر عنه بما </w:t>
      </w:r>
    </w:p>
    <w:p>
      <w:pPr>
        <w:pStyle w:val="BookText"/>
        <w:rPr/>
      </w:pPr>
      <w:r>
        <w:rPr>
          <w:rFonts w:ascii="IRNazanin" w:hAnsi="IRNazanin" w:eastAsia="IRNazanin"/>
          <w:color w:val="111111"/>
          <w:sz w:val="28"/>
          <w:sz w:val="28"/>
          <w:szCs w:val="28"/>
          <w:rtl w:val="true"/>
          <w:lang w:bidi="fa-IR"/>
        </w:rPr>
        <w:t>یوهم إمکانه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270"/>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إلی البصرة و منها إلی الکوفة و منها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جعل کلّ سیر تکلیفا برأسه فلا إشکال، یعنی فی مخالفة ما بعد کلّ غایة لما قبلها بالنسبة إلی الحکم الشخصی المذکور قبله، و إلّا تعیّن فیه أحد الوجوه المذکورة من التجوّز فی حمل الأمر علی الطلب الغیری، أو حمل اللیل علی الجزء المتأخر عنه، أو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أیضا بأنّ الظاهر من ذلک کون أحد التجوّزات المذکورة فی صورة فرض المجموع تکلیفا واحدا یوجب رفع الإشکال المذکور من باب السالبة بانتفاء الحکم، و من المعلوم أنّه لا یوجب رفعه من هذا الباب، بل إنّما یوجب رفعه من باب السالبة بانتفاء الموضوع، ضرورة أنّ عدم الإشکال من موافقة ما بعد الغایة لما قبلها فی الحکم الشخصی فی صورة فرض المجموع تکلیفا واحدا بعد ارتکاب أحد التجوّزات إنّما هو من جهة انتفاء موضوع ما بعد الغایة بواسطة اندراجه بأحد التجوّزات فی دائرة المنطوق، لا من جهة انتفاء أصل الإشکال دون الموضوع، لما عرفت من استحالة عدم مخالفة ما بعد الغایة لما قبلها فی الحکم الشخصی، فأحد التجوزات المذکورة لا یوجب رفع إشکال الاستحالة إلّا برفع موضوعها کما هو واضح بأدنی تأمّل</w:t>
      </w:r>
      <w:r>
        <w:rPr>
          <w:rFonts w:eastAsia="IRNazanin" w:cs="IRNazanin"/>
          <w:color w:val="111111"/>
          <w:sz w:val="28"/>
          <w:szCs w:val="28"/>
          <w:rtl w:val="true"/>
          <w:lang w:bidi="fa-IR"/>
        </w:rPr>
        <w:t xml:space="preserve">. </w:t>
      </w:r>
      <w:bookmarkStart w:id="162" w:name="pg12880_153312"/>
    </w:p>
    <w:p>
      <w:pPr>
        <w:pStyle w:val="Heading3"/>
        <w:numPr>
          <w:ilvl w:val="2"/>
          <w:numId w:val="1"/>
        </w:numPr>
        <w:rPr/>
      </w:pPr>
      <w:bookmarkStart w:id="163" w:name="__RefHeading___Toc2986407_3224264995"/>
      <w:bookmarkStart w:id="164" w:name="_Toc62"/>
      <w:bookmarkEnd w:id="162"/>
      <w:bookmarkEnd w:id="163"/>
      <w:r>
        <w:rPr>
          <w:rtl w:val="true"/>
        </w:rPr>
        <w:t>[</w:t>
      </w:r>
      <w:r>
        <w:rPr>
          <w:rtl w:val="true"/>
        </w:rPr>
        <w:t>أصل فی مفهوم الحصر،</w:t>
      </w:r>
      <w:r>
        <w:rPr>
          <w:rtl w:val="true"/>
        </w:rPr>
        <w:t>]</w:t>
      </w:r>
      <w:bookmarkEnd w:id="164"/>
    </w:p>
    <w:p>
      <w:pPr>
        <w:pStyle w:val="Heading4"/>
        <w:numPr>
          <w:ilvl w:val="3"/>
          <w:numId w:val="1"/>
        </w:numPr>
        <w:rPr/>
      </w:pPr>
      <w:bookmarkStart w:id="165" w:name="__RefHeading___Toc2986409_3224264995"/>
      <w:bookmarkStart w:id="166" w:name="_Toc63"/>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 xml:space="preserve">و هو فی اللغة الحبس، و فی الاصطلاح حبس الحکم علی موضوع تحقیقا أو ادّعاء، و أسبابه الموضوعة له عرفا کثیرة مادّیة و اداتیة و هیئیة، فمن الموادّ لفظ القصر و الحصر و الحبس و نحوها، و لا کلام فیها، و من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فی سببیّة الإثبات من النفی و النفی من الإثبات، بل الدلالة منطوقیّة لا 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الدعوی الاولی و هی سببیة الإثبات من النفی و النفی من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التبادر القطعی الذی لم یتأمّل فیه أحد من أهل البیان و النحو و العرف و اللغة و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نقل الخلاف فیه عن أحد إلّا عن أبی حنیفة حیث نقل عنه الخلاف فی کلّ من سببیّتها النفی من الإثبات و الإثبات من النفی و أنّها لا تفید إلّا خروج ما بعدها عن حکم ما قبلها، فیکون مسکوتا عنه مطلقا و إن خصّ بعض النقلة خلافه بسببیّتها الإثبات من النفی فقط، نظرا إلی مقتضی استدلاله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لِمُؤْمِنٍ أَنْ یَقْتُلَ مُؤْمِناً إِلَّا خَطَأً</w:t>
      </w:r>
      <w:r>
        <w:rPr>
          <w:rStyle w:val="FootnoteAnchor"/>
          <w:rtl w:val="true"/>
        </w:rPr>
        <w:footnoteReference w:id="271"/>
      </w:r>
      <w:r>
        <w:rPr>
          <w:rFonts w:ascii="IRNazanin" w:hAnsi="IRNazanin" w:eastAsia="IRNazanin"/>
          <w:color w:val="111111"/>
          <w:sz w:val="28"/>
          <w:sz w:val="28"/>
          <w:szCs w:val="28"/>
          <w:rtl w:val="true"/>
          <w:lang w:bidi="fa-IR"/>
        </w:rPr>
        <w:t xml:space="preserve">و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نکاح إلّا بولی</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فتقریب الاستدلال بذلک أنّه لو کان الاستثناء دالّا علی المخالفة لزم جواز قتل المؤمن خطأ، و ثبوت الصلاة بمجرّد الطهور، و النکاح بمجرّد إذن الولی مع ظهور خلافه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الأوّل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الملازمة بأنّ الاستعمال أعمّ من الحقیقة، مع </w:t>
      </w:r>
    </w:p>
    <w:p>
      <w:pPr>
        <w:pStyle w:val="BookText"/>
        <w:rPr/>
      </w:pPr>
      <w:r>
        <w:rPr>
          <w:rFonts w:ascii="IRNazanin" w:hAnsi="IRNazanin" w:eastAsia="IRNazanin"/>
          <w:color w:val="111111"/>
          <w:sz w:val="28"/>
          <w:sz w:val="28"/>
          <w:szCs w:val="28"/>
          <w:rtl w:val="true"/>
          <w:lang w:bidi="fa-IR"/>
        </w:rPr>
        <w:t>احتمال انقطاع الاستثناء و الإخبار عن حال المؤمن بأنّه لا یفعل ذلک الّا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بطلان اللازم فیما إذا اعتقد القاتل کفر المؤمن و أنّه حربیّ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بمنع الملازمة بأنّ الاستعمال أعمّ من الحقیقة، لاحتمال المبالغة فی المدخلیة و الحصر الادّعائی و انقطاع الاستثناء، أو بأنّ الحصر إضافی بالنسبة إلی فقدان الطهور، لا بالنسبة إلی فقدان سائر الشروط، فهو إنّما یرد علی من زعم صحّة الصلاة المستجمعة لما عدا الطهور من سائر الشروط، فیکون المقصود من الحدیث نفی صحّة المستجمعة لما عدا الطهور و صحّتها مع الطهور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الدعوی الثانیة ضرورة عدم کون الدلالة التزامیّة کما لا یخفی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الأداة الدالّة علی الحصر بالمفهوم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المکسورة وفاقا للمشهور من النحاة و الاصولیّین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الضوابط</w:t>
      </w:r>
      <w:r>
        <w:rPr>
          <w:rStyle w:val="FootnoteAnchor"/>
          <w:rtl w:val="true"/>
        </w:rPr>
        <w:footnoteReference w:id="274"/>
      </w:r>
      <w:r>
        <w:rPr>
          <w:rFonts w:ascii="IRNazanin" w:hAnsi="IRNazanin" w:eastAsia="IRNazanin"/>
          <w:color w:val="111111"/>
          <w:sz w:val="28"/>
          <w:sz w:val="28"/>
          <w:szCs w:val="28"/>
          <w:rtl w:val="true"/>
          <w:lang w:bidi="fa-IR"/>
        </w:rPr>
        <w:t>و الإشارات</w:t>
      </w:r>
      <w:r>
        <w:rPr>
          <w:rStyle w:val="FootnoteAnchor"/>
          <w:rtl w:val="true"/>
        </w:rPr>
        <w:footnoteReference w:id="275"/>
      </w:r>
      <w:r>
        <w:rPr>
          <w:rFonts w:ascii="IRNazanin" w:hAnsi="IRNazanin" w:eastAsia="IRNazanin"/>
          <w:color w:val="111111"/>
          <w:sz w:val="28"/>
          <w:sz w:val="28"/>
          <w:szCs w:val="28"/>
          <w:rtl w:val="true"/>
          <w:lang w:bidi="fa-IR"/>
        </w:rPr>
        <w:t>و الفصول</w:t>
      </w:r>
      <w:r>
        <w:rPr>
          <w:rStyle w:val="FootnoteAnchor"/>
          <w:rtl w:val="true"/>
        </w:rPr>
        <w:footnoteReference w:id="276"/>
      </w:r>
      <w:r>
        <w:rPr>
          <w:rFonts w:ascii="IRNazanin" w:hAnsi="IRNazanin" w:eastAsia="IRNazanin"/>
          <w:color w:val="111111"/>
          <w:sz w:val="28"/>
          <w:sz w:val="28"/>
          <w:szCs w:val="28"/>
          <w:rtl w:val="true"/>
          <w:lang w:bidi="fa-IR"/>
        </w:rPr>
        <w:t>و القوانین</w:t>
      </w:r>
      <w:r>
        <w:rPr>
          <w:rStyle w:val="FootnoteAnchor"/>
          <w:rtl w:val="true"/>
        </w:rPr>
        <w:footnoteReference w:id="277"/>
      </w:r>
      <w:r>
        <w:rPr>
          <w:rFonts w:ascii="IRNazanin" w:hAnsi="IRNazanin" w:eastAsia="IRNazanin"/>
          <w:color w:val="111111"/>
          <w:sz w:val="28"/>
          <w:sz w:val="28"/>
          <w:szCs w:val="28"/>
          <w:rtl w:val="true"/>
          <w:lang w:bidi="fa-IR"/>
        </w:rPr>
        <w:t>، بل حکی عن الطریحی</w:t>
      </w:r>
      <w:r>
        <w:rPr>
          <w:rStyle w:val="FootnoteAnchor"/>
          <w:rtl w:val="true"/>
        </w:rPr>
        <w:footnoteReference w:id="278"/>
      </w:r>
      <w:r>
        <w:rPr>
          <w:rFonts w:ascii="IRNazanin" w:hAnsi="IRNazanin" w:eastAsia="IRNazanin"/>
          <w:color w:val="111111"/>
          <w:sz w:val="28"/>
          <w:sz w:val="28"/>
          <w:szCs w:val="28"/>
          <w:rtl w:val="true"/>
          <w:lang w:bidi="fa-IR"/>
        </w:rPr>
        <w:t>الاتّفاق علیه و عن الصحاح</w:t>
      </w:r>
      <w:r>
        <w:rPr>
          <w:rStyle w:val="FootnoteAnchor"/>
          <w:rtl w:val="true"/>
        </w:rPr>
        <w:footnoteReference w:id="279"/>
      </w:r>
      <w:r>
        <w:rPr>
          <w:rFonts w:ascii="IRNazanin" w:hAnsi="IRNazanin" w:eastAsia="IRNazanin"/>
          <w:color w:val="111111"/>
          <w:sz w:val="28"/>
          <w:sz w:val="28"/>
          <w:szCs w:val="28"/>
          <w:rtl w:val="true"/>
          <w:lang w:bidi="fa-IR"/>
        </w:rPr>
        <w:t>و القاموس</w:t>
      </w:r>
      <w:r>
        <w:rPr>
          <w:rStyle w:val="FootnoteAnchor"/>
          <w:rtl w:val="true"/>
        </w:rPr>
        <w:footnoteReference w:id="280"/>
      </w:r>
      <w:r>
        <w:rPr>
          <w:rFonts w:ascii="IRNazanin" w:hAnsi="IRNazanin" w:eastAsia="IRNazanin"/>
          <w:color w:val="111111"/>
          <w:sz w:val="28"/>
          <w:sz w:val="28"/>
          <w:szCs w:val="28"/>
          <w:rtl w:val="true"/>
          <w:lang w:bidi="fa-IR"/>
        </w:rPr>
        <w:t>و الجوهری و غیر واحد من أئمّة اللغة و التفسیر إرساله إرسال المسلّمات، خلافا للمحکیّ عن السید</w:t>
      </w:r>
      <w:r>
        <w:rPr>
          <w:rStyle w:val="FootnoteAnchor"/>
          <w:rtl w:val="true"/>
        </w:rPr>
        <w:footnoteReference w:id="281"/>
      </w:r>
      <w:r>
        <w:rPr>
          <w:rFonts w:ascii="IRNazanin" w:hAnsi="IRNazanin" w:eastAsia="IRNazanin"/>
          <w:color w:val="111111"/>
          <w:sz w:val="28"/>
          <w:sz w:val="28"/>
          <w:szCs w:val="28"/>
          <w:rtl w:val="true"/>
          <w:lang w:bidi="fa-IR"/>
        </w:rPr>
        <w:t>و البصریین من نفی دلالته علی الحصر، و للمحکیّ عن بعضهم من التوقّف أو الاشتراک</w:t>
      </w:r>
      <w:r>
        <w:rPr>
          <w:rFonts w:eastAsia="IRNazanin" w:cs="IRNazanin"/>
          <w:color w:val="111111"/>
          <w:sz w:val="28"/>
          <w:szCs w:val="28"/>
          <w:rtl w:val="true"/>
          <w:lang w:bidi="fa-IR"/>
        </w:rPr>
        <w:t xml:space="preserve">. </w:t>
      </w:r>
      <w:bookmarkStart w:id="167" w:name="pg12880_153314"/>
    </w:p>
    <w:p>
      <w:pPr>
        <w:pStyle w:val="BookText"/>
        <w:rPr/>
      </w:pPr>
      <w:bookmarkEnd w:id="167"/>
      <w:r>
        <w:rPr>
          <w:rFonts w:ascii="IRNazanin" w:hAnsi="IRNazanin" w:eastAsia="IRNazanin"/>
          <w:color w:val="111111"/>
          <w:sz w:val="28"/>
          <w:sz w:val="28"/>
          <w:szCs w:val="28"/>
          <w:rtl w:val="true"/>
          <w:lang w:bidi="fa-IR"/>
        </w:rPr>
        <w:t>و قبل الخوض فی الاحتجاج</w:t>
      </w:r>
    </w:p>
    <w:p>
      <w:pPr>
        <w:pStyle w:val="Heading4"/>
        <w:numPr>
          <w:ilvl w:val="3"/>
          <w:numId w:val="1"/>
        </w:numPr>
        <w:rPr/>
      </w:pPr>
      <w:bookmarkStart w:id="168" w:name="__RefHeading___Toc2986411_3224264995"/>
      <w:bookmarkStart w:id="169" w:name="_Toc64"/>
      <w:bookmarkEnd w:id="168"/>
      <w:r>
        <w:rPr>
          <w:rtl w:val="true"/>
        </w:rPr>
        <w:t>[</w:t>
      </w:r>
      <w:r>
        <w:rPr>
          <w:rtl w:val="true"/>
        </w:rPr>
        <w:t>ینبغی تأسیس الأصل</w:t>
      </w:r>
      <w:r>
        <w:rPr>
          <w:rtl w:val="true"/>
        </w:rPr>
        <w:t>]</w:t>
      </w:r>
      <w:bookmarkEnd w:id="169"/>
    </w:p>
    <w:p>
      <w:pPr>
        <w:pStyle w:val="BookText"/>
        <w:rPr/>
      </w:pPr>
      <w:r>
        <w:rPr>
          <w:rFonts w:ascii="IRNazanin" w:hAnsi="IRNazanin" w:eastAsia="IRNazanin"/>
          <w:color w:val="111111"/>
          <w:sz w:val="28"/>
          <w:sz w:val="28"/>
          <w:szCs w:val="28"/>
          <w:rtl w:val="true"/>
          <w:lang w:bidi="fa-IR"/>
        </w:rPr>
        <w:t>و تشخیص کونه مع المثبت أو المنافی، أو لا أصل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قیل فی مفهوم الغایة من أنّ أصالة عدم الدلالة و عدم التقیید و التخصیص و البراءة و لو فی بعض الموارد و أصالة عدم الإرادة و عدم الوضع بناء علی اعتبارهما کلّها مع النافی، فقد عرفت ما فیه بما لا مزید علیه من أنّها لیست مع النافی کما لیست مع المثبت، و أمّا قاعدة أنّ الحقیقة الواحدة خیر من الاشتراک و المجاز فیتوقّف کونها مع النافی علی وجود ما یعتبر فی موردها من الجامع القریب و الاستعمال المعتدّ به فیه، و کلاهما مفقودان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فلانتفاء الواسطة و القدر المشترک بین الحصر و عدمه بدلیل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فلعدم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الحصر علی وجه المعتدّ به بدلیل التّتبع و الاستقراء، نعم یمکن الاکتفاء عن وجود الجامع فی المقام بفرض وجوده الذهنی فی آلة الملاحظة و هو المعنی المتصوّر حال الوضع، لاتّحاد المناط و هو الاحتراز عن الاشتراک و المجاز فی کلّ من الوجودین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فرض وضعه لإفادة کلّ من الحصر و عدمه بالوضع العامّ و الموضوع له العام، کما هو مذهب القدماء فی وضع المبهمات و الحروف، أو بالوضع العامّ و الموضوع له الخاصّ، کما هو مذهب المتأخّرین فیها، أولی من فرض وضعه لکلّ منهما أو لأحدهما بالوضع الخاص و الموضوع له الخاص حذرا من الاشتراک و المجاز</w:t>
      </w:r>
      <w:r>
        <w:rPr>
          <w:rFonts w:eastAsia="IRNazanin" w:cs="IRNazanin"/>
          <w:color w:val="111111"/>
          <w:sz w:val="28"/>
          <w:szCs w:val="28"/>
          <w:rtl w:val="true"/>
          <w:lang w:bidi="fa-IR"/>
        </w:rPr>
        <w:t>.</w:t>
      </w:r>
    </w:p>
    <w:p>
      <w:pPr>
        <w:pStyle w:val="Heading4"/>
        <w:numPr>
          <w:ilvl w:val="3"/>
          <w:numId w:val="1"/>
        </w:numPr>
        <w:rPr/>
      </w:pPr>
      <w:bookmarkStart w:id="170" w:name="__RefHeading___Toc2986413_3224264995"/>
      <w:bookmarkStart w:id="171" w:name="_Toc65"/>
      <w:bookmarkEnd w:id="170"/>
      <w:r>
        <w:rPr>
          <w:rtl w:val="true"/>
        </w:rPr>
        <w:t>[</w:t>
      </w:r>
      <w:r>
        <w:rPr>
          <w:rtl w:val="true"/>
        </w:rPr>
        <w:t>الأدوات الدالة علی الحصر</w:t>
      </w:r>
      <w:r>
        <w:rPr>
          <w:rtl w:val="true"/>
        </w:rPr>
        <w:t>]</w:t>
      </w:r>
      <w:bookmarkEnd w:id="17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تأسیس الأصل فلیعلم أنّ الأظهر حجّیة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سببیّتها الحصر، للتبادر عرفا و کذا لغة بأصالة عدم النقل و شهرة نقله المقیّد للظن المکتفی به فی أوضاع الألفاظ، سیّما فی الموضوع المستنبط المعتضد بتقدیم قول المثبت </w:t>
      </w:r>
    </w:p>
    <w:p>
      <w:pPr>
        <w:pStyle w:val="BookText"/>
        <w:rPr/>
      </w:pPr>
      <w:r>
        <w:rPr>
          <w:rFonts w:ascii="Amiri" w:hAnsi="Amiri" w:eastAsia="Amiri" w:cs="Amiri"/>
          <w:color w:val="111111"/>
          <w:sz w:val="28"/>
          <w:sz w:val="28"/>
          <w:szCs w:val="28"/>
          <w:rtl w:val="true"/>
          <w:lang w:bidi="ar-SA"/>
        </w:rPr>
        <w:t>و بالاتّفاقات المنقولة بل المحصّلة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یستدلّ أیضا بوجوه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انفصال الضمیر معه فی مثل قول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یدافع عن أحسابهم أنا أو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الوجوه المجوّزة للفصل مفقودة سوی کون الفصل لغرض کون المعنی ما یدافع عن أحسابهم إلّا أنا أو مثلی، و فیه احتمال کون الفصل لضرورة الشعر کالفصل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بالباعث الوارث الأموات قد ضمنت‌إیّاهم الأرض فی دهر الدهائیر</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ضرورة مع مندوحة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ادافع عن أحسابهم أنا أو مثلی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انحصار الضرورة فیما لا مندوحة للشاعر عنه أنّ هذه المندوحة موجبة لانقلاب المفهوم المقصود من الشعر بقرینة الافتخار إلی مفهوم غیر مقصود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حصر المدافع إلی حصر المدافع عنه، فإنّ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یدافع عن أحسابهم أنا أو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أنّ المعتبر فی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غیر المذکور أخیرا هو لا غیری، لأنّ المذکور أخیرا هو أنا، و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ادافع عن أحسابهم هو لا غیر الأحساب، لأنّ المذکور أخیرا هو الأحساب و لا عبرة بذکر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فی هذه الصورة، لأنّه تأکید للفاعل المتقدّم علی الأحساب، فیقدّر أیضا تقدیمه، بخلاف ذکره بعد الأحساب فی الصورة الاولی، فإنّه فاعل مؤخّر، و الفاعل و إن کان رتبته التقدیم أیضا، إلّا أنّ رتبة الفاعل بالنسبة إلی فعله لیست بمثابة رتبة التابع بالنسبة إلی متبوعه حتّی یوجب تقدیر تقدیمه، ضرورة أنّ مرتبة الفاعل لا یزید علی مرتبة الجزء من الفعل، و مرتبة التابع یبلغ حدّ الاتّحاد مع المتبوع</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باستدلال العلماء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الاعمال بالنیّات</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الولاء </w:t>
      </w:r>
    </w:p>
    <w:p>
      <w:pPr>
        <w:pStyle w:val="BookText"/>
        <w:rPr/>
      </w:pPr>
      <w:r>
        <w:rPr>
          <w:rFonts w:ascii="IRNazanin" w:hAnsi="IRNazanin" w:eastAsia="IRNazanin"/>
          <w:color w:val="111111"/>
          <w:sz w:val="28"/>
          <w:sz w:val="28"/>
          <w:szCs w:val="28"/>
          <w:rtl w:val="true"/>
          <w:lang w:bidi="fa-IR"/>
        </w:rPr>
        <w:t>لمن أعتق</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علی نفی العمل بغیر نیّة و نفی الولاء لغیر المعتق إلی غیر ذلک من الوجوه التی اشیر إلیها و إلی ما فیها فی القوانین</w:t>
      </w:r>
      <w:r>
        <w:rPr>
          <w:rStyle w:val="FootnoteAnchor"/>
          <w:rtl w:val="true"/>
        </w:rPr>
        <w:footnoteReference w:id="284"/>
      </w:r>
      <w:r>
        <w:rPr>
          <w:rFonts w:ascii="IRNazanin" w:hAnsi="IRNazanin" w:eastAsia="IRNazanin"/>
          <w:color w:val="111111"/>
          <w:sz w:val="28"/>
          <w:sz w:val="28"/>
          <w:szCs w:val="28"/>
          <w:rtl w:val="true"/>
          <w:lang w:bidi="fa-IR"/>
        </w:rPr>
        <w:t>و الفصول</w:t>
      </w:r>
      <w:r>
        <w:rPr>
          <w:rStyle w:val="FootnoteAnchor"/>
          <w:rtl w:val="true"/>
        </w:rPr>
        <w:footnoteReference w:id="285"/>
      </w:r>
      <w:r>
        <w:rPr>
          <w:rFonts w:ascii="IRNazanin" w:hAnsi="IRNazanin" w:eastAsia="IRNazanin"/>
          <w:color w:val="111111"/>
          <w:sz w:val="28"/>
          <w:sz w:val="28"/>
          <w:szCs w:val="28"/>
          <w:rtl w:val="true"/>
          <w:lang w:bidi="fa-IR"/>
        </w:rPr>
        <w:t>و الإشارات</w:t>
      </w:r>
      <w:r>
        <w:rPr>
          <w:rStyle w:val="FootnoteAnchor"/>
          <w:rtl w:val="true"/>
        </w:rPr>
        <w:footnoteReference w:id="286"/>
      </w:r>
      <w:r>
        <w:rPr>
          <w:rFonts w:ascii="IRNazanin" w:hAnsi="IRNazanin" w:eastAsia="IRNazanin"/>
          <w:color w:val="111111"/>
          <w:sz w:val="28"/>
          <w:sz w:val="28"/>
          <w:szCs w:val="28"/>
          <w:rtl w:val="true"/>
          <w:lang w:bidi="fa-IR"/>
        </w:rPr>
        <w:t xml:space="preserve">، و من شاء فلیراجع، هذا کلّه فی الاستدلال علی سببیة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 علی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تشخیص کونها دلالة منطوقیة، نظرا إلی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ترکیب معناه من النفی و الإثبات، فیکون دلالته علی الحصر بالتضمّن أو مفهومیّة، نظرا إلی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حرفی تأکید کلّ منهما بمنزلة إسنادین، فیکون دلالته علی الحصر بالالتزام لما هو بمنزلة أربع أسانید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یبعد الأوّل أنّ مجرّد التنزیل و التشبیه لا یقتضی عموم المنزلة و التشریک فی جمیع الخواصّ و الأحکام، نعم یقتضیه فی الأحکام و الخواصّ الظاهرة الشائعة فی 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یبعد الثانی أنّ مجرّد التأکید لا یستلزم الحصر عرفا و إن بلغ فی التکرار إلی غیر النهایة، فضلا عمّا هو بمنزلته، أ لا تری أنّه لو ضوعف الثبوت و تکرّر ألف مرّة لم یستلزم الحصر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فالمرجع حینئذ فی تشخیص کون الحصر بإنّما منطوقا أو مفهوما إلی تشخیص کون الدلالة بحسب فهم العرف تضمّنیة أو التزامیة، و هو المعیار المائز بین المنطوق و المفهوم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الأدوات الدالّة علی الحصر بالمفهوم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علی ما فی الإشارات</w:t>
      </w:r>
      <w:r>
        <w:rPr>
          <w:rStyle w:val="FootnoteAnchor"/>
          <w:rtl w:val="true"/>
        </w:rPr>
        <w:footnoteReference w:id="287"/>
      </w:r>
      <w:r>
        <w:rPr>
          <w:rFonts w:ascii="IRNazanin" w:hAnsi="IRNazanin" w:eastAsia="IRNazanin"/>
          <w:color w:val="111111"/>
          <w:sz w:val="28"/>
          <w:sz w:val="28"/>
          <w:szCs w:val="28"/>
          <w:rtl w:val="true"/>
          <w:lang w:bidi="fa-IR"/>
        </w:rPr>
        <w:t>و المغنی</w:t>
      </w:r>
      <w:r>
        <w:rPr>
          <w:rStyle w:val="FootnoteAnchor"/>
          <w:rtl w:val="true"/>
        </w:rPr>
        <w:footnoteReference w:id="288"/>
      </w:r>
      <w:r>
        <w:rPr>
          <w:rFonts w:ascii="IRNazanin" w:hAnsi="IRNazanin" w:eastAsia="IRNazanin"/>
          <w:color w:val="111111"/>
          <w:sz w:val="28"/>
          <w:sz w:val="28"/>
          <w:szCs w:val="28"/>
          <w:rtl w:val="true"/>
          <w:lang w:bidi="fa-IR"/>
        </w:rPr>
        <w:t xml:space="preserve">، وفاقا للمحکی عن الفیروزآبادی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الزمخشری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فرع إنّما بالکسر،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خلافا للمحکیّ عن أبی حیّان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هذا شی‌ء انفرد به الزمخشری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احتججنا به علی حجّیة مفهوم إنّما المکسورة من التبادر و غیره و إن ادّعی نهوضها علی حجّیة مفهوم أنّما المفتوحة حرفا بحرف، إلّا أنّه لم یحضرنا الآن وثوق بالنهوض و لعلّ اللّه یحدث بعد ذلک أمرا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الهیئات المسبّبة للحصر تقدیم الوصف المحلّی باللام علی الموصوف الخاصّ کالعالم زید، وفاقا للمشهور المنصور، خلافا لبعض محصور، و تتمّ البصیرة فی المسألة بتقدیم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محلّ النزاع و تشخیص أنّه مختصّ بتقدیم الوصف المحلّی باللام، کما یظهر من تخصیصهم العنوان به و تمثیلهم به، أو یعمّ البحث تقدیم کلّ ما حقّه التأخیر، کما یظهر من علماء المعانی؟ وجهان تابعان لنهوض دلیل الحصر علی التعمیم و عدمه، فإن استندنا للحصر علی دلیل أنّه أظهر فوائد العدول عن الترتیب الطبیعی من الاهتمام بالذکر و التلذّذ و التعظیم و التحقیر عمّ تقدیم کلّ ما حقّه التأخیر، و ان استندنا له علی أمر أتقن فلا تعمیم کما هو الأیقن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ترکیب المثال المذکور، حیث اختلف الاصولیون و البیانیون فی تشخیص کون المبتدأ فیه هو الوصف، نظرا إلی أصالة تقدیم المبتدأ، أو هو الموصوف، نظرا إلی أصالة کون الذات مبتدأ و الوصف خبرا و أصالة کون الحمل متعارفیا لا ذاتیا، أو التوقّف من حیث القاعدة بناء علی الوجدان، غایة الأمر أنّ الحصر إذا لم یصادف الانحصار الخارجی لا یکون حقیقیّا، بل ادّعائیا و مبالغة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یمکن استظهار الحصر فیما نحن فیه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الحمل الذاتی الذی هو الأصل فی المثال السابق حذرا من العدول عن تنکیر الوصف إلی تعریفه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إرادة استغراق الأوصاف أو تعریف الجنس الذی هو الأصل فی المحلّی باللام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القوانین</w:t>
      </w:r>
      <w:r>
        <w:rPr>
          <w:rStyle w:val="FootnoteAnchor"/>
          <w:rtl w:val="true"/>
        </w:rPr>
        <w:footnoteReference w:id="289"/>
      </w:r>
      <w:r>
        <w:rPr>
          <w:rFonts w:ascii="IRNazanin" w:hAnsi="IRNazanin" w:eastAsia="IRNazanin"/>
          <w:color w:val="111111"/>
          <w:sz w:val="28"/>
          <w:sz w:val="28"/>
          <w:szCs w:val="28"/>
          <w:rtl w:val="true"/>
          <w:lang w:bidi="fa-IR"/>
        </w:rPr>
        <w:t>من دعوی استحالة إرادة الجنس بأنّ الحمل یقتضی الاتّحاد و الفرد الخاصّ لیس عین حقیقة الجنس إلی آخر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الاستحالة، أمّا علی تقدیر انحصار الجنس فی الفرد الخارجی اتّفاقا فظاهر، و أمّا علی تقدیر عدم انحصاره فیه فلأنّ أقصی ما یقتضیه التعلیل المذکور کون الحمل کذبا لا غلطا و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الاستحالة فهو مبنیّ علی أن یکون المراد من الحمل الحمل الحقیقی الذاتی، و أمّا إذا ارید منه الحمل الادّعائی و المبالغة فلا استحالة، إذ کما یصحّ إطلاق الکلّی علی الفرد مع الغضّ عن الخصوصیة، کذلک یصحّ إطلاق الفرد علی الکلّی مع الغضّ عن الخصوصیة، و کما یتعقّل أن یکون العام مرآتا لملاحظة الخاص، کذلک یتعقّل أن یکون الخاص مقیاسا لملاحظة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استحالة أیضا إذا ارید منه الحمل المتعارفی، لأنّ المهملة فی قوّة الجزئیّة، فکأنّه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العالم زید، لکن یشکل صدوره عن الحکیم من جهة عدم الفائدة، و علی تقدیر الحمل علی العهد الذهنی لو سلّم الفائدة فیشکل من جهة الترکیب، حیث إنّ العهد الذهنی فی معنی النکرة علی أشهر تفاسیره، فربّما منع الاخبار عنه بالمعرفة الصرفة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الحصر من تقدیم الوصف مبنیّ علی القول بثبوت الوضع للمرکّبات دون القول بالعدم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محلّه أنّ وضع الطوارئ الواردة علی الکلمة من الأعاریب و سائر الروابط الموضوعة بإزاء النسب و الربط بین الموضوع و المحمول من </w:t>
      </w:r>
    </w:p>
    <w:p>
      <w:pPr>
        <w:pStyle w:val="BookText"/>
        <w:rPr/>
      </w:pPr>
      <w:r>
        <w:rPr>
          <w:rFonts w:ascii="IRNazanin" w:hAnsi="IRNazanin" w:eastAsia="IRNazanin"/>
          <w:color w:val="111111"/>
          <w:sz w:val="28"/>
          <w:sz w:val="28"/>
          <w:szCs w:val="28"/>
          <w:rtl w:val="true"/>
          <w:lang w:bidi="fa-IR"/>
        </w:rPr>
        <w:t>ملاحظة التقدیم و التأخیر و نحوهما وضع إفرادی، لا ترکیبی، و لو سلّم فالنزاع فی ثبوت الوضع للمرکّبات إنّما هو فی ما وراء وضع الطوارئ الواردة علی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أسبابه الهیئیة تقدیم الوصف المضاف علی الموصوف الخاصّ علی ما صرّح به غیر واحد من الاصولیین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القوانین</w:t>
      </w:r>
      <w:r>
        <w:rPr>
          <w:rStyle w:val="FootnoteAnchor"/>
          <w:rtl w:val="true"/>
        </w:rPr>
        <w:footnoteReference w:id="290"/>
      </w:r>
      <w:r>
        <w:rPr>
          <w:rFonts w:ascii="IRNazanin" w:hAnsi="IRNazanin" w:eastAsia="IRNazanin"/>
          <w:color w:val="111111"/>
          <w:sz w:val="28"/>
          <w:sz w:val="28"/>
          <w:szCs w:val="28"/>
          <w:rtl w:val="true"/>
          <w:lang w:bidi="fa-IR"/>
        </w:rPr>
        <w:t>و الفصول</w:t>
      </w:r>
      <w:r>
        <w:rPr>
          <w:rStyle w:val="FootnoteAnchor"/>
          <w:rtl w:val="true"/>
        </w:rPr>
        <w:footnoteReference w:id="291"/>
      </w:r>
      <w:r>
        <w:rPr>
          <w:rFonts w:ascii="IRNazanin" w:hAnsi="IRNazanin" w:eastAsia="IRNazanin"/>
          <w:color w:val="111111"/>
          <w:sz w:val="28"/>
          <w:sz w:val="28"/>
          <w:szCs w:val="28"/>
          <w:rtl w:val="true"/>
          <w:lang w:bidi="fa-IR"/>
        </w:rPr>
        <w:t>و الإشارات</w:t>
      </w:r>
      <w:r>
        <w:rPr>
          <w:rStyle w:val="FootnoteAnchor"/>
          <w:rtl w:val="true"/>
        </w:rPr>
        <w:footnoteReference w:id="292"/>
      </w:r>
      <w:r>
        <w:rPr>
          <w:rFonts w:ascii="IRNazanin" w:hAnsi="IRNazanin" w:eastAsia="IRNazanin"/>
          <w:color w:val="111111"/>
          <w:sz w:val="28"/>
          <w:sz w:val="28"/>
          <w:szCs w:val="28"/>
          <w:rtl w:val="true"/>
          <w:lang w:bidi="fa-IR"/>
        </w:rPr>
        <w:t>و استادنا العلّامة، حیث لم یفرّقوا بینه و بین الوصف المحلّی باللام فی جمیع ما ذکرنا من الأقسام و الأحکام و ما احتججنا به علی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استفادة الحصر من تقدیم الوصف المحلّی باللام، لکن لا نسلّم استفادته من تقدیم الوصف المضاف بتقریب أن لا فارق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 زید،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التقدیم الذی عرفت کثرة فوائده و عدم انحصارها فی الحصر، فمعنی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إضافة الوصف لا یفید ما عدا التخفیف من التعریف و التخصیص، فإنّ التخصیص المقرون به لیس بحادث من الإضافة، بل کان حاصلا قبل الإضافة من اقتران الوصف بمعموله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استفادة التعریف و التخصیص من إضافة الصفة إلی معموله لا یستلزم استفادة التنکیر منه، لإمکان الواسطة بین التعریف و التنکیر بالطبیعة المهملة اللابشرط الملغاة حتی من قید اللابشرط المعبّر عنه باسم الجنس، و إذا ثبت الواسطة فحکمه حکم المحلّی باللام فی استفادة الحصر منه بحمله علی الاستغراق أو علی الحمل الذاتی أو غیر ذلک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الوصف إلی معموله یفید تخفیف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قبیل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فم الرکیة ممّا هو واسع شأنا، لا فعلا، فمعنی تخفیف الإضافة إیجاده التخفیف، لا إحداثه 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فی تقدیم الوصف المحلّی باللام </w:t>
      </w:r>
    </w:p>
    <w:p>
      <w:pPr>
        <w:pStyle w:val="BookText"/>
        <w:rPr/>
      </w:pPr>
      <w:r>
        <w:rPr>
          <w:rFonts w:ascii="Amiri" w:hAnsi="Amiri" w:eastAsia="Amiri" w:cs="Amiri"/>
          <w:color w:val="111111"/>
          <w:sz w:val="28"/>
          <w:sz w:val="28"/>
          <w:szCs w:val="28"/>
          <w:rtl w:val="true"/>
          <w:lang w:bidi="ar-SA"/>
        </w:rPr>
        <w:t>و الإضافة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الکلام فی تأخیرهما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تأخیر الوصف المحلّی باللام فحکمه حکم التقدیم فی جمیع الأقسام و الأحکام حرفا بحرف، کما حکی إطباق البیانیین علیه و إصرار جماعة من الاصولیین علیه،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صاحبی القوانین</w:t>
      </w:r>
      <w:r>
        <w:rPr>
          <w:rStyle w:val="FootnoteAnchor"/>
          <w:rtl w:val="true"/>
        </w:rPr>
        <w:footnoteReference w:id="293"/>
      </w:r>
      <w:r>
        <w:rPr>
          <w:rFonts w:ascii="IRNazanin" w:hAnsi="IRNazanin" w:eastAsia="IRNazanin"/>
          <w:color w:val="111111"/>
          <w:sz w:val="28"/>
          <w:sz w:val="28"/>
          <w:szCs w:val="28"/>
          <w:rtl w:val="true"/>
          <w:lang w:bidi="fa-IR"/>
        </w:rPr>
        <w:t>و الفصول</w:t>
      </w:r>
      <w:r>
        <w:rPr>
          <w:rStyle w:val="FootnoteAnchor"/>
          <w:rtl w:val="true"/>
        </w:rPr>
        <w:footnoteReference w:id="294"/>
      </w:r>
      <w:r>
        <w:rPr>
          <w:rFonts w:ascii="IRNazanin" w:hAnsi="IRNazanin" w:eastAsia="IRNazanin"/>
          <w:color w:val="111111"/>
          <w:sz w:val="28"/>
          <w:sz w:val="28"/>
          <w:szCs w:val="28"/>
          <w:rtl w:val="true"/>
          <w:lang w:bidi="fa-IR"/>
        </w:rPr>
        <w:t>و استادنا العلّامة دام ظلّه، خلافا لمن زعم عدم إفادة المتأخّر الحصر بواسطة اختلاف الهیئة الترکیبیة بالتقدیم و التأخیر و بالعارضیة و المعروضیة، و لمن زعم التفصیل بین حدوث الوصف المحلّی بلام الموصول و ثبوت الوصف المحلّی بلام التعریف فی أنّ المفهوم من الموصول هو الذات فیفید الحصر، و من غیر الموصول هو المفهوم فلا یفیده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مجرد افتراق الوصف بالتقدیم و التأخیر و بالعارضیة و المعروضیة و بالموصولة و التعریف فرق غیر مجد عدم إفادة المتأخّر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تصریح علماء البیان و غیر واحد من الاصولیین بأنّ تعریف المسند إلیه باللام یفید حصره فی المسند و إن لم یکن حقّه التأخیر، کالکرم التقوی، و العلماء الخاشعون، و الکرم فی العرب، و الأئمّة من قریش، و لکن لا یلزم منه کریمیّة کلّ من فی العرب، و لا إمامیّة کلّ من فی القریش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ندّعی إفادة المتأخّر الحصر من جهة اخری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قرینیّة تعریف المحمول علی کون المقصود به الحمل الذاتی لا المتعارفی، حذرا عن لغویّة العدول من تنکیره إلی تعریفه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تأخیر الوصف المضاف فلم نقف علی ادّعاء إفادته الحصر من أحد، ضرورة أنّه لا مسرح لجهة من جهات الحصر فیه من إرادة الاستغراق أو الجنس أو </w:t>
      </w:r>
    </w:p>
    <w:p>
      <w:pPr>
        <w:pStyle w:val="BookText"/>
        <w:rPr/>
      </w:pPr>
      <w:r>
        <w:rPr>
          <w:rFonts w:ascii="IRNazanin" w:hAnsi="IRNazanin" w:eastAsia="IRNazanin"/>
          <w:color w:val="111111"/>
          <w:sz w:val="28"/>
          <w:sz w:val="28"/>
          <w:szCs w:val="28"/>
          <w:rtl w:val="true"/>
          <w:lang w:bidi="fa-IR"/>
        </w:rPr>
        <w:t>العدول من التنکیر إلی التعریف و من التأخیر إلی 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أسبابه الهیئیة ما نقله البیانیون عن عبد القاهر من أنّ تقدیم المسند إلیه علی الخبر الفعلی یفید الحصر إن ولی حرف النفی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ضربت زیدا، و لهذا 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ضربت و لا غیری، للتناقض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الفصول</w:t>
      </w:r>
      <w:r>
        <w:rPr>
          <w:rStyle w:val="FootnoteAnchor"/>
          <w:rtl w:val="true"/>
        </w:rPr>
        <w:footnoteReference w:id="295"/>
      </w:r>
      <w:r>
        <w:rPr>
          <w:rFonts w:ascii="IRNazanin" w:hAnsi="IRNazanin" w:eastAsia="IRNazanin"/>
          <w:color w:val="111111"/>
          <w:sz w:val="28"/>
          <w:sz w:val="28"/>
          <w:szCs w:val="28"/>
          <w:rtl w:val="true"/>
          <w:lang w:bidi="fa-IR"/>
        </w:rPr>
        <w:t>قدّس سرّه بعد حکایة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یرید به الحصر الإضافی من قصر الأفرادی أو قصر القلب، لا الحصر الحقیقی، لوضوح عدم مساعدة اللفظ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لتوهّم احتمال آخر فی کلامه حتی یکون ذلک بالنسبة إلیه ظاهرا، فاستظهار ما لا مجال لتوهّم خلافه 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فی المقام لغیر المتتبّع و المتفحّص فی قبائل العرب حتی یستند الاستظهار إلی عدم مساعدته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أسبابه الهیئیة تقدیم المبتدأ المنکّر إذا لم یکن له مسوّغ سوی إرادة الحصر علی ما نقله بعض معلّلا بتوقّف تنکیر المبتدأ علی إرادة الحصر عند فقد المسوّغات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یورد علی التعلیل المذکور باستلزامه الدور بتقریب أنّ إرادة الحصر موقوف علی تنکیر المبتدأ، و تنکیره موقوف علی إرادة الحصر و هو الدور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یدفعه أنّ الدور بین إرادة الحصر و تنکیر المبتدأ دور معی و بیّن الدلالة علی الحصر، و تنکیر المبتدأ و إن لم یکن معیّا، إلّا أنّه من طرف واحد، فإنّ الدلالة علی الحصر موقوف علی تنکیر المبتدأ، و تنکیره غیر متوقّف علی الدلالة، بل متوقّف علی الإرادة</w:t>
      </w:r>
      <w:r>
        <w:rPr>
          <w:rFonts w:eastAsia="IRNazanin" w:cs="IRNazanin"/>
          <w:color w:val="111111"/>
          <w:sz w:val="28"/>
          <w:szCs w:val="28"/>
          <w:rtl w:val="true"/>
          <w:lang w:bidi="fa-IR"/>
        </w:rPr>
        <w:t xml:space="preserve">. </w:t>
      </w:r>
      <w:bookmarkStart w:id="172" w:name="pg12880_153322"/>
    </w:p>
    <w:p>
      <w:pPr>
        <w:pStyle w:val="BookText"/>
        <w:rPr/>
      </w:pPr>
      <w:bookmarkEnd w:id="172"/>
      <w:r>
        <w:rPr>
          <w:rFonts w:ascii="IRNazanin" w:hAnsi="IRNazanin" w:eastAsia="IRNazanin"/>
          <w:color w:val="111111"/>
          <w:sz w:val="28"/>
          <w:sz w:val="28"/>
          <w:szCs w:val="28"/>
          <w:rtl w:val="true"/>
          <w:lang w:bidi="fa-IR"/>
        </w:rPr>
        <w:t>فصل</w:t>
      </w:r>
    </w:p>
    <w:p>
      <w:pPr>
        <w:pStyle w:val="Heading2"/>
        <w:numPr>
          <w:ilvl w:val="1"/>
          <w:numId w:val="1"/>
        </w:numPr>
        <w:rPr/>
      </w:pPr>
      <w:bookmarkStart w:id="173" w:name="__RefHeading___Toc2986415_3224264995"/>
      <w:bookmarkStart w:id="174" w:name="_Toc66"/>
      <w:bookmarkEnd w:id="173"/>
      <w:r>
        <w:rPr>
          <w:rtl w:val="true"/>
        </w:rPr>
        <w:t>[</w:t>
      </w:r>
      <w:r>
        <w:rPr>
          <w:rtl w:val="true"/>
        </w:rPr>
        <w:t>فی العام و الخاص</w:t>
      </w:r>
      <w:r>
        <w:rPr>
          <w:rtl w:val="true"/>
        </w:rPr>
        <w:t>]</w:t>
      </w:r>
      <w:bookmarkEnd w:id="174"/>
    </w:p>
    <w:p>
      <w:pPr>
        <w:pStyle w:val="Heading3"/>
        <w:numPr>
          <w:ilvl w:val="2"/>
          <w:numId w:val="1"/>
        </w:numPr>
        <w:rPr/>
      </w:pPr>
      <w:bookmarkStart w:id="175" w:name="__RefHeading___Toc2986417_3224264995"/>
      <w:bookmarkStart w:id="176" w:name="_Toc67"/>
      <w:bookmarkEnd w:id="175"/>
      <w:r>
        <w:rPr>
          <w:rtl w:val="true"/>
        </w:rPr>
        <w:t>اشارة</w:t>
      </w:r>
      <w:bookmarkEnd w:id="176"/>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الماهیة المعرّاة عن جمیع القیود و اللواحق الطاریة یسمّی مطلق فی الاصول و کلّی طبیعی فی الحکمة، و کما ینقسم باعتبار طروّ بعض القیود و اللواحق علیه إلی النکرة و المعرفة و علم الجنس و علم الشخص، و إلی الإفراد و التثنیة و الجمع، کذلک ینقسم باعتبار طروّ بعض القیود و اللواحق إلی العامّ و الخاصّ</w:t>
      </w:r>
      <w:r>
        <w:rPr>
          <w:rFonts w:eastAsia="IRNazanin" w:cs="IRNazanin"/>
          <w:color w:val="111111"/>
          <w:sz w:val="28"/>
          <w:szCs w:val="28"/>
          <w:rtl w:val="true"/>
          <w:lang w:bidi="fa-IR"/>
        </w:rPr>
        <w:t>.</w:t>
      </w:r>
    </w:p>
    <w:p>
      <w:pPr>
        <w:pStyle w:val="Heading3"/>
        <w:numPr>
          <w:ilvl w:val="2"/>
          <w:numId w:val="1"/>
        </w:numPr>
        <w:rPr/>
      </w:pPr>
      <w:bookmarkStart w:id="177" w:name="__RefHeading___Toc2986419_3224264995"/>
      <w:bookmarkStart w:id="178" w:name="_Toc68"/>
      <w:bookmarkEnd w:id="177"/>
      <w:r>
        <w:rPr>
          <w:rtl w:val="true"/>
        </w:rPr>
        <w:t>[</w:t>
      </w:r>
      <w:r>
        <w:rPr>
          <w:rtl w:val="true"/>
        </w:rPr>
        <w:t>معانی العام و الخاص</w:t>
      </w:r>
      <w:r>
        <w:rPr>
          <w:rtl w:val="true"/>
        </w:rPr>
        <w:t>]</w:t>
      </w:r>
      <w:bookmarkEnd w:id="178"/>
    </w:p>
    <w:p>
      <w:pPr>
        <w:pStyle w:val="Heading4"/>
        <w:numPr>
          <w:ilvl w:val="3"/>
          <w:numId w:val="1"/>
        </w:numPr>
        <w:rPr/>
      </w:pPr>
      <w:bookmarkStart w:id="179" w:name="__RefHeading___Toc2986421_3224264995"/>
      <w:bookmarkStart w:id="180" w:name="_Toc69"/>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فالعموم لغة مطلق الشمول، و منه العموم المنطقی و العموم الاحتمالی، و أمّا العموم البدلی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اطلق الرجل علی الکلّی أی مفهوم فرد ما فهو من الکلی المنطقی، و إن اطلق علی الجزئی أی الفرد الخارجی القابل لزید و عمر و فهو من العامّ الاحتمالی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اصطلاحا هو استغراق الجزئیّات، و هو قد یکون باللفظ الحقیقی أو المجازی، و قد یکون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فالعامّ الاصطلاحی هو استغراق جمیع جزئیّاته، و قید الاستغراق مخرج لغیر المستغرق، سواء کان عدم استغراقه من جهة عدم جزء و لا جزئی له، کلفظ الجلالة و نحوه من المدالیل البسیطة، أو من جهة عدم وصف الاستغراق له و إن کان واجدا للجزئیات، کالنکرات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قید الجزئیات مخرج لمستغرق الأجزاء ممّا لم یکن له جزئیات أصلا کمعارف المفردات و التثنیات و المجموع و أسماء العدد، أو کان له جزئیات، لکن لم یکن له استغراقها کنکرات المفردات و التثنیات و الجموع و أسماء العدد ممّا یکون </w:t>
      </w:r>
    </w:p>
    <w:p>
      <w:pPr>
        <w:pStyle w:val="BookText"/>
        <w:rPr/>
      </w:pPr>
      <w:r>
        <w:rPr>
          <w:rFonts w:ascii="IRNazanin" w:hAnsi="IRNazanin" w:eastAsia="IRNazanin"/>
          <w:color w:val="111111"/>
          <w:sz w:val="28"/>
          <w:sz w:val="28"/>
          <w:szCs w:val="28"/>
          <w:rtl w:val="true"/>
          <w:lang w:bidi="fa-IR"/>
        </w:rPr>
        <w:t>عمومه مجموعیا، و هو ما یناط الحکم فیه بالمجموع من حیث المجموع، و دخل العموم الأفرادی و هو ما یناط الحکم فیه بکلّ واحد من الأفراد و کذا العموم الجمعی، و هو ما یناط الحکم فیه بکلّ واحد من الجماعات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إدخال صاحب الضوابط</w:t>
      </w:r>
      <w:r>
        <w:rPr>
          <w:rStyle w:val="FootnoteAnchor"/>
          <w:rtl w:val="true"/>
        </w:rPr>
        <w:footnoteReference w:id="296"/>
      </w:r>
      <w:r>
        <w:rPr>
          <w:rFonts w:ascii="IRNazanin" w:hAnsi="IRNazanin" w:eastAsia="IRNazanin"/>
          <w:color w:val="111111"/>
          <w:sz w:val="28"/>
          <w:sz w:val="28"/>
          <w:szCs w:val="28"/>
          <w:rtl w:val="true"/>
          <w:lang w:bidi="fa-IR"/>
        </w:rPr>
        <w:t>العموم المجموعی فی الحدّ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فخرق للاصطلاح، لاستلزامه إدخال کلّ ذی جزء من المدالیل اللفظیة حتی الأعلام الشخصیة فی العام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إدخال الجمع المعرّف علی کلّ من تفسیریه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أجزاء جزئیاته فتحصیل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تقدیر تفسیره بالعموم الجمعی فلضرورة أنّ کلّ من الجماعات جزئی من جزئیّاته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تفسیره بالعموم الأفرادی فلأنّ کلّ من الأفراد بالنسبة إلی صورة الجمع أجزاء لا جزئیات، و بالنسبة إلی مدلوله المتبادر بعد طروّ التعریف و انسلاخ معنی الجمعیة جزئیات لا أجزاء، فأین أجزاء جزئیاته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إن کان العموم من صفات المعنی بالأصالة کالکلیة و الجزئیة فلا استخدام فی الحدّ، و إلّا فلا بدّ منه، ثمّ إنّ فی المقام حدود کثیرة مختلفة، لکنّها مع کثرتها غیر مبنیّة علی الاختلاف فی المحدود، بل مبنیّة علی اختلاف الأنظار فی الاحتراز عن الأغیار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عن أبی الحسین البصری</w:t>
      </w:r>
      <w:r>
        <w:rPr>
          <w:rStyle w:val="FootnoteAnchor"/>
          <w:rtl w:val="true"/>
        </w:rPr>
        <w:footnoteReference w:id="297"/>
      </w:r>
      <w:r>
        <w:rPr>
          <w:rFonts w:ascii="IRNazanin" w:hAnsi="IRNazanin" w:eastAsia="IRNazanin"/>
          <w:color w:val="111111"/>
          <w:sz w:val="28"/>
          <w:sz w:val="28"/>
          <w:szCs w:val="28"/>
          <w:rtl w:val="true"/>
          <w:lang w:bidi="fa-IR"/>
        </w:rPr>
        <w:t>من تحدید العامّ بما استغرق جمیع ما یصلح له، و هو منطبق علی التحدید المختار، بل قد یکون أولی بالنظر إلی عدم استلزامه الاستخدام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عن المحقّق فی المعتبر</w:t>
      </w:r>
      <w:r>
        <w:rPr>
          <w:rStyle w:val="FootnoteAnchor"/>
          <w:rtl w:val="true"/>
        </w:rPr>
        <w:footnoteReference w:id="298"/>
      </w:r>
      <w:r>
        <w:rPr>
          <w:rFonts w:ascii="IRNazanin" w:hAnsi="IRNazanin" w:eastAsia="IRNazanin"/>
          <w:color w:val="111111"/>
          <w:sz w:val="28"/>
          <w:sz w:val="28"/>
          <w:szCs w:val="28"/>
          <w:rtl w:val="true"/>
          <w:lang w:bidi="fa-IR"/>
        </w:rPr>
        <w:t>من تحدیده بما دلّ علی اثنین فصاعدا من غیر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الهدایة</w:t>
      </w:r>
      <w:r>
        <w:rPr>
          <w:rStyle w:val="FootnoteAnchor"/>
          <w:rtl w:val="true"/>
        </w:rPr>
        <w:footnoteReference w:id="299"/>
      </w:r>
      <w:r>
        <w:rPr>
          <w:rFonts w:ascii="IRNazanin" w:hAnsi="IRNazanin" w:eastAsia="IRNazanin"/>
          <w:color w:val="111111"/>
          <w:sz w:val="28"/>
          <w:sz w:val="28"/>
          <w:szCs w:val="28"/>
          <w:rtl w:val="true"/>
          <w:lang w:bidi="fa-IR"/>
        </w:rPr>
        <w:t>و ینتقض بالمثنی و الجمع المنکّر إلّا أن یراد به الدلالة علی ما یزید علی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أنّ إرادة الزیادة موقوفة علی عطف المنصوب علی المجرور لفظا و محلّا و هو غلط خارج عن قواعد المعربین، فلا مناص عن النقض بإرادة الزیادة لنصوصیة اللفظ علی خلافها، سواء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عن فاعل فعل محذوف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أو صعد صاعدا کما هو الأقرب إلی القواعد العربیة، أو کان مفعولا مطلقا لصعد محذوف کما توهّم، و وجه کونه توهّما اختصاص المفعول المطلق بالمصادر و اختصاص حذف العامل المصدر التأکیدی بالسماع علی تقدیر جوازه، و کیف کان فالفاء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فصاعدا عاطفة نظیر الفاء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فَعِدَّةٌ مِنْ أَیَّامٍ أُخَرَ</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هذا تمام الکلام فی تعریف العامّ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خاصه فعبارة عمّا لم یستغرق الجزئیات، سواء لم یکن له جزئی أصلا کالأعلام الشخصیة، أو کان له جزئیات لکن لم یستغرقها کالنکرات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طرد الحدّ المذکور بالألفاظ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عکسه بأنّ الخاصّ من الامور الإضافیة، فالإنسان خاصّ بالنسبة إلی الحیوان و مع ذلک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تعریف بالسلب لا بالإثبات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العامّ و الخاصّ إن کانا متباینین فتعریف أحدهما بالآخر دوری، و إن کانا ضدّین لم یکن تعریف أحدهما بالآخر أولی من العکس، و من المعتبر فی </w:t>
      </w:r>
      <w:bookmarkStart w:id="181" w:name="pg12880_153325"/>
    </w:p>
    <w:p>
      <w:pPr>
        <w:pStyle w:val="BookText"/>
        <w:rPr/>
      </w:pPr>
      <w:bookmarkEnd w:id="181"/>
      <w:r>
        <w:rPr>
          <w:rFonts w:ascii="IRNazanin" w:hAnsi="IRNazanin" w:eastAsia="IRNazanin"/>
          <w:color w:val="111111"/>
          <w:sz w:val="28"/>
          <w:sz w:val="28"/>
          <w:szCs w:val="28"/>
          <w:rtl w:val="true"/>
          <w:lang w:bidi="fa-IR"/>
        </w:rPr>
        <w:t>الحدّ مضافا إلی المساواة للمحدود الأولویّة و الأعرفیة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أنّ المقسم الموضوعات، فالنفی وارد علی القید لا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بأنّ الأمر الإضافی إنّما هو الخاص المنطقی لا الاصولی، و أمّا دیدن الاصولیین فی مباحث العامّ و الخاصّ و التعادل و التراجیح من تسمیة الزهّاد مثلا بالخاصّ و المخصّص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الزهاد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جری علی اصطلاح المنطقیین دون اصطلاح الاصولیین کما لا یخفی علی من له خبرة بالاصطلاح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 بأنّ تعریف الخاص بغیر العامّ کتعریفهم الحرف بغیر الإسم و الفعل فی کونه من التعریفات التقریبیة دون التحدیدات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الرابع بالمنع من توقّف فهم العامّ علی الخاصّ علی کلّ من الشقّین لکون العامّ أکثر وجودا من الخاصّ، فیکون أعرف منه، فسلب العامّ أعرف من سلب الخاصّ، لأنّ تصوّر الأعدام تابع لتصوّر ملکاتها، و تابع الأعرف أعرف</w:t>
      </w:r>
      <w:r>
        <w:rPr>
          <w:rFonts w:eastAsia="IRNazanin" w:cs="IRNazanin"/>
          <w:color w:val="111111"/>
          <w:sz w:val="28"/>
          <w:szCs w:val="28"/>
          <w:rtl w:val="true"/>
          <w:lang w:bidi="fa-IR"/>
        </w:rPr>
        <w:t>.</w:t>
      </w:r>
    </w:p>
    <w:p>
      <w:pPr>
        <w:pStyle w:val="Heading4"/>
        <w:numPr>
          <w:ilvl w:val="3"/>
          <w:numId w:val="1"/>
        </w:numPr>
        <w:rPr/>
      </w:pPr>
      <w:bookmarkStart w:id="182" w:name="__RefHeading___Toc2986423_3224264995"/>
      <w:bookmarkStart w:id="183" w:name="_Toc70"/>
      <w:bookmarkEnd w:id="182"/>
      <w:r>
        <w:rPr>
          <w:rtl w:val="true"/>
        </w:rPr>
        <w:t>تنبیهات</w:t>
      </w:r>
      <w:r>
        <w:rPr>
          <w:rtl w:val="true"/>
        </w:rPr>
        <w:t>:</w:t>
      </w:r>
      <w:bookmarkEnd w:id="18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العموم و الخصوص من عوارض الألفاظ خاصّة و إطلاقه علی المعانی مجاز، کما هو المحکیّ عن العلّامة</w:t>
      </w:r>
      <w:r>
        <w:rPr>
          <w:rStyle w:val="FootnoteAnchor"/>
          <w:rtl w:val="true"/>
        </w:rPr>
        <w:footnoteReference w:id="301"/>
      </w:r>
      <w:r>
        <w:rPr>
          <w:rFonts w:ascii="Amiri" w:hAnsi="Amiri" w:eastAsia="Amiri" w:cs="Amiri"/>
          <w:color w:val="111111"/>
          <w:sz w:val="28"/>
          <w:sz w:val="28"/>
          <w:szCs w:val="28"/>
          <w:rtl w:val="true"/>
          <w:lang w:bidi="ar-SA"/>
        </w:rPr>
        <w:t>و السیّد</w:t>
      </w:r>
      <w:r>
        <w:rPr>
          <w:rStyle w:val="FootnoteAnchor"/>
          <w:rtl w:val="true"/>
        </w:rPr>
        <w:footnoteReference w:id="302"/>
      </w:r>
      <w:r>
        <w:rPr>
          <w:rFonts w:ascii="IRNazanin" w:hAnsi="IRNazanin" w:eastAsia="IRNazanin"/>
          <w:color w:val="111111"/>
          <w:sz w:val="28"/>
          <w:sz w:val="28"/>
          <w:szCs w:val="28"/>
          <w:rtl w:val="true"/>
          <w:lang w:bidi="fa-IR"/>
        </w:rPr>
        <w:t>و ظاهر الفاضلین</w:t>
      </w:r>
      <w:r>
        <w:rPr>
          <w:rStyle w:val="FootnoteAnchor"/>
          <w:rtl w:val="true"/>
        </w:rPr>
        <w:footnoteReference w:id="303"/>
      </w:r>
      <w:r>
        <w:rPr>
          <w:rFonts w:ascii="IRNazanin" w:hAnsi="IRNazanin" w:eastAsia="IRNazanin"/>
          <w:color w:val="111111"/>
          <w:sz w:val="28"/>
          <w:sz w:val="28"/>
          <w:szCs w:val="28"/>
          <w:rtl w:val="true"/>
          <w:lang w:bidi="fa-IR"/>
        </w:rPr>
        <w:t>و الشهید</w:t>
      </w:r>
      <w:r>
        <w:rPr>
          <w:rStyle w:val="FootnoteAnchor"/>
          <w:rtl w:val="true"/>
        </w:rPr>
        <w:footnoteReference w:id="304"/>
      </w:r>
      <w:r>
        <w:rPr>
          <w:rFonts w:ascii="IRNazanin" w:hAnsi="IRNazanin" w:eastAsia="IRNazanin"/>
          <w:color w:val="111111"/>
          <w:sz w:val="28"/>
          <w:sz w:val="28"/>
          <w:szCs w:val="28"/>
          <w:rtl w:val="true"/>
          <w:lang w:bidi="fa-IR"/>
        </w:rPr>
        <w:t>و البهائی</w:t>
      </w:r>
      <w:r>
        <w:rPr>
          <w:rStyle w:val="FootnoteAnchor"/>
          <w:rtl w:val="true"/>
        </w:rPr>
        <w:footnoteReference w:id="305"/>
      </w:r>
      <w:r>
        <w:rPr>
          <w:rFonts w:ascii="IRNazanin" w:hAnsi="IRNazanin" w:eastAsia="IRNazanin"/>
          <w:color w:val="111111"/>
          <w:sz w:val="28"/>
          <w:sz w:val="28"/>
          <w:szCs w:val="28"/>
          <w:rtl w:val="true"/>
          <w:lang w:bidi="fa-IR"/>
        </w:rPr>
        <w:t>، بل و عن أکثر الخاصّة و العامّة، أو من عوارض المعانی و إطلاقه علی الألفاظ بالتبع، کما أرسله فی الضوابط</w:t>
      </w:r>
      <w:r>
        <w:rPr>
          <w:rStyle w:val="FootnoteAnchor"/>
          <w:rtl w:val="true"/>
        </w:rPr>
        <w:footnoteReference w:id="306"/>
      </w:r>
      <w:r>
        <w:rPr>
          <w:rFonts w:ascii="IRNazanin" w:hAnsi="IRNazanin" w:eastAsia="IRNazanin"/>
          <w:color w:val="111111"/>
          <w:sz w:val="28"/>
          <w:sz w:val="28"/>
          <w:szCs w:val="28"/>
          <w:rtl w:val="true"/>
          <w:lang w:bidi="fa-IR"/>
        </w:rPr>
        <w:t>إرسال المسلّمات، أو حقیقة فی المعنی الأعمّ من الأمرین، کما حکی عن القاضی</w:t>
      </w:r>
      <w:r>
        <w:rPr>
          <w:rStyle w:val="FootnoteAnchor"/>
          <w:rtl w:val="true"/>
        </w:rPr>
        <w:footnoteReference w:id="307"/>
      </w:r>
      <w:r>
        <w:rPr>
          <w:rFonts w:ascii="IRNazanin" w:hAnsi="IRNazanin" w:eastAsia="IRNazanin"/>
          <w:color w:val="111111"/>
          <w:sz w:val="28"/>
          <w:sz w:val="28"/>
          <w:szCs w:val="28"/>
          <w:rtl w:val="true"/>
          <w:lang w:bidi="fa-IR"/>
        </w:rPr>
        <w:t>و العضدی</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غیرهما، أو مشترک لفظی بین الأمرین، کما حکی عن عدّة الشیخ</w:t>
      </w:r>
      <w:r>
        <w:rPr>
          <w:rStyle w:val="FootnoteAnchor"/>
          <w:rtl w:val="true"/>
        </w:rPr>
        <w:footnoteReference w:id="309"/>
      </w:r>
      <w:r>
        <w:rPr>
          <w:rFonts w:ascii="IRNazanin" w:hAnsi="IRNazanin" w:eastAsia="IRNazanin"/>
          <w:color w:val="111111"/>
          <w:sz w:val="28"/>
          <w:sz w:val="28"/>
          <w:szCs w:val="28"/>
          <w:rtl w:val="true"/>
          <w:lang w:bidi="fa-IR"/>
        </w:rPr>
        <w:t>اختیاره و نسبته إلی قوم من الاصولیّین؟</w:t>
      </w:r>
    </w:p>
    <w:p>
      <w:pPr>
        <w:pStyle w:val="BookText"/>
        <w:rPr/>
      </w:pPr>
      <w:r>
        <w:rPr>
          <w:rFonts w:ascii="IRNazanin" w:hAnsi="IRNazanin" w:eastAsia="IRNazanin"/>
          <w:color w:val="111111"/>
          <w:sz w:val="28"/>
          <w:sz w:val="28"/>
          <w:szCs w:val="28"/>
          <w:rtl w:val="true"/>
          <w:lang w:bidi="fa-IR"/>
        </w:rPr>
        <w:t>التحقیق فی المسألة یتوقّف علی تنقیح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فی اللغة هو حصول شی‌ء لأشیاء، کعموم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للأراضی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الخصب للبلاد، و الحاجة للممکنات، و فی المنطق هو صدق شی‌ء علی أشیاء کعموم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 الکلیّة کالانسان و الحیوان لمصادیقهما، و قد یندرج ذلک فی المعنی الأوّل علی أن یراد به شمول شی‌ء لأشیاء ما صدقا أو حصولا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الاصطلاح هو شمول اللفظ لجزئیات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الاصطلاح عند الاصولیین فلا خلاف بینهم فی کونه من صفات اللفظ کما یومئ إلیه أیضا حدودهم و تعرّضهم له فی مباحث الألفاظ، مضافا إلی أنّه المناسب أیضا لمصطلحهم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خلاف بل لا ریب فی کون العموم اللغوی و المنطقی من صفات المعنی، ضرورة أنّه لا یعقل حصول اللفظ لأشیاء و لا صدقه علی أشیاء إلّا بالتبع لمعناه، و حینئذ فلم یبق للنزاع فی کون العموم من صفات المعنی تصوّر إلا عوده إلی النزاع اللفظی کما احتمله صاحب الهدایة</w:t>
      </w:r>
      <w:r>
        <w:rPr>
          <w:rStyle w:val="FootnoteAnchor"/>
          <w:rtl w:val="true"/>
        </w:rPr>
        <w:footnoteReference w:id="310"/>
      </w:r>
      <w:r>
        <w:rPr>
          <w:rFonts w:ascii="IRNazanin" w:hAnsi="IRNazanin" w:eastAsia="IRNazanin"/>
          <w:color w:val="111111"/>
          <w:sz w:val="28"/>
          <w:sz w:val="28"/>
          <w:szCs w:val="28"/>
          <w:rtl w:val="true"/>
          <w:lang w:bidi="fa-IR"/>
        </w:rPr>
        <w:t>تبعا لبعض الأعلام، أو عوده إلی النزاع الموضوعی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فی وجود معنی عامّ لمتعدّد و عدمه، کما احتمله العضدی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وجود معنی عامّ لمتعدّد فی الأعیان الخارجیة فالحقّ مع المنکر، ضرورة امتناع شمول واحد خارجی لمتعدد، و ما فی الهدایة</w:t>
      </w:r>
      <w:r>
        <w:rPr>
          <w:rStyle w:val="FootnoteAnchor"/>
          <w:rtl w:val="true"/>
        </w:rPr>
        <w:footnoteReference w:id="311"/>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النقض بإمکان شمول المکان لمتمکّنات عدیدة و شمول الظرف لمظروفات شتی، و هکذا، مع عدم الخروج عن معناه الحقیقی فقد دفع بأنّه تجزیة لا شمول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وجوده فی المعانی الذهنیة، ففیه خلاف بین المتکلّمین و الحکماء لا یلیق بفنّ الاصول ذکره، مضافا إلی أنّ هذا النزاع بجمیع تقادیره قلیل الجدوی، بل هو نزاع علمی لا جدوی فیه من حیث العمل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 إمّا إفرادی کأکرم کلّ عالم، أو جمعی کأکرم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ارید منه کلّ جماعة من جماعتهم، أو مجموعیّ کأکرم کلّ العلماء و کلّ العشرة و نحو ذلک من أسماء العدد، أو بدلی کمن و أی فی الاستفهام، أو حکمتی کماء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مِنَ السَّماءِ ماءً طَهُوراً</w:t>
      </w:r>
      <w:r>
        <w:rPr>
          <w:rStyle w:val="FootnoteAnchor"/>
          <w:rtl w:val="true"/>
        </w:rPr>
        <w:footnoteReference w:id="312"/>
      </w:r>
      <w:r>
        <w:rPr>
          <w:rFonts w:ascii="IRNazanin" w:hAnsi="IRNazanin" w:eastAsia="IRNazanin"/>
          <w:color w:val="111111"/>
          <w:sz w:val="28"/>
          <w:sz w:val="28"/>
          <w:szCs w:val="28"/>
          <w:rtl w:val="true"/>
          <w:lang w:bidi="fa-IR"/>
        </w:rPr>
        <w:t xml:space="preserve">حیث یحمل علی العموم و الشمول قضاء لحکمة وروده فی مقام الامتنان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فرارا عن الترجیح بلا مرجّح، و منه عموم الموصولات، لأنّها فی معنی النکرات، و إمّا حقیقی کأنّ اللّه علی کلّ شی‌ء قدیر، و إمّا عرفی و هو ما یتناول أکثر أفراده إن ارید من الحقیقی ما یتناول الجمیع، و ما یتناول الأفراد المقدورة للمخاطب إن ارید من الحقیقی ما یتناول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تشخیص أقسام العموم و لا کلام فیه، إنّما الکلام فی تشخیص الحقیقة و المجاز من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العموم الأفرادی فمعنی حقیقی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 للفظ الرجال علی المشهور، للتبادر العرفی، و للفظ العموم الاصطلاحی اتّفاقا، لاندراجه فی کلّ من حدوده المذکورة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العموم الجمعی فهو و إن کان معنی مجازیا لصیغ العموم، حیث لم یوضع </w:t>
      </w:r>
    </w:p>
    <w:p>
      <w:pPr>
        <w:pStyle w:val="BookText"/>
        <w:rPr/>
      </w:pPr>
      <w:r>
        <w:rPr>
          <w:rFonts w:ascii="IRNazanin" w:hAnsi="IRNazanin" w:eastAsia="IRNazanin"/>
          <w:color w:val="111111"/>
          <w:sz w:val="28"/>
          <w:sz w:val="28"/>
          <w:szCs w:val="28"/>
          <w:rtl w:val="true"/>
          <w:lang w:bidi="fa-IR"/>
        </w:rPr>
        <w:t>له صیغة تخصّه سوی الجمع المحلّی باللام عند بعض، إلّا أنّه معنی حقیقی للفظ العموم الاصطلاحی أیضا اتّفاقا، لاندراجه فی جمیع حدوده المذکورة و عدم الفرق بینه و بین العموم الأفرادی إلّا فی کیفیة الجزئیات، حیث إنّ جزئیاته جماعات و جزئیات الأفرادی 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العموم المجموعی فهو معنی حقیقی لأسماء العدد اتّفاقا، للتبادر، و معنی مجازی لصیغ العموم و للفظ العموم الاصطلاحی اتّفاقا إلّا من صاحب الضوابط</w:t>
      </w:r>
      <w:r>
        <w:rPr>
          <w:rStyle w:val="FootnoteAnchor"/>
          <w:rtl w:val="true"/>
        </w:rPr>
        <w:footnoteReference w:id="313"/>
      </w:r>
      <w:r>
        <w:rPr>
          <w:rFonts w:ascii="IRNazanin" w:hAnsi="IRNazanin" w:eastAsia="IRNazanin"/>
          <w:color w:val="111111"/>
          <w:sz w:val="28"/>
          <w:sz w:val="28"/>
          <w:szCs w:val="28"/>
          <w:rtl w:val="true"/>
          <w:lang w:bidi="fa-IR"/>
        </w:rPr>
        <w:t>قدّس سرّه لخروجه عن جمیع حدوده المذکورة، أمّا عن الحدود الغیر المأخوذة فیها لفظ الأجزاء فظاهر، و أمّا عن المأخوذة فیها لفظ الأجزاء فقد صرّح غیر صاحب الضوابط ممّن أخذ لفظ الأجزاء فی تعریفه کالبهائی</w:t>
      </w:r>
      <w:r>
        <w:rPr>
          <w:rStyle w:val="FootnoteAnchor"/>
          <w:rtl w:val="true"/>
        </w:rPr>
        <w:footnoteReference w:id="314"/>
      </w:r>
      <w:r>
        <w:rPr>
          <w:rFonts w:ascii="IRNazanin" w:hAnsi="IRNazanin" w:eastAsia="IRNazanin"/>
          <w:color w:val="111111"/>
          <w:sz w:val="28"/>
          <w:sz w:val="28"/>
          <w:szCs w:val="28"/>
          <w:rtl w:val="true"/>
          <w:lang w:bidi="fa-IR"/>
        </w:rPr>
        <w:t>و غیره بأنّ المراد منه إدخال العموم الجمعی لا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العموم البدلی فمعنی حقیقیّ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الاستفهام اتّفاقا للتبادر، و للفظ العموم الاصطلاحی، لاندراجه فی جمیع حدوده المذکورة و عدم الفرق بینه و بین الأفرادی إلّا فی کیفیة الاستغراق، حیث إنّ استغراقه علی وجه التردید و استغراق الأفرادی علی وجه الجمع،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دخول أداة الاستفهام فی العموم الاصطلاحی مستلزم لدخول النکرات و الموصولات فیه من جهة اشتراکها لأداة الاستفهام فی استغراق أفراد مفهومها علی البدلیة، لوضوح الفرق بینهما، فإنّ عموم مفهوم الأداة أو مدخولها وضعی و عموم النکرة حکمتی کما أشار إلی تفصیله فی الفصول</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استدلّ استادنا العلّامة دام ظلّه وفاقا للفصول علی دخول الأداة فی </w:t>
      </w:r>
    </w:p>
    <w:p>
      <w:pPr>
        <w:pStyle w:val="BookText"/>
        <w:rPr/>
      </w:pPr>
      <w:r>
        <w:rPr>
          <w:rFonts w:ascii="IRNazanin" w:hAnsi="IRNazanin" w:eastAsia="IRNazanin"/>
          <w:color w:val="111111"/>
          <w:sz w:val="28"/>
          <w:sz w:val="28"/>
          <w:szCs w:val="28"/>
          <w:rtl w:val="true"/>
          <w:lang w:bidi="fa-IR"/>
        </w:rPr>
        <w:t>العموم الاصطلاحی و خروج النکرات عنه باطّراد صحّة الاستثناء عن الأداة دون النکرات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علامیة الاطّراد للوضع، إلّا أن یرید منه الکشف عن التبادر لا مطلق الاطّراد، و وجه المنع و تفصیله قد مرّ فی محلّه بما لا مزید علیه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العموم الحکمتی فمن مقتضیات العقل المنضمّ إلی مدلول النکرة، کمنع الترجیح بلا مرجّح و الإغراء بالجهل من قبیل الدالّین و المدلولین، فلم تستعمل النکرة فیه لیکون معنا حقیقیّا أو مجازیّا لها، و اتّصافها به لا یدلّ علی استعمالها فیه، ضرورة أنّ اتّصاف اللفظ بشی‌ء لا یستدعی استعماله فیه و کونه من مقتضیاته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العموم العرفی فإن ارید منه أکثر الأفراد علی تنزیل الخارج منزلة العدم عرفا لندرته لا بواسطة استعمال أداة العموم فیه فهو أیضا معنی حقیقی لأداة العموم و للفظ العموم، لاندراجه فی جمیع حدوده المذکورة بعد الادّعاء و التنزیل، و هو تصرّف عقلی و تجوّز فی الإسناد مبناه علی المسامحة العرفیّة الکاشفة عن مسامحة الواضع فی الوضع، نظیر مسامحة العرف فی إطلاق المساحات و الأوزان الخاصّة علی ما نقص منها أو زاد بیسیر من غیر تقیید الکاشفة عن مسامحة الواضع، دون المسامحة الصرفة الغیر الکاشفة عن ذلک، إلّا أنّ هذه المسامحة أعنی المسامحة العرفیّة الکاشفة عن مسامحة الواضع فی إطلاق التامّ علی الناقص غیر معتبرة فی الخطابات الشرعیة، لا لأنّ الظواهر العرفیة غیر معتبرة فیها، کیف و هو الأصل المحکّم حیث لا دلیل علی خلافه، بل لأنّ تلک المسامحة من العرف فرع معرفة ترتّب خاصیّة التامّ علی الناقص، و من البیّن عدم معرفة العرف بخواصّ الخطابات الشرعیّة حتی یتفرّع علیه مسامحتهم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إن ارید من العموم العرفی الأفراد المقدورة للمخاطب بقرینة الحال و العقل فهو عموم مخصّص بقرینة العقل یرجع تشخیص الحقیقة و المجاز فیه إلی </w:t>
      </w:r>
    </w:p>
    <w:p>
      <w:pPr>
        <w:pStyle w:val="BookText"/>
        <w:rPr/>
      </w:pPr>
      <w:r>
        <w:rPr>
          <w:rFonts w:ascii="IRNazanin" w:hAnsi="IRNazanin" w:eastAsia="IRNazanin"/>
          <w:color w:val="111111"/>
          <w:sz w:val="28"/>
          <w:sz w:val="28"/>
          <w:szCs w:val="28"/>
          <w:rtl w:val="true"/>
          <w:lang w:bidi="fa-IR"/>
        </w:rPr>
        <w:t>مسألة أنّ العامّ المخصّص حقیقة فی الباقی أم مجاز، و فی إطلاق الفصول</w:t>
      </w:r>
      <w:r>
        <w:rPr>
          <w:rStyle w:val="FootnoteAnchor"/>
          <w:rtl w:val="true"/>
        </w:rPr>
        <w:footnoteReference w:id="316"/>
      </w:r>
      <w:r>
        <w:rPr>
          <w:rFonts w:ascii="IRNazanin" w:hAnsi="IRNazanin" w:eastAsia="IRNazanin"/>
          <w:color w:val="111111"/>
          <w:sz w:val="28"/>
          <w:sz w:val="28"/>
          <w:szCs w:val="28"/>
          <w:rtl w:val="true"/>
          <w:lang w:bidi="fa-IR"/>
        </w:rPr>
        <w:t>بأنّه أیضا عموم حقیقی مع عدم إطلاقه بأنّ العامّ المخصّص حقیقة فی الباقی منع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الفصول</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کما ینقسم العامّ باعتبار الدلالة إلی المجموعی و الأفرادی، کذلک ینقسم باعتبار تعلّق الحکم به إلی القسمین أیضا، فالعامّ المجموعی باعتبار الدلالة قد یکون أفرادیا باعتبار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فرض العموم الأفرادی عموما مجموعیا باعتبار الحکم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ینحصر إمّا فی تقدیر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من المجاز فی الحذف، و إمّا فی إرادته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 المجاز فی الکلمة، و إمّا فی ادّعاء أنّ مجموع الرجال قسم من مفهوم کلّ رجل لیکون من المجاز فی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إرادة العموم المجموعی من العموم الأفرادی علی التقدیر الأخیر فیتوقّف صحة اعتباره عرفا علی عدم صحّة الإسناد إلی العموم الأفرادی عقلا، کما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أنبت الربیع البقل، و نطقت الحال،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أسد، عند السکّاکی، و من الواضح صحّة الإسناد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صحة إرادته علی کلّ من التقدیرین الآخرین فمع عدم القرینة ممنوعة، ضرورة عدم تخلّف الإرادة عن الدلالة إلّا بالقرینة، و مع القرینة غیر مختصّة بألفاظ العموم، فالتنبیه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صحة إرادة العموم المجموعی من الأفرادی أو العکس عند قیام القرینة نظیر التنبیه بقولک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إمکان موت زید عند قیام السبب فی عدّه لغوا، سیّما من اولی الألباب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العموم فی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المفرد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مدخول أداة العموم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صفات المرکّب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 و المدخول و هو </w:t>
      </w:r>
      <w:bookmarkStart w:id="184" w:name="pg12880_153331"/>
    </w:p>
    <w:p>
      <w:pPr>
        <w:pStyle w:val="BookText"/>
        <w:rPr/>
      </w:pPr>
      <w:bookmarkEnd w:id="184"/>
      <w:r>
        <w:rPr>
          <w:rFonts w:ascii="IRNazanin" w:hAnsi="IRNazanin" w:eastAsia="IRNazanin"/>
          <w:color w:val="111111"/>
          <w:sz w:val="28"/>
          <w:sz w:val="28"/>
          <w:szCs w:val="28"/>
          <w:rtl w:val="true"/>
          <w:lang w:bidi="fa-IR"/>
        </w:rPr>
        <w:t>مجموع کلّ رجل، قولان، و لکل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استشکل بعضهم فی الفرق بین مخصّصیة قید الوصف للموصوف و عدم مخصّصیّة قید الاثنینیة و الجمعیة للمثنّی و الجمع، و قید العهد للعموم، و قید الاضافة للمضاف و لو تتابعت الإضافات، و لم یزعم الفرق إلّا محض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أنّ معیار الفرق بین القیود المخصّصة و غیر المخصّصة لیس محض الاصطلاح، بل المعیار إنّما هو فی طروّ دلالة القید بعد تمامیّة دلالة المقیّد عرفا و قبل تمامیّته عرفا، نظیر معیار الفرق بین الدلالة الالتزامیة و غیرها</w:t>
      </w:r>
      <w:r>
        <w:rPr>
          <w:rFonts w:eastAsia="IRNazanin" w:cs="IRNazanin"/>
          <w:color w:val="111111"/>
          <w:sz w:val="28"/>
          <w:szCs w:val="28"/>
          <w:rtl w:val="true"/>
          <w:lang w:bidi="fa-IR"/>
        </w:rPr>
        <w:t>.</w:t>
      </w:r>
    </w:p>
    <w:p>
      <w:pPr>
        <w:pStyle w:val="Heading3"/>
        <w:numPr>
          <w:ilvl w:val="2"/>
          <w:numId w:val="1"/>
        </w:numPr>
        <w:rPr/>
      </w:pPr>
      <w:bookmarkStart w:id="185" w:name="__RefHeading___Toc2986425_3224264995"/>
      <w:bookmarkStart w:id="186" w:name="_Toc71"/>
      <w:bookmarkEnd w:id="185"/>
      <w:r>
        <w:rPr>
          <w:rtl w:val="true"/>
        </w:rPr>
        <w:t>[</w:t>
      </w:r>
      <w:r>
        <w:rPr>
          <w:rtl w:val="true"/>
        </w:rPr>
        <w:t>أصل اختلفوا فی وضع لفظ للعموم</w:t>
      </w:r>
      <w:r>
        <w:rPr>
          <w:rtl w:val="true"/>
        </w:rPr>
        <w:t>]</w:t>
      </w:r>
      <w:bookmarkEnd w:id="186"/>
    </w:p>
    <w:p>
      <w:pPr>
        <w:pStyle w:val="Heading4"/>
        <w:numPr>
          <w:ilvl w:val="3"/>
          <w:numId w:val="1"/>
        </w:numPr>
        <w:rPr/>
      </w:pPr>
      <w:bookmarkStart w:id="187" w:name="__RefHeading___Toc2986427_3224264995"/>
      <w:bookmarkStart w:id="188" w:name="_Toc72"/>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و عدمه علی أقوال، و تنقیح المراد یقتضی</w:t>
      </w:r>
    </w:p>
    <w:p>
      <w:pPr>
        <w:pStyle w:val="Heading4"/>
        <w:numPr>
          <w:ilvl w:val="3"/>
          <w:numId w:val="1"/>
        </w:numPr>
        <w:rPr/>
      </w:pPr>
      <w:bookmarkStart w:id="189" w:name="__RefHeading___Toc2986429_3224264995"/>
      <w:bookmarkStart w:id="190" w:name="_Toc73"/>
      <w:bookmarkEnd w:id="189"/>
      <w:r>
        <w:rPr>
          <w:rtl w:val="true"/>
        </w:rPr>
        <w:t>[</w:t>
      </w:r>
      <w:r>
        <w:rPr>
          <w:rtl w:val="true"/>
        </w:rPr>
        <w:t>تقدیم مقدّمات</w:t>
      </w:r>
      <w:r>
        <w:rPr>
          <w:rtl w:val="true"/>
        </w:rPr>
        <w:t>.]</w:t>
      </w:r>
      <w:bookmarkEnd w:id="190"/>
    </w:p>
    <w:p>
      <w:pPr>
        <w:pStyle w:val="Heading5"/>
        <w:numPr>
          <w:ilvl w:val="4"/>
          <w:numId w:val="1"/>
        </w:numPr>
        <w:rPr/>
      </w:pPr>
      <w:bookmarkStart w:id="191" w:name="__RefHeading___Toc2986431_3224264995"/>
      <w:bookmarkStart w:id="192" w:name="_Toc74"/>
      <w:bookmarkEnd w:id="191"/>
      <w:r>
        <w:rPr>
          <w:rtl w:val="true"/>
        </w:rPr>
        <w:t>[</w:t>
      </w:r>
      <w:r>
        <w:rPr>
          <w:rtl w:val="true"/>
        </w:rPr>
        <w:t>الاولی</w:t>
      </w:r>
      <w:r>
        <w:rPr>
          <w:rtl w:val="true"/>
        </w:rPr>
        <w:t xml:space="preserve">: </w:t>
      </w:r>
      <w:r>
        <w:rPr>
          <w:rtl w:val="true"/>
        </w:rPr>
        <w:t>فی تفسیر المفردات المأخوذة فی العنوان</w:t>
      </w:r>
      <w:r>
        <w:rPr>
          <w:rtl w:val="true"/>
        </w:rPr>
        <w:t>.]</w:t>
      </w:r>
      <w:bookmarkEnd w:id="192"/>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المراد من الوضع فهو الوضع الحقیقی دون الترخیص فی الاستعمال، إذ لا مجال لإنکار أصل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من اللفظ فهو اللفظ الخاصّ الموجز البسیط المعبّر عنه بالصیغة فی أکثر العناوین، إذ لا مجال لإنکار وضع لفظ الشمول و الإحاطة و الاستغراق و نحوه من سائر الألفاظ العامّة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من العموم فهو العموم اللغوی الأعمّ من شمول اللفظ أو المعنی، لا العموم الاصطلاحی الخاصّ باللفظ، إذ لا مجال لتوهّم وضع لفظ للفظ آخر، ضرورة کونه لغوا و عبثا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بیّنا ظهر سقوط الإیراد بأنّه إن ارید من العموم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w:t>
      </w:r>
      <w:bookmarkStart w:id="193" w:name="pg12880_153332"/>
    </w:p>
    <w:p>
      <w:pPr>
        <w:pStyle w:val="BookText"/>
        <w:rPr/>
      </w:pPr>
      <w:bookmarkEnd w:id="193"/>
      <w:r>
        <w:rPr>
          <w:rFonts w:ascii="IRNazanin" w:hAnsi="IRNazanin" w:eastAsia="IRNazanin"/>
          <w:color w:val="111111"/>
          <w:sz w:val="28"/>
          <w:sz w:val="28"/>
          <w:szCs w:val="28"/>
          <w:rtl w:val="true"/>
          <w:lang w:bidi="fa-IR"/>
        </w:rPr>
        <w:t>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لتوهّم وضع لفظ بإزائه، و إن ارید منه المعنی کما هو مقتضی وضعه اللغوی فلا مجال لإنکار وضع لفظ له کالشمول و الاحاطة و الاستغراق، بل لا أقلّ من وضع لفظ العموم له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م 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سقوطه هو اختیار الشق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بأنّ المراد من اللفظ اللفظ الخاصّ المعبّر عنه بالصیغة، لا مطلق اللفظ حتی ینقض بلفظ الشمول و العموم و نحوهما</w:t>
      </w:r>
      <w:r>
        <w:rPr>
          <w:rFonts w:eastAsia="IRNazanin" w:cs="IRNazanin"/>
          <w:color w:val="111111"/>
          <w:sz w:val="28"/>
          <w:szCs w:val="28"/>
          <w:rtl w:val="true"/>
          <w:lang w:bidi="fa-IR"/>
        </w:rPr>
        <w:t>.</w:t>
      </w:r>
    </w:p>
    <w:p>
      <w:pPr>
        <w:pStyle w:val="Heading5"/>
        <w:numPr>
          <w:ilvl w:val="4"/>
          <w:numId w:val="1"/>
        </w:numPr>
        <w:rPr/>
      </w:pPr>
      <w:bookmarkStart w:id="194" w:name="__RefHeading___Toc2986433_3224264995"/>
      <w:bookmarkStart w:id="195" w:name="_Toc75"/>
      <w:bookmarkEnd w:id="194"/>
      <w:r>
        <w:rPr>
          <w:rtl w:val="true"/>
        </w:rPr>
        <w:t>[</w:t>
      </w:r>
      <w:r>
        <w:rPr>
          <w:rtl w:val="true"/>
        </w:rPr>
        <w:t>الثانیة</w:t>
      </w:r>
      <w:r>
        <w:rPr>
          <w:rtl w:val="true"/>
        </w:rPr>
        <w:t xml:space="preserve">: </w:t>
      </w:r>
      <w:r>
        <w:rPr>
          <w:rtl w:val="true"/>
        </w:rPr>
        <w:t>فی تأسیس الأصل فی المسألة،</w:t>
      </w:r>
      <w:r>
        <w:rPr>
          <w:rtl w:val="true"/>
        </w:rPr>
        <w:t>]</w:t>
      </w:r>
      <w:bookmarkEnd w:id="195"/>
    </w:p>
    <w:p>
      <w:pPr>
        <w:pStyle w:val="BookText"/>
        <w:rPr/>
      </w:pPr>
      <w:r>
        <w:rPr>
          <w:rFonts w:ascii="IRNazanin" w:hAnsi="IRNazanin" w:eastAsia="IRNazanin"/>
          <w:color w:val="111111"/>
          <w:sz w:val="28"/>
          <w:sz w:val="28"/>
          <w:szCs w:val="28"/>
          <w:rtl w:val="true"/>
          <w:lang w:bidi="fa-IR"/>
        </w:rPr>
        <w:t>أمّا الاصول العملیّة فتختلف باختلاف الأحکام، ففی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المشرکین، مع الخصوص، و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بأکل الربوبات مع العموم، و أمّا الاصول الاجتهادیة فمنها الغلبة المدّعاة کونها مع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أنّ غلبة استعمال العامّ فی الخاصّ فی المحاورات العرفیة ممنوعة بالاستقراء، و فی الخطابات الشرعیة مشکوکة باحتمال طروّ التخصیص من الخارج علی الحکم دون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إرادة العموم و عدم الوضع للعموم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یدفع الأوّل أنّ أصالة عدم الإرادة لا یثبت الوضع للمراد أوّلا، و لا یقاوم الأدلّة الاجتهادیة علی الوضع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علاوة علی اندفاعه بما یدفع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عدم الوضع من الاصول الغیر المعتبرة عند العقلاء، لأنّ الشکّ فی الحادث و هو متعلّق الوضع، لا فی الحدوث و هو نفس الوضع، و السّر فی عدم اعتباره العقلاء کون الأصل عند الشک فی الحادث معارضا بالمثل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الاستعمال، حیث إنّ استعمال اللفظ فی کلّ من الخصوص و العموم علامة وضعه 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 أنّه إن ارید بهذا الأصل إثبات الاشتراک اللفظی، فیدفعه أصالة عدم تعدد الوضع، و إن ارید إثبات الاشتراک المعنوی فمبنیّ علی ثبوت الاستعمال المعتدّ به فی القدر المشترک، و لم یثبت الاستعمال فیه فضلا عن کونه معتدّا به، مضافا إلی أنّ الأصل لا یقاوم الدلیل الاجتهادی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المشهور فی الألسنة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إن ارید من المثل غلبة التخصیص فقد مرّ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 شهرة التخصیص فهو لا یوجب الحقیقة، سیّما إذا کان مبناه علی ذکر قرینة التخصیص، و خصوصا بعد ما قام الدلیل علی کونها حقیقة فی العموم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 أولویة تقلیل المجاز اللازم من القول بوضعه للخصوص من تکثیره اللازم من القول بوضعه للعموم إمّا من جهة أنّ تکثیر المجاز خلاف الظاهر، أو من جهة أنّه خلاف الأصل الاعتباری، لاحتیاج المجاز إلی القرینة، و الأصل عدم وجودها و عدم الالتفات إلیها، أو من جهة أنّه مخالف للأصل الاعتباری، لاحتیاج المجاز إلی ملاحظة المناسبة بخلاف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منع الأولویّة، لمنع مستنده الأوّل و هو مخالفة المجاز الظاهر فیما کان المراد معلوما و یشکّ فی الموضوع له، فإنّ الاستعمال فیه أعمّ، نعم مخالفة المجاز الظهور إنّما یسلم فیما لو شک فی المراد و کان الموضوع له معلوما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مشارکة مستنده الثانی و هو الاحتیاج إلی القرینة و الالتفات إلیها بین القائل بالخصوص و القائل بالعموم، إذ القائل بالخصوص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موضوع للقدر المشترک بین مراتب الخصوص، فهو فی تعیین مراتب الخصوص أیضا یحتاج إلی القرینة، غایة ما فی الباب أنّه علی قوله تکون القرینة معیّنة و مفهّمة، و علی القول بالحقیقة فی العموم فقط تکون قرینة الخصوص صارفة، فلا یتفاوت الأمر فی قلة الحادث </w:t>
      </w:r>
      <w:bookmarkStart w:id="196" w:name="pg12880_153334"/>
    </w:p>
    <w:p>
      <w:pPr>
        <w:pStyle w:val="BookText"/>
        <w:rPr/>
      </w:pPr>
      <w:bookmarkEnd w:id="196"/>
      <w:r>
        <w:rPr>
          <w:rFonts w:ascii="IRNazanin" w:hAnsi="IRNazanin" w:eastAsia="IRNazanin"/>
          <w:color w:val="111111"/>
          <w:sz w:val="28"/>
          <w:sz w:val="28"/>
          <w:szCs w:val="28"/>
          <w:rtl w:val="true"/>
          <w:lang w:bidi="fa-IR"/>
        </w:rPr>
        <w:t>و کثرته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معارضة مستنده الثالث و هو احتیاج المجاز إلی ملاحظة المناسبة باحتیاج الحقیقة إلی ملاحظة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فالدلیل المذکور علی کلّ التقادیر لیس مع الخصوص إن لم یکن للعموم أدلّ، بواسطة أنّ احتیاج خروج بعض العمومات عن عمومها إلی التخصیص بالمثال دلیل علی أنّها للعموم، أو بواسطة أنّ احتیاج خروج بعض العمومات عن تخصیصها إلی تخصیص المثال بحمله علی المبالغة و إلحاق القلیل بالعدم دلیل علی عموم المثال، فالتمسّک به لإثبات المدّعی تمسّک بنفی المدّعی فتدبّر</w:t>
      </w:r>
      <w:r>
        <w:rPr>
          <w:rFonts w:eastAsia="IRNazanin" w:cs="IRNazanin"/>
          <w:color w:val="111111"/>
          <w:sz w:val="28"/>
          <w:szCs w:val="28"/>
          <w:rtl w:val="true"/>
          <w:lang w:bidi="fa-IR"/>
        </w:rPr>
        <w:t>.</w:t>
      </w:r>
    </w:p>
    <w:p>
      <w:pPr>
        <w:pStyle w:val="Heading5"/>
        <w:numPr>
          <w:ilvl w:val="4"/>
          <w:numId w:val="1"/>
        </w:numPr>
        <w:rPr/>
      </w:pPr>
      <w:bookmarkStart w:id="197" w:name="__RefHeading___Toc2986435_3224264995"/>
      <w:bookmarkStart w:id="198" w:name="_Toc76"/>
      <w:bookmarkEnd w:id="197"/>
      <w:r>
        <w:rPr>
          <w:rtl w:val="true"/>
        </w:rPr>
        <w:t>[</w:t>
      </w:r>
      <w:r>
        <w:rPr>
          <w:rtl w:val="true"/>
        </w:rPr>
        <w:t>الثالثة</w:t>
      </w:r>
      <w:r>
        <w:rPr>
          <w:rtl w:val="true"/>
        </w:rPr>
        <w:t xml:space="preserve">: </w:t>
      </w:r>
      <w:r>
        <w:rPr>
          <w:rtl w:val="true"/>
        </w:rPr>
        <w:t>فی تعداد أقوال المسألة</w:t>
      </w:r>
      <w:r>
        <w:rPr>
          <w:rtl w:val="true"/>
        </w:rPr>
        <w:t>]</w:t>
      </w:r>
      <w:bookmarkEnd w:id="198"/>
    </w:p>
    <w:p>
      <w:pPr>
        <w:pStyle w:val="BookText"/>
        <w:rPr/>
      </w:pPr>
      <w:r>
        <w:rPr>
          <w:rFonts w:ascii="IRNazanin" w:hAnsi="IRNazanin" w:eastAsia="IRNazanin"/>
          <w:color w:val="111111"/>
          <w:sz w:val="28"/>
          <w:sz w:val="28"/>
          <w:szCs w:val="28"/>
          <w:rtl w:val="true"/>
          <w:lang w:bidi="fa-IR"/>
        </w:rPr>
        <w:t>و احتمالاتها و هی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بوضع ألفاظ للعموم یکون استعمالها فی الخصوص مجازا، و هو المحکیّ عن المحقّق</w:t>
      </w:r>
      <w:r>
        <w:rPr>
          <w:rStyle w:val="FootnoteAnchor"/>
          <w:rtl w:val="true"/>
        </w:rPr>
        <w:footnoteReference w:id="318"/>
      </w:r>
      <w:r>
        <w:rPr>
          <w:rFonts w:ascii="IRNazanin" w:hAnsi="IRNazanin" w:eastAsia="IRNazanin"/>
          <w:color w:val="111111"/>
          <w:sz w:val="28"/>
          <w:sz w:val="28"/>
          <w:szCs w:val="28"/>
          <w:rtl w:val="true"/>
          <w:lang w:bidi="fa-IR"/>
        </w:rPr>
        <w:t>و الشیخ</w:t>
      </w:r>
      <w:r>
        <w:rPr>
          <w:rStyle w:val="FootnoteAnchor"/>
          <w:rtl w:val="true"/>
        </w:rPr>
        <w:footnoteReference w:id="319"/>
      </w:r>
      <w:r>
        <w:rPr>
          <w:rFonts w:ascii="Amiri" w:hAnsi="Amiri" w:eastAsia="Amiri" w:cs="Amiri"/>
          <w:color w:val="111111"/>
          <w:sz w:val="28"/>
          <w:sz w:val="28"/>
          <w:szCs w:val="28"/>
          <w:rtl w:val="true"/>
          <w:lang w:bidi="ar-SA"/>
        </w:rPr>
        <w:t>و العلّامة</w:t>
      </w:r>
      <w:r>
        <w:rPr>
          <w:rStyle w:val="FootnoteAnchor"/>
          <w:rtl w:val="true"/>
        </w:rPr>
        <w:footnoteReference w:id="320"/>
      </w:r>
      <w:r>
        <w:rPr>
          <w:rFonts w:ascii="IRNazanin" w:hAnsi="IRNazanin" w:eastAsia="IRNazanin"/>
          <w:color w:val="111111"/>
          <w:sz w:val="28"/>
          <w:sz w:val="28"/>
          <w:szCs w:val="28"/>
          <w:rtl w:val="true"/>
          <w:lang w:bidi="fa-IR"/>
        </w:rPr>
        <w:t>، بل و عن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بالعکس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کلّ ما یدّعی کونه للعموم فهو للخصوص یعنی لما یقابل العموم، لا لمرتبة معینة من مراتب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 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بین العموم و الخصوص علی وجه الاشتراک اللفظی و الاشتراک المعنوی، و هما من الاحتمالات، لا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 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لهما بالوضع العام و الموضوع له العام، أو الموضوع له الخاص، و هما أیضا من الاحتمالات لا الأقوال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سادسها</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بالاشتراک لغة و بالعموم شرعا، و هو المحکی عن </w:t>
      </w:r>
      <w:bookmarkStart w:id="199" w:name="pg12880_153335"/>
    </w:p>
    <w:p>
      <w:pPr>
        <w:pStyle w:val="BookText"/>
        <w:rPr/>
      </w:pPr>
      <w:bookmarkEnd w:id="199"/>
      <w:r>
        <w:rPr>
          <w:rFonts w:ascii="IRNazanin" w:hAnsi="IRNazanin" w:eastAsia="IRNazanin"/>
          <w:color w:val="111111"/>
          <w:sz w:val="28"/>
          <w:sz w:val="28"/>
          <w:szCs w:val="28"/>
          <w:rtl w:val="true"/>
          <w:lang w:bidi="fa-IR"/>
        </w:rPr>
        <w:t>المرتضی</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بالأوّل فی الإنشائیات، و بالتوقف فی الإخبار و الوعد و الوعید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 و 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 الوضع و التوقّف فی الموضوع له</w:t>
      </w:r>
      <w:r>
        <w:rPr>
          <w:rFonts w:eastAsia="IRNazanin" w:cs="IRNazanin"/>
          <w:color w:val="111111"/>
          <w:sz w:val="28"/>
          <w:szCs w:val="28"/>
          <w:rtl w:val="true"/>
          <w:lang w:bidi="fa-IR"/>
        </w:rPr>
        <w:t>.</w:t>
      </w:r>
    </w:p>
    <w:p>
      <w:pPr>
        <w:pStyle w:val="Heading4"/>
        <w:numPr>
          <w:ilvl w:val="3"/>
          <w:numId w:val="1"/>
        </w:numPr>
        <w:rPr/>
      </w:pPr>
      <w:bookmarkStart w:id="200" w:name="__RefHeading___Toc2986437_3224264995"/>
      <w:bookmarkStart w:id="201" w:name="_Toc77"/>
      <w:bookmarkEnd w:id="200"/>
      <w:r>
        <w:rPr>
          <w:rtl w:val="true"/>
        </w:rPr>
        <w:t>[</w:t>
      </w:r>
      <w:r>
        <w:rPr>
          <w:rtl w:val="true"/>
        </w:rPr>
        <w:t>بیان مختار و الدلیل علیه</w:t>
      </w:r>
      <w:r>
        <w:rPr>
          <w:rtl w:val="true"/>
        </w:rPr>
        <w:t>]</w:t>
      </w:r>
      <w:bookmarkEnd w:id="201"/>
    </w:p>
    <w:p>
      <w:pPr>
        <w:pStyle w:val="BookText"/>
        <w:rPr/>
      </w:pPr>
      <w:r>
        <w:rPr>
          <w:rFonts w:ascii="IRNazanin" w:hAnsi="IRNazanin" w:eastAsia="IRNazanin"/>
          <w:color w:val="111111"/>
          <w:sz w:val="28"/>
          <w:sz w:val="28"/>
          <w:szCs w:val="28"/>
          <w:rtl w:val="true"/>
          <w:lang w:bidi="fa-IR"/>
        </w:rPr>
        <w:t>و إذا تقرّرت هذه المقدّمات فالأظهر الأشهر القریب من الاتّفاق المنقول، بل المحصّل هو القول الأوّل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العموم عرفا من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ضربت أحدا، و لهذا یعدّ القائل کاذبا فی العرف بضرب أحد، و من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کذا فله درهم، و لهذا یعدّ قائله مدیونا لکلّ من فعل، و من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لهذا یعدّ العبد التارک إکرام بعضهم فی العرف عاصیا و مستحقّا بذلک عقاب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المنطقیّین علی انتقاض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 لیس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لو لا أنّ الموجبة للعموم لم تنتقض بالسالبة الجزئیة، لأنّ السلب الجزئی لا یناقض الإیجاب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المتشرّعین علی لزوم الحنث علی کلّ من حلف أن لا یضرب أحدا بضرب واحد، و لقصّة ابن الزبعری المعروفة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یستدلّ أیضا علی الوضع للعموم بوجوه أخر،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صحّة الاستثناء و صحّة تأکید الجمع المحلّی باللام بکلّ و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ردّهما بأنّ مجرّد الصحّة إنّما یدلّ علی إرادة العموم لا الوضع للعموم، إلّا إذا ادّعی فیها الکاشفیة عن الوضع</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جعل الاستثناء قرینة للعموم إنّما هو بعد وجوده، و أمّا مجرّد </w:t>
      </w:r>
      <w:bookmarkStart w:id="202" w:name="pg12880_153336"/>
    </w:p>
    <w:p>
      <w:pPr>
        <w:pStyle w:val="BookText"/>
        <w:rPr/>
      </w:pPr>
      <w:bookmarkEnd w:id="202"/>
      <w:r>
        <w:rPr>
          <w:rFonts w:ascii="IRNazanin" w:hAnsi="IRNazanin" w:eastAsia="IRNazanin"/>
          <w:color w:val="111111"/>
          <w:sz w:val="28"/>
          <w:sz w:val="28"/>
          <w:szCs w:val="28"/>
          <w:rtl w:val="true"/>
          <w:lang w:bidi="fa-IR"/>
        </w:rPr>
        <w:t>صحّة وجوده فلا یعقل کونه قرینة للعموم، بل هو شاهد علی کون المعنی بنفسه قابلا للعموم و 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الاستثناء و إن لم یعقل کونه قرینة للعموم، إلّا أنّه یعقل کونه قرینة صحّة إرادة العموم، فلم یتعیّن دلالته علی الوضع للعموم، إذ لا یزید حاله علی صحّة الحمل و الاطّراد، و قد مرّ ما فی علامیّتها من الاستبعاد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 ممّا یشتدّ الحاجة إلی التعبیر عنه بلفظ، فوجب وضع اللفظ بإزائه مراعاة للحکمة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ذلک دلیل لمّی ظنّی لا یثبت الأوضاع اللغویة، ضرورة أنّ العقل لا مسرح له فی التوقیفیّات إلّا اذا ادّعی فیه الکاشفیة عن الوضع أو القاطعیة به دون الظانیّة، و معیاره أنّا لا نسلّم وجوب الوضع لکلّ ما تمسّ الحاجة إلی التعبیر عنه، لإمکان التأدیة فی البعض بطریق المجاز، مضافا إلی أنّه لا ینافی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من جعلها حقیقة فی الخصوص فقط ما مرّ من الاصول الغیر الأصلیة، و أمّا حجّة الاشتراک و غیره فلیطلب تفاصیلها و تفاصیل ما فیها من الضوابط</w:t>
      </w:r>
      <w:r>
        <w:rPr>
          <w:rStyle w:val="FootnoteAnchor"/>
          <w:rtl w:val="true"/>
        </w:rPr>
        <w:footnoteReference w:id="324"/>
      </w:r>
      <w:r>
        <w:rPr>
          <w:rFonts w:ascii="IRNazanin" w:hAnsi="IRNazanin" w:eastAsia="IRNazanin"/>
          <w:color w:val="111111"/>
          <w:sz w:val="28"/>
          <w:sz w:val="28"/>
          <w:szCs w:val="28"/>
          <w:rtl w:val="true"/>
          <w:lang w:bidi="fa-IR"/>
        </w:rPr>
        <w:t>و الإشارات</w:t>
      </w:r>
      <w:r>
        <w:rPr>
          <w:rStyle w:val="FootnoteAnchor"/>
          <w:rtl w:val="true"/>
        </w:rPr>
        <w:footnoteReference w:id="325"/>
      </w:r>
      <w:r>
        <w:rPr>
          <w:rFonts w:ascii="IRNazanin" w:hAnsi="IRNazanin" w:eastAsia="IRNazanin"/>
          <w:color w:val="111111"/>
          <w:sz w:val="28"/>
          <w:sz w:val="28"/>
          <w:szCs w:val="28"/>
          <w:rtl w:val="true"/>
          <w:lang w:bidi="fa-IR"/>
        </w:rPr>
        <w:t>و غیرهما قضاء لحقّهم</w:t>
      </w:r>
      <w:r>
        <w:rPr>
          <w:rFonts w:eastAsia="IRNazanin" w:cs="IRNazanin"/>
          <w:color w:val="111111"/>
          <w:sz w:val="28"/>
          <w:szCs w:val="28"/>
          <w:rtl w:val="true"/>
          <w:lang w:bidi="fa-IR"/>
        </w:rPr>
        <w:t>.</w:t>
      </w:r>
    </w:p>
    <w:p>
      <w:pPr>
        <w:pStyle w:val="Heading3"/>
        <w:numPr>
          <w:ilvl w:val="2"/>
          <w:numId w:val="1"/>
        </w:numPr>
        <w:rPr/>
      </w:pPr>
      <w:bookmarkStart w:id="203" w:name="__RefHeading___Toc2986439_3224264995"/>
      <w:bookmarkStart w:id="204" w:name="_Toc78"/>
      <w:bookmarkEnd w:id="203"/>
      <w:r>
        <w:rPr>
          <w:rtl w:val="true"/>
        </w:rPr>
        <w:t>[</w:t>
      </w:r>
      <w:r>
        <w:rPr>
          <w:rtl w:val="true"/>
        </w:rPr>
        <w:t>أصل فی تعیین ما وضع للعموم</w:t>
      </w:r>
      <w:r>
        <w:rPr>
          <w:rtl w:val="true"/>
        </w:rPr>
        <w:t>]</w:t>
      </w:r>
      <w:bookmarkEnd w:id="204"/>
    </w:p>
    <w:p>
      <w:pPr>
        <w:pStyle w:val="Heading4"/>
        <w:numPr>
          <w:ilvl w:val="3"/>
          <w:numId w:val="1"/>
        </w:numPr>
        <w:rPr/>
      </w:pPr>
      <w:bookmarkStart w:id="205" w:name="__RefHeading___Toc2986441_3224264995"/>
      <w:bookmarkStart w:id="206" w:name="_Toc79"/>
      <w:bookmarkEnd w:id="205"/>
      <w:r>
        <w:rPr>
          <w:rtl w:val="true"/>
        </w:rPr>
        <w:t>اشارة</w:t>
      </w:r>
      <w:bookmarkEnd w:id="20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ثبت الوضع له فی الجملة فی مقابل السلب الکلّی و أسبابه الموضوعة له لغة کثیرة من الموادّ و الأداة و الهیئات، فمن الموادّ لفظ الاستغراق و الشمول و الإحاطة و العامّة و القاطبة و الکافّة و الدوام و الاستمرار و أبد </w:t>
      </w:r>
    </w:p>
    <w:p>
      <w:pPr>
        <w:pStyle w:val="BookText"/>
        <w:rPr/>
      </w:pPr>
      <w:r>
        <w:rPr>
          <w:rFonts w:ascii="IRNazanin" w:hAnsi="IRNazanin" w:eastAsia="IRNazanin"/>
          <w:color w:val="111111"/>
          <w:sz w:val="28"/>
          <w:sz w:val="28"/>
          <w:szCs w:val="28"/>
          <w:rtl w:val="true"/>
          <w:lang w:bidi="fa-IR"/>
        </w:rPr>
        <w:t>الآبدین و دهر الداهرین و قط لما مضی من الزمان فی النفی و عوض العائضین للمستقبل منه فی النفی أیضا، للتبادر، بل الظاهر خروجها عن النزاع فی وضع لفظ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الموادّ أیضا لفظ الکلّ و الجمیع و ما یتصرّف منه کأجمع و توابعه باتّفاق أرباب اللغة و النحو و البیان و المنطق، بل صرّح العضدی</w:t>
      </w:r>
      <w:r>
        <w:rPr>
          <w:rStyle w:val="FootnoteAnchor"/>
          <w:rtl w:val="true"/>
        </w:rPr>
        <w:footnoteReference w:id="326"/>
      </w:r>
      <w:r>
        <w:rPr>
          <w:rFonts w:ascii="IRNazanin" w:hAnsi="IRNazanin" w:eastAsia="IRNazanin"/>
          <w:color w:val="111111"/>
          <w:sz w:val="28"/>
          <w:sz w:val="28"/>
          <w:szCs w:val="28"/>
          <w:rtl w:val="true"/>
          <w:lang w:bidi="fa-IR"/>
        </w:rPr>
        <w:t>بخروجها أیضا عن النزاع السابق، بل هو من الضروریات التی لا ینبغی الإشکال فیه کما هو واضح علی من لیس بأجنبی عن العرف، نعم ربّما یستشکل فی کیفیة عمومها هل هو أفرادی أو مجموعی حیث یختلف باختلاف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الموادّ الموضوعة للعموم أسماء الشرط و الاستفهام مطلقا بالضرورة و الاستقراء، فضلا عن التبادر و اطّراد صحّة الاستثناء، خلافا للمحکی عن الفیومی</w:t>
      </w:r>
      <w:r>
        <w:rPr>
          <w:rStyle w:val="FootnoteAnchor"/>
          <w:rtl w:val="true"/>
        </w:rPr>
        <w:footnoteReference w:id="327"/>
      </w:r>
      <w:r>
        <w:rPr>
          <w:rFonts w:ascii="IRNazanin" w:hAnsi="IRNazanin" w:eastAsia="IRNazanin"/>
          <w:color w:val="111111"/>
          <w:sz w:val="28"/>
          <w:sz w:val="28"/>
          <w:szCs w:val="28"/>
          <w:rtl w:val="true"/>
          <w:lang w:bidi="fa-IR"/>
        </w:rPr>
        <w:t xml:space="preserve">من إنکار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معلّلا بکونه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حروف الشرط حیث لا تفید إلّا العموم الإطلاقی إذا وردت فی کلام الحکیم و هو ممنوع، فإنّ تنظیر أسماء الشرط و الاستفهام علی حروف الشرط لیس بأولی من تنظیرها علی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الفرق بین عمومها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عمومها بدلی فیکفی الامتثال بفرد فی الشرط و الجواب بفرد فی الاستفهام، بخلاف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استغراقی لا یکتفی امتثاله بفرد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الموصولات فلا تدلّ علی العموم، لتبادر العدم و عدم اطّراد صحّة الاستثناء، و لأنّ الظاهر من الاصولیّین کغیرهم عدم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التعریف و الموصول فی نفس المدلول إلّا باعتبار الاسمیّة و الحرفیة، و لأنّ الموصول لا یفید </w:t>
      </w:r>
      <w:bookmarkStart w:id="207" w:name="pg12880_153338"/>
    </w:p>
    <w:p>
      <w:pPr>
        <w:pStyle w:val="BookText"/>
        <w:rPr/>
      </w:pPr>
      <w:bookmarkEnd w:id="207"/>
      <w:r>
        <w:rPr>
          <w:rFonts w:ascii="IRNazanin" w:hAnsi="IRNazanin" w:eastAsia="IRNazanin"/>
          <w:color w:val="111111"/>
          <w:sz w:val="28"/>
          <w:sz w:val="28"/>
          <w:szCs w:val="28"/>
          <w:rtl w:val="true"/>
          <w:lang w:bidi="fa-IR"/>
        </w:rPr>
        <w:t>إلّا التعریف، وصلته لا یفید إلّا الطبیعة، فلا یحصل 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فهم العموم منها بمقتضی الإطلاق و الحکمة، لا کون العموم مفهوما منه بمقتضی الوضع لنفسه، وفاقا لغیر واحد من القدماء و کلّ واحد من المتأخّرین، خلافا لما عن البهائی</w:t>
      </w:r>
      <w:r>
        <w:rPr>
          <w:rStyle w:val="FootnoteAnchor"/>
          <w:rtl w:val="true"/>
        </w:rPr>
        <w:footnoteReference w:id="328"/>
      </w:r>
      <w:r>
        <w:rPr>
          <w:rFonts w:ascii="IRNazanin" w:hAnsi="IRNazanin" w:eastAsia="IRNazanin"/>
          <w:color w:val="111111"/>
          <w:sz w:val="28"/>
          <w:sz w:val="28"/>
          <w:szCs w:val="28"/>
          <w:rtl w:val="true"/>
          <w:lang w:bidi="fa-IR"/>
        </w:rPr>
        <w:t>و الحاجبی</w:t>
      </w:r>
      <w:r>
        <w:rPr>
          <w:rStyle w:val="FootnoteAnchor"/>
          <w:rtl w:val="true"/>
        </w:rPr>
        <w:footnoteReference w:id="329"/>
      </w:r>
      <w:r>
        <w:rPr>
          <w:rFonts w:ascii="IRNazanin" w:hAnsi="IRNazanin" w:eastAsia="IRNazanin"/>
          <w:color w:val="111111"/>
          <w:sz w:val="28"/>
          <w:sz w:val="28"/>
          <w:szCs w:val="28"/>
          <w:rtl w:val="true"/>
          <w:lang w:bidi="fa-IR"/>
        </w:rPr>
        <w:t>و العضدی</w:t>
      </w:r>
      <w:r>
        <w:rPr>
          <w:rStyle w:val="FootnoteAnchor"/>
          <w:rtl w:val="true"/>
        </w:rPr>
        <w:footnoteReference w:id="330"/>
      </w:r>
      <w:r>
        <w:rPr>
          <w:rFonts w:ascii="IRNazanin" w:hAnsi="IRNazanin" w:eastAsia="IRNazanin"/>
          <w:color w:val="111111"/>
          <w:sz w:val="28"/>
          <w:sz w:val="28"/>
          <w:szCs w:val="28"/>
          <w:rtl w:val="true"/>
          <w:lang w:bidi="fa-IR"/>
        </w:rPr>
        <w:t>و التونی</w:t>
      </w:r>
      <w:r>
        <w:rPr>
          <w:rStyle w:val="FootnoteAnchor"/>
          <w:rtl w:val="true"/>
        </w:rPr>
        <w:footnoteReference w:id="331"/>
      </w:r>
      <w:r>
        <w:rPr>
          <w:rFonts w:ascii="IRNazanin" w:hAnsi="IRNazanin" w:eastAsia="IRNazanin"/>
          <w:color w:val="111111"/>
          <w:sz w:val="28"/>
          <w:sz w:val="28"/>
          <w:szCs w:val="28"/>
          <w:rtl w:val="true"/>
          <w:lang w:bidi="fa-IR"/>
        </w:rPr>
        <w:t>حیث عدّوا الموصولات من صیغ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الجمع بین القولین بأنّ مراد هؤلاء المثبتین لیس إثبات وضع الموصولات لخصوص العموم، بل للعموم فی الجملة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یعهد بالصلة، إن عام فعام و إن خاص فخاص علی وجه الاشتراک المعنوی أو الوضع العامّ و الموضوع له العامّ أو الخاص، و هو ممّا لا یأباه المنکرون، و بهذا الجمع أیضا یندفع التهافت بین استشهاد الکلّ بعموم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تَعْبُدُونَ مِنْ دُونِ اللَّهِ حَصَبُ جَهَنَّمَ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حکایة ابن الزبعری</w:t>
      </w:r>
      <w:r>
        <w:rPr>
          <w:rStyle w:val="FootnoteAnchor"/>
          <w:rtl w:val="true"/>
        </w:rPr>
        <w:footnoteReference w:id="333"/>
      </w:r>
      <w:r>
        <w:rPr>
          <w:rFonts w:ascii="IRNazanin" w:hAnsi="IRNazanin" w:eastAsia="IRNazanin"/>
          <w:color w:val="111111"/>
          <w:sz w:val="28"/>
          <w:sz w:val="28"/>
          <w:szCs w:val="28"/>
          <w:rtl w:val="true"/>
          <w:lang w:bidi="fa-IR"/>
        </w:rPr>
        <w:t xml:space="preserve">علی ثبوت وضع للعموم، و بین إنکار الجلّ عموم الموصولات سیّما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نفی عمومها هنا هو نفی وضعها للعموم خاصّة، و المراد من إثبات وضعها له ثمّة إنّما هو إثبات الوضع له فی الجملة فی قبال القول بمجازیة العموم أو الاشتراک اللفظی أو التوقّف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جملة الأسباب الموضوعة للعموم،</w:t>
      </w:r>
    </w:p>
    <w:p>
      <w:pPr>
        <w:pStyle w:val="Heading4"/>
        <w:numPr>
          <w:ilvl w:val="3"/>
          <w:numId w:val="1"/>
        </w:numPr>
        <w:rPr/>
      </w:pPr>
      <w:bookmarkStart w:id="208" w:name="__RefHeading___Toc2986443_3224264995"/>
      <w:bookmarkStart w:id="209" w:name="_Toc80"/>
      <w:bookmarkEnd w:id="208"/>
      <w:r>
        <w:rPr>
          <w:rtl w:val="true"/>
        </w:rPr>
        <w:t>[</w:t>
      </w:r>
      <w:r>
        <w:rPr>
          <w:rtl w:val="true"/>
        </w:rPr>
        <w:t>الجمع المحلّی باللام،</w:t>
      </w:r>
      <w:r>
        <w:rPr>
          <w:rtl w:val="true"/>
        </w:rPr>
        <w:t>]</w:t>
      </w:r>
      <w:bookmarkEnd w:id="209"/>
    </w:p>
    <w:p>
      <w:pPr>
        <w:pStyle w:val="BookText"/>
        <w:rPr/>
      </w:pPr>
      <w:r>
        <w:rPr>
          <w:rFonts w:ascii="IRNazanin" w:hAnsi="IRNazanin" w:eastAsia="IRNazanin"/>
          <w:color w:val="111111"/>
          <w:sz w:val="28"/>
          <w:sz w:val="28"/>
          <w:szCs w:val="28"/>
          <w:rtl w:val="true"/>
          <w:lang w:bidi="fa-IR"/>
        </w:rPr>
        <w:t>دون المفرد المحلّی به، وفاقا للمشهور و خلافا لبعض محصور، و تنقیح المطلب یستدعی تقدیم مقدّمات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المفرد باسم الجنس، و بیان المراد من الجنس و اسم </w:t>
      </w:r>
    </w:p>
    <w:p>
      <w:pPr>
        <w:pStyle w:val="BookText"/>
        <w:rPr/>
      </w:pPr>
      <w:r>
        <w:rPr>
          <w:rFonts w:ascii="IRNazanin" w:hAnsi="IRNazanin" w:eastAsia="IRNazanin"/>
          <w:color w:val="111111"/>
          <w:sz w:val="28"/>
          <w:sz w:val="28"/>
          <w:szCs w:val="28"/>
          <w:rtl w:val="true"/>
          <w:lang w:bidi="fa-IR"/>
        </w:rPr>
        <w:t>الجنس، و الفرق بین اسم الجنس و علم الجنس و النکرة و المعرّف بلام الجنس و الجمع و اسم الجمع، و قد تصدّی المحقّقون سیّما صاحب القوانین</w:t>
      </w:r>
      <w:r>
        <w:rPr>
          <w:rStyle w:val="FootnoteAnchor"/>
          <w:rtl w:val="true"/>
        </w:rPr>
        <w:footnoteReference w:id="334"/>
      </w:r>
      <w:r>
        <w:rPr>
          <w:rFonts w:ascii="IRNazanin" w:hAnsi="IRNazanin" w:eastAsia="IRNazanin"/>
          <w:color w:val="111111"/>
          <w:sz w:val="28"/>
          <w:sz w:val="28"/>
          <w:szCs w:val="28"/>
          <w:rtl w:val="true"/>
          <w:lang w:bidi="fa-IR"/>
        </w:rPr>
        <w:t>و الضوابط</w:t>
      </w:r>
      <w:r>
        <w:rPr>
          <w:rStyle w:val="FootnoteAnchor"/>
          <w:rtl w:val="true"/>
        </w:rPr>
        <w:footnoteReference w:id="335"/>
      </w:r>
      <w:r>
        <w:rPr>
          <w:rFonts w:ascii="IRNazanin" w:hAnsi="IRNazanin" w:eastAsia="IRNazanin"/>
          <w:color w:val="111111"/>
          <w:sz w:val="28"/>
          <w:sz w:val="28"/>
          <w:szCs w:val="28"/>
          <w:rtl w:val="true"/>
          <w:lang w:bidi="fa-IR"/>
        </w:rPr>
        <w:t>و الهدایة</w:t>
      </w:r>
      <w:r>
        <w:rPr>
          <w:rStyle w:val="FootnoteAnchor"/>
          <w:rtl w:val="true"/>
        </w:rPr>
        <w:footnoteReference w:id="336"/>
      </w:r>
      <w:r>
        <w:rPr>
          <w:rFonts w:ascii="IRNazanin" w:hAnsi="IRNazanin" w:eastAsia="IRNazanin"/>
          <w:color w:val="111111"/>
          <w:sz w:val="28"/>
          <w:sz w:val="28"/>
          <w:szCs w:val="28"/>
          <w:rtl w:val="true"/>
          <w:lang w:bidi="fa-IR"/>
        </w:rPr>
        <w:t>و الفصول</w:t>
      </w:r>
      <w:r>
        <w:rPr>
          <w:rStyle w:val="FootnoteAnchor"/>
          <w:rtl w:val="true"/>
        </w:rPr>
        <w:footnoteReference w:id="337"/>
      </w:r>
      <w:r>
        <w:rPr>
          <w:rFonts w:ascii="IRNazanin" w:hAnsi="IRNazanin" w:eastAsia="IRNazanin"/>
          <w:color w:val="111111"/>
          <w:sz w:val="28"/>
          <w:sz w:val="28"/>
          <w:szCs w:val="28"/>
          <w:rtl w:val="true"/>
          <w:lang w:bidi="fa-IR"/>
        </w:rPr>
        <w:t>للبسط فی هذه المقدّمة بما فیه الکفایة و الغنیة عمّا حرّرنا و قرّرنا فیها قبل الرجوع إلی کتبهم الشریفة شکر اللّه سعیهم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أنّ تقیید المطلق مجاز کما علیه المشهور، أم حقیقة کما تفرّد به السلطان</w:t>
      </w:r>
      <w:r>
        <w:rPr>
          <w:rStyle w:val="FootnoteAnchor"/>
          <w:rtl w:val="true"/>
        </w:rPr>
        <w:footnoteReference w:id="338"/>
      </w:r>
      <w:r>
        <w:rPr>
          <w:rFonts w:ascii="IRNazanin" w:hAnsi="IRNazanin" w:eastAsia="IRNazanin"/>
          <w:color w:val="111111"/>
          <w:sz w:val="28"/>
          <w:sz w:val="28"/>
          <w:szCs w:val="28"/>
          <w:rtl w:val="true"/>
          <w:lang w:bidi="fa-IR"/>
        </w:rPr>
        <w:t>، أم التفصیل بین کون التقیید بالقرینة المتّصلة فحقیقة، و بالمنفصلة فمجاز کما تفرّد به الضوابط</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 فی تحقیق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أنّ معنی المطلق هو الطبیعة المعراة حتی عن قید التعریة مطلقا، أو بالنسبة ما عدا الوحدة من سائر القیود، و لا فی حقیقیة إطلاق المطلق علی الفرد إذا لم تقصد الفردیّة منه و إن استفیدت قهرا من الخارج،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إنسان، و استفید من الخارج مصادفته زیدا، و لا فی مجازیته إذا قصدت من نفس المطلق، سواء استعمل المطلق فی المرکّب من الطبیعة و قید الخصوصیّة أو التقیید بها، لأنّ المفروض عدم وضع اللفظ بإزاء المرکّب، بل بإزاء جزئه فاستعماله فیه استعمال له فی غیر ما وضع له بعلاقة الجزئیة و الکلّیة، فیکون مجازا، بل الخلاف إنّما هو فی أنّ المتبادر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رقبة مقیّدة بالإیمان أو مؤمن من ماهیّة الرقبة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فی أنّ تقیید المطلق هل یفید عرفا تصغیره </w:t>
      </w:r>
    </w:p>
    <w:p>
      <w:pPr>
        <w:pStyle w:val="BookText"/>
        <w:rPr/>
      </w:pPr>
      <w:r>
        <w:rPr>
          <w:rFonts w:ascii="IRNazanin" w:hAnsi="IRNazanin" w:eastAsia="IRNazanin"/>
          <w:color w:val="111111"/>
          <w:sz w:val="28"/>
          <w:sz w:val="28"/>
          <w:szCs w:val="28"/>
          <w:rtl w:val="true"/>
          <w:lang w:bidi="fa-IR"/>
        </w:rPr>
        <w:t>کتخصیص العام، أو یفید تصغّره کتخصّص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یفید إحداث القصر فی طوله کما هو حقیقة معنی باب التفعیل، أو یفید إیجاده علی وجه القصر من قبیل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فم الرکیة یعنی أحدثه ضیّقا، لا أحدث فیه الضیق بعد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رقبة مؤمنة من قبیل الدالّین أحدهما لفظ الرقبة و الآخر الهیئة العارضة الحاصل بین الموصوف و الصفة و المدلولین أحدهما نفس ماهیة الرقبة المدلولة للدال الأوّل، و الآخر خصوص الرقبة المؤمنة المدلولة للدال الثانی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رجلا یده، فی بدل البعض من الکلّ، أو من قبیل الدالّ الواحد و هو لفظ الرقبة و مدلول واحد و هو خصوص الرقبة المؤمنة المدلولة للفظ الرقبة بمعونة کاشفیة قید المؤمنة عن الدلالة و قرینیّته علیه،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یرمی فی الوصف و الموصوف، حیث إنّ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الأسد دلالة تبعیة طفیلیة توطئیة کاشفیّة، بخلاف المقصود من بدل البعض بالنسبة إلی مبدله، فإنّه بالعکس، إذ المقصود بالذات الإسناد إلی البدل، و إسناده إلی المبدل صورة توطئة و آلة لملاحظة البدل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من فهم العرف مع المشهور من مجازیّة تقیید المطلق مطلقا، و الأقرب إلی الاعتبار و الحکمة مع السلطان، ضرورة أقربیّة وضع اللفظ علی وجه صالح لطروّ الأوصاف و الإضافات علیه من الوضع علی وجه غیر الصلوح له و إن کان مجرّد القرب الاعتباری غیر محصّل للظنّ المعتبر فی إثبات الأوضاع، و لکن حقیقیة تقیید المطلق لا یستلزم اعتبار الواضع التردید فی وضع المطلقات حتی یجزم ببطلانه، للجزم بأنّ مدلولها الحصّة الشائعة أو الماهیة اللابشرط، إذ یکفی فی حقیقیته اعتبار معنی عامّ قابل لصدقه علی المعنیین من دون اعتبار التردید و لا ملاحظته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 لا تری أنّ وضع الأعلام الشخصیة و غیرها من هذا القبیل حیث لم یختلف الإسم باختلاف حال المسمّی من حال الطفولیة إلی حال الشیخوخیة؟ کما أنّ مجازیّته لا ینافی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اللابشرط یجتمع مع ألف شرط، لأنّ المراد من الاجتماع إمکانه لا وقوعه، أو المراد من الماهیّة وجودها لا ملاحظتها حتی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 یعلم أنّ التفصیل بین التقیید و المتّصل المنفصل لا یرجع إلی محصّل، و دعوی فهم العرف فارقا بینهما لا 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الجمع المحلّی باللام فیطلق علی العهد الخارجی و الذهنی و جنس الجمع و جنس المفرد و الاستغراق الجمعی و المجموعی و الأفرادی، و هو مجاز فیما عدا العهد الخارجی و الاستغراق، لوجود علائم المجاز فیها، و حقیقة فی الاستغراق، للاتّفاقات المنقولة بل المحصّلة و وجود علائم الحقیقة فیه من التبادر و عدم صحة السلب و اطّراد الاستثناء و قاعدة غلبة الاستعمال فیه، فضلا عمّا فی الإشارات</w:t>
      </w:r>
      <w:r>
        <w:rPr>
          <w:rStyle w:val="FootnoteAnchor"/>
          <w:rtl w:val="true"/>
        </w:rPr>
        <w:footnoteReference w:id="340"/>
      </w:r>
      <w:r>
        <w:rPr>
          <w:rFonts w:ascii="IRNazanin" w:hAnsi="IRNazanin" w:eastAsia="IRNazanin"/>
          <w:color w:val="111111"/>
          <w:sz w:val="28"/>
          <w:sz w:val="28"/>
          <w:szCs w:val="28"/>
          <w:rtl w:val="true"/>
          <w:lang w:bidi="fa-IR"/>
        </w:rPr>
        <w:t>و غیره من الاستدلال علیه بوجوه خمسة أخر، و لا عبرة بخلاف السیّد و من وافقه، إمّا لأنّ المراد من الاتّفاق نفی الخلاف عند من یقول بأنّ للعموم لفظا تخصّه، أو لأنّ المراد من إفادته العموم إفادته فی الجملة و لو بحسب الشرع</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فلا إشکال فی کون الجمع المحلّی باللام حقیقة فی العموم، و فی کونه حقیقة فی العهد الخارجی أیضا مشترکا بینه و بین الاستغراق لفظا او معنی أم مجازا فیه وجوه یبتنی الأوّل و الأخیر منها علی القول بأنّ عموم الجمع عموم وضعی لیکون العهد قرینة صارفة عنه أو معیّنة للمعهود، کما استظهره استادنا العلّامة دام ظلّه إمّا بناء علی ما قیل من کون اللام فیه موضوعة للعموم، أو بناء علی </w:t>
      </w:r>
    </w:p>
    <w:p>
      <w:pPr>
        <w:pStyle w:val="BookText"/>
        <w:rPr/>
      </w:pPr>
      <w:r>
        <w:rPr>
          <w:rFonts w:ascii="IRNazanin" w:hAnsi="IRNazanin" w:eastAsia="IRNazanin"/>
          <w:color w:val="111111"/>
          <w:sz w:val="28"/>
          <w:sz w:val="28"/>
          <w:szCs w:val="28"/>
          <w:rtl w:val="true"/>
          <w:lang w:bidi="fa-IR"/>
        </w:rPr>
        <w:t>ما فی القوانین</w:t>
      </w:r>
      <w:r>
        <w:rPr>
          <w:rStyle w:val="FootnoteAnchor"/>
          <w:rtl w:val="true"/>
        </w:rPr>
        <w:footnoteReference w:id="341"/>
      </w:r>
      <w:r>
        <w:rPr>
          <w:rFonts w:ascii="IRNazanin" w:hAnsi="IRNazanin" w:eastAsia="IRNazanin"/>
          <w:color w:val="111111"/>
          <w:sz w:val="28"/>
          <w:sz w:val="28"/>
          <w:szCs w:val="28"/>
          <w:rtl w:val="true"/>
          <w:lang w:bidi="fa-IR"/>
        </w:rPr>
        <w:t>من کون المرکّب من الجمع و الأداة موضوع بوضع نوعی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یبتنی الوجه الأوسط علی القول بأنّ عمومه عموم حکمتی، لیکون العهد قرینة مفهّمه کما استصوبه صاحب الضوابط</w:t>
      </w:r>
      <w:r>
        <w:rPr>
          <w:rStyle w:val="FootnoteAnchor"/>
          <w:rtl w:val="true"/>
        </w:rPr>
        <w:footnoteReference w:id="342"/>
      </w:r>
      <w:r>
        <w:rPr>
          <w:rFonts w:ascii="IRNazanin" w:hAnsi="IRNazanin" w:eastAsia="IRNazanin"/>
          <w:color w:val="111111"/>
          <w:sz w:val="28"/>
          <w:sz w:val="28"/>
          <w:szCs w:val="28"/>
          <w:rtl w:val="true"/>
          <w:lang w:bidi="fa-IR"/>
        </w:rPr>
        <w:t>و الفصول</w:t>
      </w:r>
      <w:r>
        <w:rPr>
          <w:rStyle w:val="FootnoteAnchor"/>
          <w:rtl w:val="true"/>
        </w:rPr>
        <w:footnoteReference w:id="343"/>
      </w:r>
      <w:r>
        <w:rPr>
          <w:rFonts w:ascii="IRNazanin" w:hAnsi="IRNazanin" w:eastAsia="IRNazanin"/>
          <w:color w:val="111111"/>
          <w:sz w:val="28"/>
          <w:sz w:val="28"/>
          <w:szCs w:val="28"/>
          <w:rtl w:val="true"/>
          <w:lang w:bidi="fa-IR"/>
        </w:rPr>
        <w:t>و الهدایة</w:t>
      </w:r>
      <w:r>
        <w:rPr>
          <w:rStyle w:val="FootnoteAnchor"/>
          <w:rtl w:val="true"/>
        </w:rPr>
        <w:footnoteReference w:id="344"/>
      </w:r>
      <w:r>
        <w:rPr>
          <w:rFonts w:ascii="IRNazanin" w:hAnsi="IRNazanin" w:eastAsia="IRNazanin"/>
          <w:color w:val="111111"/>
          <w:sz w:val="28"/>
          <w:sz w:val="28"/>
          <w:szCs w:val="28"/>
          <w:rtl w:val="true"/>
          <w:lang w:bidi="fa-IR"/>
        </w:rPr>
        <w:t>بناء منهم علی أنّ عدم تعیین شی‌ء من مراتب الجمع عند الإطلاق هو المفید للعموم دون الوضع له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من التقدیرین فتقیید إفادته العموم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عهد، غنّی عنه، لأنّه إن کان ذلک من جهة اشتراط الواضع ذلک فی وضعه للعموم لیکون له وضعان فی حالتین فهو عدیم النظیر فی الأوضاع اللغویة أو فی حکم العدم، و إن کان من جهة کونه قرینة صارفة عن العموم فاعتبروا عدمه، فأیّ وجه لتخصیص القرینة المذکورة من بین القرائن الصارفة؟</w:t>
      </w:r>
    </w:p>
    <w:p>
      <w:pPr>
        <w:pStyle w:val="BookText"/>
        <w:rPr/>
      </w:pPr>
      <w:r>
        <w:rPr>
          <w:rFonts w:ascii="IRNazanin" w:hAnsi="IRNazanin" w:eastAsia="IRNazanin"/>
          <w:color w:val="111111"/>
          <w:sz w:val="28"/>
          <w:sz w:val="28"/>
          <w:szCs w:val="28"/>
          <w:rtl w:val="true"/>
          <w:lang w:bidi="fa-IR"/>
        </w:rPr>
        <w:t>ثمّ إنّ الترجیح بین القولین المذکورین سیأتی تفصیلا، و أمّا الترجیح بین الوجهین المبتنیین علی القول الأوّل فمع الوجه الأوّل و هو کون الجمع المعرّف باللام حقیقة فی العهد علی وجه الاشتراک اللفظی بینه و بین الاستغراق، لا کونه مجازا فیه، و ذلک لأنّ وضع اللام لخصوص العموم ثابت بالفرض، و وضعه للإشارة إلی تعیین مدلول مدخوله علی وجه الإطلاق بین کون المدخول مفردا أو غیره ثابت بالقطع و الاتّفاق</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فرض ثبوت الوضعین لا مسرح لترجیح الوجه الآخر علی الاشتراک اللفظی بأصالة عدم تعدّد الوضع، کما صدر عن الضوابط، لأنّ مجری أصالة عدم </w:t>
      </w:r>
    </w:p>
    <w:p>
      <w:pPr>
        <w:pStyle w:val="BookText"/>
        <w:rPr/>
      </w:pPr>
      <w:r>
        <w:rPr>
          <w:rFonts w:ascii="IRNazanin" w:hAnsi="IRNazanin" w:eastAsia="IRNazanin"/>
          <w:color w:val="111111"/>
          <w:sz w:val="28"/>
          <w:sz w:val="28"/>
          <w:szCs w:val="28"/>
          <w:rtl w:val="true"/>
          <w:lang w:bidi="fa-IR"/>
        </w:rPr>
        <w:t>وضعه للعهد مبنیّ إمّا علی هجر وضعه الأفرادی لمطلق الإشارة و الأصل عدمه، أو علی توهّم احتیاج العهد إلی وضع وراء الوضع لمطلق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الجمع المحلّی باللام هل هو حقیقة فی خصوص العموم الأفرادی کما استظهره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القوانین</w:t>
      </w:r>
      <w:r>
        <w:rPr>
          <w:rStyle w:val="FootnoteAnchor"/>
          <w:rtl w:val="true"/>
        </w:rPr>
        <w:footnoteReference w:id="345"/>
      </w:r>
      <w:r>
        <w:rPr>
          <w:rFonts w:ascii="IRNazanin" w:hAnsi="IRNazanin" w:eastAsia="IRNazanin"/>
          <w:color w:val="111111"/>
          <w:sz w:val="28"/>
          <w:sz w:val="28"/>
          <w:szCs w:val="28"/>
          <w:rtl w:val="true"/>
          <w:lang w:bidi="fa-IR"/>
        </w:rPr>
        <w:t>و استادنا العلّامة دام ظلّه، أو یعمّه و العموم المجموعی کما استظهره الفصول</w:t>
      </w:r>
      <w:r>
        <w:rPr>
          <w:rStyle w:val="FootnoteAnchor"/>
          <w:rtl w:val="true"/>
        </w:rPr>
        <w:footnoteReference w:id="346"/>
      </w:r>
      <w:r>
        <w:rPr>
          <w:rFonts w:ascii="IRNazanin" w:hAnsi="IRNazanin" w:eastAsia="IRNazanin"/>
          <w:color w:val="111111"/>
          <w:sz w:val="28"/>
          <w:sz w:val="28"/>
          <w:szCs w:val="28"/>
          <w:rtl w:val="true"/>
          <w:lang w:bidi="fa-IR"/>
        </w:rPr>
        <w:t>و الهدایة</w:t>
      </w:r>
      <w:r>
        <w:rPr>
          <w:rStyle w:val="FootnoteAnchor"/>
          <w:rtl w:val="true"/>
        </w:rPr>
        <w:footnoteReference w:id="347"/>
      </w:r>
      <w:r>
        <w:rPr>
          <w:rFonts w:ascii="IRNazanin" w:hAnsi="IRNazanin" w:eastAsia="IRNazanin"/>
          <w:color w:val="111111"/>
          <w:sz w:val="28"/>
          <w:sz w:val="28"/>
          <w:szCs w:val="28"/>
          <w:rtl w:val="true"/>
          <w:lang w:bidi="fa-IR"/>
        </w:rPr>
        <w:t>، أو التفصیل بین وقوعه فی حیّز النفی و الإثبات کما اختاره الضوابط</w:t>
      </w:r>
      <w:r>
        <w:rPr>
          <w:rStyle w:val="FootnoteAnchor"/>
          <w:rtl w:val="true"/>
        </w:rPr>
        <w:footnoteReference w:id="348"/>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شیوع استعماله فی العموم الأفرادی، و من إجراء حال الجمع المحلّی باللام علی قیاس حال المفرد المحلّی به فی عدم الاستغراق بأصالة عدم النقل و عدم انسلاخ معنی الجمعیّة و عدم ملاحظة کلّ واحد من الأفراد علی وجه استقلال تعلّق الحکم به، فإنه اعتبار زائد یتوقّف علی قیام الشاهد علیه و إن لم یکن فیه خروج عن موضوع اللفظ، و من أظهریّة حیّز النفی فی الأفرادی من حیّز الإثبات فیه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نسبة الخلاف فی کون الجمع المحلّی باللام حقیقة فی خصوص العموم الأفرادی، أو فی الأعمّ منه و من العموم المجموعی مع الخلاف فی کون عمومه وضعیا أو حکمیا بحسب الإمکان و الشأنیة هو العموم من وجه، و بحسب الوقوع و الفعلیة هو التساوی، إذ کلّ من قال بکون عمومه وضعیا لم یقل إلّا بکونه حقیقة فی خصوص العموم الأفرادی، و کلّ من قال بکونه حکمیا لم یقل إلّا بکونه حقیقة فی الأعمّ، و الأظهر الأوّل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موضوعا لخصوص العموم الأفرادی لوجوه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فإنّ المفهوم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هو المفهوم من قولک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القول به سلفا عن خلف من أئمّة النحو و البیان و التفسیر فی کلّ ما وقع فی التنزیل نحو إِنِّی أَعْلَمُ غَیْبَ السَّماواتِ وَ الْأَرْضِ</w:t>
      </w:r>
      <w:r>
        <w:rPr>
          <w:rStyle w:val="FootnoteAnchor"/>
          <w:rtl w:val="true"/>
        </w:rPr>
        <w:footnoteReference w:id="349"/>
      </w:r>
      <w:r>
        <w:rPr>
          <w:rFonts w:ascii="Amiri" w:hAnsi="Amiri" w:eastAsia="Amiri" w:cs="Amiri"/>
          <w:color w:val="111111"/>
          <w:sz w:val="28"/>
          <w:sz w:val="28"/>
          <w:szCs w:val="28"/>
          <w:rtl w:val="true"/>
          <w:lang w:bidi="ar-SA"/>
        </w:rPr>
        <w:t>وَ عَلَّمَ آدَمَ الْأَسْماءَ کُلَّها</w:t>
      </w:r>
      <w:r>
        <w:rPr>
          <w:rStyle w:val="FootnoteAnchor"/>
          <w:rtl w:val="true"/>
        </w:rPr>
        <w:footnoteReference w:id="350"/>
      </w:r>
      <w:r>
        <w:rPr>
          <w:rFonts w:ascii="Amiri" w:hAnsi="Amiri" w:eastAsia="Amiri" w:cs="Amiri"/>
          <w:color w:val="111111"/>
          <w:sz w:val="28"/>
          <w:sz w:val="28"/>
          <w:szCs w:val="28"/>
          <w:rtl w:val="true"/>
          <w:lang w:bidi="ar-SA"/>
        </w:rPr>
        <w:t>وَ إِذْ قُلْنا لِلْمَلائِکَةِ اسْجُدُوا</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وَ ما هِیَ مِنَ الظَّالِمِینَ بِبَعِیدٍ</w:t>
      </w:r>
      <w:r>
        <w:rPr>
          <w:rStyle w:val="FootnoteAnchor"/>
          <w:rtl w:val="true"/>
        </w:rPr>
        <w:footnoteReference w:id="353"/>
      </w:r>
      <w:r>
        <w:rPr>
          <w:rFonts w:ascii="Amiri" w:hAnsi="Amiri" w:eastAsia="Amiri" w:cs="Amiri"/>
          <w:color w:val="111111"/>
          <w:sz w:val="28"/>
          <w:sz w:val="28"/>
          <w:szCs w:val="28"/>
          <w:rtl w:val="true"/>
          <w:lang w:bidi="ar-SA"/>
        </w:rPr>
        <w:t>وَ مَا اللَّهُ یُرِیدُ ظُلْماً لِلْعالَمِینَ</w:t>
      </w:r>
      <w:r>
        <w:rPr>
          <w:rStyle w:val="FootnoteAnchor"/>
          <w:rtl w:val="true"/>
        </w:rPr>
        <w:footnoteReference w:id="354"/>
      </w:r>
      <w:r>
        <w:rPr>
          <w:rFonts w:ascii="IRNazanin" w:hAnsi="IRNazanin" w:eastAsia="IRNazanin"/>
          <w:color w:val="111111"/>
          <w:sz w:val="28"/>
          <w:sz w:val="28"/>
          <w:szCs w:val="28"/>
          <w:rtl w:val="true"/>
          <w:lang w:bidi="fa-IR"/>
        </w:rPr>
        <w:t>إلی غیر ذلک ممّا هو مشحون فی کشّاف الزمخشری شرحه منها ما قاله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إنّه جمع یتناول کلّ محسن 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یُرِیدُ ظُلْماً لِلْعالَمِینَ</w:t>
      </w:r>
      <w:r>
        <w:rPr>
          <w:rStyle w:val="FootnoteAnchor"/>
          <w:rtl w:val="true"/>
        </w:rPr>
        <w:footnoteReference w:id="356"/>
      </w:r>
      <w:r>
        <w:rPr>
          <w:rFonts w:ascii="Amiri" w:hAnsi="Amiri" w:eastAsia="Amiri" w:cs="Amiri"/>
          <w:color w:val="111111"/>
          <w:sz w:val="28"/>
          <w:sz w:val="28"/>
          <w:szCs w:val="28"/>
          <w:rtl w:val="true"/>
          <w:lang w:bidi="ar-SA"/>
        </w:rPr>
        <w:t>إنّه نکّر ظلما و جمع العالمین علی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یرید شیئا من الظلم لأحد من خلقه 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تَکُنْ لِلْخائِنِینَ خَصِیماً</w:t>
      </w:r>
      <w:r>
        <w:rPr>
          <w:rStyle w:val="FootnoteAnchor"/>
          <w:rtl w:val="true"/>
        </w:rPr>
        <w:footnoteReference w:id="357"/>
      </w:r>
      <w:r>
        <w:rPr>
          <w:rFonts w:ascii="Amiri" w:hAnsi="Amiri" w:eastAsia="Amiri" w:cs="Amiri"/>
          <w:color w:val="111111"/>
          <w:sz w:val="28"/>
          <w:sz w:val="28"/>
          <w:szCs w:val="28"/>
          <w:rtl w:val="true"/>
          <w:lang w:bidi="ar-SA"/>
        </w:rPr>
        <w:t>أی لا تخاصم عن خائن قط و فی قوله رَبِّ الْعالَمِینَ</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إنّه جمع لیشمل کلّ جنس ممّا سمّی بالعالم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استثناء الأفراد من الجمع المحلّی باللام، فیصحّ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جائنی العلماء إلّا زیدا، و عدم اطّراده من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جماعة من العلماء، فلا یصح قولک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جاءنی کلّ جماعة من العلماء إلّا زیدا، بناء علی إرادة الاستثناء المتّصل، فلو کان مفاد اللفظین واحدا لجاز ذلک فی المقامین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یستشکل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عدم مسلمیّة کون الاطّراد من علائم الحقیقة فی محلّه، و مع ذلک یستدلّ به الکلّ علی الحقیقة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وجود اطّراد استثناء الأفراد من أسماء العدد و نحوها من العمومات المجموعیة، و مع ذلک یستدلّ به علی حقیقة الجمع المعرّف فی العموم الأفرادی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الإشکال الأوّل بأنّ من لم یسلّم علامیّة الاطّراد من المستدلّین به فی المقام إنّما یقصد به الکاشفیة عن التبادر و الطریقیة إلیه من جهة اکتنافه ببعض الخصوصیات و القرائن الخارجیة، دون الموضوعیة بنفسه مع الغضّ عن القرائن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الثانی بأنّه لم یستدلّ علی وحدانیة عموم الجمع بمجرّد اطّراد الاستثناء، بل إنّما یستدلّ بعد اطّراد الاستثناء بوحدانیّة المستثنی علی وحدانیة عموم المستثنی منه، و بجمعیّة المستثنی علی جمعیّة عموم المستثنی منه، و بجزئیة المستثنی علی مجموعیّة عموم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شبهة لزوم الدور من توقّف معرفة وحدانیّة عموم المستثنی منه علی معرفة وحدانیّة المستثنی و بالعکس ممکنة الاندفاع بتغایر العلم الموقوف و الموقوف علیه بالإجمال و التفصیل، کما اندفع به لزومه من دلالة التبادر و من الشکل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الآخر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بکون عمومه حکمیا و أعمّ من العموم الأفرادی و المجموعی وجهان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نقل اللام مع الجمع عمّا وضعت له مع غیر الجمع من الإشارة إلی ما یتعیّن من مدلول مدخولها، إن عام فعام و إن خاص فخاص، و إن مفرد فمفرد، و إن جمع فجمع إلی وضعه ثانیا لخصوص العموم الأفرادی و انسلاخ معنی الجمعیّة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تعقّل اعتوار العموم علی معنی الجمعیة، لأنّ الجمع موضوع لمصداق الجماعة و ما فوق الاثنین، لا لجنس الجماعة و مفهوم ما فوق الاثنین حتّی یکون مفاده مفاد لفظ الجماعة، و المصادیق هی الأفراد المتعیّنة الخارجیّة التی لا یعقل اعتوار العموم علیها، بخلاف المفاهیم الذهنیة، و علی ذلک فحیثما یکون هناک تعیین من جملة من الأفراد کعهد أو وصف أو شبهه کانت الإشارة راجعة إلیها، و إلّا تعیّن الحمل علی الجمیع، لأنّه المتعیّن عند السامع، بخلاف ما دونه من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أمّا عن الأصل فبأنّه لا یقاوم الأدلّة المذکورة للمطلق من التبادر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عدم تعقّل اعتوار العموم علی الجمع فأوّلا بمنع صغراه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الجمع موضوعا لمصداق الجماعة، بل موضوع لجنس الجماعة و مفهومها، و مستندنا علی المنع عدم الدلیل علی کون الدالّ علی الجمعیّة هو الحروف الطارئة علی وزن المفرد حتی یکون مفادها مفاد سائر الحروف الموضوعة بالوضع العامّ لخصوص المصادیق الجزئیة دون المفاهیم الکلیة المنافیة لوضع الحروف، بل یحتمل أن یکون الدالّ علی الجمعیّة هو المادّة المفردة المکتنفة بتلک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فی جموع التکسیر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کلام الصرفیین بأنّ الحروف دالّة علی الجمعیّة فی معرض تفهیم المبتدین بالتقریب لا التحقیق نظیر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یستتر فی المتکلم و المخاطب من فعل المستقبل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مع أنّ من المعلوم کون المستتر لیس من مقولة اللفظ، مضافا إلی أنّا لم نعهد القول بدلالة</w:t>
      </w:r>
      <w:r>
        <w:rPr>
          <w:rStyle w:val="FootnoteAnchor"/>
          <w:rtl w:val="true"/>
        </w:rPr>
        <w:footnoteReference w:id="359"/>
      </w:r>
      <w:r>
        <w:rPr>
          <w:rFonts w:ascii="IRNazanin" w:hAnsi="IRNazanin" w:eastAsia="IRNazanin"/>
          <w:color w:val="111111"/>
          <w:sz w:val="28"/>
          <w:sz w:val="28"/>
          <w:szCs w:val="28"/>
          <w:rtl w:val="true"/>
          <w:lang w:bidi="fa-IR"/>
        </w:rPr>
        <w:t>علی المصادیق الجزئیة لا المفاهیم الکلیّة من أحد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کبراه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عدم اعتوار العموم علی المصادیق و الأفراد </w:t>
      </w:r>
      <w:bookmarkStart w:id="210" w:name="pg12880_153347"/>
    </w:p>
    <w:p>
      <w:pPr>
        <w:pStyle w:val="BookText"/>
        <w:rPr/>
      </w:pPr>
      <w:bookmarkEnd w:id="210"/>
      <w:r>
        <w:rPr>
          <w:rFonts w:ascii="IRNazanin" w:hAnsi="IRNazanin" w:eastAsia="IRNazanin"/>
          <w:color w:val="111111"/>
          <w:sz w:val="28"/>
          <w:sz w:val="28"/>
          <w:szCs w:val="28"/>
          <w:rtl w:val="true"/>
          <w:lang w:bidi="fa-IR"/>
        </w:rPr>
        <w:t>بإمکان اعتواره علی المصداق باعتبار کون الإشارة راجعة إلی جنس الأفراد، لا إلی نفسها، بل لو سلّمنا رجوع الإشارة الی الأفراد المتعیّنة و المصادیق، إلّا أنّه لا یتعیّن الحمل علی جمیع الأفراد و المصادیق عند عدم العهد إلّا بواسطة اعتبار جنس جامع بینها و لو کان وصفا منتزعا عن حضور تلک الأفراد، و بعد اعتبار ذلک الجنس الجامع لا مرجّح لتعیین رجوع الإشارة إلی المصادیق دون الجنس، و علی فرض ثبوته لا یثبت اللغات بالترجیح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إطلاقات الجمع المحلّی باللام و تشخیص الحقیقة و المجاز منها</w:t>
      </w:r>
      <w:r>
        <w:rPr>
          <w:rFonts w:eastAsia="IRNazanin" w:cs="IRNazanin"/>
          <w:color w:val="111111"/>
          <w:sz w:val="28"/>
          <w:szCs w:val="28"/>
          <w:rtl w:val="true"/>
          <w:lang w:bidi="fa-IR"/>
        </w:rPr>
        <w:t>.</w:t>
      </w:r>
    </w:p>
    <w:p>
      <w:pPr>
        <w:pStyle w:val="Heading4"/>
        <w:numPr>
          <w:ilvl w:val="3"/>
          <w:numId w:val="1"/>
        </w:numPr>
        <w:rPr/>
      </w:pPr>
      <w:bookmarkStart w:id="211" w:name="__RefHeading___Toc2986445_3224264995"/>
      <w:bookmarkStart w:id="212" w:name="_Toc81"/>
      <w:bookmarkEnd w:id="211"/>
      <w:r>
        <w:rPr>
          <w:rtl w:val="true"/>
        </w:rPr>
        <w:t>[</w:t>
      </w:r>
      <w:r>
        <w:rPr>
          <w:rtl w:val="true"/>
        </w:rPr>
        <w:t>و أمّا المفرد المحلّی به</w:t>
      </w:r>
      <w:r>
        <w:rPr>
          <w:rtl w:val="true"/>
        </w:rPr>
        <w:t>]</w:t>
      </w:r>
      <w:bookmarkEnd w:id="212"/>
    </w:p>
    <w:p>
      <w:pPr>
        <w:pStyle w:val="Heading5"/>
        <w:numPr>
          <w:ilvl w:val="4"/>
          <w:numId w:val="1"/>
        </w:numPr>
        <w:rPr/>
      </w:pPr>
      <w:bookmarkStart w:id="213" w:name="__RefHeading___Toc2986447_3224264995"/>
      <w:bookmarkStart w:id="214" w:name="_Toc82"/>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فیطلق علی الجنس و الاستغراق و العهد الخارجی و الذهنی، و هل مشترک بین تلک الأربعة لفظا أم معنا أم حقیقة فی بعض و مجاز فی آخر وجوه، بل أقوال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 المنصور بین المتأخّرین کصاحب القوانین</w:t>
      </w:r>
      <w:r>
        <w:rPr>
          <w:rStyle w:val="FootnoteAnchor"/>
          <w:rtl w:val="true"/>
        </w:rPr>
        <w:footnoteReference w:id="360"/>
      </w:r>
      <w:r>
        <w:rPr>
          <w:rFonts w:ascii="IRNazanin" w:hAnsi="IRNazanin" w:eastAsia="IRNazanin"/>
          <w:color w:val="111111"/>
          <w:sz w:val="28"/>
          <w:sz w:val="28"/>
          <w:szCs w:val="28"/>
          <w:rtl w:val="true"/>
          <w:lang w:bidi="fa-IR"/>
        </w:rPr>
        <w:t>و الضوابط</w:t>
      </w:r>
      <w:r>
        <w:rPr>
          <w:rStyle w:val="FootnoteAnchor"/>
          <w:rtl w:val="true"/>
        </w:rPr>
        <w:footnoteReference w:id="361"/>
      </w:r>
      <w:r>
        <w:rPr>
          <w:rFonts w:ascii="IRNazanin" w:hAnsi="IRNazanin" w:eastAsia="IRNazanin"/>
          <w:color w:val="111111"/>
          <w:sz w:val="28"/>
          <w:sz w:val="28"/>
          <w:szCs w:val="28"/>
          <w:rtl w:val="true"/>
          <w:lang w:bidi="fa-IR"/>
        </w:rPr>
        <w:t>و الهدایة</w:t>
      </w:r>
      <w:r>
        <w:rPr>
          <w:rStyle w:val="FootnoteAnchor"/>
          <w:rtl w:val="true"/>
        </w:rPr>
        <w:footnoteReference w:id="362"/>
      </w:r>
      <w:r>
        <w:rPr>
          <w:rFonts w:ascii="IRNazanin" w:hAnsi="IRNazanin" w:eastAsia="IRNazanin"/>
          <w:color w:val="111111"/>
          <w:sz w:val="28"/>
          <w:sz w:val="28"/>
          <w:szCs w:val="28"/>
          <w:rtl w:val="true"/>
          <w:lang w:bidi="fa-IR"/>
        </w:rPr>
        <w:t>و الفصول</w:t>
      </w:r>
      <w:r>
        <w:rPr>
          <w:rStyle w:val="FootnoteAnchor"/>
          <w:rtl w:val="true"/>
        </w:rPr>
        <w:footnoteReference w:id="363"/>
      </w:r>
      <w:r>
        <w:rPr>
          <w:rFonts w:ascii="IRNazanin" w:hAnsi="IRNazanin" w:eastAsia="IRNazanin"/>
          <w:color w:val="111111"/>
          <w:sz w:val="28"/>
          <w:sz w:val="28"/>
          <w:szCs w:val="28"/>
          <w:rtl w:val="true"/>
          <w:lang w:bidi="fa-IR"/>
        </w:rPr>
        <w:t>من کونه حقیقة فی الجنس، للتبادر و لأنّه مقتضی الوضع الأفرادی فی جزئی المرکب، و الوضع الجدید منفیّ بالأصل لا فی الاستغراق و لا فی العهد الذهنی، للتنافر و عدم اطّراد الاستثناء، و لأنّه إن کان حقیقة خاصّة فیهما نفاه تبادر الغیر، أو مشترکا لفظیّا بینهما و بین الجنس نفاه الأصل، أو معنویّا نفاه الحصر العقلی حسبما بیّن فی الضوابط، و فی العهد الخارجی وجهان سیأتی التفصیل فیه و فی سائر الإطلاقات فی التنبیه الثانی من تنبیهات ما نحن فیه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حکاه استادنا العلّامة عن الشیخ فی المبسوط</w:t>
      </w:r>
      <w:r>
        <w:rPr>
          <w:rStyle w:val="FootnoteAnchor"/>
          <w:rtl w:val="true"/>
        </w:rPr>
        <w:footnoteReference w:id="364"/>
      </w:r>
      <w:r>
        <w:rPr>
          <w:rFonts w:ascii="IRNazanin" w:hAnsi="IRNazanin" w:eastAsia="IRNazanin"/>
          <w:color w:val="111111"/>
          <w:sz w:val="28"/>
          <w:sz w:val="28"/>
          <w:szCs w:val="28"/>
          <w:rtl w:val="true"/>
          <w:lang w:bidi="fa-IR"/>
        </w:rPr>
        <w:t>و الحلّی فی السرائر</w:t>
      </w:r>
      <w:r>
        <w:rPr>
          <w:rStyle w:val="FootnoteAnchor"/>
          <w:rtl w:val="true"/>
        </w:rPr>
        <w:footnoteReference w:id="365"/>
      </w:r>
      <w:r>
        <w:rPr>
          <w:rFonts w:ascii="IRNazanin" w:hAnsi="IRNazanin" w:eastAsia="IRNazanin"/>
          <w:color w:val="111111"/>
          <w:sz w:val="28"/>
          <w:sz w:val="28"/>
          <w:szCs w:val="28"/>
          <w:rtl w:val="true"/>
          <w:lang w:bidi="fa-IR"/>
        </w:rPr>
        <w:t>من کون العموم أحد معانیه الحقیقة و انتصر لها المعالم</w:t>
      </w:r>
      <w:r>
        <w:rPr>
          <w:rStyle w:val="FootnoteAnchor"/>
          <w:rtl w:val="true"/>
        </w:rPr>
        <w:footnoteReference w:id="366"/>
      </w:r>
      <w:r>
        <w:rPr>
          <w:rFonts w:ascii="Amiri" w:hAnsi="Amiri" w:eastAsia="Amiri" w:cs="Amiri"/>
          <w:color w:val="111111"/>
          <w:sz w:val="28"/>
          <w:sz w:val="28"/>
          <w:szCs w:val="28"/>
          <w:rtl w:val="true"/>
          <w:lang w:bidi="ar-SA"/>
        </w:rPr>
        <w:t>نافیا للخلاف عنه بحمله الخلاف علی الخلاف فی وضعه لخصوص العموم علی أن یکون استعماله فی غیره مجازا، و هذا من غرائب المعالم، و لیس له حجّة سوی الاستعمال و صحّة الاستثناء فی إِنَّ الْإِنْسانَ لَفِی خُسْرٍ إِلَّا الَّذِینَ آمَنُوا</w:t>
      </w:r>
      <w:r>
        <w:rPr>
          <w:rStyle w:val="FootnoteAnchor"/>
          <w:rtl w:val="true"/>
        </w:rPr>
        <w:footnoteReference w:id="367"/>
      </w:r>
      <w:r>
        <w:rPr>
          <w:rFonts w:ascii="IRNazanin" w:hAnsi="IRNazanin" w:eastAsia="IRNazanin"/>
          <w:color w:val="111111"/>
          <w:sz w:val="28"/>
          <w:sz w:val="28"/>
          <w:szCs w:val="28"/>
          <w:rtl w:val="true"/>
          <w:lang w:bidi="fa-IR"/>
        </w:rPr>
        <w:t>و التوصیف بالجمع فیما حکی عن الأخفش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 الناس الدرهم البیض و الدینار الصفر، ممّا لیس من أمارات الوضع، و علی فرض أماریّتها لا تقاوم العلائم المذکورة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حکاه استادنا العلّامة دام ظلّه عن ابن الحاجب و البهائی فی الزبدة</w:t>
      </w:r>
      <w:r>
        <w:rPr>
          <w:rStyle w:val="FootnoteAnchor"/>
          <w:rtl w:val="true"/>
        </w:rPr>
        <w:footnoteReference w:id="368"/>
      </w:r>
      <w:r>
        <w:rPr>
          <w:rFonts w:ascii="IRNazanin" w:hAnsi="IRNazanin" w:eastAsia="IRNazanin"/>
          <w:color w:val="111111"/>
          <w:sz w:val="28"/>
          <w:sz w:val="28"/>
          <w:szCs w:val="28"/>
          <w:rtl w:val="true"/>
          <w:lang w:bidi="fa-IR"/>
        </w:rPr>
        <w:t>من کونه حقیقة فی خصوص العموم مجازا فی غیره، و یکفی فی ردّه مضافا إلی التنافر و عدم اطّراد الاستثناء منه لزوم کون استعماله فی الجنس غلطا مع کثرته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الملازمة عدم وجود علاقة بین العموم و الجنس من العلائق المصحّحة للاستعمال، أمّا عدم علاقة العموم و الخصوص فلفقد شرطها و هو بقاء جمع یقرب من مدلول العام فی أغلب موارد استعماله فی الجنس، و أمّا عدم سائر العلائق فواضح</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تمیّز الواحد منه بالتاء فیفید العموم و ما لا یتمیّز به فلا، و لا محصّل له أیضا</w:t>
      </w:r>
      <w:r>
        <w:rPr>
          <w:rFonts w:eastAsia="IRNazanin" w:cs="IRNazanin"/>
          <w:color w:val="111111"/>
          <w:sz w:val="28"/>
          <w:szCs w:val="28"/>
          <w:rtl w:val="true"/>
          <w:lang w:bidi="fa-IR"/>
        </w:rPr>
        <w:t xml:space="preserve">. </w:t>
      </w:r>
      <w:bookmarkStart w:id="215" w:name="pg12880_153349"/>
    </w:p>
    <w:p>
      <w:pPr>
        <w:pStyle w:val="Heading5"/>
        <w:numPr>
          <w:ilvl w:val="4"/>
          <w:numId w:val="1"/>
        </w:numPr>
        <w:rPr/>
      </w:pPr>
      <w:bookmarkStart w:id="216" w:name="__RefHeading___Toc2986449_3224264995"/>
      <w:bookmarkStart w:id="217" w:name="_Toc83"/>
      <w:bookmarkEnd w:id="215"/>
      <w:bookmarkEnd w:id="216"/>
      <w:r>
        <w:rPr>
          <w:rtl w:val="true"/>
        </w:rPr>
        <w:t>تنبیهات</w:t>
      </w:r>
      <w:r>
        <w:rPr>
          <w:rtl w:val="true"/>
        </w:rPr>
        <w:t>:</w:t>
      </w:r>
      <w:bookmarkEnd w:id="21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ما اخترناه من کون المفرد المحلّی باللام حقیقة فی الجنس لا فی العموم إنّما هو بحسب اللفظ مع الغضّ عن طروّ اللوازم اللفظیة و القرائن العقلیّة علیه إذا وقع فی حیّز الحکم من العموم السریانی بناء علی کون الطبائع متعلّقة للأحکام و متّصفة بالحسن و القبح بنفسها، و من العموم الحکمتی بناء علی جوازه باعتبار وجودها، و مقتضی الأوّل شمول الأفراد النادرة بل الأندرة، بخلاف الثانی، لخروج کلام الحکیم عن اللغویة بمجرّد حمل المطلقات علی الأفراد الشائعة، و فی شمول النادرة و عدمه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فی إفادة المفرد المحلّی باللام العموم بین تعلّق الأمر به أو تعلّق الحلّ و الجواز و الحرمة و نحوها به إلّا فی کون عمومه بعد الأمر بدلیا و بعد الحل و الجواز شمولیا، لسقوط الأمر عقلا بمجرّد إتیان فرد و عدم سقوط الحلّ و الجواز بمجرّد ثبوته لفرد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ممّا لا کلام فیه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الکلام فی تشخیص کون عموم المفرد المحلّی باللام فی حیّز الحکم سریانیا کما اختاره من المتأخّرین صاحب القوانین</w:t>
      </w:r>
      <w:r>
        <w:rPr>
          <w:rStyle w:val="FootnoteAnchor"/>
          <w:rtl w:val="true"/>
        </w:rPr>
        <w:footnoteReference w:id="369"/>
      </w:r>
      <w:r>
        <w:rPr>
          <w:rFonts w:ascii="IRNazanin" w:hAnsi="IRNazanin" w:eastAsia="IRNazanin"/>
          <w:color w:val="111111"/>
          <w:sz w:val="28"/>
          <w:sz w:val="28"/>
          <w:szCs w:val="28"/>
          <w:rtl w:val="true"/>
          <w:lang w:bidi="fa-IR"/>
        </w:rPr>
        <w:t>و المناهج</w:t>
      </w:r>
      <w:r>
        <w:rPr>
          <w:rStyle w:val="FootnoteAnchor"/>
          <w:rtl w:val="true"/>
        </w:rPr>
        <w:footnoteReference w:id="370"/>
      </w:r>
      <w:r>
        <w:rPr>
          <w:rFonts w:ascii="IRNazanin" w:hAnsi="IRNazanin" w:eastAsia="IRNazanin"/>
          <w:color w:val="111111"/>
          <w:sz w:val="28"/>
          <w:sz w:val="28"/>
          <w:szCs w:val="28"/>
          <w:rtl w:val="true"/>
          <w:lang w:bidi="fa-IR"/>
        </w:rPr>
        <w:t>و الضوابط</w:t>
      </w:r>
      <w:r>
        <w:rPr>
          <w:rStyle w:val="FootnoteAnchor"/>
          <w:rtl w:val="true"/>
        </w:rPr>
        <w:footnoteReference w:id="371"/>
      </w:r>
      <w:r>
        <w:rPr>
          <w:rFonts w:ascii="IRNazanin" w:hAnsi="IRNazanin" w:eastAsia="IRNazanin"/>
          <w:color w:val="111111"/>
          <w:sz w:val="28"/>
          <w:sz w:val="28"/>
          <w:szCs w:val="28"/>
          <w:rtl w:val="true"/>
          <w:lang w:bidi="fa-IR"/>
        </w:rPr>
        <w:t>، و مرجعه إلی فهم العرف من المفرد المذکور الطبیعة المطلقة الساریة فی جمیع الأفراد، فیدل اللفظ علی العموم بالملازمة عرفا، أو عموما حکمیّا کما اختاره صاحب المعالم</w:t>
      </w:r>
      <w:r>
        <w:rPr>
          <w:rStyle w:val="FootnoteAnchor"/>
          <w:rtl w:val="true"/>
        </w:rPr>
        <w:footnoteReference w:id="372"/>
      </w:r>
      <w:r>
        <w:rPr>
          <w:rFonts w:ascii="IRNazanin" w:hAnsi="IRNazanin" w:eastAsia="IRNazanin"/>
          <w:color w:val="111111"/>
          <w:sz w:val="28"/>
          <w:sz w:val="28"/>
          <w:szCs w:val="28"/>
          <w:rtl w:val="true"/>
          <w:lang w:bidi="fa-IR"/>
        </w:rPr>
        <w:t xml:space="preserve">، و مرجعه إلی حصر العقل المفرد المذکور فی معنی العموم، فیدلّ اللفظ علی العموم بالمطابقة عقلا، أی بضمیمة دلیل الحکمة، بتقریب أنّ اللفظ إمّا </w:t>
      </w:r>
    </w:p>
    <w:p>
      <w:pPr>
        <w:pStyle w:val="BookText"/>
        <w:rPr/>
      </w:pPr>
      <w:r>
        <w:rPr>
          <w:rFonts w:ascii="IRNazanin" w:hAnsi="IRNazanin" w:eastAsia="IRNazanin"/>
          <w:color w:val="111111"/>
          <w:sz w:val="28"/>
          <w:sz w:val="28"/>
          <w:szCs w:val="28"/>
          <w:rtl w:val="true"/>
          <w:lang w:bidi="fa-IR"/>
        </w:rPr>
        <w:t>محمول علی، الجنس فخلاف الحقّ عند المستدلّ، لعدم تعلّق الأحکام بالطبائع عنده، و إمّا علی فرد معیّن عند المتکلّم و المخاطب فخلاف الفرض، و إمّا علی الفرد المعیّن عند المتکلّم فقط فإغراء بالجهل، و إمّا علی فرد غیر معیّن عندهما فهو مناف للمقام، لأنّ المقام مقام البیان، و إمّا علی الاستغراق فهو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کون عمومه حکمیا لا سریانیا،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فلاستلزام العموم السریانی شمول الأفراد النادرة، بل الأندرة أیضا، و اللازم باطل، أمّا الملازمة فلعدم انفکاک الطبیعة عن واحد من أفراده، فیشمل الأندرة أیضا، و أمّا بطلان اللازم فللاتّفاق علی قصور المطلق عن شمول ما عدا الأفراد الشائعة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فی منع الملازمة من الالتزام بنقل اللفظ أو اشتراکه بین الأفراد الشائعة و بین ما یعمّها و الأفراد النادرة فخلاف الأصل، أو من الالتزام بشهرته فی الأفراد الشائعة، أو من الالتزام بالاقتصار علی القدر المتیقّن فخلاف المعهود بین العلماء، مضافا إلی بعد الالتزام به فی الأحکام الکثیرة المستنبطة من المطلقات المستفیضة، أو من الالتزام بأنّه لمّا کان الحکم علی الطبیعة باعتبار وجودها انصرف إلی الوجود الغالب فراجع إلی أحد الالتزامات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فبواسطة أنّ تعلّق الحکم بالطبیعة لا یستلزم العموم و السرایة إلی ما عدا فرد ما من سائر الأفراد إلّا بالرجوع إلی ضمیمة دلیل الحکمة المذکور تقریبه إلیه، و ذلک لإمکان انفکاک حکم الطبیعة عقلا عن کلّ واحد من الأفراد بفرض کون الخصوصیة مانعة فیه إلّا عن مقدار ما یوجب خروج الحکم المتعلّق بالطبیعة عن اللغویة، و هو فرد غیر معیّن لا یفید العموم إلّا بضمیمة دلیل الحکمة المذکورة إلیه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إن ارید من الطبیعة المتعلّق بها الحکم الطبیعة المجرّدة عن الوجودین کما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طبیعة الإنسان مغایرة لطبیعة الجماد، ففی تعلّق حکم تکلیفی أو وضعی بها لغویة و عبثیة، لعدم فائدة، و إن ارید منها الطبیعة بلحاظ </w:t>
      </w:r>
    </w:p>
    <w:p>
      <w:pPr>
        <w:pStyle w:val="BookText"/>
        <w:rPr/>
      </w:pPr>
      <w:r>
        <w:rPr>
          <w:rFonts w:ascii="IRNazanin" w:hAnsi="IRNazanin" w:eastAsia="IRNazanin"/>
          <w:color w:val="111111"/>
          <w:sz w:val="28"/>
          <w:sz w:val="28"/>
          <w:szCs w:val="28"/>
          <w:rtl w:val="true"/>
          <w:lang w:bidi="fa-IR"/>
        </w:rPr>
        <w:t>وجودها فی ضمن الأفراد فلا تعیین لمرتبة من مراتب الأفراد إلّا بضمیمة دلیل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أورد فی الضوابط</w:t>
      </w:r>
      <w:r>
        <w:rPr>
          <w:rStyle w:val="FootnoteAnchor"/>
          <w:rtl w:val="true"/>
        </w:rPr>
        <w:footnoteReference w:id="373"/>
      </w:r>
      <w:r>
        <w:rPr>
          <w:rFonts w:ascii="IRNazanin" w:hAnsi="IRNazanin" w:eastAsia="IRNazanin"/>
          <w:color w:val="111111"/>
          <w:sz w:val="28"/>
          <w:sz w:val="28"/>
          <w:szCs w:val="28"/>
          <w:rtl w:val="true"/>
          <w:lang w:bidi="fa-IR"/>
        </w:rPr>
        <w:t>و المناهج</w:t>
      </w:r>
      <w:r>
        <w:rPr>
          <w:rStyle w:val="FootnoteAnchor"/>
          <w:rtl w:val="true"/>
        </w:rPr>
        <w:footnoteReference w:id="374"/>
      </w:r>
      <w:r>
        <w:rPr>
          <w:rFonts w:ascii="IRNazanin" w:hAnsi="IRNazanin" w:eastAsia="IRNazanin"/>
          <w:color w:val="111111"/>
          <w:sz w:val="28"/>
          <w:sz w:val="28"/>
          <w:szCs w:val="28"/>
          <w:rtl w:val="true"/>
          <w:lang w:bidi="fa-IR"/>
        </w:rPr>
        <w:t>علی دلیل الحکمة دلیل المذکور تقریبه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الحکم بالأفراد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الإغراء بالجهل فی الشق الثالث، إذ المقام قد یقتضی الإجمال کما فیما لو توهّم المخاطب السلب الکلّی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حلیّة شی‌ء من البیوع فیرد وهمه بحلیّة بعض البیوع، فلعلّ تلک الخطابات من هذا الباب،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بطلان احتمال الرابع، إذ الحمل علی الفرد المنتشر لا ینافی البیان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أبحت لک واحدا من تلک الأفراد، فبالنسبة إلی الزائد یحکم بالنفی، و بالنسبة إلی الواحد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العرف فی هذا الخطاب إمّا یفهم العموم فلا حاجة إلی التمسّک بدلیل العقل، و إن لم یفهمه فلا عبرة بتلک القرینة العقلیة الخفیّة التی لا یدرکها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فتصدّی استادنا العلّامة دام ظلّه للجواب عن الأوّل و الثالث بما عرفت من أنّ مجرّد منع تعلّق الحکم بالأفراد و تسلیم تعلّقه بالطبیعة أو بفرد ما لا یثبت العموم إلّا بالعود إلی ضمیمة دلیل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بندور الإجمال و غلبة البیان فی الأحکام الشرعیة، فیلحق المشکوک منها بالأعمّ الأغلب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الأحکام العقلیة و الحکمیة لا یبعد الإجمال کما فی جواب السؤال </w:t>
      </w:r>
    </w:p>
    <w:p>
      <w:pPr>
        <w:pStyle w:val="BookText"/>
        <w:rPr/>
      </w:pPr>
      <w:r>
        <w:rPr>
          <w:rFonts w:ascii="Amiri" w:hAnsi="Amiri" w:eastAsia="Amiri" w:cs="Amiri"/>
          <w:color w:val="111111"/>
          <w:sz w:val="28"/>
          <w:sz w:val="28"/>
          <w:szCs w:val="28"/>
          <w:rtl w:val="true"/>
          <w:lang w:bidi="ar-SA"/>
        </w:rPr>
        <w:t>عن الروح بقوله تعالی قُلِ الرُّوحُ مِنْ أَمْرِ رَبِّی</w:t>
      </w:r>
      <w:r>
        <w:rPr>
          <w:rStyle w:val="FootnoteAnchor"/>
          <w:rtl w:val="true"/>
        </w:rPr>
        <w:footnoteReference w:id="375"/>
      </w:r>
      <w:r>
        <w:rPr>
          <w:rFonts w:ascii="IRNazanin" w:hAnsi="IRNazanin" w:eastAsia="IRNazanin"/>
          <w:color w:val="111111"/>
          <w:sz w:val="28"/>
          <w:sz w:val="28"/>
          <w:szCs w:val="28"/>
          <w:rtl w:val="true"/>
          <w:lang w:bidi="fa-IR"/>
        </w:rPr>
        <w:t>و فی جواب السؤال عن الحقیقة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الحقیقة کشف سبحات الجلال من غیر إشارة، قال الکمیل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بیانا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یشرق من صبح الأزل فیلوح علی هیاکل التوحید آثاره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بیانا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 السراج فقد طلع الصبح</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الرابع باختیار أنّ العرف یفهم العموم، و هذا الدلیل العقلی یبیّن سرّ فهم العرف، و ما قیل من أنّ السرّ فی فهمهم العموم لیس ذلک، بل السرّ فیه تعلّق الحکم بالطبیعة و سریان الطبیعة فی الأفراد فیفهمون سریان الحکم بالالتزام، فقد عرفت منعه بعدم السریان إلّا بالعود إلی ضمیمة هذا الدلیل العقلی، و ممّا یشهد علی دلیلیته بالتقریب المذکور تمسّکهم به فی غیر المقام أیضا کما فی إثبات عموم حذف المتعلّق، و عموم المنزلة، و مفهوم السکوت فی مقام البیان،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أنّ إطلاق المفرد المحلّی باللام علی العهد الذهنی حقیقة کإطلاقه علی الجنس کما عن التفتازانی</w:t>
      </w:r>
      <w:r>
        <w:rPr>
          <w:rStyle w:val="FootnoteAnchor"/>
          <w:rtl w:val="true"/>
        </w:rPr>
        <w:footnoteReference w:id="377"/>
      </w:r>
      <w:r>
        <w:rPr>
          <w:rFonts w:ascii="IRNazanin" w:hAnsi="IRNazanin" w:eastAsia="IRNazanin"/>
          <w:color w:val="111111"/>
          <w:sz w:val="28"/>
          <w:sz w:val="28"/>
          <w:szCs w:val="28"/>
          <w:rtl w:val="true"/>
          <w:lang w:bidi="fa-IR"/>
        </w:rPr>
        <w:t>، أم مجاز کما فی القوانین</w:t>
      </w:r>
      <w:r>
        <w:rPr>
          <w:rStyle w:val="FootnoteAnchor"/>
          <w:rtl w:val="true"/>
        </w:rPr>
        <w:footnoteReference w:id="378"/>
      </w:r>
      <w:r>
        <w:rPr>
          <w:rFonts w:ascii="IRNazanin" w:hAnsi="IRNazanin" w:eastAsia="IRNazanin"/>
          <w:color w:val="111111"/>
          <w:sz w:val="28"/>
          <w:sz w:val="28"/>
          <w:szCs w:val="28"/>
          <w:rtl w:val="true"/>
          <w:lang w:bidi="fa-IR"/>
        </w:rPr>
        <w:t>و الضوابط</w:t>
      </w:r>
      <w:r>
        <w:rPr>
          <w:rStyle w:val="FootnoteAnchor"/>
          <w:rtl w:val="true"/>
        </w:rPr>
        <w:footnoteReference w:id="379"/>
      </w:r>
      <w:r>
        <w:rPr>
          <w:rFonts w:ascii="IRNazanin" w:hAnsi="IRNazanin" w:eastAsia="IRNazanin"/>
          <w:color w:val="111111"/>
          <w:sz w:val="28"/>
          <w:sz w:val="28"/>
          <w:szCs w:val="28"/>
          <w:rtl w:val="true"/>
          <w:lang w:bidi="fa-IR"/>
        </w:rPr>
        <w:t>و غیرهما؟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 أمّا تحقیقه فهو أنّ العهد الذهنی إن کان عبارة عن نفس الجنس و کونه فردا ما مستفادا من إسناد ما هو من خواصّ الأفراد إلیه فلا خلاف فی کونه حقیقة، کما لا خلاف فی مجازیّته إذا کان عبارة عن الجنس المقیّد بفرد ما علی وجه یکون القید داخلا، و أمّا علی خروج القید و دخول التقیّد فالحقیقة و المجاز فیه مبنی علی أنّ تقیید المطلق حقیقة أو مجاز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تشخیصه ففی کونه عبارة عن الجنس المقیّد بأحد الوجهین فهو مجاز علی الوجه الأوّل بالاتّفاق، و علی الوجه الثانی لدی المشهور، هذا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یشکل فی إشارة اللام إلی مدخوله إذا کان المدخول فی المقام عبارة عن مصداق فرد ما، لا مفهومه، و یدفعه أنّ الإشارة المنافیة لمصداق فرد ما إنّما هی الإشارة الرافعة لتردیده دون المؤکّدة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العهد الخارجی فتحقیقه أنّه محتمل 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اللام فی الإشارة إلی المعهود المعیّن، و إطلاق المدخول علیه من باب إطلاق الکلّی علی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المدخول فی المعهود المعیّن و استعمال اللام فی الإشارة إلی مدخوله، فاللام فی الأوّل مجاز، حیث لم یستعمل فی الإشارة إلی مدخوله، بل استعمل فی الإشارة إلی المعهود المعیّن، و المدخول فیه حقیقة لاستعماله فی الجنس، و فی الثانی بالعکس، و تشخیصه علی ما یساعد علیه الذوق السلیم هو المعنی الثانی و إن استظهر فی القوانین</w:t>
      </w:r>
      <w:r>
        <w:rPr>
          <w:rStyle w:val="FootnoteAnchor"/>
          <w:rtl w:val="true"/>
        </w:rPr>
        <w:footnoteReference w:id="380"/>
      </w: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الاستغراق فتحقیقه أنّه إن استعمل اللام فی معنی الکلّ و المدخول فی معنی الجنس فلا ریب فی مجازیّة اللام و حقیقیة المدخول، و إن استعمل اللام فی الإشارة الی مدخوله و المدخول فی الجنس المقیّد بجمیع الأفراد فاللام حقیقة و المدخول مجاز بالاتّفاق إن کان القید داخلا، و عند المشهور إن کان خارجا، و تشخیصه علی ما یساعد علیه الذوق السلیم أحد وجهی المعنی الأخیر لا الأوّل، لابتنائه علی استعمال الحرف فی معنی اسمی و ثبوت العلاقة بینهما، و لا شی‌ء </w:t>
      </w:r>
    </w:p>
    <w:p>
      <w:pPr>
        <w:pStyle w:val="BookText"/>
        <w:rPr/>
      </w:pPr>
      <w:r>
        <w:rPr>
          <w:rFonts w:ascii="IRNazanin" w:hAnsi="IRNazanin" w:eastAsia="IRNazanin"/>
          <w:color w:val="111111"/>
          <w:sz w:val="28"/>
          <w:sz w:val="28"/>
          <w:szCs w:val="28"/>
          <w:rtl w:val="true"/>
          <w:lang w:bidi="fa-IR"/>
        </w:rPr>
        <w:t>منهما بقریب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تأسیس الأصل عند دوران المفرد المحلّی باللام بین معانیه الأربعة، و قبل التعرّض لحکم الدوران ینبغی أوّلا تصویر موضوع الدوران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تعقل الدوران بین غیر العهد الخارجی من سائر المعانی الثلاثة فممّا لا إشکال فیه، إنّما الإشکال فی تعقّل الدوران بین العهد الخارجی و سائر المعانی، حیث إنّه إن تحقّق بمجرّد سبق ذکر أو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قاله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مسرح لتعقّل الدوران بینه و بین غیره، و إن لم یتحقّق بمجرّد ذلک فلا قائل به من أرباب النحو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الأصل اللفظی فتشخیص حکمه فی المسألة هو أنّ المفرد المحلّی باللام علی تقدیر اشتراکه بین المعانی الأربعة مجمل، و مرجعه فی العمل إلی الاصول العملیّة، و فی القول إلی التوقف، و علی تقدیر عدم الاشتراک ینصرف إطلاقه إلی المعنی الحقیقی، إلّا إذا اکتنفه قرینة صارفة فتحمله علی أقرب المجازات إن وجد الأقربیّة، و إلّا فتجمله و یکون المرجع فی مقام العمل إلی الاصول العملیّة، هذا فی تشخیص حکم الأصل اللفظی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تشخیص موضوع الحکم المذکور فهو أنّ المعنی الحقیقی للمفرد المحلّی باللام هو الجنس، لما سلف، و القدر اللازم منه ثبوت الحکم لذلک الجنس علی سبیل الإهمال الراجع إلی الجزئیة علی ما هو الحال فی القضایا المهملة، و أقرب مجازاته إلیه بحسب غلبة الاستعمال هو العهد الذهنی فی المحاورات العرفیة و العموم الحکمتی فی الأحکام الشرعیة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الأصل العملی ففی حیّز الأحکام التکلیفیة یقتضی تقدیم العهد الذهنی علی العهد الخارجی، لأصالة البراءة عن التعیین، و تقدیم العهد الخارجی علی الاستغراق، لأصالة البراءة عن الزائد، بناء علی أنّ ما نحن فیه من قبیل الشک فی </w:t>
      </w:r>
      <w:bookmarkStart w:id="218" w:name="pg12880_153355"/>
    </w:p>
    <w:p>
      <w:pPr>
        <w:pStyle w:val="BookText"/>
        <w:rPr/>
      </w:pPr>
      <w:bookmarkEnd w:id="218"/>
      <w:r>
        <w:rPr>
          <w:rFonts w:ascii="IRNazanin" w:hAnsi="IRNazanin" w:eastAsia="IRNazanin"/>
          <w:color w:val="111111"/>
          <w:sz w:val="28"/>
          <w:sz w:val="28"/>
          <w:szCs w:val="28"/>
          <w:rtl w:val="true"/>
          <w:lang w:bidi="fa-IR"/>
        </w:rPr>
        <w:t>المراد، لا المصداق، کما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العکس فیقتضی تقدیم الاستغراق علی العهد الخارجی، لأصالة الاشتغال و استصحاب الحال، و تقدیم العهد الخارجی علی العهد الذهنی، لأصالة الاشتغال و استصحاب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حیّز الأحکام الوضعیة کالحلیّة و الإباحة یقتضی تقدیم الاستغراق علی العهد الذهنی، لأصالة الإباحة فی الزائد، و تقدیم العهد الذهنی علی الخارجی، لأصالة الإباحة فی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لا فرق بین الجمع المعرّف باللام و اسم الجمع المعرّف به و المضاف فی کلّ ما مرّ من الإطلاقات و المقامات و الأقسام و الأحکام، و لا بین کون اللام حرف تعریف أو اسم موصول، و لا بین ما کان جمع قلّة أو کثرة و جمع تکسیر أو سلامة، لعموم الأدلة و نهوضها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فرق بین المفرد المحلّی باللام و المضاف و مثنّاهما فی کلّ ما مرّ من الإطلاقات و المقامات و الأقسام و الأحکام، لعموم الأدلّة و نهوضها إلی الجمیع</w:t>
      </w:r>
      <w:r>
        <w:rPr>
          <w:rFonts w:eastAsia="IRNazanin" w:cs="IRNazanin"/>
          <w:color w:val="111111"/>
          <w:sz w:val="28"/>
          <w:szCs w:val="28"/>
          <w:rtl w:val="true"/>
          <w:lang w:bidi="fa-IR"/>
        </w:rPr>
        <w:t>.</w:t>
      </w:r>
    </w:p>
    <w:p>
      <w:pPr>
        <w:pStyle w:val="Heading4"/>
        <w:numPr>
          <w:ilvl w:val="3"/>
          <w:numId w:val="1"/>
        </w:numPr>
        <w:rPr/>
      </w:pPr>
      <w:bookmarkStart w:id="219" w:name="__RefHeading___Toc2986451_3224264995"/>
      <w:bookmarkStart w:id="220" w:name="_Toc84"/>
      <w:bookmarkEnd w:id="219"/>
      <w:r>
        <w:rPr>
          <w:rtl w:val="true"/>
        </w:rPr>
        <w:t>[</w:t>
      </w:r>
      <w:r>
        <w:rPr>
          <w:rtl w:val="true"/>
        </w:rPr>
        <w:t>و من جملة أسباب العموم النکرة فی سیاق النفی</w:t>
      </w:r>
      <w:r>
        <w:rPr>
          <w:rtl w:val="true"/>
        </w:rPr>
        <w:t>]</w:t>
      </w:r>
      <w:bookmarkEnd w:id="220"/>
    </w:p>
    <w:p>
      <w:pPr>
        <w:pStyle w:val="BookText"/>
        <w:rPr/>
      </w:pPr>
      <w:r>
        <w:rPr>
          <w:rFonts w:ascii="IRNazanin" w:hAnsi="IRNazanin" w:eastAsia="IRNazanin"/>
          <w:color w:val="111111"/>
          <w:sz w:val="28"/>
          <w:sz w:val="28"/>
          <w:szCs w:val="28"/>
          <w:rtl w:val="true"/>
          <w:lang w:bidi="fa-IR"/>
        </w:rPr>
        <w:t>إمّا بواسطة وضع الهیئة الترکیبیة، أو وضع خصوص النکرة المقیّدة بالوقوع فی سیاق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خلاف ظاهرا فی إفادتها العموم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النفی بکلّ فرد من آحاد مفهومها المتبادر و اطّراد الاستثناء و التناقض عرفا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فی الدار، إذا کان فیها رجل أو أزید، هذا ممّا لا کلام فیه، و إنّما الکلام فی امور ینبغی التنبیه علیها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النکرة فی العنوان النکرة فی المعنی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الطبیعة المجرّدة أو المأخوذة باعتبار کونها متّحدة مع فرد لا علی التعیین، أو أفراد کذلک، کرجل و رجال، فیخرج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کلّ رجل، فإنّ </w:t>
      </w:r>
    </w:p>
    <w:p>
      <w:pPr>
        <w:pStyle w:val="BookText"/>
        <w:rPr/>
      </w:pPr>
      <w:r>
        <w:rPr>
          <w:rFonts w:ascii="IRNazanin" w:hAnsi="IRNazanin" w:eastAsia="IRNazanin"/>
          <w:color w:val="111111"/>
          <w:sz w:val="28"/>
          <w:sz w:val="28"/>
          <w:szCs w:val="28"/>
          <w:rtl w:val="true"/>
          <w:lang w:bidi="fa-IR"/>
        </w:rPr>
        <w:t xml:space="preserve">مدلوله المقیّد بالرجل معنی معیّن لا یقبل الإبهام و الاشتراک، و یدخل فیه العهد الذهنی و العلم الجنسی إذا أخذ باعتبار فرد لا بعینه و المضاف إلی أحدهما، بل و کذا الجمل الفعلیة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لما قاله النحاة من أنّ الأفعال 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 نجم الائمّة من کون الأفعال نکرات بأنّ التنکیر کالتعریف من خواص الأسماء و عوارض الذات، ففیه أنّه إن ارید بذلک عدم اتّصاف الأفعال بملاحظة تمام معناها بالتعریف و التنکیر فهو کذلک، لظهور کون معنی الفعل مرکّبا من المعنی الاسمی و الحرفی و لا یوصف بهما الحروف، فلا یصحّ اتّصاف الملفّق منه و من غیره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عدم اتّصافهما بملاحظة معناه التامّ بذلک فغیر متّجه، إذ لا یمکن خلوّ المعنی التامّ عن أحد الوجهین، أقصی الأمر عدم اندراج الأفعال فی النکرة المصطلحة، حیث إنّه اصطلح المعرفة و النکرة فی الألفاظ بملاحظة معناها المطابقی دون التضمّنی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المراد من النفی فی العنوان فمطلق، أداته فعلیة کانت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حرفیّة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لا المشبهتان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الجنسیة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و لم و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یلحق به النهی و ما یفید مفاد النهی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 و اجتنب و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النهی طلب النفی فیشتمل علیه، و کذا الاستفهام الانکاری، لرجوعه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النکرة المنفیّة تفید العموم بالمطابقة أو بالالتزام؟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تبادر نفی الآحاد بلا واسطة، و اطّراد الاستثناء منها؛ و من أصالة عدم طروّ الهیئة الترکیبیة وضع جدید وراء وضعه الأفرادی من إرادة فرد ما أو الجنس الساری فی جمیع الآحاد الخارجیة بالالتزام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تظهر الثمرة بین الوجهین فی جواز تخصیص حکم النفی ببعض الأفراد </w:t>
      </w:r>
    </w:p>
    <w:p>
      <w:pPr>
        <w:pStyle w:val="BookText"/>
        <w:rPr/>
      </w:pPr>
      <w:r>
        <w:rPr>
          <w:rFonts w:ascii="IRNazanin" w:hAnsi="IRNazanin" w:eastAsia="IRNazanin"/>
          <w:color w:val="111111"/>
          <w:sz w:val="28"/>
          <w:sz w:val="28"/>
          <w:szCs w:val="28"/>
          <w:rtl w:val="true"/>
          <w:lang w:bidi="fa-IR"/>
        </w:rPr>
        <w:t>بالاستثناء و نحوه قصدا و لفظا علی الأوّل دون الثانی، و وجه عدم جوازه علی الثانی إباء اللازم عن التخصیص، لکونه من الامور القهریة الغیر المنفکّة عن ملزومه عقلا، و إباء الملزوم عنه، لمغایرته للمخصّص، إذ المفروض کون الملزوم هو الجنس أو فرد ما، و المخصّص هو فرد معیّن، و استثناء الفرد المعیّن من الجنس أو من فرد ما استثناء منقطع لا متّصل، و من باب التقیید لا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و إن لم یکن فرق بین أداة النفی المتعلّقة بالنکرة و لا بین مواردها من حیث إفادة العموم، إلّا أنّ بینها فرق من حیث النصوصیة و الظهور، فما یفید العموم بالنصوصیة من الأدوات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 و المقرونة بمن ظاهرة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مقدّرة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رطب و لا یابس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الموارد ما إذا کان المنفی صادقا علی القلیل و الکثیر کالشی‌ء و الماء و الدبس و الدهن و نحوها، أو ملازما للنفی فی الاستعمال کلفظ أحد و بدّ، و ما یفیده بالظهور من الأداة لیس و ما و لا المشبهتان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 جواز مخالفة الظهور، فیصحّ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الدار رجل، بل رجلان، و لا رجلان بل رجال و لا رجال بل رجل، و عدم جواز مخالفة النصوص فلا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فی الدار بل رجلان، هذا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ذهب صاحب الفصول</w:t>
      </w:r>
      <w:r>
        <w:rPr>
          <w:rStyle w:val="FootnoteAnchor"/>
          <w:rtl w:val="true"/>
        </w:rPr>
        <w:footnoteReference w:id="381"/>
      </w:r>
      <w:r>
        <w:rPr>
          <w:rFonts w:ascii="IRNazanin" w:hAnsi="IRNazanin" w:eastAsia="IRNazanin"/>
          <w:color w:val="111111"/>
          <w:sz w:val="28"/>
          <w:sz w:val="28"/>
          <w:szCs w:val="28"/>
          <w:rtl w:val="true"/>
          <w:lang w:bidi="fa-IR"/>
        </w:rPr>
        <w:t>و الهدایة</w:t>
      </w:r>
      <w:r>
        <w:rPr>
          <w:rStyle w:val="FootnoteAnchor"/>
          <w:rtl w:val="true"/>
        </w:rPr>
        <w:footnoteReference w:id="382"/>
      </w:r>
      <w:r>
        <w:rPr>
          <w:rFonts w:ascii="IRNazanin" w:hAnsi="IRNazanin" w:eastAsia="IRNazanin"/>
          <w:color w:val="111111"/>
          <w:sz w:val="28"/>
          <w:sz w:val="28"/>
          <w:szCs w:val="28"/>
          <w:rtl w:val="true"/>
          <w:lang w:bidi="fa-IR"/>
        </w:rPr>
        <w:t>إلی أنّ الفرق بین أداة نفی النکرة و مواردها فی النصوصیة فی العموم و الظهور فیه إنّما هو بالنسبة إلی مدلول النکرة مطلقا، و أمّا بالنسبة إلی المقصود من النکرة فلا فرق بینهما فی النصوصیة،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النکرة فی سیاق النفی نصّ فی العموم علی حسب إطلاقها و تقییدها، فعموم النکرة المطلقة بالنسبة إلی أفراد مفهومها المطلق، و عموم النکرة المقیّدة </w:t>
      </w:r>
    </w:p>
    <w:p>
      <w:pPr>
        <w:pStyle w:val="BookText"/>
        <w:rPr/>
      </w:pPr>
      <w:r>
        <w:rPr>
          <w:rFonts w:ascii="IRNazanin" w:hAnsi="IRNazanin" w:eastAsia="IRNazanin"/>
          <w:color w:val="111111"/>
          <w:sz w:val="28"/>
          <w:sz w:val="28"/>
          <w:szCs w:val="28"/>
          <w:rtl w:val="true"/>
          <w:lang w:bidi="fa-IR"/>
        </w:rPr>
        <w:t>بالنسبة إلی مفهوم أفرادها المقیّد، فکما أنّ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فی الدار بل امرأة، عامّ بالنسبة إلی کلّ ما یصدق علیه فرد رجل لا بشرط، کذلک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الدار رجل بل رجلان عامّ بالنسبة إلی کلّ ما یصدق علیه فرد بشرط لا، إلی آخر کلامهما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 استادنا العلّامة بأنّ فردا بشرط لا و إن کان مأخوذا لا بشرط علی وجه یقتضی نفیه نفی جمیع آحاده عند دقّة النظر، إلّا أنّ هذا الاقتضاء من الاقتضاءات المفروضة الغیر المقصودة فی أنظار العرف کدلالة الآیتین علی أقلّ الحمل علی ما یشهد به الذوق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 الجمع المنکّر فی سیاق النفی هل هو عموم أفرادی کالمفرد المنکّر، أو عموم جمعی؟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کثرة استعماله فی العموم الأفرادی، و من مقتضی الوضع الأفرادی فی جزئی المرکّب العموم الجمعی، و أصالة عدم انسلاخ معنی الجمعیة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عموم الجمع المحلّی باللام فی سیاق النفی، إلّا أنّ استعماله فی العموم الأفرادی أشیع و أظهر کما لا یخفی علی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فیما لو حلف أن لا یتزوّج الثیّبات، فإنّه یحنث بتزویج واحد علی العموم الأفرادی و لا یحنث بتزویج واحد أو اثنین علی العموم الجمعی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النکرة فی سیاق النفی أو النهی، بقی الکلام فی النکرة فی سیاق الإثبات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الجمع المنکّر فی سیاق الإثبات فیطلق علی الاستغراق و علی جمع معیّن أو غیر معین و علی جنس الجمع، و هو مجاز فی الجمع المعیّن بالاتّفاق إن قصد دخول التعیین فی معناه، و عند المشهور إن قصد دخول التقیّد به و خروج القید، و فی الاستغراق عند الکلّ إلّا الجبائی، نعم الخلاف بیننا و بین الشیخ إنّما هو </w:t>
      </w:r>
    </w:p>
    <w:p>
      <w:pPr>
        <w:pStyle w:val="BookText"/>
        <w:rPr/>
      </w:pPr>
      <w:r>
        <w:rPr>
          <w:rFonts w:ascii="IRNazanin" w:hAnsi="IRNazanin" w:eastAsia="IRNazanin"/>
          <w:color w:val="111111"/>
          <w:sz w:val="28"/>
          <w:sz w:val="28"/>
          <w:szCs w:val="28"/>
          <w:rtl w:val="true"/>
          <w:lang w:bidi="fa-IR"/>
        </w:rPr>
        <w:t>فی قرینیّة دلیل الحکمة علی استغراق الجمع و عدمه، لا فی حقیقیته فی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کونه حقیقة فی الأخیرین مشترکا بینهما لفظا أو معنی أو فی أحدهما خاصّة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المادّة موضوعة لجنس الجمع، کما أنّ مادة المفرد موضوعة لجنس الفرد، و التنوین حقیقة فی التمکّن، کما فی المفرد و الهیئة الترکیبیة تفید عند الإطلاق الوحدة المنتشرة، و انتظر لتمام الکلام فی المفرد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بکون الجمع المنکّر للعموم صلوحه لکلّ من مراتب الجمع التی منها الجمیع علی البدلیة، و أولویة حمل ما کان کذلک علی الجمیع من حمله علی ما دونه من المراتب، أمّا الصغری و هو صلوح الجمع المنکّر لکلّ من مراتب الجمع علی البدلیة و إن کان منوّنا فالظاهر أنّه لا إشکال و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استشکل فیه صاحب الفصول</w:t>
      </w:r>
      <w:r>
        <w:rPr>
          <w:rStyle w:val="FootnoteAnchor"/>
          <w:rtl w:val="true"/>
        </w:rPr>
        <w:footnoteReference w:id="383"/>
      </w:r>
      <w:r>
        <w:rPr>
          <w:rFonts w:ascii="IRNazanin" w:hAnsi="IRNazanin" w:eastAsia="IRNazanin"/>
          <w:color w:val="111111"/>
          <w:sz w:val="28"/>
          <w:sz w:val="28"/>
          <w:szCs w:val="28"/>
          <w:rtl w:val="true"/>
          <w:lang w:bidi="fa-IR"/>
        </w:rPr>
        <w:t>بعد موافقته للتفتازانی فی نفی الخلاف عنه بإشکالین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کون أداة الجمع حرفا و کون الحروف بأسرها موضوعة بالوضع العامّ لمعان خاصّة أن یکون مدلول الجمع خصوص مرتبة من المراتب التی فوق الاثنین دون القدر المشترک بینهما، لأنّه کلّی، فینافی وضع الحروف، فلحوق التنوین به یوجب طریان النکارة علیه بحسب مصادیق المرتبة التی استعمل فیها الجمع، و ظاهر أنّ هذا لا یتحقّق فی حق الجمیع، اذ لا تعدّد فی مصادیقه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التنکیر لا یخلو إمّا أن یکون لا حقا لما عرضت علیه وصف الجمعیة، أو لنفس الوصف، و الأوّل یوجب التدافع بین مفاد التنوین الدالّة علی الوحدة الفردیة و مفاد الجمعیة الدالة علی التعدّد، و الثانی باطل، لما اسبق التنبیه </w:t>
      </w:r>
    </w:p>
    <w:p>
      <w:pPr>
        <w:pStyle w:val="BookText"/>
        <w:rPr/>
      </w:pPr>
      <w:r>
        <w:rPr>
          <w:rFonts w:ascii="IRNazanin" w:hAnsi="IRNazanin" w:eastAsia="IRNazanin"/>
          <w:color w:val="111111"/>
          <w:sz w:val="28"/>
          <w:sz w:val="28"/>
          <w:szCs w:val="28"/>
          <w:rtl w:val="true"/>
          <w:lang w:bidi="fa-IR"/>
        </w:rPr>
        <w:t>علیه من أنّ الجمعیة المفهومة من الجمع معنی آلیّ و أنّها غیر ملحوظة لنفسها، بل لملاحظة حال ما تعلّقت به، بدلیل أنّ الدالّ علیها حرف أو ما بحکمه بالاتّفاق، و معانی الحروف ممّا یمتنع وصفها بوصف أو تقییدها بقید، إلی آخر تقریبه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استادنا العلّامة دام ظلّه عن الأوّل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وضع الجمع لمصداق الجماعة حتی یکون مفاد تنوین التنکیر و هو التردید غیر متحقّق فی أعلی مراتب المصداق الذی لا تعدّد فیه، بل نقول بوضعه لمفهوم الجماعة الذی لیس له حدّ یقف علیه حتی یتحقّق فیه 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مستندنا علی المنع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الوقوف علی القول بدلالة الجمع علی المصادیق الجزئیة دون المفاهیم الکلّیة إلّا من صاحب الفصول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علی کون الدالّ علی الجمعیة هو الحروف الطاریة علی وزن المفرد حتی یکون مفادها مفاد سائر الحروف الموضوعة بالوضع العامّ لخصوص المصادیق الجزئیة دون المفاهیم الکلیّة المنافیة لوضع الحروف، بل یحتمل أن یکون الدالّ علی الجمعیّة هو المادّة المفردة المکتنفة بتلک الحروف سیّما فی جموع التکسیر، و أن یکون کلام الصرفیین بأنّ الحروف دالّة علی الجموع فی معرض تفهیم المبتدین بالتقریب لا التحقیق، نظیر قولهم للمبتدین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یستتر فی المتکلّم و المخاطب من فعل المستقبل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من المعلوم کون المستتر لیس من مقولة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وضع الجمع لمصداق الجماعة لا لمفهومهما، لکن نمنع عدم تحقّق التردید فی المرتبة العالیة من مراتب المصداق، إذ یکفی فی تحقّق التردید الذی هو مفاد تنوین التنکیر التردید بینه و بین ما تحته من المراتب، و لا حاجة إلی التردید بین أفراده الغیر المتحقّق فیه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لکن نمنع کون التنوین فی المرتبة العالیة للتنکیر، بل نلتزم </w:t>
      </w:r>
    </w:p>
    <w:p>
      <w:pPr>
        <w:pStyle w:val="BookText"/>
        <w:rPr/>
      </w:pPr>
      <w:r>
        <w:rPr>
          <w:rFonts w:ascii="IRNazanin" w:hAnsi="IRNazanin" w:eastAsia="IRNazanin"/>
          <w:color w:val="111111"/>
          <w:sz w:val="28"/>
          <w:sz w:val="28"/>
          <w:szCs w:val="28"/>
          <w:rtl w:val="true"/>
          <w:lang w:bidi="fa-IR"/>
        </w:rPr>
        <w:t>کونه للتمکّن فیه، بل لا نأبی من الالتزام بتمکّنه فی جمیع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بالتزام کون التنوین فی الجمع للتمکن لا للتنکیر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النکارة لیست عارضة لوصف الجمعیة و لا لموصوفها المجرّد عن اعتبارها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المفرد من الماهیة من حیث هی، بل لاحقة لتمام مدلول الجمع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المأخوذة باعتبار تحقّقها فیما زاد علی الفردین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 و هو أولویّة حمل ما یصلح لکلّ من الآحاد علی البدلیة علی الجمع عند فقد القرینة علی التعیین، ففیه أنه إن ارید منه مجرّد الاستحسان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یقوله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تعویل علیه فی إثبات التوقیفیات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 الأظهریّة کما هو وجه فهو ممنوع، ضرورة عدم وضع الجمع المنکّر لخصوص الجمیع و عدم شیوع استعماله فی الجمیع إن لم یکن الشیوع فی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 أنّ مقتضی الحکمة و العقل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صون کلام الحکیم عن اللغو و الإجمال فی مقام البیان هو الحمل علی الجمیع، فهو ممنوع، لوضوح وضع الجمع المنکّر لمجرّد الطبیعة فی ضمن أفراد مبهمة لا معیّنة، و ظهور استعماله فی إرادة بیان عدد المحکوم علیه، دون إرادة تعیین المعدود عند المتکلّم المبهم عند المخاطب حتی یقتضی الحکمة و هو صون کلام الحکیم عن قبح الإغراء بالجهل تعیّنه فی الجمیع، فإجمال معدود الجمع المنکّر لیس کإجمال معدود المفرد المعرّف فی الندور و المنافاة للحکمة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وجهه عدم اقتران لفظ الجمع المنکّر بما اقترن به لفظ المفرد المعرّف من اللام المقتضی تعیین مدخوله و تخریجه عن الإجمال المنافی لحکمة التعیین و التفریق بین التعریف و التنکیر المستلزم للإغراء بالجهل لو لم یتعیّن فی العموم، و علی ذلک فلا ینافی عدم عموم الجمع المنکّر للحکمة بوجه إن لم یکن عمومه </w:t>
      </w:r>
    </w:p>
    <w:p>
      <w:pPr>
        <w:pStyle w:val="BookText"/>
        <w:rPr/>
      </w:pPr>
      <w:r>
        <w:rPr>
          <w:rFonts w:ascii="IRNazanin" w:hAnsi="IRNazanin" w:eastAsia="IRNazanin"/>
          <w:color w:val="111111"/>
          <w:sz w:val="28"/>
          <w:sz w:val="28"/>
          <w:szCs w:val="28"/>
          <w:rtl w:val="true"/>
          <w:lang w:bidi="fa-IR"/>
        </w:rPr>
        <w:t xml:space="preserve">منافیا لحکمة الإطلاق، سواء کان فی حیّز الإخبار عنه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و له علی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حیّز الأحکام الوضعیة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بیوعا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حیّز الأحکام التکلیفیة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حیّز المکلّف به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ثلث مالی 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صاحب القوانین</w:t>
      </w:r>
      <w:r>
        <w:rPr>
          <w:rStyle w:val="FootnoteAnchor"/>
          <w:rtl w:val="true"/>
        </w:rPr>
        <w:footnoteReference w:id="384"/>
      </w:r>
      <w:r>
        <w:rPr>
          <w:rFonts w:ascii="IRNazanin" w:hAnsi="IRNazanin" w:eastAsia="IRNazanin"/>
          <w:color w:val="111111"/>
          <w:sz w:val="28"/>
          <w:sz w:val="28"/>
          <w:szCs w:val="28"/>
          <w:rtl w:val="true"/>
          <w:lang w:bidi="fa-IR"/>
        </w:rPr>
        <w:t>قدّس سرّه أظهریّة القسمین الأوّلین من الجمع المنکّر فی إرادة المتکلّم منهما المعیّن عنده المبهم عند المخاطب المستلزم للإغراء بالجهل لو لم یحمل علی العموم و أظهریّة القسمین الآخرین فی إرادة مجرّد الطبیعة المبهمة التی یکتفی الامتثال فیهما بالأقلّ لأصالة البراءة عن الزائد، فممنوع جدّا، ضرورة عدم الخلاف فی وضع النکرة لمجرّد الطبیعة المبهمة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اکتناف التعیین عند المخاطب بالقسمین الأوّلین فإنّما هو من باب المقارنات الاتّفاقیة، دون الإرادات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استناده فی حصول الامتثال بالأقلّ فی القسمین بأصالة البراءة لا بأصالة الإطلاق غریب جدّا، لحکومة الاصول اللفظیة علی الاصول العملیّة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أولویة حمل ما یصلح لکلّ من الآحاد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اللفظ الموضوع للطبیعة فی ضمن مرتبة مبهمة من مراتب الجمع هو السرایة إلی جمیع الأفراد بالملازمة العرفیّة، فهو ممنوع أیضا بما سلف فی التنبیه الأوّل من تنبیهات المفرد المحلّی باللام من أنّ تعلّق الحکم بالطبیعة لا یستلزم العموم و السرایة إلی ما فوق أقلّ مرتبة من مراتب الجمع إلّا بالرجوع إلی ضمیمة دلیل الحکمة التی لا مسرح لها فی المقام إلیه حسبما عرفت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غرائب القوانین حمل عموم المفرد المحلّی باللام علی العموم السریانی و عموم الجمع المنکّر علی العموم الحکمتی</w:t>
      </w:r>
      <w:r>
        <w:rPr>
          <w:rStyle w:val="FootnoteAnchor"/>
          <w:rtl w:val="true"/>
        </w:rPr>
        <w:footnoteReference w:id="385"/>
      </w:r>
      <w:r>
        <w:rPr>
          <w:rFonts w:ascii="IRNazanin" w:hAnsi="IRNazanin" w:eastAsia="IRNazanin"/>
          <w:color w:val="111111"/>
          <w:sz w:val="28"/>
          <w:sz w:val="28"/>
          <w:szCs w:val="28"/>
          <w:rtl w:val="true"/>
          <w:lang w:bidi="fa-IR"/>
        </w:rPr>
        <w:t xml:space="preserve">، مع أنّه لا فرق بینهما إلّا فی وضع </w:t>
      </w:r>
    </w:p>
    <w:p>
      <w:pPr>
        <w:pStyle w:val="BookText"/>
        <w:rPr/>
      </w:pPr>
      <w:r>
        <w:rPr>
          <w:rFonts w:ascii="IRNazanin" w:hAnsi="IRNazanin" w:eastAsia="IRNazanin"/>
          <w:color w:val="111111"/>
          <w:sz w:val="28"/>
          <w:sz w:val="28"/>
          <w:szCs w:val="28"/>
          <w:rtl w:val="true"/>
          <w:lang w:bidi="fa-IR"/>
        </w:rPr>
        <w:t>المفرد المحلّی باللام للطبیعة المطلقة و وضع الجمع المنکّر للطبیعة فی ضمن مرتبة مبهمة من مراتب الجمع، و هو غیر مجد، إذ کما یصلح سریان الطبیعة المطلقة إلی جمیع الأفراد کذلک یصلح سریان الطبیعة فی ضمن مرتبة مبهمة إلی جمیع المراتب، إلّا أن یوجّه الفرق بأنّ سریان الطبیعة من اللوازم العرفیة الناشئة من غلبة الاستعمال لیهوّن دعوی ثبوت تلک الغلبة فی المفرد المحلّی باللام دون الجمع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غرائب القوانین فی المقام أیضا تفریع صحّة اجتماع العموم الأفرادی و الجمعی علی أن یکون مراد الجبائی</w:t>
      </w:r>
      <w:r>
        <w:rPr>
          <w:rStyle w:val="FootnoteAnchor"/>
          <w:rtl w:val="true"/>
        </w:rPr>
        <w:footnoteReference w:id="386"/>
      </w:r>
      <w:r>
        <w:rPr>
          <w:rFonts w:ascii="IRNazanin" w:hAnsi="IRNazanin" w:eastAsia="IRNazanin"/>
          <w:color w:val="111111"/>
          <w:sz w:val="28"/>
          <w:sz w:val="28"/>
          <w:szCs w:val="28"/>
          <w:rtl w:val="true"/>
          <w:lang w:bidi="fa-IR"/>
        </w:rPr>
        <w:t>الحمل علی الجمیع من حیث إنّه مجموع معانیه المشترک فیها لفظا، لا من حیث إنّه هو أحد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الاستغراب استحالة اجتماع أحد العمومین مع الآخر علی تقدیر واحد، إلّا من باب التعبیة، لا الأصالة، فصحّة کلّ منهما بالأصالة متفرّع علی تقدیر لا یتفرّع علیه الآخر، هذا کلّه فی الجمع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المفرد المنکّر فیطلق أیضا علی العموم بالسرایة أو الحکمة علی الخلاف المتقدّم فی جمعه،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بیعا مثلا،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قَدَّمَتْ</w:t>
      </w:r>
      <w:r>
        <w:rPr>
          <w:rStyle w:val="FootnoteAnchor"/>
          <w:rtl w:val="true"/>
        </w:rPr>
        <w:footnoteReference w:id="387"/>
      </w:r>
      <w:r>
        <w:rPr>
          <w:rFonts w:ascii="Amiri" w:hAnsi="Amiri" w:eastAsia="Amiri" w:cs="Amiri"/>
          <w:color w:val="111111"/>
          <w:sz w:val="28"/>
          <w:sz w:val="28"/>
          <w:szCs w:val="28"/>
          <w:rtl w:val="true"/>
          <w:lang w:bidi="ar-SA"/>
        </w:rPr>
        <w:t>وَ أَنْزَلْنا مِنَ السَّماءِ ماءً طَهُوراً</w:t>
      </w:r>
      <w:r>
        <w:rPr>
          <w:rStyle w:val="FootnoteAnchor"/>
          <w:rtl w:val="true"/>
        </w:rPr>
        <w:footnoteReference w:id="388"/>
      </w:r>
      <w:r>
        <w:rPr>
          <w:rFonts w:ascii="IRNazanin" w:hAnsi="IRNazanin" w:eastAsia="IRNazanin"/>
          <w:color w:val="111111"/>
          <w:sz w:val="28"/>
          <w:sz w:val="28"/>
          <w:szCs w:val="28"/>
          <w:rtl w:val="true"/>
          <w:lang w:bidi="fa-IR"/>
        </w:rPr>
        <w:t>و علی فرد معیّن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رجلا، إذا اردت خصوص زید منه، و علی فرد منتشر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رجلا، إذا لم ترد خصوص أحد منه، و علی الجنس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خیر من مرأة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إشکال فی مجازیّته فی الأوّلین للاتّفاق و تبادر الغیر، کما لا إشکال فی حقیقیته فی الثالث، و إنّما الإشکال فی حقیقیة و مجازیته فی الإطلاق الرابع بعد </w:t>
      </w:r>
    </w:p>
    <w:p>
      <w:pPr>
        <w:pStyle w:val="BookText"/>
        <w:rPr/>
      </w:pPr>
      <w:r>
        <w:rPr>
          <w:rFonts w:ascii="IRNazanin" w:hAnsi="IRNazanin" w:eastAsia="IRNazanin"/>
          <w:color w:val="111111"/>
          <w:sz w:val="28"/>
          <w:sz w:val="28"/>
          <w:szCs w:val="28"/>
          <w:rtl w:val="true"/>
          <w:lang w:bidi="fa-IR"/>
        </w:rPr>
        <w:t>عدم الإشکال فی وضع المادّة للجنس و التنوین للتمکّن و هو الدلالة علی تمامیة مدخوله و جریان الإعراب فیه مطلقا، سواء کان المدخول من المعارف أو أسماء الأجناس أو النکرات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الإشکال أمّا فی مجازیته فی الجنس فمن جهة ابتناء المجازیّة فی الجنس علی الالتزام بوضع التنوین فی النکرات للفرد المنتشر علاوة علی وضعه للتمکّن، أو الالتزام بوضع المنوّن و هو الهیئة الترکیبیة للفرد المنتشر، و کلا الالتزامین خلاف الأصل، إذ کما أنّ الأصل عدم تعدّد الوضع فی التنوین، کذلک الأصل عدم حدوث الوضع علی الهیئة الترکیبیة وراء وضع مفرداته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نقل عن المناهج</w:t>
      </w:r>
      <w:r>
        <w:rPr>
          <w:rStyle w:val="FootnoteAnchor"/>
          <w:rtl w:val="true"/>
        </w:rPr>
        <w:footnoteReference w:id="389"/>
      </w:r>
      <w:r>
        <w:rPr>
          <w:rFonts w:ascii="IRNazanin" w:hAnsi="IRNazanin" w:eastAsia="IRNazanin"/>
          <w:color w:val="111111"/>
          <w:sz w:val="28"/>
          <w:sz w:val="28"/>
          <w:szCs w:val="28"/>
          <w:rtl w:val="true"/>
          <w:lang w:bidi="fa-IR"/>
        </w:rPr>
        <w:t>من إرجاع الشک فی حدوث الوضع للهیئة إلی الشک فی الحادث لیکون أصالة عدم وضع الهیئة لما یخالف وضع المفردات معارضا بأصالة عدم وضعها لما یساوی وضع المفردات و مسقطا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وضعه لما یساوی وضع مفرداته إنّما هو عبارة عن الرخصة التابعة لوضع المفردات فی الاستعمال، بل هو عینه و لیس وضع مستقل حتی یوازن الوضع المستقلّ فی المخالفة للأصل حتی یسقطه عن الشأن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الإشکال فی حقیقیته فی الجنس فمن جهة تبادر الغیر و هو الفرد المنتشر منها، و لکن یمکن دفع هذا الإشکال باستناد تبادر الفرد المنتشر منها إلی إطلاق الهیئة الترکیبیة، لا إلی وضع الهیئة أو وضع التنوین له حتی یکون الاستعمال فی الجنس مجازا، و لیس ببعید إن لم یکن قریبا بالنظر إلی غلبة الاشتراک المعنوی علی الاشتراک اللفظی و علی الحقیقة و المجاز</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التنبیه علی امور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 النکرة و هو الفرد المنتشر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المقیّدة بفرد مبهم قد یکون معیّنا عند المتکلّم، کما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رجل، أو عند المخاطب کما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رجل أتاک، و قد لا یکون معیّنا لا عند المتکلّم و لا عند المخاطب کما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جئنی برجل، و لکنّ التعیین الحاصل فی المثالین الأوّلین زائد علی مدلولها و خارج عنه، فهو من المقارنات الاتّفاقیة لا الإرادات اللفظیة کما یوهمه ظاهر ما تقدّم نقله عن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الفرد المنتشر و الحصّة الشائعة هو أنّ تغایر الحصص إضافی و تغایر الأفراد ذاتی، و لعلّنا نتعرض لتفصیل الفرق بینهما فی تعریف المطلق</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 النکرة هل هو عبارة عن مفهوم فرد ما لیکون کلیّا طبیعیا کما هو الظاهر من القوانین</w:t>
      </w:r>
      <w:r>
        <w:rPr>
          <w:rStyle w:val="FootnoteAnchor"/>
          <w:rtl w:val="true"/>
        </w:rPr>
        <w:footnoteReference w:id="390"/>
      </w:r>
      <w:r>
        <w:rPr>
          <w:rFonts w:ascii="IRNazanin" w:hAnsi="IRNazanin" w:eastAsia="IRNazanin"/>
          <w:color w:val="111111"/>
          <w:sz w:val="28"/>
          <w:sz w:val="28"/>
          <w:szCs w:val="28"/>
          <w:rtl w:val="true"/>
          <w:lang w:bidi="fa-IR"/>
        </w:rPr>
        <w:t>و غیره، أو مصداق فرد ما لیکون جزئیا حقیقیّا کما أصرّ علیه صاحب الفصول</w:t>
      </w:r>
      <w:r>
        <w:rPr>
          <w:rStyle w:val="FootnoteAnchor"/>
          <w:rtl w:val="true"/>
        </w:rPr>
        <w:footnoteReference w:id="391"/>
      </w:r>
      <w:r>
        <w:rPr>
          <w:rFonts w:ascii="IRNazanin" w:hAnsi="IRNazanin" w:eastAsia="IRNazanin"/>
          <w:color w:val="111111"/>
          <w:sz w:val="28"/>
          <w:sz w:val="28"/>
          <w:szCs w:val="28"/>
          <w:rtl w:val="true"/>
          <w:lang w:bidi="fa-IR"/>
        </w:rPr>
        <w:t>وفاقا للهدایة</w:t>
      </w:r>
      <w:r>
        <w:rPr>
          <w:rStyle w:val="FootnoteAnchor"/>
          <w:rtl w:val="true"/>
        </w:rPr>
        <w:footnoteReference w:id="392"/>
      </w:r>
      <w:r>
        <w:rPr>
          <w:rFonts w:ascii="IRNazanin" w:hAnsi="IRNazanin" w:eastAsia="IRNazanin"/>
          <w:color w:val="111111"/>
          <w:sz w:val="28"/>
          <w:sz w:val="28"/>
          <w:szCs w:val="28"/>
          <w:rtl w:val="true"/>
          <w:lang w:bidi="fa-IR"/>
        </w:rPr>
        <w:t>مستدلا علیه بأنّ لو احق اسم الجنس من أداة الجمع و التنکیر و التعریف موضوعة بأوضاع حرفیّة بإزاء معان لا حقة لها کسائر الحروف الموضوعة بالوضع العامّ لخصوص المصادیق الجزئیة لا المفاهیم الکلیة، فلفظ رجل و انسان و حیوان و غیرها موضوع بإزاء ماهیات مخصوصة بوضع اسمی، و التنوین الداخلة علیه موضوعة بإزاء تقییدها بفرد لا بعینه، لا باعتبار کونه مفهوما مستقلّا، فیکون معنی اسمیّا، بل باعتبار کونه آلة لملاحظة حال مدخولها کما هو الشأن فی وضع الحروف، إلی آخر تحقیقه الذی عقّبه بأنحاء استعمال اسم الجنس، و قبل التعرّض لردّه ینبغی تقدیم مقدّمة یعرف منها حدّ الکلّی و الجزئی و إن کان بالذات خارجا عن فنّنا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اصطلح أهل المعقول بأنّ المفهوم إن منع نفس تصوّره من وقوع الشرکة فیه فهو جزئی کمفهوم هذا الإنسان، و إن لم یمنع فهو کلّی کمفهوم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مقصودهم من المفهوم هو الصورة الذهنیة من حیث إنّها مدلول لفظ مفرد، و منه یعلم أنّ الکلّیة و الجزئیّة من صفات المعنی بالأصالة و أنّ اتّصاف اللفظ بها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التقیید بنفس تصوّره، إخراج الکلیّات الفرضیة کاللاشی‌ء و اللامکان و اللاوجود عن الجزئی و إدخالها فی الکلّی، فإنّه و إن امتنع صدقها علی شی‌ء بالنظر إلی نقائضها، لکن لا یمتنع ذلک بالنظر إلی مجرّد تصوّرها، و هکذا مفهوم واجب الوجود، حیث إنّ امتناع الشرکة فیه إنّما هو بالدلیل الخارج لا بمجرّد نفس 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وقوع الشرکة فیه، انطباق الأفراد الخارجیّة علیه باعتبار تجرّدها عن قید الخارج و انطباقه علیها باعتبار خروجه عن الذهن، و تقیید الانطباق بالاعتبار إنّما هو لأجل التفصّی عن جزئیة المنطبق و الرکون إلی کلیّته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تمهّدت هذه المقدمة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دلیل صاحب الفصول قدّس سرّه علی جزئیة النکرة فیمکن الخدشة فی صغراه بمنع کون الدالّ علی النکارة هو حرف التنوین، لأنّه إن کان موضوعا لخصوص التمکّن بشرط لا لنافر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أن یکون موضوعا لمطلق التمکّن و أن یکون التنکیر من مقتضیات إطلاق الهیئة الترکیبیة حسبما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مدّعاه فیمکن الخدشة أیضا فیه إجمالا بأنّه إن ارید من جزئیّة رجل کونه کزید و هذا الإنسان فی الجزئیة و امتناع الصدق علی الکثیرین فمن المسلّم بیننا و بینک عدمه و تباینهما فی المفهوم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ارید کونه کالشبح المرئی من البعید فی الجزئیة و إن صدق علی امور </w:t>
      </w:r>
      <w:bookmarkStart w:id="221" w:name="pg12880_153367"/>
    </w:p>
    <w:p>
      <w:pPr>
        <w:pStyle w:val="BookText"/>
        <w:rPr/>
      </w:pPr>
      <w:bookmarkEnd w:id="221"/>
      <w:r>
        <w:rPr>
          <w:rFonts w:ascii="IRNazanin" w:hAnsi="IRNazanin" w:eastAsia="IRNazanin"/>
          <w:color w:val="111111"/>
          <w:sz w:val="28"/>
          <w:sz w:val="28"/>
          <w:szCs w:val="28"/>
          <w:rtl w:val="true"/>
          <w:lang w:bidi="fa-IR"/>
        </w:rPr>
        <w:t>عدیدة فمن البیّن افتراقهما من حیث إنّ الصادق علی الامور العدیدة فی الشبح هو وصفه المجرّد عن التشخّص لا مفهومه المشخّص، و فی الرجل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ارید کون مفهومه کمفهوم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 و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الاستفهامیة فی الدلالة علی أحد أفراد الطبیعة فمن المسلّم ظاهرا افتراقها من حیث دلالة النکرة علی أحد الأفراد المطلقة، و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أحد الأفراد المقیّدة بالتعیین، و قد اعترف به هو أیضا فی تحدید العامّ، حیث علّل اندراج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 دون اندراج النکرة بأنّ النکرة موضوعة للطبیعة المقیّدة بأحد التشخّصات الفردیّة لا بشرط، أی من غیر تعیین لتقییدها بأحدها،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 و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مدلولها طلب تعیین الفرد الموصوف بالوصف المذکور من بین جمیع أفراد مفهومها، فاستغراقها لجمیع الأفراد علی سبیل التردید فی تعیین الفرد المقیّد منها بالوصف وضعی، بخلاف استغراق النکرة، فإنّه بقرینة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کون النکرة مفترقة عن اسم الجنس من حیث إنّ صدق اسم الجنس علی الکثیر علی وجه الشمول و صدق النکرة علی وجه البدل فمسلّم، لکن غایة ما یجدی کون النکرة جزئیا إضافیا لا جزئیا حقیقیا، فجزئیة النکرة لیس کجزئیة زید بالنسبة إلی الإنسان، بل هو کجزئیة النوع و الفصل بالنسبة إلی الجنس القریب، و الجنس القریب بالنسبة إلی الجنس المتوسط، و المتوسط إلی البعید بالنسبة إلی الأبعد و هکذا</w:t>
      </w:r>
      <w:r>
        <w:rPr>
          <w:rFonts w:eastAsia="IRNazanin" w:cs="IRNazanin"/>
          <w:color w:val="111111"/>
          <w:sz w:val="28"/>
          <w:szCs w:val="28"/>
          <w:rtl w:val="true"/>
          <w:lang w:bidi="fa-IR"/>
        </w:rPr>
        <w:t>.</w:t>
      </w:r>
    </w:p>
    <w:p>
      <w:pPr>
        <w:pStyle w:val="Heading4"/>
        <w:numPr>
          <w:ilvl w:val="3"/>
          <w:numId w:val="1"/>
        </w:numPr>
        <w:rPr/>
      </w:pPr>
      <w:bookmarkStart w:id="222" w:name="__RefHeading___Toc2986453_3224264995"/>
      <w:bookmarkStart w:id="223" w:name="_Toc85"/>
      <w:bookmarkEnd w:id="222"/>
      <w:r>
        <w:rPr>
          <w:rtl w:val="true"/>
        </w:rPr>
        <w:t>[</w:t>
      </w:r>
      <w:r>
        <w:rPr>
          <w:rtl w:val="true"/>
        </w:rPr>
        <w:t>و من جملة أسباب العموم ما اشتهر نقله عن الشافعی من أنّ ترک الاستفصال</w:t>
      </w:r>
      <w:r>
        <w:rPr>
          <w:rtl w:val="true"/>
        </w:rPr>
        <w:t>]</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أسباب العموم ما اشتهر نقله عن الشافعی</w:t>
      </w:r>
      <w:r>
        <w:rPr>
          <w:rStyle w:val="FootnoteAnchor"/>
          <w:rtl w:val="true"/>
        </w:rPr>
        <w:footnoteReference w:id="393"/>
      </w:r>
      <w:r>
        <w:rPr>
          <w:rFonts w:ascii="IRNazanin" w:hAnsi="IRNazanin" w:eastAsia="IRNazanin"/>
          <w:color w:val="111111"/>
          <w:sz w:val="28"/>
          <w:sz w:val="28"/>
          <w:szCs w:val="28"/>
          <w:rtl w:val="true"/>
          <w:lang w:bidi="fa-IR"/>
        </w:rPr>
        <w:t>من أنّ ترک الاستفصال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حکایة الحال مع قیام الاحتمال ینزّل منزلة العموم فی المقال و أنّ حکایات الأحوال إذا تطرّق علیها الاحتمال کساها ثوب الإجمال و سقط بها </w:t>
      </w:r>
    </w:p>
    <w:p>
      <w:pPr>
        <w:pStyle w:val="BookText"/>
        <w:rPr/>
      </w:pPr>
      <w:r>
        <w:rPr>
          <w:rFonts w:ascii="IRNazanin" w:hAnsi="IRNazanin" w:eastAsia="IRNazanin"/>
          <w:color w:val="111111"/>
          <w:sz w:val="28"/>
          <w:sz w:val="28"/>
          <w:szCs w:val="28"/>
          <w:rtl w:val="true"/>
          <w:lang w:bidi="fa-IR"/>
        </w:rPr>
        <w:t>الاستدلال، و تتمّ البصیرة و التحقیق بتقدیم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ألفاظ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المراد من ترک الاستفصال فی حکایات الأحوال فواضح، و أمّا المراد من الاحتمال فهو الاحتمال المتواطی بالنسبة إلی أفراده، أو المشکّک بالتشکیک البدوی دون الجالب لانصراف اللفظ إلیه، للاتّفاق علی عدم شمول المطلق الأفراد النادرة، إلّا ما حکی عن المرتضی من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من الاحتمال الاحتمال الناشئ عن اشتمال السؤال علی المشترک المعنوی لا اللفظی، و ذلک لما فی المشترک المعنوی الواقع فی السؤال من الإطلاق الممکن تنزیله فی الجواب منزلة العموم قضاء التطابق، و فی المشترک اللفظی من التقیید و الإجمال المانع من تنزیله منزلة العموم إلّا بقیام قرینة علی عموم الاشتراک فی السؤال حتی یقتضی قاعدة الغلبة تطبیق الجواب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إرادة عموم الاشتراک من السؤال یحتاج إلی قرینة صارفة و الأصل عدمها عند الشک، کذلک إرادة خصوص کلّ من معانی المشترک أیضا یحتاج إلی قرینة معیّنة و الأصل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المحتاج إلی القرینة فی عموم الاشتراک إنّما هو نفس إرادة عموم الاشتراک، و فی إرادة خصوص أحد معانی المشترک إنّما هو إرادة تعیین المراد، لا نفس إرادته، فلا یحتاج نفس الإرادة إلیها عند عدم الداعی إلی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احتیاج کلّ من الإرادتین للقرینة، إلّا أنّ غلبة احتفاف المجملات اللفظیة بالقرائن المعیّنة واردة علی أصالة عدم القرینة المعیّنة، بخلاف القرینة الصارفة عن التعیین، حیث إنّها سلیمة عن ورود وارد علیها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فالتقیید بالاحتمال مخرج للمعلوم أحد طرفیه، حیث لا مسرح للتنزیل بعد العلم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المراد من التنزیل فهو الإشارة إلی أنّ عموم ترک الاستفصال حکمتی لا وضعی، و من جملة فروق العموم الحکمتی عن العموم الوضعی انصرافه إلی الأفراد الشائعة دون النادرة و جواز تقییده إلی أن یبقی فرد کالمطلق، بخلاف العموم الوضعی، فإنّه یشمل الأفراد النادرة، و لا یجوز تخصیصه بأکثر ممّا یقرب من مدلول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القاعدتین و إن کانتا متنافیتین بحسب الظاهر، إلّا أنّ طریق الجمع بینهما ما استظهره فی القوانین</w:t>
      </w:r>
      <w:r>
        <w:rPr>
          <w:rStyle w:val="FootnoteAnchor"/>
          <w:rtl w:val="true"/>
        </w:rPr>
        <w:footnoteReference w:id="394"/>
      </w:r>
      <w:r>
        <w:rPr>
          <w:rFonts w:ascii="IRNazanin" w:hAnsi="IRNazanin" w:eastAsia="IRNazanin"/>
          <w:color w:val="111111"/>
          <w:sz w:val="28"/>
          <w:sz w:val="28"/>
          <w:szCs w:val="28"/>
          <w:rtl w:val="true"/>
          <w:lang w:bidi="fa-IR"/>
        </w:rPr>
        <w:t>و الضوابط</w:t>
      </w:r>
      <w:r>
        <w:rPr>
          <w:rStyle w:val="FootnoteAnchor"/>
          <w:rtl w:val="true"/>
        </w:rPr>
        <w:footnoteReference w:id="395"/>
      </w:r>
      <w:r>
        <w:rPr>
          <w:rFonts w:ascii="IRNazanin" w:hAnsi="IRNazanin" w:eastAsia="IRNazanin"/>
          <w:color w:val="111111"/>
          <w:sz w:val="28"/>
          <w:sz w:val="28"/>
          <w:szCs w:val="28"/>
          <w:rtl w:val="true"/>
          <w:lang w:bidi="fa-IR"/>
        </w:rPr>
        <w:t>من أنّهما قاعدتان مختلفا المورد، فمورد الاولی وقوع المطلق فی جواب السؤال عن مسئول محتمل للتفصیل من حیث إنّه مسبوق بالسؤال کما فی جوابه علیه السّلام السائل عن إنسان وقع فی البئر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ینزح سبعین دلوا</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من دون أن یفصّل أنّ الواقع مسلم أو کافر ذکر أو أنثی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مورد الثانیة نقل فعل غیر معلوم الوجه عن الإمام علیه السّلام لا من حیث إنّه مسبوق بالسؤال کالصلاة علی الراحلة مع عدم العلم بأنّها نافلة أو واجبة، کما أنّ الأعرابی قال هلکت و أهلکت واقعت أهلی فی نهار رمضان فقال علیه السّلام کفر</w:t>
      </w:r>
      <w:r>
        <w:rPr>
          <w:rStyle w:val="FootnoteAnchor"/>
          <w:rtl w:val="true"/>
        </w:rPr>
        <w:footnoteReference w:id="397"/>
      </w:r>
      <w:r>
        <w:rPr>
          <w:rFonts w:ascii="IRNazanin" w:hAnsi="IRNazanin" w:eastAsia="IRNazanin"/>
          <w:color w:val="111111"/>
          <w:sz w:val="28"/>
          <w:sz w:val="28"/>
          <w:szCs w:val="28"/>
          <w:rtl w:val="true"/>
          <w:lang w:bidi="fa-IR"/>
        </w:rPr>
        <w:t>، فهذا الجواب بالنسبة إلی الوقاع من باب ترک الاستفصال و هو من هذه الجهة مسبوق بالسؤال، و أمّا من حیث الأعرابیة و الأهل فهو من باب حکایات الأحوال، و من هذه الجهة غیر مسبوق بالسؤال، فیحتاج التعدّی إلی غیر الأعرابی و الأهل إلی دلیل خارجی، فتلک الروایة من جهة مثال للأوّل، و من جهة مثال للثانی، فلا بدّ من أخذ قید الحیثیّة و الجهة، فاندفع التناقض بین الکلامین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تأسیس الأصل بین ما إذا اشتبه کلام بأنّه من أیّ الموردین، و لا ریب أنّ أصالة عدم اعتبار العموم یقتضی إلحاق المشتبه بمورد القاعدة الثانیة لا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الحادث لا الحدوث، فأصالة عدم اعتبار العموم معارض بأصالة عدم اعتبار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المعارض الذی لم یترتّب علیه أثر أو ترتّب علیه أقلّ ما یترتّب علی الآخر لا یصلح للمعارضة للآخر و یرجع الشک فیه إلی الشک فی الحدوث کما لا یخفی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تأسیس الأصل فی المسألة،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الاصول اللفظیة و الاجتهادیة فلا شی‌ء فی البین، و أمّا من الاصول العملیة و الفقاهتیة فالموجود أصالة العدم و استصحابه، و تشخیص کونه مع المثبت أو النافی یتوقّف علی تشخیص کون النزاع فی اقتضاء ترک الاستفصال للعموم و عدمه، أو فی مانعیّة علم المسئول، أو احتمال شی‌ء من فوائد غیر العموم عن العموم و عدمه، و مقتضی ظاهر العنوان و تمسّک صاحب الوافیة</w:t>
      </w:r>
      <w:r>
        <w:rPr>
          <w:rStyle w:val="FootnoteAnchor"/>
          <w:rtl w:val="true"/>
        </w:rPr>
        <w:footnoteReference w:id="398"/>
      </w:r>
      <w:r>
        <w:rPr>
          <w:rFonts w:ascii="IRNazanin" w:hAnsi="IRNazanin" w:eastAsia="IRNazanin"/>
          <w:color w:val="111111"/>
          <w:sz w:val="28"/>
          <w:sz w:val="28"/>
          <w:szCs w:val="28"/>
          <w:rtl w:val="true"/>
          <w:lang w:bidi="fa-IR"/>
        </w:rPr>
        <w:t>لنفی العموم بأصالة علم المسئول کون النزاع فی المقتضی، فالأصل مع النافی، کما أنّ مقتضی تمسّک صاحب القوانین</w:t>
      </w:r>
      <w:r>
        <w:rPr>
          <w:rStyle w:val="FootnoteAnchor"/>
          <w:rtl w:val="true"/>
        </w:rPr>
        <w:footnoteReference w:id="399"/>
      </w:r>
      <w:r>
        <w:rPr>
          <w:rFonts w:ascii="IRNazanin" w:hAnsi="IRNazanin" w:eastAsia="IRNazanin"/>
          <w:color w:val="111111"/>
          <w:sz w:val="28"/>
          <w:sz w:val="28"/>
          <w:szCs w:val="28"/>
          <w:rtl w:val="true"/>
          <w:lang w:bidi="fa-IR"/>
        </w:rPr>
        <w:t>فی إثبات العموم بأصالة عدم علم المسئول کون النزاع فی وجود المانع و إن کان الأصل فی کلّ من الطرفین مثبت للعموم أو ناف له، فلا یترتب علیه بواسطة إثبات العموم أو نفیه أثر شرعی إلّا عند من اعتبره من باب الظنّ، لا الأخبار کما لا یخفی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تعداد الأقوال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بإفادته العموم مطلقا </w:t>
      </w:r>
    </w:p>
    <w:p>
      <w:pPr>
        <w:pStyle w:val="BookText"/>
        <w:rPr/>
      </w:pPr>
      <w:r>
        <w:rPr>
          <w:rFonts w:ascii="IRNazanin" w:hAnsi="IRNazanin" w:eastAsia="IRNazanin"/>
          <w:color w:val="111111"/>
          <w:sz w:val="28"/>
          <w:sz w:val="28"/>
          <w:szCs w:val="28"/>
          <w:rtl w:val="true"/>
          <w:lang w:bidi="fa-IR"/>
        </w:rPr>
        <w:t>حکاه القوانین</w:t>
      </w:r>
      <w:r>
        <w:rPr>
          <w:rStyle w:val="FootnoteAnchor"/>
          <w:rtl w:val="true"/>
        </w:rPr>
        <w:footnoteReference w:id="400"/>
      </w:r>
      <w:r>
        <w:rPr>
          <w:rFonts w:ascii="IRNazanin" w:hAnsi="IRNazanin" w:eastAsia="IRNazanin"/>
          <w:color w:val="111111"/>
          <w:sz w:val="28"/>
          <w:sz w:val="28"/>
          <w:szCs w:val="28"/>
          <w:rtl w:val="true"/>
          <w:lang w:bidi="fa-IR"/>
        </w:rPr>
        <w:t>عن جماعة من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بالعدم مطلقا، حکاه الاستاد دام ظلّه عن العلّامة فی التهذیب</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بینما إذا علم أنّ المسئول یعلم بالحال علی النهج الذی وقع فی نفس الأمر فینصرف إلی الواقعة حسب ما وقع فی نفس الأمر من غیر عموم، و بین باقی الصور فینزّل علی العموم، و هو المختار وفاقا للقوانین</w:t>
      </w:r>
      <w:r>
        <w:rPr>
          <w:rStyle w:val="FootnoteAnchor"/>
          <w:rtl w:val="true"/>
        </w:rPr>
        <w:footnoteReference w:id="402"/>
      </w:r>
      <w:r>
        <w:rPr>
          <w:rFonts w:ascii="Amiri" w:hAnsi="Amiri" w:eastAsia="Amiri" w:cs="Amiri"/>
          <w:color w:val="111111"/>
          <w:sz w:val="28"/>
          <w:sz w:val="28"/>
          <w:szCs w:val="28"/>
          <w:rtl w:val="true"/>
          <w:lang w:bidi="ar-SA"/>
        </w:rPr>
        <w:t>و استادنا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احتمل أنّ المسئول یعلم بالحال علی النهج الذی وقع فی نفس الأمر فینصرف إلی الواقعة من غیر عموم، و بین باقی الصور فینزّل علی العموم، حکاه الاستاد عن صاحب الوافیة قدّس سرّه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علم کلّ منهما بالواقعة و یعلم الآخر بعلمه بالواقعة، فینصرف إلی الواقعة من غیر عموم، و بینما إذا فقد أحد العلوم السنّة فینزّل علی العموم، کما ارتضاه صاحب الضوابط</w:t>
      </w:r>
      <w:r>
        <w:rPr>
          <w:rStyle w:val="FootnoteAnchor"/>
          <w:rtl w:val="true"/>
        </w:rPr>
        <w:footnoteReference w:id="404"/>
      </w:r>
      <w:r>
        <w:rPr>
          <w:rFonts w:ascii="IRNazanin" w:hAnsi="IRNazanin" w:eastAsia="IRNazanin"/>
          <w:color w:val="111111"/>
          <w:sz w:val="28"/>
          <w:sz w:val="28"/>
          <w:szCs w:val="28"/>
          <w:rtl w:val="true"/>
          <w:lang w:bidi="fa-IR"/>
        </w:rPr>
        <w:t>، و المراد من العلم فی تلک التفاصیل ما یعمّ الظن بناء علی حجّیة الظن و اعتباره فی الأوضاع، و إلا فلا یعمّ الظن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هذه المقدمات فاعلم أنّ ترک الاستفصال إمّا فی جواب السؤال عن قضیّة وقعت علی حالة من أحوالاتها المحتملة لها، أو عن قضیة علی تقدیر وقوعها علی حالة من أحوالاتها المحتملة لها، و علی الأوّل إمّا أن یعلم بعلم المسئول بحال الواقعة علی النهج الواقع فی نفس الأمر، أو یعلم بعدم علمه به، أو </w:t>
      </w:r>
    </w:p>
    <w:p>
      <w:pPr>
        <w:pStyle w:val="BookText"/>
        <w:rPr/>
      </w:pPr>
      <w:r>
        <w:rPr>
          <w:rFonts w:ascii="IRNazanin" w:hAnsi="IRNazanin" w:eastAsia="IRNazanin"/>
          <w:color w:val="111111"/>
          <w:sz w:val="28"/>
          <w:sz w:val="28"/>
          <w:szCs w:val="28"/>
          <w:rtl w:val="true"/>
          <w:lang w:bidi="fa-IR"/>
        </w:rPr>
        <w:t>یشکّ، فهذه صور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 فلا عموم فی جوابه، بل إنّما هو منصرف إلی الواقعة حسب ما وقع، إذ لا مقتضی للعموم لا فی السؤال و لا فی الجواب، فالأصل و الظاهر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سؤاله فلأنّ المفروض کونه سؤالا عن الواقعة حسب ما وقع، و أمّا فی جوابه فلظهوره فی التطابق له، فإرادة العموم فیه مبنیّ إمّا علی التجوز فی سؤاله بأن یقصد من القضیة الواقعة قضیة علی تقدیر وقوعها، و إمّا علی التجوّز فی جوابه بأن یحمل علی عدم التطابق، و فی کلّ من التجوّزین خلاف أصل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خلاف ظاهرا فیما ذکرنا لهذه الصورة من الحکم بعدم العموم إلّا من صاحب الضوابط</w:t>
      </w:r>
      <w:r>
        <w:rPr>
          <w:rStyle w:val="FootnoteAnchor"/>
          <w:rtl w:val="true"/>
        </w:rPr>
        <w:footnoteReference w:id="405"/>
      </w:r>
      <w:r>
        <w:rPr>
          <w:rFonts w:ascii="IRNazanin" w:hAnsi="IRNazanin" w:eastAsia="IRNazanin"/>
          <w:color w:val="111111"/>
          <w:sz w:val="28"/>
          <w:sz w:val="28"/>
          <w:szCs w:val="28"/>
          <w:rtl w:val="true"/>
          <w:lang w:bidi="fa-IR"/>
        </w:rPr>
        <w:t>حیث اعتبر فی الحکم بعدم عمومه تحقّق العلوم الثلاثة فی کلّ من طرفی السائل و المسئول زاعما لزوم حمله علی العموم مع فقد کلّ واحد من العلوم الستّة حذرا من وقوع السائل بالجهل، مع تسلیمه بأنّ مجرّد علم المسئول هو القرینة الصارفة عن العموم و أنّ سائر ما اعتبر من العلوم قرینة علی قرینیّته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 ردّه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باستلزامه القول بالعموم فی جمیع الصور الأربعة المفروضة، و هو خلاف الاتّفاق ظاهرا، و وجه اللزوم أنّه لا یکاد یوجد صورة الحکم بعدم العموم بعد اعتبار تحقّق العلوم الستّة فیها إلّا بمجرّد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بجمیع القرائن العقلیّة و الحالیّة سیّما الخفیّة منها، حیث استقرّت سیرة العقلاء و بناء العرف علی جواز تعویل المتکلّمین علیها من غیر نصب ما یرشد المخاطب إلی تعویل المتکلّم علیها و یردعه عن الوقوع بالجهل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بالحلّ و هو أنّ عدم الإتیان بالقرینة عند إرادة خلاف الظاهر لا </w:t>
      </w:r>
    </w:p>
    <w:p>
      <w:pPr>
        <w:pStyle w:val="BookText"/>
        <w:rPr/>
      </w:pPr>
      <w:r>
        <w:rPr>
          <w:rFonts w:ascii="IRNazanin" w:hAnsi="IRNazanin" w:eastAsia="IRNazanin"/>
          <w:color w:val="111111"/>
          <w:sz w:val="28"/>
          <w:sz w:val="28"/>
          <w:szCs w:val="28"/>
          <w:rtl w:val="true"/>
          <w:lang w:bidi="fa-IR"/>
        </w:rPr>
        <w:t>یوجب لحن الکلام و استهجانه عرفا، مع أنّ مجرّد اللحن و الاستهجان لا یقتضی الإتیان، و إنّما المقتضی لإتیان المتکلّم بالقرینة هو دفع إیقاع المخاطب فی الجهل أو دفع وقوعه فیه، و اللازم علی المتکلّم من باب الاحتراز، و التخلّص عن قبح الإغراء بالجهل إنّما هو القسم الأوّل من القرینة دون القسم الثانی منها، فإنّه لطف زائد لا یوجب العقل و العرف مراعاته علی المتکلّم الحکیم، کما لا یوجب علیه سائر الألطاف الزائدة علی ما یقتضیه العقل و الحکمة، فإنّ غایة ما یوجبه العقل و الحکمة إنّما هو معذوریة المخاطب الواقع فی الجهل إذا کان من قصور لا تقصیر دون لزوم صونه علی المتکلّم من جمیع ما یحتمل وقوعه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فما یقبح علی المتکلّم إنّما هو إعلامه المخاطب خلاف المقصود دون إعلامه المقصود، أ لا تری جواز استعمال المشترک من غیر نصب قرینة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صورة العلم بعدم علم المسئول بحال الواقعة و النهج الواقع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خلاف ظاهرا فی حمل جوابها علی العموم قضاء لما فی ظاهر السؤال من الإطلاق و ظاهر الجواب من التطابق، فالخطاب بما له ظاهر و إرادة خلافه فرع ثبوت القرینة و هو علم المجیب و اطّلاعه، و المفروض ثبوت عدمها، هذا ممّا لا خلاف فیه، إنّما الخلاف فی وجود الصغری و هو الجهل فی حقّ المعصوم الذی هو محطّ النظر فی المسألة و هو الخلاف المعروف بأنّ علم المعصوم علیه السّلام حصولی أو إرادی، و قد تعارضت الأخبار المستفیضة و بعض الآیات الشریفة فیه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لنا الإعراض عن هذا الخلاف بعدم ترتّب ثمرة علیه لا من الأحکام الفرعیة و لا من الاصول الاعتقادیة حتی یحتاج إلی تجشّم الترجیح أو الجمع بین الأخبار و الآیات بحمل المثبت للعلم علی العلم الإرادی و النافی علی العلم </w:t>
      </w:r>
    </w:p>
    <w:p>
      <w:pPr>
        <w:pStyle w:val="BookText"/>
        <w:rPr/>
      </w:pPr>
      <w:r>
        <w:rPr>
          <w:rFonts w:ascii="IRNazanin" w:hAnsi="IRNazanin" w:eastAsia="IRNazanin"/>
          <w:color w:val="111111"/>
          <w:sz w:val="28"/>
          <w:sz w:val="28"/>
          <w:szCs w:val="28"/>
          <w:rtl w:val="true"/>
          <w:lang w:bidi="fa-IR"/>
        </w:rPr>
        <w:t>الحصولی کما ادعی الوفاق علیه إلّا من بعض تبعة أهل الغلوّ و الصوفیة، أو بحمل المثبت للعلم علی علم الأحکام و ما یرتبط به الأحکام، و النافی علی علم ما لا یرتبط به الأحکام، کما احتمله الاستاد من وجوه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عدم ترتّب حکم فرعی علیه فلأنّه و إن ثبت العلم الحصولی للمعصوم إلّا ان من الاتّفاقیات عدم تکلیفه بمعاملة الناس فی شی‌ء من أحکام الاسلام به، بل کان من سیرته و آثاره الواصلة إلینا معاشرة الناس و معاملتهم علی حسب الطرق المتعارفة الظاهریة و العلوم المتداولة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عدم ترتّب أصل اذعانی علیه فلأنّ فی مجرّد الإذعان بالمقدّمة الکبرویة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الإذعان بأنّ کلّ صفة من الصفات الکمالیة الخاصّة بواجب الوجود عقلا أو شرعا غیر موجودة فی المعصوم علیه السّلام و أنّ کلّ صفة من الصفات الکمالیة الممکنة للممکنات موجودة فی المعصوم علیه السّلام کفایة و غنیة عن لزوم تشخیص الموارد الجزئیة و الإذعان بکلّ فرد فرد تفصیلا، سیّما إذا لم یقم علی التشخیص دلیل قطعی أو ظنّی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جهل المکلّف بشرب المعصوم علیه السّلام التتن و عدمه لا یوجب نقصا فی المعصوم علیه السّلام بعد الإذعان بأنّه إن کان من المحرّمات لم یشربه، و إن کان المباحات شربه، و لا نقصا فی المکلّف بعد ملاحظة أخبار البراءة و أخبار الکفّ و السکوت عمّا لا یعلمون التی من جملتها قوله علیه السّلام حیث سئل علیه السّلام ما حق اللّه علی خلقه فأجاب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یقولوا ما یعلمون و یکفّوا عمّا لا یعلمون، فإذا فعلوا ذلک فقد أدّوا إلی اللّه حقه</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أخبار تحدید الإیمان و الدین بتصدیق کلّ ما جاء به النبی إجمالا بعد </w:t>
      </w:r>
    </w:p>
    <w:p>
      <w:pPr>
        <w:pStyle w:val="BookText"/>
        <w:rPr/>
      </w:pPr>
      <w:r>
        <w:rPr>
          <w:rFonts w:ascii="IRNazanin" w:hAnsi="IRNazanin" w:eastAsia="IRNazanin"/>
          <w:color w:val="111111"/>
          <w:sz w:val="28"/>
          <w:sz w:val="28"/>
          <w:szCs w:val="28"/>
          <w:rtl w:val="true"/>
          <w:lang w:bidi="fa-IR"/>
        </w:rPr>
        <w:t>التصدیق بالتوحید و الشهادتین و الولایة و الصوم و الصلاة و الزکاة و الحج</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أجاد استادنا العلّامة دام ظلّه فی جواب بعض السائلین عن نجاسة دم الإمام و طهارته بأنّه إن ارید من نجاسة دمه ما یوجب فیه منقصة رتبة الإمامة من القذارة و الخباثة الموجودة من سائر الدماء فکلّا، و إن ارید منه ما یوجب الغسل و الإزالة و لو لأجل حمی الحمی فنعم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صورة الشکّ فی علم المسئول فیلحق بصورة العلم بعلمه، نظرا إلی رجوعه إلی الشکّ فی وجود المقتضی للعموم، و الأصل عدمه، لا إلی الشک فی وجود المانع و وجود القرینة الصارفة حتی یکون الأصل عدمه، فیلحق بصورة العلم بجهله و عدم علمه، و ذلک لأنّ عموم ترک الاستفصال حکمتی لا لفظی حتی یکون علم المسئول مانعا و صارفا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عدم علم المسئول عند الشک فلا یستلزم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زعمه صاحب القوانین</w:t>
      </w:r>
      <w:r>
        <w:rPr>
          <w:rStyle w:val="FootnoteAnchor"/>
          <w:rtl w:val="true"/>
        </w:rPr>
        <w:footnoteReference w:id="408"/>
      </w:r>
      <w:r>
        <w:rPr>
          <w:rFonts w:ascii="IRNazanin" w:hAnsi="IRNazanin" w:eastAsia="IRNazanin"/>
          <w:color w:val="111111"/>
          <w:sz w:val="28"/>
          <w:sz w:val="28"/>
          <w:szCs w:val="28"/>
          <w:rtl w:val="true"/>
          <w:lang w:bidi="fa-IR"/>
        </w:rPr>
        <w:t>و الضوابط</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القول بحجّیة الاصول المثبتة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قد اورد علی أصل مجراه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بمعارضة مقتضی أصالة عدم العلم للعلم الإجمالی بوجود صورة أو صور علم فیها الإمام علیه السّلام بالواقعة، و لا ریب أنّ الحکم فیما علم الامام علیه السّلام بالواقعة هو الإجمال و عدم العموم، و إذا احتمل کلّ من تلک الوقائع أن تکون هی الواقعة المعلومة للإمام علیه السّلام صار الشک فی الحادث، فحینئذ أن اجریت الأصل فی کلّ الوقائع المشکوکة لزم طرح العلم الإجمالی، و إن اجریته فی بعض الوقائع دون بعض لزم الترجیح بلا مرجّح، فلا بدّ من عدم إجراء الأصل رأسا و الحکم بالإجمال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فی علم الإمام علیه السّلام بالواقعة ناشئ عن ذلک العلم الإجمالی بوجود صورة أو صور علم فیها و لا یظهر اندراج هذا الشک فی النهی الوارد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الجواب عن الأوّل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بأنّه لو عورض أصالة العدم فی المقام بما ذکر لعورض جمیع الاصول العدمیّة بنحوه، بل الاصول الوجودیة أیضا کأصالة عدم النقل و الاشتراک و عدم القرینة، ضرورة وجود العلم الاجمالی بهذا المعنی بین الوقائع المشکوکة بوجود نقل أو اشتراک أو قرینة فبما یجیب 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هو أنّ العلم الإجمالی المعتبر إنّما هو العلم الإجمالی بالنسبة إلی کلّ واحد واحد من العلوم لا بالنسبة إلی القضایا المنتزعة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الإجمالی لا یصدق علی المشکوکات المعلومة طرفیها تفصیلا کالشک فی اشتغال ذمتی لأحد بخمسة دراهم أو بستّة، حیث إنّ أحد طرفی الستّة و هو الخمسة معلوم الاشتغال به تفصیلا و الطرف الآخر و هو السبعة معلوم العدم تفصیلا، بل إنّما یصدق علی المشکوکات الغیر المعلومة طرفیها کالشکّ فی اشتغال ذمّتی لأحد بدرهم أو بثوب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علاوة صاحب الضوابط</w:t>
      </w:r>
      <w:r>
        <w:rPr>
          <w:rStyle w:val="FootnoteAnchor"/>
          <w:rtl w:val="true"/>
        </w:rPr>
        <w:footnoteReference w:id="411"/>
      </w:r>
      <w:r>
        <w:rPr>
          <w:rFonts w:ascii="IRNazanin" w:hAnsi="IRNazanin" w:eastAsia="IRNazanin"/>
          <w:color w:val="111111"/>
          <w:sz w:val="28"/>
          <w:sz w:val="28"/>
          <w:szCs w:val="28"/>
          <w:rtl w:val="true"/>
          <w:lang w:bidi="fa-IR"/>
        </w:rPr>
        <w:t>علی الجواب بتسلیم العلم الإجمالی فی المسألة و المنع من اعتباره بین امور غیر محصورة عادة، فمردودة بأنّ عدم اعتباره بین الامور الغیر المحصورة بقاعدة نفی العسر و الحرج إنّما هو فی غیر الألفاظ، و أمّا فی الألفاظ فالعلم الإجمالی بتقیید أحد المطلقات مخلّ بظهور جمیعها سیّما علی القول باعتبارها من باب الظن الشخصی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کون الشکّ ناشئا من العلم الإجمالی بالقضیة الجزئیة، </w:t>
      </w:r>
    </w:p>
    <w:p>
      <w:pPr>
        <w:pStyle w:val="BookText"/>
        <w:rPr/>
      </w:pPr>
      <w:r>
        <w:rPr>
          <w:rFonts w:ascii="IRNazanin" w:hAnsi="IRNazanin" w:eastAsia="IRNazanin"/>
          <w:color w:val="111111"/>
          <w:sz w:val="28"/>
          <w:sz w:val="28"/>
          <w:szCs w:val="28"/>
          <w:rtl w:val="true"/>
          <w:lang w:bidi="fa-IR"/>
        </w:rPr>
        <w:t>بل قد یحصل الشک مع عدم العلم بالعلم الإجمالی بالقضیّة الجزئیة أو مع الغضّ عنها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لفظ الشکّ و الیقین فی الحدیث عامّ فیشمل 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معلول یستحیل وجوده فی الخارج بدون وجود علّته و إن کانت العلّة نفس الشک و الوهم، فالشکّ قد یحصل بسبب حصول الوهم، و قد یحصل بسبب أمر یقینی، و علی أیّ التقدیرین إنّما تسبّب عن شی‌ء یقینی، فإن بنی علی ذلک لا یوجد مورد لتلک الروایة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الرابعة فهی کالصورة الثانیة فی الوفاق ظاهرا علی عموم الجواب فیها قضاء لما فی ظاهر السؤال من العموم و الإطلاق و ظاهر الجواب من التطابق و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تحصّل ممّا ذکرنا أنّ المطلق فی جواب السؤال مع جهل المسئول إن تواطأت أفراده أو تشکّکت بالتشکیک البدوی حمل علی العموم، و إن تشکّکت بالأندریة المعبّر عنه فی لسان بعض المتأخّرین بمبیّن العدم حمل علی الشائع اتّفاقا، و إن تشکّکت بالندور المعبّر عنه فی لسان بعض المتأخّرین بالمضرّ الإجمالی ففی دخول النادر کالمساوی أو خروجه کالأندر، أو التفصیل بین التفات المتکلّم به فیدخل و عدمه فلا وجوه، ذهب إلی الأوّل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الثانی المشهور، و هو الأظهر، و إلی الثالث صاحب الضوابط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مستند دخوله فمقتضی الحقیقة الأصلیة اللغویة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مستند خروجه فهل هو مقتضی الدلیل الفقاهتی کالأخذ بالأفراد الشائعة من باب القدر المتیقّن، أو مقتضی الدلیل الاجتهادی کالنقل عرفا عن المعنی الکلّی لغة أو الاشتراک، أو المجاز المشهور، أو کون الشهرة قرینة علی تعیین الأفراد الشائعة، أو کون العقل و الحکمة قرینة علی التعیین أو دلیلا مستقلا علیه لیکون </w:t>
      </w:r>
    </w:p>
    <w:p>
      <w:pPr>
        <w:pStyle w:val="BookText"/>
        <w:rPr/>
      </w:pPr>
      <w:r>
        <w:rPr>
          <w:rFonts w:ascii="IRNazanin" w:hAnsi="IRNazanin" w:eastAsia="IRNazanin"/>
          <w:color w:val="111111"/>
          <w:sz w:val="28"/>
          <w:sz w:val="28"/>
          <w:szCs w:val="28"/>
          <w:rtl w:val="true"/>
          <w:lang w:bidi="fa-IR"/>
        </w:rPr>
        <w:t>دلالة المطلق علی الأفراد الشائعة من قبیل الدالّین و المدلولین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أنّ فرض المطلق حقیقة فی الطبیعة الکلیّة لمّا لم یستلزم الحکم علیه علی الأفراد إلّا بمقدار الاحتراز عن قبح اللغویة و العبثیة، و کان التعیین ممّا تحت الأفراد الشائعة ترجیح بلا مرجّح و ممّا فوقها ترجیح للمرجوح، تعیّنت الأفراد الشائعة بمقتضی دلیل الحکمة أو قرینیّته و أقرب وجوه انصرافه إلی الأفراد الشائعة هو مقتضی النقل أو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مقتضی کلّ من الاشتراک أو المجاز المشهور أو القدر المتیقن هو التوقّف و التردید فی مفاد اللفظ و المفروض عدمه و مقتضی الشهرة ان کان کثرة الوجود و إن لم یستعمل فلیس بقرینة معاندة و المفروض أنّ المجاز هو ملزوم لقرینة معاندة، و إن کان کثرة الاستعمال، فان لم یصل إلی حدّ النقل لم یوجب الانصراف، و إن وصل إلی حدّ النقل فالموجب للانصراف، هو النقل لا کثرة الاستعمال، و هذا وجه من أنکر وقوع المجاز المشهور و جعله من المفاهیم الفرضیة التی لا مصداق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مستند التفصیل فهو أنّ الشک فی شمول المطلق الأفراد النادرة و عدمه لو لم یکن لأجل الشک فی التفات المتکلّم إلی النادر و عدمه لا ندرج هذا المطلق تحت المجملات المرادیّة مع الالتفات إلی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اللازم باطل فالملزوم مثله، بیان الملازمة واضح، و أمّا بطلان اللازم فلأنّه لو اندرج هذا المطلق تحت المجملات المرادیة لکان ینبغی الخلاف أقلّ فی جواز تأخیر البیان و عدمه فیه علی حسب الخلاف فی جواز تأخیر البیان فی سائر المجملات المرادیة، و الحال أنّهم مطبقون علی جواز تأخیر بیان هذا 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الاتّفاق علی جواز تأخیر بیانه الکاشف عن عدم اجماله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لکنّه اتّفاق تقییدی لم یتبیّن کونه من جهة عدم الإجمال، بل </w:t>
      </w:r>
      <w:bookmarkStart w:id="224" w:name="pg12880_153379"/>
    </w:p>
    <w:p>
      <w:pPr>
        <w:pStyle w:val="BookText"/>
        <w:rPr/>
      </w:pPr>
      <w:bookmarkEnd w:id="224"/>
      <w:r>
        <w:rPr>
          <w:rFonts w:ascii="IRNazanin" w:hAnsi="IRNazanin" w:eastAsia="IRNazanin"/>
          <w:color w:val="111111"/>
          <w:sz w:val="28"/>
          <w:sz w:val="28"/>
          <w:szCs w:val="28"/>
          <w:rtl w:val="true"/>
          <w:lang w:bidi="fa-IR"/>
        </w:rPr>
        <w:t>لعلّه من جهة کون الشهرة أو العقل و الحکمة قرینة علی تعیین الأفراد الشائعة و لو مع الالتفات إلی النادر أیضا، هذا کلّه فی بیان حکم ترک الاستفصال فی جواب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حکم حکایات الأحوال المفروض فیها عدم سبق السؤال کحکایة فعل المعصوم علیه السّلام أو قوله فی واقعة خاصّة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 بئر الإمام علیه السّلام إنسان فنزح أو أمر بنزح أربعین، فالکلام فیها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أنّ صدور الفعل من المعصوم هل هو لازم الاتّباع أم لا؟ فیدخل فی باب التأسّی، و إمّا من جهة جواز التعدّی من تلک الواقعة إلی غیرها، کما هو محلّ الکلام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الوفاق علی عدم جواز التعدی إلّا إذا اقترنت الحکایة بما یدلّ علی عموم المحکی کالحکایة بلفظ المستقبل الدالّ علی الاستمرار الزمانی، سیّما إذا تصدّر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یترک النوافل عند اعتوار الهمّ و الغمّ علیه، فإنّه یفید العموم فی الأزمنة و الأمکنة المستلزمة لتلک الأزمنة، بخلاف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أکل الطعام متّکئا علی کفّه، فإنّه لا یفید جواز التعدّی أبدا کما لا یخفی</w:t>
      </w:r>
      <w:r>
        <w:rPr>
          <w:rFonts w:eastAsia="IRNazanin" w:cs="IRNazanin"/>
          <w:color w:val="111111"/>
          <w:sz w:val="28"/>
          <w:szCs w:val="28"/>
          <w:rtl w:val="true"/>
          <w:lang w:bidi="fa-IR"/>
        </w:rPr>
        <w:t>.</w:t>
      </w:r>
    </w:p>
    <w:p>
      <w:pPr>
        <w:pStyle w:val="Heading3"/>
        <w:numPr>
          <w:ilvl w:val="2"/>
          <w:numId w:val="1"/>
        </w:numPr>
        <w:rPr/>
      </w:pPr>
      <w:bookmarkStart w:id="225" w:name="__RefHeading___Toc2986455_3224264995"/>
      <w:bookmarkStart w:id="226" w:name="_Toc86"/>
      <w:bookmarkEnd w:id="225"/>
      <w:r>
        <w:rPr>
          <w:rtl w:val="true"/>
        </w:rPr>
        <w:t>[</w:t>
      </w:r>
      <w:r>
        <w:rPr>
          <w:rtl w:val="true"/>
        </w:rPr>
        <w:t>أصل اختلفوا فی أنّ الخطابات الشفاهیة</w:t>
      </w:r>
      <w:r>
        <w:rPr>
          <w:rtl w:val="true"/>
        </w:rPr>
        <w:t>]</w:t>
      </w:r>
      <w:bookmarkEnd w:id="226"/>
    </w:p>
    <w:p>
      <w:pPr>
        <w:pStyle w:val="Heading4"/>
        <w:numPr>
          <w:ilvl w:val="3"/>
          <w:numId w:val="1"/>
        </w:numPr>
        <w:rPr/>
      </w:pPr>
      <w:bookmarkStart w:id="227" w:name="__RefHeading___Toc2986457_3224264995"/>
      <w:bookmarkStart w:id="228" w:name="_Toc87"/>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هل تختصّ بالحاضرین، أم یعمهم و الغائبین، أو یعمّهما و المعدومین علی أقوال و تحصل البصیرة و التحقیق بتقدیم مقدمات</w:t>
      </w:r>
      <w:r>
        <w:rPr>
          <w:rFonts w:eastAsia="IRNazanin" w:cs="IRNazanin"/>
          <w:color w:val="111111"/>
          <w:sz w:val="28"/>
          <w:szCs w:val="28"/>
          <w:rtl w:val="true"/>
          <w:lang w:bidi="fa-IR"/>
        </w:rPr>
        <w:t>:</w:t>
      </w:r>
    </w:p>
    <w:p>
      <w:pPr>
        <w:pStyle w:val="Heading4"/>
        <w:numPr>
          <w:ilvl w:val="3"/>
          <w:numId w:val="1"/>
        </w:numPr>
        <w:rPr/>
      </w:pPr>
      <w:bookmarkStart w:id="229" w:name="__RefHeading___Toc2986459_3224264995"/>
      <w:bookmarkStart w:id="230" w:name="_Toc88"/>
      <w:bookmarkEnd w:id="229"/>
      <w:r>
        <w:rPr>
          <w:rtl w:val="true"/>
        </w:rPr>
        <w:t>[ [</w:t>
      </w:r>
      <w:r>
        <w:rPr>
          <w:rtl w:val="true"/>
        </w:rPr>
        <w:t>المقدّمة</w:t>
      </w:r>
      <w:r>
        <w:rPr>
          <w:rtl w:val="true"/>
        </w:rPr>
        <w:t xml:space="preserve">] </w:t>
      </w:r>
      <w:r>
        <w:rPr>
          <w:rtl w:val="true"/>
        </w:rPr>
        <w:t>الاولی</w:t>
      </w:r>
      <w:r>
        <w:rPr>
          <w:rtl w:val="true"/>
        </w:rPr>
        <w:t xml:space="preserve">: </w:t>
      </w:r>
      <w:r>
        <w:rPr>
          <w:rtl w:val="true"/>
        </w:rPr>
        <w:t>فی تحریر محلّ النزاع</w:t>
      </w:r>
      <w:r>
        <w:rPr>
          <w:rtl w:val="true"/>
        </w:rPr>
        <w:t>]</w:t>
      </w:r>
      <w:bookmarkEnd w:id="230"/>
    </w:p>
    <w:p>
      <w:pPr>
        <w:pStyle w:val="BookText"/>
        <w:rPr/>
      </w:pPr>
      <w:r>
        <w:rPr>
          <w:rFonts w:ascii="IRNazanin" w:hAnsi="IRNazanin" w:eastAsia="IRNazanin"/>
          <w:color w:val="111111"/>
          <w:sz w:val="28"/>
          <w:sz w:val="28"/>
          <w:szCs w:val="28"/>
          <w:rtl w:val="true"/>
          <w:lang w:bidi="fa-IR"/>
        </w:rPr>
        <w:t>و هو من جهات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الخطاب لغة حقیقة فی توجیه الکلام نحو الغیر للإفهام کما نصّ </w:t>
      </w:r>
    </w:p>
    <w:p>
      <w:pPr>
        <w:pStyle w:val="BookText"/>
        <w:rPr/>
      </w:pPr>
      <w:r>
        <w:rPr>
          <w:rFonts w:ascii="IRNazanin" w:hAnsi="IRNazanin" w:eastAsia="IRNazanin"/>
          <w:color w:val="111111"/>
          <w:sz w:val="28"/>
          <w:sz w:val="28"/>
          <w:szCs w:val="28"/>
          <w:rtl w:val="true"/>
          <w:lang w:bidi="fa-IR"/>
        </w:rPr>
        <w:t>علیه اللغویین، و مجاز فی الکلام الموجبة إلی الغیر للإفهام، و منقول نحوی فی ما یقابل الغیبة و التکلّم من الکلام المشتمل علی أحد أداة الخطاب من ضمائر الخطاب أو حروفه أو أحد أداة النداء القریب، و الفرق بین المعنی الأوّل و أحد الأخیرین هو الفرق بین المعنی المصدر و اسمه، و بین المعنی الثانی و الثالث العموم و الخصوص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فالأوّلان یعمّان ما اشتمل علی آلة الخطاب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و ما لم یشتمل علیها کزید قائم وَ لِلَّهِ عَلَی النَّاسِ حِجُّ الْبَیْتِ</w:t>
      </w:r>
      <w:r>
        <w:rPr>
          <w:rStyle w:val="FootnoteAnchor"/>
          <w:rtl w:val="true"/>
        </w:rPr>
        <w:footnoteReference w:id="412"/>
      </w:r>
      <w:r>
        <w:rPr>
          <w:rFonts w:ascii="IRNazanin" w:hAnsi="IRNazanin" w:eastAsia="IRNazanin"/>
          <w:color w:val="111111"/>
          <w:sz w:val="28"/>
          <w:sz w:val="28"/>
          <w:szCs w:val="28"/>
          <w:rtl w:val="true"/>
          <w:lang w:bidi="fa-IR"/>
        </w:rPr>
        <w:t>و نحوه، بخلاف الثالث، فإنّه مختصّ بما اشتمل علی آلة الخطاب لا غیر، و المشافهة المخاطبة من فیک إلی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معانی الخطاب فهل النزاع فی عموم المعنی الأوّل أو الثانی أو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اختصاصه بالموجّه إلیه سواء کان الموجّه إلیه موجودا أو معدوما، و علی الوجود سواء کان حاضرا أو غائبا، و علی الحضور سواء کان فی الخارج أو فی الذهن، کما لا إشکال فی قبح توجیه الکلام المقصود منه الإفهام إلی من عدا الحاضر فی الخارج، لنقض الغرض و المرام و إن وقع الاشکال فی امتیاز حقیقة معنی التوجیه من الأقسام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وقع النزاع فی أنّ المقصود من توجیه عمومات خطابات القرآن إلی النبی صلّی اللّه علیه و آله ک 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هل هو إفهام سائر المکلّفین أیضا، کما هو رأی المجتهدین المرتّب علیه بیان القرآن و جواز التمسّک بظواهره، أو إفهام النبی صلّی اللّه علیه و آله خاصّة لتبلیغ سائر المکلّفین، کما هو رأی </w:t>
      </w:r>
    </w:p>
    <w:p>
      <w:pPr>
        <w:pStyle w:val="BookText"/>
        <w:rPr/>
      </w:pPr>
      <w:r>
        <w:rPr>
          <w:rFonts w:ascii="IRNazanin" w:hAnsi="IRNazanin" w:eastAsia="IRNazanin"/>
          <w:color w:val="111111"/>
          <w:sz w:val="28"/>
          <w:sz w:val="28"/>
          <w:szCs w:val="28"/>
          <w:rtl w:val="true"/>
          <w:lang w:bidi="fa-IR"/>
        </w:rPr>
        <w:t>الأخباریین المترتّب علیه إجمال ظواهر القرآن و عدم جواز التمسّک بغیر ما ورد تفسیره عن المعصوم علیه السّلام، إلّا أنّ لهذا النزاع محلّ آخر، لکونه نزاعا فی عموم المقصود من التوجیه الذی هو من مقولة الأفعال لا من مقولة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الکلام الموجّه إلی الغیر للإفهام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أیضا فی عمومه و شموله المعدومین بعد قیام الإجماع و الضرورة علی مشارکتهم للحاضرین، فتعیّن أن یکون النزاع فی المعنی الثالث و هو الکلام المشتمل علی أحد أداة الخطاب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أیّها الذین آمنوا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النزاع فی عموم لفظ الخطاب خاصّة، أو فیما یتعلّق به الخطاب کلفظ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و الذین؟</w:t>
      </w:r>
    </w:p>
    <w:p>
      <w:pPr>
        <w:pStyle w:val="BookText"/>
        <w:rPr/>
      </w:pPr>
      <w:r>
        <w:rPr>
          <w:rFonts w:ascii="IRNazanin" w:hAnsi="IRNazanin" w:eastAsia="IRNazanin"/>
          <w:color w:val="111111"/>
          <w:sz w:val="28"/>
          <w:sz w:val="28"/>
          <w:szCs w:val="28"/>
          <w:rtl w:val="true"/>
          <w:lang w:bidi="fa-IR"/>
        </w:rPr>
        <w:t xml:space="preserve">التحقیق أنّ الخطاب إن کان من المدالیل الاسمیة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فالنزاع فی نفسه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من المدالیل الحرفیة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فالنزاع فی متعلّقه و معروضه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و الناس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بالتبع للخطاب لا بالأصالة، ضرورة أنّ المشتقّ مجاز فیمن لم یتلبّس بالمبدإ بعد بالاتّفاق، فضلا عن الجامد، فلا ینبغی فرض الخلاف فیه إلّا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الفصول</w:t>
      </w:r>
      <w:r>
        <w:rPr>
          <w:rStyle w:val="FootnoteAnchor"/>
          <w:rtl w:val="true"/>
        </w:rPr>
        <w:footnoteReference w:id="413"/>
      </w:r>
      <w:r>
        <w:rPr>
          <w:rFonts w:ascii="IRNazanin" w:hAnsi="IRNazanin" w:eastAsia="IRNazanin"/>
          <w:color w:val="111111"/>
          <w:sz w:val="28"/>
          <w:sz w:val="28"/>
          <w:szCs w:val="28"/>
          <w:rtl w:val="true"/>
          <w:lang w:bidi="fa-IR"/>
        </w:rPr>
        <w:t xml:space="preserve">من نفی الخلاف عن جواز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المعدوم حقیقة فإن ارید جواز الإطلاق علی المعدوم حین هو معدوم فمحلّ تأمّل، بل منع، لصحّة سلبه عن المعدوم کما صرّح به فی الإشارات</w:t>
      </w:r>
      <w:r>
        <w:rPr>
          <w:rStyle w:val="FootnoteAnchor"/>
          <w:rtl w:val="true"/>
        </w:rPr>
        <w:footnoteReference w:id="414"/>
      </w:r>
      <w:r>
        <w:rPr>
          <w:rFonts w:ascii="IRNazanin" w:hAnsi="IRNazanin" w:eastAsia="IRNazanin"/>
          <w:color w:val="111111"/>
          <w:sz w:val="28"/>
          <w:sz w:val="28"/>
          <w:szCs w:val="28"/>
          <w:rtl w:val="true"/>
          <w:lang w:bidi="fa-IR"/>
        </w:rPr>
        <w:t>و غیره، و إن ارید جواز إطلاقه علی المعدوم حقیقة بعد وجوده فلیس من الإطلاق علی المعدوم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سلف أنّ التحقیق وضع الألفاظ لنفس المفاهیم مع الغضّ عن الوجود الخارجی و الذهنی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ذلک وضعها للموجود مع الغضّ عن أحد وجودیه لیدخل الموضوعات للامور الذهنیة کالکلیّة و الجزئیّة و النوعیّة و الجنسیّة و ما وضع للأعمّ کالزوجیة و الفردیة و نحوها، لا وضعها للأعمّ من الموجود و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الثمرة بین القول بوضعها للأعمّ و بین القول بوضعها للموجودات الخارجیة إنّما اعدت فی حقیقیة استعمالها فی الموجودات الذهنیة و مجازیّته، لا فی حقیقیة استعمالها فی المعدومات الصرفة و مجازیته، فراجع ما سبق فی تلک المسألة لیظهر لک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النزاع فی عموم الخطاب عقلی أو لغوی؟ و علی الثانی هل هو فی الوضع کما استظهره الفصول</w:t>
      </w:r>
      <w:r>
        <w:rPr>
          <w:rStyle w:val="FootnoteAnchor"/>
          <w:rtl w:val="true"/>
        </w:rPr>
        <w:footnoteReference w:id="415"/>
      </w:r>
      <w:r>
        <w:rPr>
          <w:rFonts w:ascii="IRNazanin" w:hAnsi="IRNazanin" w:eastAsia="IRNazanin"/>
          <w:color w:val="111111"/>
          <w:sz w:val="28"/>
          <w:sz w:val="28"/>
          <w:szCs w:val="28"/>
          <w:rtl w:val="true"/>
          <w:lang w:bidi="fa-IR"/>
        </w:rPr>
        <w:t>أو فی الاستعمال کما استظهره صاحب الإشارات</w:t>
      </w:r>
      <w:r>
        <w:rPr>
          <w:rStyle w:val="FootnoteAnchor"/>
          <w:rtl w:val="true"/>
        </w:rPr>
        <w:footnoteReference w:id="416"/>
      </w:r>
      <w:r>
        <w:rPr>
          <w:rFonts w:ascii="IRNazanin" w:hAnsi="IRNazanin" w:eastAsia="IRNazanin"/>
          <w:color w:val="111111"/>
          <w:sz w:val="28"/>
          <w:sz w:val="28"/>
          <w:szCs w:val="28"/>
          <w:rtl w:val="true"/>
          <w:lang w:bidi="fa-IR"/>
        </w:rPr>
        <w:t>و الضوابط</w:t>
      </w:r>
      <w:r>
        <w:rPr>
          <w:rStyle w:val="FootnoteAnchor"/>
          <w:rtl w:val="true"/>
        </w:rPr>
        <w:footnoteReference w:id="417"/>
      </w:r>
      <w:r>
        <w:rPr>
          <w:rFonts w:ascii="IRNazanin" w:hAnsi="IRNazanin" w:eastAsia="IRNazanin"/>
          <w:color w:val="111111"/>
          <w:sz w:val="28"/>
          <w:sz w:val="28"/>
          <w:szCs w:val="28"/>
          <w:rtl w:val="true"/>
          <w:lang w:bidi="fa-IR"/>
        </w:rPr>
        <w:t>و المحقّق الشیروانی؟ وجوه من استدلال النافین بقبح خطاب المعدوم و کون الخطاب نسبة، فلا یمکن تحقّقه إلّا بتحقّق المنتسب إلیه، و عده بعض القدماء فی جملة المبادئ الأحکامیة، و من ظاهر تقیید المعالم</w:t>
      </w:r>
      <w:r>
        <w:rPr>
          <w:rStyle w:val="FootnoteAnchor"/>
          <w:rtl w:val="true"/>
        </w:rPr>
        <w:footnoteReference w:id="418"/>
      </w:r>
      <w:r>
        <w:rPr>
          <w:rFonts w:ascii="IRNazanin" w:hAnsi="IRNazanin" w:eastAsia="IRNazanin"/>
          <w:color w:val="111111"/>
          <w:sz w:val="28"/>
          <w:sz w:val="28"/>
          <w:szCs w:val="28"/>
          <w:rtl w:val="true"/>
          <w:lang w:bidi="fa-IR"/>
        </w:rPr>
        <w:t>العموم بصیغة الخطاب، و من أنّ مقتضی عده الأکثر فی جملة المبادی اللغویة و مقتضی تنصیص اللغویین باختصاص الخطاب بالحاضر للتبادر و صحة السلب عن غیره هو تعیین کون النزاع فی استعمال الخطاب و لو مجازا و کون المراد منه ما ذا مع قطع النظر عن الوضع، و لا ینافیه تمسّکهم بما یقتضی عدم جوازه عقلا، فإنّه یثبت المطلوب مع زیادة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النزاع فیما کان خطاب المشافهة بلفظ الجمع أم فیما یشمل </w:t>
      </w:r>
    </w:p>
    <w:p>
      <w:pPr>
        <w:pStyle w:val="BookText"/>
        <w:rPr/>
      </w:pPr>
      <w:r>
        <w:rPr>
          <w:rFonts w:ascii="IRNazanin" w:hAnsi="IRNazanin" w:eastAsia="IRNazanin"/>
          <w:color w:val="111111"/>
          <w:sz w:val="28"/>
          <w:sz w:val="28"/>
          <w:szCs w:val="28"/>
          <w:rtl w:val="true"/>
          <w:lang w:bidi="fa-IR"/>
        </w:rPr>
        <w:t>المفرد؟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اختصاص تمثیلهم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ارتضاء الاستاد دام ظلّه و صاحب الضوابط</w:t>
      </w:r>
      <w:r>
        <w:rPr>
          <w:rStyle w:val="FootnoteAnchor"/>
          <w:rtl w:val="true"/>
        </w:rPr>
        <w:footnoteReference w:id="419"/>
      </w:r>
      <w:r>
        <w:rPr>
          <w:rFonts w:ascii="IRNazanin" w:hAnsi="IRNazanin" w:eastAsia="IRNazanin"/>
          <w:color w:val="111111"/>
          <w:sz w:val="28"/>
          <w:sz w:val="28"/>
          <w:szCs w:val="28"/>
          <w:rtl w:val="true"/>
          <w:lang w:bidi="fa-IR"/>
        </w:rPr>
        <w:t>بدعوی الوفاق علی اختصاص الخطاب المفرد بالحاضر، و ظهور قول المعالم</w:t>
      </w:r>
      <w:r>
        <w:rPr>
          <w:rStyle w:val="FootnoteAnchor"/>
          <w:rtl w:val="true"/>
        </w:rPr>
        <w:footnoteReference w:id="420"/>
      </w:r>
      <w:r>
        <w:rPr>
          <w:rFonts w:ascii="IRNazanin" w:hAnsi="IRNazanin" w:eastAsia="IRNazanin"/>
          <w:color w:val="111111"/>
          <w:sz w:val="28"/>
          <w:sz w:val="28"/>
          <w:szCs w:val="28"/>
          <w:rtl w:val="true"/>
          <w:lang w:bidi="fa-IR"/>
        </w:rPr>
        <w:t>، و ذهب قوم إلی تناوله بصیغته فی التناول الاستغراقی الخاصّ بصیغ الجمع، لا التناول الأفرادی الخاصّ بالمفرد، و إرادة القدر المشترک بین التناولین خلاف الظاهر، و من شمول استدلال المثبتین للعموم باحتجاج العلماء علی أهل الأعصار من بعد الصحابة بخطاب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و لا تَقْفُ ما لَیْسَ لَکَ بِهِ عِلْمٌ</w:t>
      </w:r>
      <w:r>
        <w:rPr>
          <w:rStyle w:val="FootnoteAnchor"/>
          <w:rtl w:val="true"/>
        </w:rPr>
        <w:footnoteReference w:id="421"/>
      </w:r>
      <w:r>
        <w:rPr>
          <w:rFonts w:ascii="Amiri" w:hAnsi="Amiri" w:eastAsia="Amiri" w:cs="Amiri"/>
          <w:color w:val="111111"/>
          <w:sz w:val="28"/>
          <w:sz w:val="28"/>
          <w:szCs w:val="28"/>
          <w:rtl w:val="true"/>
          <w:lang w:bidi="ar-SA"/>
        </w:rPr>
        <w:t>وَ لا تَتَّبِعِ الْهَوی</w:t>
      </w:r>
      <w:r>
        <w:rPr>
          <w:rStyle w:val="FootnoteAnchor"/>
          <w:rtl w:val="true"/>
        </w:rPr>
        <w:footnoteReference w:id="422"/>
      </w:r>
      <w:r>
        <w:rPr>
          <w:rFonts w:ascii="IRNazanin" w:hAnsi="IRNazanin" w:eastAsia="IRNazanin"/>
          <w:color w:val="111111"/>
          <w:sz w:val="28"/>
          <w:sz w:val="28"/>
          <w:szCs w:val="28"/>
          <w:rtl w:val="true"/>
          <w:lang w:bidi="fa-IR"/>
        </w:rPr>
        <w:t>و نحوه و شمول استدلالهم للعموم بأنّه لو لم یکن الرسول مخاطبا لمن بعده لم یکن مرسلا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النزاع فی خصوص خطابات الکتاب، أو فیما یعمّ خطابات السنّة؟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ظهور أمثلة الباب فی الأوّل و استظهار الاستاد دام ظلّه وفاقا للضوابط</w:t>
      </w:r>
      <w:r>
        <w:rPr>
          <w:rStyle w:val="FootnoteAnchor"/>
          <w:rtl w:val="true"/>
        </w:rPr>
        <w:footnoteReference w:id="423"/>
      </w:r>
      <w:r>
        <w:rPr>
          <w:rFonts w:ascii="IRNazanin" w:hAnsi="IRNazanin" w:eastAsia="IRNazanin"/>
          <w:color w:val="111111"/>
          <w:sz w:val="28"/>
          <w:sz w:val="28"/>
          <w:szCs w:val="28"/>
          <w:rtl w:val="true"/>
          <w:lang w:bidi="fa-IR"/>
        </w:rPr>
        <w:t>الاتّفاق علی اختصاص النزاع بخطابات الکتاب، و عدم النزاع فی اختصاص خطابات السنة بالحاضرین، و من تصریح المثبتین للعموم فی المعالم</w:t>
      </w:r>
      <w:r>
        <w:rPr>
          <w:rStyle w:val="FootnoteAnchor"/>
          <w:rtl w:val="true"/>
        </w:rPr>
        <w:footnoteReference w:id="424"/>
      </w:r>
      <w:r>
        <w:rPr>
          <w:rFonts w:ascii="IRNazanin" w:hAnsi="IRNazanin" w:eastAsia="IRNazanin"/>
          <w:color w:val="111111"/>
          <w:sz w:val="28"/>
          <w:sz w:val="28"/>
          <w:szCs w:val="28"/>
          <w:rtl w:val="true"/>
          <w:lang w:bidi="fa-IR"/>
        </w:rPr>
        <w:t>باحتجاج العلماء علی أهل الأعصار من بعد الصحابة بالآیات و الأخبار المنقولة عن النبی صلّی اللّه علیه و آله و شمول بعض احتجاجاتهم الآخر له أیضا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النزاع فی عموم الخطاب للمعدوم الصرف، أم فی صورة التلفیق مع الموجود کما هو فیما نحن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قبح الخطاب بالمعدوم الصرف، و من أنّ لازم الأشاعرة القائلین بقدم الکلام النفسی هو قدم الخطاب الذی لا یکون إلّا إلی المعدوم الصرف</w:t>
      </w:r>
      <w:r>
        <w:rPr>
          <w:rFonts w:eastAsia="IRNazanin" w:cs="IRNazanin"/>
          <w:color w:val="111111"/>
          <w:sz w:val="28"/>
          <w:szCs w:val="28"/>
          <w:rtl w:val="true"/>
          <w:lang w:bidi="fa-IR"/>
        </w:rPr>
        <w:t xml:space="preserve">. </w:t>
      </w:r>
      <w:bookmarkStart w:id="231" w:name="pg12880_153384"/>
    </w:p>
    <w:p>
      <w:pPr>
        <w:pStyle w:val="BookText"/>
        <w:rPr/>
      </w:pPr>
      <w:bookmarkEnd w:id="231"/>
      <w:r>
        <w:rPr>
          <w:rFonts w:ascii="IRNazanin" w:hAnsi="IRNazanin" w:eastAsia="IRNazanin"/>
          <w:color w:val="111111"/>
          <w:sz w:val="28"/>
          <w:sz w:val="28"/>
          <w:szCs w:val="28"/>
          <w:rtl w:val="true"/>
          <w:lang w:bidi="fa-IR"/>
        </w:rPr>
        <w:t>و التحقیق تعیین النزاع فی المعدوم الصرف إن کان النزاع بیننا و بین الأشاعرة، و الّا فیتعیّن فی التلفیق کما لا یخفی</w:t>
      </w:r>
      <w:r>
        <w:rPr>
          <w:rFonts w:eastAsia="IRNazanin" w:cs="IRNazanin"/>
          <w:color w:val="111111"/>
          <w:sz w:val="28"/>
          <w:szCs w:val="28"/>
          <w:rtl w:val="true"/>
          <w:lang w:bidi="fa-IR"/>
        </w:rPr>
        <w:t>.</w:t>
      </w:r>
    </w:p>
    <w:p>
      <w:pPr>
        <w:pStyle w:val="Heading4"/>
        <w:numPr>
          <w:ilvl w:val="3"/>
          <w:numId w:val="1"/>
        </w:numPr>
        <w:rPr/>
      </w:pPr>
      <w:bookmarkStart w:id="232" w:name="__RefHeading___Toc2986461_3224264995"/>
      <w:bookmarkStart w:id="233" w:name="_Toc89"/>
      <w:bookmarkEnd w:id="232"/>
      <w:r>
        <w:rPr>
          <w:rtl w:val="true"/>
        </w:rPr>
        <w:t>[</w:t>
      </w:r>
      <w:r>
        <w:rPr>
          <w:rtl w:val="true"/>
        </w:rPr>
        <w:t>المقدمة الثانیة</w:t>
      </w:r>
      <w:r>
        <w:rPr>
          <w:rtl w:val="true"/>
        </w:rPr>
        <w:t xml:space="preserve">: </w:t>
      </w:r>
      <w:r>
        <w:rPr>
          <w:rtl w:val="true"/>
        </w:rPr>
        <w:t>فی بیان مراد من یقول باختصاص الخطاب أو بعمومه،</w:t>
      </w:r>
      <w:r>
        <w:rPr>
          <w:rtl w:val="true"/>
        </w:rPr>
        <w:t>]</w:t>
      </w:r>
      <w:bookmarkEnd w:id="233"/>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مراد من یقول باختصاص الخطاب بالحاضرین فهو اختصاص مدلول خطاباته تعالی بالحاضرین و إن اختصّ توجیهها بأحدهم و هو النبی صلّی اللّه علیه و آله علی تقدیر صدور الخطاب عنه تعالی بواسطة الملک و غیر النبی صلّی اللّه علیه و آله علی تقدیر صدوره بواسطة النبی صلّی اللّه علیه و آله، و أمّا فرض الواسطة مقهورا فی الإصدار کشجرة طور أو مختارا فیه فلا یقدح فی اختصاص الصادر بالحضّار و إن أجدی الفرق فی نسبة الصدور و التکلّم إلیه تعالی حقیقة علی الأوّل و مجازا علی الثانی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مراد من یقول بعموم الخطاب فیحتمل لوجوه تقرب من ثمانیة عشر،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احتمله المحقّق الشیروانی من التزام تعلیق الخطاب بالنسبة إلی المعدومین و تنجیزه بالنسبة إلی الموجودین، و التفصی عن الجمع بین الحقیقة و المجاز بحمل خطابات الکتاب علی بیان تشریع أصل التکلیف لا بیان أصناف المکلّفین، نظیر حمل إطلاقات الکتاب و السنّة علی تشریع أصل التکلیف لیکون من قبیل قول الطبیب للمریض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الدواء غدا، فی غیر وقت الحاجة، إمّا قبل بیانه له حتی یکون إشارة إلی ما یفصّله له حین الحاجة، و إمّا بعد البیان حتی یکون إشارة إلی المعهود المبیّن له فی غیر هذا الخطاب، أو بحمل الخطابات علی التعلیق بشرائط التکلیف إجمالا، نظیر تعلیق جمیع الخطابات بشرائط التکلیف إجمالا، أو بحملها علی التعلّق بشرط الوجود تفصیلا نظیر قول المولی لعبیده الملفقین من المقدورین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الفعل الفلانی إن قدرتم و تمکّنتم، فی کون التعلیق فی طرف غیر المتمکّنین فی محلّه، و فی طرف المتمکّنین و إن لم یکن فی محلّه بالاستقلال، إلّا أنّه مسوغ بالتبع لأجل الإیجاز و الاختصار، فیندفع الجمع بین الحقیقة و المجاز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علی التوجیه الأول فلرجوعه إلی إجمال الخطاب و إهماله عن التنجیز و التعلیق معا، نظیر إجمال الظواهر و إهمالها عن الإطلاق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فلرجوع الخطاب المعلّق بشرائط التکلیف إجمالا لا تفصیلا إلی مفهوم واحد لا تعدّد فیه، و إنّما التعدّد فی آحاد متعلّقه مستفاد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الثالث فلرجوعه إلی التعلیق خاصّة دون التعلیق و التنجیز معا حتی یلزم الجمع بینهما، انتهی هذا الاحتمال مع توجیهاته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فی القوانین</w:t>
      </w:r>
      <w:r>
        <w:rPr>
          <w:rStyle w:val="FootnoteAnchor"/>
          <w:rtl w:val="true"/>
        </w:rPr>
        <w:footnoteReference w:id="425"/>
      </w:r>
      <w:r>
        <w:rPr>
          <w:rFonts w:ascii="IRNazanin" w:hAnsi="IRNazanin" w:eastAsia="IRNazanin"/>
          <w:color w:val="111111"/>
          <w:sz w:val="28"/>
          <w:sz w:val="28"/>
          <w:szCs w:val="28"/>
          <w:rtl w:val="true"/>
          <w:lang w:bidi="fa-IR"/>
        </w:rPr>
        <w:t>و غیره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احتیاج المعمّمین إلی التزام التعلیق فإنّ المعمّمین هم الأشاعرة القائلین بالکلام النفسی القدیم الذی هو لا محالة متوجّه إلی المکلّفین حین کون کلّهم معدومین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التعلیق إنّما هو مصحّح لجواز تکلیف المعدوم، لا لجواز خطاب المعدوم، فإنّ التعلیق فی الخطاب مع بقاء وصف الخطاب غیر معقول، بل الخطاب المعلّق عبارة عن عدم الخطاب و راجع إلی مجرّد الإخبار، و أمّا صحة تنزیل المعدوم منزلة الموجود فی خطابات القرآن کما فی خطابات غیره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اللّه باضبیات القاع قلن لنا، فتوجیه للتعمیم لا توجیه للتعلیق المصحّح للتعمیم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الکلام النفسی مع أنّ غیر معقول فی حدّ ذاته یقبح حمل الخطاب علیه، لأنّ الخطاب أمر إضافی نسبی لا یتحقّق إلّا بتحقّق المنتسبین، و المفروض انعدام المطلق منه، فینتفی تعلّق الطلب بانتفاء المطلوب منه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عدم تعقّله عدم تعقّل شی‌ء من الإخبارات أو الإنشاءات الکامنة فی النفس قبل التلفّظ بها وراء تصوّر الموضوع و المحمول الراجع إلی صفة العلم و وراء التصدیق بالنسبة أو الطلب الراجعان إلی صفة الإرادة و الکراهة، ففرض الأشاعرة </w:t>
      </w:r>
    </w:p>
    <w:p>
      <w:pPr>
        <w:pStyle w:val="BookText"/>
        <w:rPr/>
      </w:pPr>
      <w:r>
        <w:rPr>
          <w:rFonts w:ascii="IRNazanin" w:hAnsi="IRNazanin" w:eastAsia="IRNazanin"/>
          <w:color w:val="111111"/>
          <w:sz w:val="28"/>
          <w:sz w:val="28"/>
          <w:szCs w:val="28"/>
          <w:rtl w:val="true"/>
          <w:lang w:bidi="fa-IR"/>
        </w:rPr>
        <w:t>معنی قائما بالذات غیر العلم و الإرادة و الکراهة فرض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التعلیق بشروط التکلیف أو بشرط الوجود مستلزم للتجوّز فی الخطاب، و من البیّن أنّه إذا دار الأمر بین الالتزام بالمجاز و بین الالتزام بتخصیص الخطاب بالحاضرین فالتخصیص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التعلیق خاصّ بالآمر الجاهل بالعواقب و أمّا العالم بها فلا یصحّ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تعلیق الخطاب بوجود المخاطب نظیر تعلیق جمیع التکالیف بوجود شرائط التکلیف، فلزوم الجمع بین التنجیز و التعلق أمر مشترک الورود بین المورد و المورد علیه، لأنّا نمنع الاشتراک و نقول ببطلان التنظیر و مقایسة تعلیق الخطاب بشرط الوجود علی تعلیق جمیع الخطابات بشرائط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البطلان أنّ الخطاب إمّا منجّز علما أو ظاهرا، و إمّا معلّق بالنسبة إلی الفاقدین بشرائط التکلیف بالتعلیق المنفصل أو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بطلان التنظیر بالقسم الأوّل فلوضوح الفرق بین المقیس و المقیس علیه من حیث التعلیق و التنجیز و کذا بالقسم الثانی، لالحاقه بالقسم الأوّل اجتهادا بأصالة الإطلاق و عدم التعلیق فی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بطلان التنظیر بالقسم الثالث فلأنّ المقیس و المقیس علیه و إن اتّفقا من حیث الجمع بین تنجّز الخطاب فی حقّ بعض و تعلیقه فی حقّ بعض آخر، إلّا أنّ الفرق کون التعلیق فی المقیس بالنسبة إلی المعدومین إنّما هو من مقتضیات ما یقتضی التنجیز بالفرض، و فی المقیس علیه بالنسبة إلی الفاقد لشروط التکلیف إنّما هو من مقتضیات الدلیل الخارجی کالعقل و النقل، لا من مقتضیات ما یقتضی التنجّز حتی یلزم الجمع بین الحقیقة و المجاز فی استعمال واحد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وجه بطلان التنظیر بالقسم الرابع فلأنّه و إن اتّفق المقیس و المقیس علیه </w:t>
      </w:r>
    </w:p>
    <w:p>
      <w:pPr>
        <w:pStyle w:val="BookText"/>
        <w:rPr/>
      </w:pPr>
      <w:r>
        <w:rPr>
          <w:rFonts w:ascii="IRNazanin" w:hAnsi="IRNazanin" w:eastAsia="IRNazanin"/>
          <w:color w:val="111111"/>
          <w:sz w:val="28"/>
          <w:sz w:val="28"/>
          <w:szCs w:val="28"/>
          <w:rtl w:val="true"/>
          <w:lang w:bidi="fa-IR"/>
        </w:rPr>
        <w:t>من حیث الجمع بین التعلیق و التنجیز من غیر ضمیمة الدلیل الخارجی، إلّا أنّ الفرق کون الجمع بینهما فی المقیس إنّما هو بمنطوق لفظ واحد، و فی المقیس علیه بمنطوق و مفهوم، فالجمع فی المقیس من قبیل الجمع بالدالّ و المدلول الواحد، و فی المقیس علیه من قبیل الدالّین و المدلولین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مرجع الخطاب المشروط بوجود المخاطب إلی الإعلام و الإخبار عن مخاطبة المعدوم بعد وجوده، کما أنّ مرجع الوجوب و التکلیف المشروط بحصول أمر غیر مقدور إلی الإعلام و الإخبار عن الحصول الطلب عند حصول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محصّل ما أورد علی التوجیه المذکور صاحب القوانین</w:t>
      </w:r>
      <w:r>
        <w:rPr>
          <w:rStyle w:val="FootnoteAnchor"/>
          <w:rtl w:val="true"/>
        </w:rPr>
        <w:footnoteReference w:id="426"/>
      </w:r>
      <w:r>
        <w:rPr>
          <w:rFonts w:ascii="IRNazanin" w:hAnsi="IRNazanin" w:eastAsia="IRNazanin"/>
          <w:color w:val="111111"/>
          <w:sz w:val="28"/>
          <w:sz w:val="28"/>
          <w:szCs w:val="28"/>
          <w:rtl w:val="true"/>
          <w:lang w:bidi="fa-IR"/>
        </w:rPr>
        <w:t>و غیره بعد التنقیح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المقصود من توجیه التعمیم بما ذکر تصحیحه به فما عدا الإیراد السادس من سائر الإیرادات متوجّهة إلیه، و إن کان المقصود مجرّد تصویره به مع الغضّ عن صحّة الوجه و سقمه فما عدا الإیراد السادس من سائر الإیرادات مدفوعة عنه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الإیراد السادس فتوجّهه إلیه مبنیّ علی ما قیل من أنّ فی إنشاء الطلب مع تعلیقه و اشتراطه بحصول أمر غیر مقدور استحالة ذاتیة کاجتماع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القوانین</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استحالة عرضیة کالتکلیف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الاشارات</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ما قاله الفصول</w:t>
      </w:r>
      <w:r>
        <w:rPr>
          <w:rStyle w:val="FootnoteAnchor"/>
          <w:rtl w:val="true"/>
        </w:rPr>
        <w:footnoteReference w:id="429"/>
      </w:r>
      <w:r>
        <w:rPr>
          <w:rFonts w:ascii="IRNazanin" w:hAnsi="IRNazanin" w:eastAsia="IRNazanin"/>
          <w:color w:val="111111"/>
          <w:sz w:val="28"/>
          <w:sz w:val="28"/>
          <w:szCs w:val="28"/>
          <w:rtl w:val="true"/>
          <w:lang w:bidi="fa-IR"/>
        </w:rPr>
        <w:t xml:space="preserve">و اعتمد علیه الاستاد و مشایخه الفحول من منع الاستحالة مطلقا بما یرجع حلّا إلی الوجدان المعتضد بأصالة </w:t>
      </w:r>
    </w:p>
    <w:p>
      <w:pPr>
        <w:pStyle w:val="BookText"/>
        <w:rPr/>
      </w:pPr>
      <w:r>
        <w:rPr>
          <w:rFonts w:ascii="IRNazanin" w:hAnsi="IRNazanin" w:eastAsia="IRNazanin"/>
          <w:color w:val="111111"/>
          <w:sz w:val="28"/>
          <w:sz w:val="28"/>
          <w:szCs w:val="28"/>
          <w:rtl w:val="true"/>
          <w:lang w:bidi="fa-IR"/>
        </w:rPr>
        <w:t>الإمکان و ظهور الأمر المعلّق فی الإنشاء لا الإخبار، و نقضا إلی أنّه لو کان التکلیف المشروط من باب الإعلام و الإخبار عن حصول الطلب عند حصول الشرط لا من باب إنشاء الطلب المشروط، لاحتمل الصدق و الکذب، و من البیّن عدمه، و لاحتمل البداء و فسخ العزم بوفاء الوعد بحصول الطلب عند حصول الشرط المستلزم لعدم الذمّ و العقاب علی ترکه، و من البیّن بطلان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بین القولین فی لزوم تحلیل الإنشاءات المعلّقة فی الظاهر إلی قضیّتین مطلقتین ثبوتی بالنسبة إلی الواجد و سلبی بالنسبة إلی الفاقد و عدم لزوم ذلک، و سیأتی 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الوجوب المنجّز و المعلّق عین الوجوب المطلق و المشروط و إن لم یکن عین الواجب المنجّز و المعلّق فی نظر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نظر غیره فمرجع التفرقة التی ادّعاها الفصول بین الوجوب المعلّق و الواجب المعلّق أیضا إلی مجرّد الاصطلاح</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الطرق المحتملة للتعمیم ما أشار إلیه الفصول</w:t>
      </w:r>
      <w:r>
        <w:rPr>
          <w:rStyle w:val="FootnoteAnchor"/>
          <w:rtl w:val="true"/>
        </w:rPr>
        <w:footnoteReference w:id="430"/>
      </w:r>
      <w:r>
        <w:rPr>
          <w:rFonts w:ascii="IRNazanin" w:hAnsi="IRNazanin" w:eastAsia="IRNazanin"/>
          <w:color w:val="111111"/>
          <w:sz w:val="28"/>
          <w:sz w:val="28"/>
          <w:szCs w:val="28"/>
          <w:rtl w:val="true"/>
          <w:lang w:bidi="fa-IR"/>
        </w:rPr>
        <w:t>فی ضمن استقصائه جمیع طرق التعمیم و التخصیص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خطاباته تعالی لا یخلو إمّا من قبیل الخطاب بالألفاظ أو بالنقوش أو بالألفاظ و النقوش، و علی التقادیر إمّا أن یکون الخطاب بالنوع أو بالشخص، أو بالنوع من أحدهما و بالشخص من الآخر، و علی بعض هذه التقادیر التسعة و هو تقدیر النوع من الطرفین إمّا أن یکون الخطاب إلی معیّن من الموجودین حال الخطاب أو الحاضرین أو غیر معیّن منهم و من غیرهم انتهی أقسام الخطاب التی بلغت إلی ستّة عشر قسما، و ینبغی شرحها فی ضمن امور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الخطاب الشخصی ما یقصد منه شخص اللفظ أو الخطّ علی التعیین أو شخص من توجّه إلیه اللفظ أو الخطّ علی التعیین، کما فی الألفاظ و المکاتیب المتداولة بین المتعاملین و نحوه، و من الخطاب النوعی ما یقصد منه نوع اللفظ أو الخط و هو القدر المشترک بین ما تلفّظ به اللافظ و الحاکی عنه، أو بین ما رسمه الراقم و غیره من النسخ المأخوذة منه، کما فی الکتب المصنّفة و ألفاظ الوعظ و النصائح و الوصایا، أو القدر المشترک بین أفراد السامعین للخطاب أو الناظرین فی الکتاب ممّن لهم أهلیة السماع أو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طرق تخصیص الخطاب بالحاضرین خاصّ بصورتین من صور الخطاب الستّة عشر و هما صورتی کون الخطاب شخصیّا و المخاطب حاضرا، سواء کان بالألفاظ أو بالنقوش، و ما عدا هاتین الصورتین من الصور الأربعة عشر الباقیة مختصّة بطرق تعمیم الخطاب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الخطوط و النقوش لیست موضوعة بإزاء المعانی ابتداء وفاقا، للوجدان، بل و للبرهان الذی برهنه السیّد شریف و صاحب الفصول بأنّها لو وضعت بإزاء المعانی ابتداء من دون وساطة الألفاظ لتعسّر ضبط المعانی و تفهیمها بالخطوط، کما یتعسّر بالإیماء و الإشارة و نحوه ممّا یقصد به تفهیم المعانی ابتداء من غیر وساطة الألفاظ</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 حقیقة فی الخطاب اللفظی الشخصی إلی الغیر الحاضر الخارجی السامع الفاهم، و مجاز فیما عدا الجامع للقیود المذکورة من سائر أقسام الخطاب، لکنّه لیس مجازا لغویا کما یوهمه ظاهر تعلیل المجازیّة فی الفصول بوجود العلاقة المصحّحة للاستعمال إذا قطعنا النظر عن تفسیره العلاقة بتنزیل المعدوم و غیر الحاضر منزلة الموجود الحاضر المعیّن لإرادة المجاز العقلی و الحقیقة الادّعائیة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صحّة سلب سائر معانی الخطاب موجود فلا یکون الخطاب مجازا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عدم صحّة السلب قبل التنزیل ممنوع، و بعده لا یجدی المدعی، لکشفه عن التبادر الإطلاقی لا الحقیقی، مع أنّ مجری عدم صحّة السلب خاصّ بمادة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ط 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هیئته کافعل و نحوه علی ما قرّر فی محلّ علائم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المفروض مجازیّة کلّ من صور التعمیم فهل الأقرب من بینها صورة کون الخطاب نوعیّا، أو صورة کونه شخصیا؟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أقربهما الأوّل فی نظر الاستاد و صاحب الفصول</w:t>
      </w:r>
      <w:r>
        <w:rPr>
          <w:rStyle w:val="FootnoteAnchor"/>
          <w:rtl w:val="true"/>
        </w:rPr>
        <w:footnoteReference w:id="431"/>
      </w:r>
      <w:r>
        <w:rPr>
          <w:rFonts w:ascii="IRNazanin" w:hAnsi="IRNazanin" w:eastAsia="IRNazanin"/>
          <w:color w:val="111111"/>
          <w:sz w:val="28"/>
          <w:sz w:val="28"/>
          <w:szCs w:val="28"/>
          <w:rtl w:val="true"/>
          <w:lang w:bidi="fa-IR"/>
        </w:rPr>
        <w:t>، إلّا أنّه فی نظری القاصر لا أقربیّة لأحدهما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الأصل فلأنّ الخطاب الشخصی کما یحتاج طریقیته للتعمیم إلی التنزیل و الأصل عدمه، کذلک الخطاب النوعی، فإنّه و إن لم یحتج طریقیته للتعمیم إلی شی‌ء، إلّا أنّ أصل نوعیّته یحتاج إلی ملاحظة أحد العلائق المصحّحة له 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الظاهر فلأنّه کما أنّ الغالب فی الکتب المصنّفة و مقالة المصنّفین توجیه نوع ما رسموه و نوع ما قالوه إلی الناظرین إلیه، کذلک الغالب فی المکاتیب و الندب التی یقصد منها التحزّن و التحسّر توجیه شخص الخطاب إلی الغائبین و المعدومین، مع أنّ هذه الغلبة صنفیة لا یلحق الصنف الآخر بها و لو فرض اختصاص الغلبة بها لا غیر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الشخص موضوعا فکیف یتحقّق التوجیه به، إذ لا وجه </w:t>
      </w:r>
      <w:bookmarkStart w:id="234" w:name="pg12880_153391"/>
    </w:p>
    <w:p>
      <w:pPr>
        <w:pStyle w:val="BookText"/>
        <w:rPr/>
      </w:pPr>
      <w:bookmarkEnd w:id="234"/>
      <w:r>
        <w:rPr>
          <w:rFonts w:ascii="IRNazanin" w:hAnsi="IRNazanin" w:eastAsia="IRNazanin"/>
          <w:color w:val="111111"/>
          <w:sz w:val="28"/>
          <w:sz w:val="28"/>
          <w:szCs w:val="28"/>
          <w:rtl w:val="true"/>
          <w:lang w:bidi="fa-IR"/>
        </w:rPr>
        <w:t>لتوجیه غیر الموضوع فی غیر مقام الحکایة، لما یرد علیه نقضا بإطلاق الکلّی علی الفرد، و حلّا بأنّ اتّحاد الشخص مع النوع فی الوجود الخارجی کاف فی تصحیح ذلک و إن تغایرا فی الوجود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الواضع لم یوضع شخصا من اللفظ بعینه بإزاء معنی، بل وضع الأمر الکلّی الدائر بین مصادیقه لزم اندراج الأوضاع الشخصیة فی الأوضاع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الوضعین أنّ الموضوع فی الوضع الشخصی هو القدر المشترک بین الأفراد المتّحدة فی النوع کلفظ زید المتعدّد بتعدّد اللافظین، و فی الوضع النوعی هو القدر المشترک بین الأفراد المختلفة فی النوع کوزن فاعل المتعدّد بتعدّد مبادئه المتباینة من الضارب و القاتل و الناصر و نحوه</w:t>
      </w:r>
      <w:r>
        <w:rPr>
          <w:rFonts w:eastAsia="IRNazanin" w:cs="IRNazanin"/>
          <w:color w:val="111111"/>
          <w:sz w:val="28"/>
          <w:szCs w:val="28"/>
          <w:rtl w:val="true"/>
          <w:lang w:bidi="fa-IR"/>
        </w:rPr>
        <w:t>.</w:t>
      </w:r>
    </w:p>
    <w:p>
      <w:pPr>
        <w:pStyle w:val="Heading4"/>
        <w:numPr>
          <w:ilvl w:val="3"/>
          <w:numId w:val="1"/>
        </w:numPr>
        <w:rPr/>
      </w:pPr>
      <w:bookmarkStart w:id="235" w:name="__RefHeading___Toc2986463_3224264995"/>
      <w:bookmarkStart w:id="236" w:name="_Toc90"/>
      <w:bookmarkEnd w:id="235"/>
      <w:r>
        <w:rPr>
          <w:rtl w:val="true"/>
        </w:rPr>
        <w:t>[</w:t>
      </w:r>
      <w:r>
        <w:rPr>
          <w:rtl w:val="true"/>
        </w:rPr>
        <w:t>المقدمة الثالثة</w:t>
      </w:r>
      <w:r>
        <w:rPr>
          <w:rtl w:val="true"/>
        </w:rPr>
        <w:t xml:space="preserve">: </w:t>
      </w:r>
      <w:r>
        <w:rPr>
          <w:rtl w:val="true"/>
        </w:rPr>
        <w:t>فی بیان أنّه هل یترتّب علی النزاع فی المسألة ثمرة عملیة</w:t>
      </w:r>
      <w:r>
        <w:rPr>
          <w:rtl w:val="true"/>
        </w:rPr>
        <w:t>]</w:t>
      </w:r>
      <w:bookmarkEnd w:id="236"/>
    </w:p>
    <w:p>
      <w:pPr>
        <w:pStyle w:val="BookText"/>
        <w:rPr/>
      </w:pPr>
      <w:r>
        <w:rPr>
          <w:rFonts w:ascii="IRNazanin" w:hAnsi="IRNazanin" w:eastAsia="IRNazanin"/>
          <w:color w:val="111111"/>
          <w:sz w:val="28"/>
          <w:sz w:val="28"/>
          <w:szCs w:val="28"/>
          <w:rtl w:val="true"/>
          <w:lang w:bidi="fa-IR"/>
        </w:rPr>
        <w:t>کما یدّعیه صاحبی القوانین</w:t>
      </w:r>
      <w:r>
        <w:rPr>
          <w:rStyle w:val="FootnoteAnchor"/>
          <w:rtl w:val="true"/>
        </w:rPr>
        <w:footnoteReference w:id="432"/>
      </w:r>
      <w:r>
        <w:rPr>
          <w:rFonts w:ascii="IRNazanin" w:hAnsi="IRNazanin" w:eastAsia="IRNazanin"/>
          <w:color w:val="111111"/>
          <w:sz w:val="28"/>
          <w:sz w:val="28"/>
          <w:szCs w:val="28"/>
          <w:rtl w:val="true"/>
          <w:lang w:bidi="fa-IR"/>
        </w:rPr>
        <w:t>و الضوابط</w:t>
      </w:r>
      <w:r>
        <w:rPr>
          <w:rStyle w:val="FootnoteAnchor"/>
          <w:rtl w:val="true"/>
        </w:rPr>
        <w:footnoteReference w:id="433"/>
      </w:r>
      <w:r>
        <w:rPr>
          <w:rFonts w:ascii="IRNazanin" w:hAnsi="IRNazanin" w:eastAsia="IRNazanin"/>
          <w:color w:val="111111"/>
          <w:sz w:val="28"/>
          <w:sz w:val="28"/>
          <w:szCs w:val="28"/>
          <w:rtl w:val="true"/>
          <w:lang w:bidi="fa-IR"/>
        </w:rPr>
        <w:t>و الإشارات</w:t>
      </w:r>
      <w:r>
        <w:rPr>
          <w:rStyle w:val="FootnoteAnchor"/>
          <w:rtl w:val="true"/>
        </w:rPr>
        <w:footnoteReference w:id="434"/>
      </w:r>
      <w:r>
        <w:rPr>
          <w:rFonts w:ascii="IRNazanin" w:hAnsi="IRNazanin" w:eastAsia="IRNazanin"/>
          <w:color w:val="111111"/>
          <w:sz w:val="28"/>
          <w:sz w:val="28"/>
          <w:szCs w:val="28"/>
          <w:rtl w:val="true"/>
          <w:lang w:bidi="fa-IR"/>
        </w:rPr>
        <w:t>و الفصول</w:t>
      </w:r>
      <w:r>
        <w:rPr>
          <w:rStyle w:val="FootnoteAnchor"/>
          <w:rtl w:val="true"/>
        </w:rPr>
        <w:footnoteReference w:id="435"/>
      </w:r>
      <w:r>
        <w:rPr>
          <w:rFonts w:ascii="IRNazanin" w:hAnsi="IRNazanin" w:eastAsia="IRNazanin"/>
          <w:color w:val="111111"/>
          <w:sz w:val="28"/>
          <w:sz w:val="28"/>
          <w:szCs w:val="28"/>
          <w:rtl w:val="true"/>
          <w:lang w:bidi="fa-IR"/>
        </w:rPr>
        <w:t>و الفرید البهبهانی</w:t>
      </w:r>
      <w:r>
        <w:rPr>
          <w:rStyle w:val="FootnoteAnchor"/>
          <w:rtl w:val="true"/>
        </w:rPr>
        <w:footnoteReference w:id="436"/>
      </w:r>
      <w:r>
        <w:rPr>
          <w:rFonts w:ascii="IRNazanin" w:hAnsi="IRNazanin" w:eastAsia="IRNazanin"/>
          <w:color w:val="111111"/>
          <w:sz w:val="28"/>
          <w:sz w:val="28"/>
          <w:szCs w:val="28"/>
          <w:rtl w:val="true"/>
          <w:lang w:bidi="fa-IR"/>
        </w:rPr>
        <w:t>، أو لا یترتّب علیه بعد قیام الإجماع و الضرورة علی الشرکة و مساواة الکلّ فی التکالیف سوی ثمرة علمیة کما نسب فی الإشارات</w:t>
      </w:r>
      <w:r>
        <w:rPr>
          <w:rStyle w:val="FootnoteAnchor"/>
          <w:rtl w:val="true"/>
        </w:rPr>
        <w:footnoteReference w:id="437"/>
      </w:r>
      <w:r>
        <w:rPr>
          <w:rFonts w:ascii="IRNazanin" w:hAnsi="IRNazanin" w:eastAsia="IRNazanin"/>
          <w:color w:val="111111"/>
          <w:sz w:val="28"/>
          <w:sz w:val="28"/>
          <w:szCs w:val="28"/>
          <w:rtl w:val="true"/>
          <w:lang w:bidi="fa-IR"/>
        </w:rPr>
        <w:t>و الفوائد</w:t>
      </w:r>
      <w:r>
        <w:rPr>
          <w:rStyle w:val="FootnoteAnchor"/>
          <w:rtl w:val="true"/>
        </w:rPr>
        <w:footnoteReference w:id="438"/>
      </w:r>
      <w:r>
        <w:rPr>
          <w:rFonts w:ascii="IRNazanin" w:hAnsi="IRNazanin" w:eastAsia="IRNazanin"/>
          <w:color w:val="111111"/>
          <w:sz w:val="28"/>
          <w:sz w:val="28"/>
          <w:szCs w:val="28"/>
          <w:rtl w:val="true"/>
          <w:lang w:bidi="fa-IR"/>
        </w:rPr>
        <w:t>إلی بعض الأعاظم؟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فی تشخیص ذلک من ذکر الثمرات التی ادّعی ترتّبها علی النزاع لیظهر لک حقیقة الحال فی ترتّب شی‌ء منها و 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تلک الثمرات ما قاله فی الإشارات</w:t>
      </w:r>
      <w:r>
        <w:rPr>
          <w:rStyle w:val="FootnoteAnchor"/>
          <w:rtl w:val="true"/>
        </w:rPr>
        <w:footnoteReference w:id="439"/>
      </w:r>
      <w:r>
        <w:rPr>
          <w:rFonts w:ascii="IRNazanin" w:hAnsi="IRNazanin" w:eastAsia="IRNazanin"/>
          <w:color w:val="111111"/>
          <w:sz w:val="28"/>
          <w:sz w:val="28"/>
          <w:szCs w:val="28"/>
          <w:rtl w:val="true"/>
          <w:lang w:bidi="fa-IR"/>
        </w:rPr>
        <w:t>من أنّه علی تقدیر العموم یتعدّد الدلیل، فإنّ الخطاب دلیل و الإجماع علی اشتراک التکلیف دلیل آخر، و علی التقدیر الآخر ینحصر الدلیل فی الإجماع کما فی مفهوم المخالفة الموافق حکمه للأصل علی تقدیر حجّیته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یترتّب علی تعدّد الأدلّة ثمرة عملیّة سوی الترجیح فی مقام التعارض، و هو و إن کان ثمرة عملیّة، إلّا أنّه ثمرة شأنیة لا فعلیّة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تلک الثمرات ما قیل من أنّ لازم المعمّمین بیان القرآن بالنسبة إلینا، و لازم المخصّصین الإجمال لنا، فعلی التعمیم لو فهم المعدوم من الخطاب شیئا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خوطبت به، فإنّی مکلّف بما فهمت منه بحسب اصطلاحی و لو خالف فهم الحاضرین و اصطلاح زمنهم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فبالفرض، و أمّا الکبری فلقبح الخطاب بما له ظاهر و إرادة خلافه بلا نصب قرینة، و أمّا علی الاختصاص فلما لم یصدق أنّ هذا مما خوطبت به، بل صدق نقیضه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ممّا خوطبت به لم یترتب علیه تکلیفی بما فهمت منه، بل ترتّب علیه نقیضه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تکلیفی بما أفهم منه، بل هو مجمل فی حقّی لا یجوز تعویلی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أمّا فیما رتّبه علی القول بالتعمیم من لزوم صدق أنّ هذا ممّا خوطبت به و کلّ ما خوطبت به فإنّی مکلّف بما فهمت منه بحسب اصطلاحی و لو خالف فهم الحاضرین و اصطلاح زمنهم، فلما اورد علیه بمنع الکبری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بمنافاته للسیرة القطعیة من بناء العرف علی لزوم الفحص عن فهم الحاضر و إن علموا بتعلّق الخطاب إلی الغائب أیضا، سیّما مع اختلاف الزمان، فلو </w:t>
      </w:r>
    </w:p>
    <w:p>
      <w:pPr>
        <w:pStyle w:val="BookText"/>
        <w:rPr/>
      </w:pPr>
      <w:r>
        <w:rPr>
          <w:rFonts w:ascii="IRNazanin" w:hAnsi="IRNazanin" w:eastAsia="IRNazanin"/>
          <w:color w:val="111111"/>
          <w:sz w:val="28"/>
          <w:sz w:val="28"/>
          <w:szCs w:val="28"/>
          <w:rtl w:val="true"/>
          <w:lang w:bidi="fa-IR"/>
        </w:rPr>
        <w:t>قال لبعض غلمانه 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کلّ غلمانی التصدّق بدرهم لتفحص من الحاضرین و لا یکتفون بما فهموه، بل یتفحصون عن فهم الحاضرین و إن علموا بتعلّق الخطاب بهم أیضا إلقاء و مدلولا و علموا باختلاف الفهم أو احتملوه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بنی الغائب علی فهمه و اصطلاحه المخالف لفهم الحاضر و اصطلاحه للزم التصویب و تعدّد حکم اللّه الواقعی، و قد أثبتنا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بنی علی ذلک للزم الجمع فی استعمال واحد بین الحقیقتین أو المجازین أو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للمعمّم الجواب عن الإیراد الثانی بمنع بطلان اللازم إن کان المعمّم من الأشاعرة، و عن الثالث بمنع الملازمة إن فرض التعمیم من جهة کون الخطاب نوعیّا، لا من جهة التنزیل و فرض الخطاب شخصیّا، و ذلک لأنّ الخطاب النوعی بمنزلة الخطاب المتعدّد لا یلزم من الجمع بین المعنیین فیه الجمع بینهما فی استعمال واحد، و إنّما یلزم ذلک فی الخطاب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إمکان الجواب عن الإیراد الأوّل أیضا بابتناء لزوم فحص الغائب عن فهم الحاضر علی فرض الخطاب شخصیّا و التعمیم من جهة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فرض کون التعمیم من جهة کون الخطاب نوعیّا فیمکن منع لزوم الفحص علی الغائب و ترتّب عدم الفحص علی القول بالتعمیم، إذ لیس فی ترتّب تلک الثمرة علیه فساد وراء ما یرجع إلی فساد أصل القول بالتعمیم حتی یکون الإیراد بمنع ترتّب تلک الثمرة علی التعمیم أولی من منع أصل القول بالتعمیم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فیما رتّبه علی القول بالاختصاص من لزوم صدق أنّ الغائب لیس مخاطبا بخطابات القرآن فلیس مکلّفا بما فهمه، فلمنع الکبری أیضا، و ذلک لأنّ مراده من عدم تکلیف الغائب بما یفهمه من الخطاب المختصّ بالحاضر إن کان عدم المقتضی له من جهة أنّ مقصود المتکلّم لیس تفهیم الغائب مطالبه بنفس هذا </w:t>
      </w:r>
    </w:p>
    <w:p>
      <w:pPr>
        <w:pStyle w:val="BookText"/>
        <w:rPr/>
      </w:pP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من بعض الأخباریة فی حکایة تلک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المعلوم أنّ المقتضی لجواز التعویل علی ظاهر اللفظ و حجّیته فی حقّ السامعین لیس منوطا بقصد المتکلّم الإفهام و عدم قصده له، بل منوط ببناء العقلاء و أهل اللسان، و قد تقرّر فیما مرّ أنّ بناء العرف و السیرة القطعیّة من أهل اللسان و العلماء و أصحاب الأئمّة جاریة و مستمرّة علی عدم الفرق فی العمل بالظهور اللفظی و أصالة عدم الصارف عن الظاهر بین من قصد إفهامه و من لم یقصد، فإنّ جمیع ما دلّ علی حجّیة الظاهر بالنسبة إلی من قصد إفهامه جار فیمن لم یقصد، و لو لا ذلک لم یعتبر ظواهر الأقاریر و الوصایا و العقود و الشهادات و نحو ذلک فی حقّ غیر المخاطبین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من عدم تکلیف الغائب بما یفهمه من الخطاب المختصّ بالحاضر وجود المانع من جهة أنّ طروّ التقیید و التخصیص و التجوّز فی أکثر ظواهر الکتاب ممّا یسقطها عن الظهور کما هو أحد وجهی الاخباریة فی منع حجیة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بظواهر السنّة، بل بمطلق محاورات العرف، فإنّا نقطع بمخالفة الظاهر فی أکثرها، فإنّ الموهن بما ذکر فی أَوْفُوا بِالْعُقُودِ</w:t>
      </w:r>
      <w:r>
        <w:rPr>
          <w:rStyle w:val="FootnoteAnchor"/>
          <w:rtl w:val="true"/>
        </w:rPr>
        <w:footnoteReference w:id="440"/>
      </w:r>
      <w:r>
        <w:rPr>
          <w:rFonts w:ascii="IRNazanin" w:hAnsi="IRNazanin" w:eastAsia="IRNazanin"/>
          <w:color w:val="111111"/>
          <w:sz w:val="28"/>
          <w:sz w:val="28"/>
          <w:szCs w:val="28"/>
          <w:rtl w:val="true"/>
          <w:lang w:bidi="fa-IR"/>
        </w:rPr>
        <w:t>لیس بأکثر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w:t>
      </w:r>
      <w:r>
        <w:rPr>
          <w:rStyle w:val="FootnoteAnchor"/>
          <w:rtl w:val="true"/>
        </w:rPr>
        <w:footnoteReference w:id="442"/>
      </w:r>
      <w:r>
        <w:rPr>
          <w:rFonts w:ascii="Amiri" w:hAnsi="Amiri" w:eastAsia="Amiri" w:cs="Amiri"/>
          <w:color w:val="111111"/>
          <w:sz w:val="28"/>
          <w:sz w:val="28"/>
          <w:szCs w:val="28"/>
          <w:rtl w:val="true"/>
          <w:lang w:bidi="ar-SA"/>
        </w:rPr>
        <w:t>، مع أنّه التزم بحجیّة السنّة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بالحلّ، و هو أنّ العلم بطروّ التقیید و التخصیص و التجوّز فی أکثر ظواهر القرآن لا یوجب سقوطها عن الظهور، و إنّما یوجب الفحص عمّا یوجب </w:t>
      </w:r>
    </w:p>
    <w:p>
      <w:pPr>
        <w:pStyle w:val="BookText"/>
        <w:rPr/>
      </w:pPr>
      <w:r>
        <w:rPr>
          <w:rFonts w:ascii="Amiri" w:hAnsi="Amiri" w:eastAsia="Amiri" w:cs="Amiri"/>
          <w:color w:val="111111"/>
          <w:sz w:val="28"/>
          <w:sz w:val="28"/>
          <w:szCs w:val="28"/>
          <w:rtl w:val="true"/>
          <w:lang w:bidi="ar-SA"/>
        </w:rPr>
        <w:t>مخالفة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بوجود مخالفات الظواهر لا یرتفع أثره و هو وجوب التوقّف بالفحص، و لذا لو تردّد اللفظ بین معنیین أو علم إجمالا بمخالفة أحد الظاهرین لظاهره کما فی العامّین من وجه و شبههما وجب التوقّف فیه و لو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شبهة ربّما یورد علی من استدلّ علی وجوب الفحص عن المخصّص فی العمومات، بل و عن الوارد فی الاصول الفقاهیة بثبوت العلم الإجمالی بوجود المخصّصات فإنّ العلم الإجمالی إمّا أن یبقی أثره و لو بعد العلم التفصیلی بوجود عدّة مخصّصات، و إمّا أن لا یبقی، فإن بقی فلا یرتفع بالفحص، و إلّا فلا مقتضی للفحص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الإجمالی بوجود مخالفات الظواهر إن أثّر رفع ظهورها فلا یفیده الفحص، و إن لم یؤثّر رفع ظهورها فلا مقتضی للفحص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تندفع هذه الشبهة بأنّ المعلوم، إجمالا وجود مخالفات کثیرة فی الواقع فیما بأیدینا بحیث تظهر تفصیلا بعد الفحص، و أمّا وجود مخالفات فی الواقع زائدا علی ذلک فغیر معلوم، فحینئذ فلا یجوز العمل قبل الفحص، لاحتمال وجود مخصّص یظهر بالفحص و لا یمکنه نفیه بالأصل لأجل العلم الإجمالی، و أمّا بعد الفحص فاحتمال وجود المخصّص فی الواقع ینفی بالأصل السالم عن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واضح بین العلم الإجمالی المنحلّ إلی العلم التفصیلی بعد الفحص المسمّی بالعلم فی الجملة، و بین العلم الإجمالی الغیر المنحلّ إلیه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من جمیع ما ذکرنا عدم استلزام القول بالاختصاص للإجمال الذاتی الغیر المرتفع بالفحص عن فهم الحاضرین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غایة ما یستلزم القول بالاختصاص هو الإجمال العرضی المرتفع بالفحص، و القول بالتعمیم هو البیان و عدم الإجمال لا ذاتا و لا عرضا، و لا بأس فی ترتّب هذا المقدار من الثمرة علی القول بالتعمیم، وفاقا لبعض أساطین الفنّ صاحب القوانین و استاده الفرید قدّس سرّه، إذ لیس فی ترتّبها علی القول بالتعمیم فساد وراء فساد أصل القول بالتعمیم حتی یکون الإیراد بمنع ترتّبها علی القول بالتعمیم أولی من منع أصل القول بالتعمیم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تلک الثمرات ما ذکره الفرید البهبهانی فی فوائده</w:t>
      </w:r>
      <w:r>
        <w:rPr>
          <w:rStyle w:val="FootnoteAnchor"/>
          <w:rtl w:val="true"/>
        </w:rPr>
        <w:footnoteReference w:id="443"/>
      </w:r>
      <w:r>
        <w:rPr>
          <w:rFonts w:ascii="IRNazanin" w:hAnsi="IRNazanin" w:eastAsia="IRNazanin"/>
          <w:color w:val="111111"/>
          <w:sz w:val="28"/>
          <w:sz w:val="28"/>
          <w:szCs w:val="28"/>
          <w:rtl w:val="true"/>
          <w:lang w:bidi="fa-IR"/>
        </w:rPr>
        <w:t>و ارتضاه صاحب الإشارات</w:t>
      </w:r>
      <w:r>
        <w:rPr>
          <w:rStyle w:val="FootnoteAnchor"/>
          <w:rtl w:val="true"/>
        </w:rPr>
        <w:footnoteReference w:id="444"/>
      </w:r>
      <w:r>
        <w:rPr>
          <w:rFonts w:ascii="IRNazanin" w:hAnsi="IRNazanin" w:eastAsia="IRNazanin"/>
          <w:color w:val="111111"/>
          <w:sz w:val="28"/>
          <w:sz w:val="28"/>
          <w:szCs w:val="28"/>
          <w:rtl w:val="true"/>
          <w:lang w:bidi="fa-IR"/>
        </w:rPr>
        <w:t>أیضا من تقیید ما رتّبناه علی القول بالاختصاص فی الثمرة الثانیة من جواز تمسّک المعدومین بإطلاق الخطابات فی نفی الاشتراط بعد الفحص عن فهم الحاضرین بصورة اتّحادهم مع الحاضرین فی الصنف نافیا لجواز تمسّکهم بإطلاق الخطاب فی نفی الاشتراط فی صورة اختلافهم مع الحاضرین فی الصنف، ممثلا له بصلاة الجمعة، حیث أمر بالسعی إلیها من غیر تقیید بحضور السلطان العادل أو نائبه الخاص مع تحقّقه فی حقّ الحاضرین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تعمیم الخطاب للمعدومین دلّ إطلاقه علی عدم اعتبار الشرط المذکور، لأنّ منهم من لا یتحقّق الشرط المذکور فی حقّه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اختصاص الخطاب لم یکن فی إطلاقه دلالة علی نفی الاشتراط بذلک، لتحقّقه فی حقّهم، و الواجب المشروط مطلق بالنسبة إلی الواجدین للشرط، فإذا کان المفروض عدم اتّحادهم مع الحاضرین لا فی الخطاب و لا فی الصنف لم یجز لهم التمسّک بإطلاق الخطاب فی نفی الاشتراط، لاحتمال أن یکون عدم تقیید الخطاب المختصّ بالحاضرین لأجل الحمل علی الغالب من أفراد المطلق، حیث إنّ </w:t>
      </w:r>
    </w:p>
    <w:p>
      <w:pPr>
        <w:pStyle w:val="BookText"/>
        <w:rPr/>
      </w:pPr>
      <w:r>
        <w:rPr>
          <w:rFonts w:ascii="IRNazanin" w:hAnsi="IRNazanin" w:eastAsia="IRNazanin"/>
          <w:color w:val="111111"/>
          <w:sz w:val="28"/>
          <w:sz w:val="28"/>
          <w:szCs w:val="28"/>
          <w:rtl w:val="true"/>
          <w:lang w:bidi="fa-IR"/>
        </w:rPr>
        <w:t>حالة حضور المخاطبین خدمة الإمام أغلب من حالة فقدهم إیّاه بالمسافرة و نحوه، فلا یمکن الاستدلال بإطلاق الخطاب المختصّ بالحاضرین علی الوجوب المطلق علی المعدومین مع الاختلاف فی الصنف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محصل مضمونه بعد التنقیح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 و بین الثمرتین المتقدّمتین أمّا علی القول بالتعمیم فجمیع الثمرات المذکورة متّحدة فی اقتضاء جواز تمسّک المعدومین بظواهر القرآن علی حسب فهمهم و اصطلاحهم من غیر فحص عن فهم الحاضرین و اصطلاحهم، و أمّا علی القول بالاختصاص فمقتضی الثمرة الاولی هو الحکم بالإجمال الذاتی فی الخطابات بالنسبة إلینا، فلا یجوز لنا التعویل علی شی‌ء من ظواهرها لا قبل الفحص و لا بعده بواسطة ما زعم من انحصار المقتضی للعمل بأصالة الإطلاق و ظهور الخطاب فیمن قصد المتکلّم إفهامه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الثمرة الثانیة هو الحکم بالإجمال العرضی المرتفع بعد الفحص بواسطة العلم فی الجملة بطروّ المانع من التخصیصات و التقییدات و التجوّزات الکثیرة علی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الثمرة الثالثة هو تقیید الثمرة الثانیة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ارتفاع الإجمال لنا بعد الفحص بصورة اتّحادنا مع المخاطبین فی الصنف، و أمّا صورة اختلافنا معهم فیه فلا یرتفع الإجمال لنا بالفحص و لا یجوز لنا التعویل علی أصالة الإطلاق و ظهور الخطاب</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أنّه إن ارید من الثمرة الثالثة تقیید جواز تمسّک المعدوم بإطلاق الخطاب بعد الفحص بصورة اتّحادنا مع الحاضرین فی کلّ صنف و وصف حتی الکون فی زمن النبی صلّی اللّه علیه و آله اورد علیه ما فی القوانین من أنّ اعتبار الاتّحاد فی الصنف لا یحدّه قلم و لا یحیط ببیانه رقم، و احتمال مدخلیّة کونهم فی عصر النبی صلّی اللّه علیه و آله أو أنّ صلاتهم کانت خلفه و أمثال ذلک فی الأحکام الشرعیة </w:t>
      </w:r>
    </w:p>
    <w:p>
      <w:pPr>
        <w:pStyle w:val="BookText"/>
        <w:rPr/>
      </w:pPr>
      <w:r>
        <w:rPr>
          <w:rFonts w:ascii="IRNazanin" w:hAnsi="IRNazanin" w:eastAsia="IRNazanin"/>
          <w:color w:val="111111"/>
          <w:sz w:val="28"/>
          <w:sz w:val="28"/>
          <w:szCs w:val="28"/>
          <w:rtl w:val="true"/>
          <w:lang w:bidi="fa-IR"/>
        </w:rPr>
        <w:t>و حصول التفاوت بذلک و عدم الحکم باشتراک الغائبین معهم من جهة هذه المخالفة و التفاوت ممّا یهدم أساس الشریعة و الأحکام رأسا، و مدخلیة حضور السلطان أو نائبه الخاص فیما نحن فیه علی القول به إنّما هو من دلیل خارج من إجماع أو غیره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المراد منه اعتبار الاتّحاد فی خصوص ما لم یقم دلیل علی عدم اعتباره فهو و إن لم یرد علیه ما ذکر من الانهدام و الانسداد، إلّا أنّه یرد علیه إیراد آخر و هو رجوع تلک الثمرة إلی فرع من فروع الثمرة الثانیة و هو لزوم الفحص عن فهم الحاضرین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الوجه فی عدم جواز تمسّکنا بإطلاق الآیة علی الوجوب المطلق فی حقّنا مع اختلاف الصنف هو عدم جواز تمسک الحاضرین بإطلاقه علی الوجوب المطلق فی حقّهم إذا اتّفق لهم فقد خدمة الامام علیه السّلام بالمسافرة و نحوه بعد فرض أنّ حالة درکهم خدمة الإمام أغلب من حالة فقدهم إیّاه و احتمالهم کون عدم تقیید الخطاب الموجّه إلیهم لأجل الحمل علی الغالب، و إلّا فلو فرض جواز التمسّک بإطلاق الآیة فی حقّهم بفرض کون الغلبة قاصرة عن صرفهم الإطلاق لم یبق إشکال فی جواز التمسّک بإطلاقه فی حقّنا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اعتبار اتّحادنا معهم فی الصنف فی جواز تمسّکنا بالإطلاق راجع إلی اعتبار الفحص عن فهم الحاضرین فی جواز تمسّکنا بالإطلاق، فلیس تلک الثمرة إلّا فرع من فروع الثمرة الثانیة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تمهّدت المقدّمات فالأظهر عدم جواز شمول الخطاب اللفظی للمعدومین حقیقیة، بل و غیر الحاضرین مطلقا و جواز شموله لهم مجازا وفاقا </w:t>
      </w:r>
    </w:p>
    <w:p>
      <w:pPr>
        <w:pStyle w:val="BookText"/>
        <w:rPr/>
      </w:pPr>
      <w:r>
        <w:rPr>
          <w:rFonts w:ascii="IRNazanin" w:hAnsi="IRNazanin" w:eastAsia="IRNazanin"/>
          <w:color w:val="111111"/>
          <w:sz w:val="28"/>
          <w:sz w:val="28"/>
          <w:szCs w:val="28"/>
          <w:rtl w:val="true"/>
          <w:lang w:bidi="fa-IR"/>
        </w:rPr>
        <w:t>للاتّفاق المحصّل من تنصیص اللغویین و المنقول عن أصحابنا الاصولیین من قدیم الزمان إلی زمان الفاضل التونی</w:t>
      </w:r>
      <w:r>
        <w:rPr>
          <w:rStyle w:val="FootnoteAnchor"/>
          <w:rtl w:val="true"/>
        </w:rPr>
        <w:footnoteReference w:id="446"/>
      </w:r>
      <w:r>
        <w:rPr>
          <w:rFonts w:ascii="IRNazanin" w:hAnsi="IRNazanin" w:eastAsia="IRNazanin"/>
          <w:color w:val="111111"/>
          <w:sz w:val="28"/>
          <w:sz w:val="28"/>
          <w:szCs w:val="28"/>
          <w:rtl w:val="true"/>
          <w:lang w:bidi="fa-IR"/>
        </w:rPr>
        <w:t>، فإنّه علی ما نسب إلیه أوّل من ناقش فی اختصاص الخطاب، ثمّ تبعه بعض المدقّقین، بل لو سلّمنا الخلاف من غیر الحنابلة فلم نسلّم ثبوته فی الخطاب اللفظی الحقیقی، بل لا یبعد أن یکون خلاف الحنابلة أیضا فی غیر الخطاب اللفظی الحقیقی کالخطاب التنزیلی أو التغلیبی أو نحوه من الخطابات المجازیة فتتّبع و تدبّر لا تغترّ، و لحکم العقل</w:t>
      </w:r>
      <w:r>
        <w:rPr>
          <w:rStyle w:val="FootnoteAnchor"/>
          <w:rtl w:val="true"/>
        </w:rPr>
        <w:footnoteReference w:id="447"/>
      </w:r>
      <w:r>
        <w:rPr>
          <w:rFonts w:ascii="IRNazanin" w:hAnsi="IRNazanin" w:eastAsia="IRNazanin"/>
          <w:color w:val="111111"/>
          <w:sz w:val="28"/>
          <w:sz w:val="28"/>
          <w:szCs w:val="28"/>
          <w:rtl w:val="true"/>
          <w:lang w:bidi="fa-IR"/>
        </w:rPr>
        <w:t>و العرف بقبح خطاب المعدوم و تکلیفه حقیقة و أولویّة المعدوم بامتناع التکلیف من الغافل و النائم و الساهی بل من الصبی و من المجنون، و وفاقا للاصول الاجتهادیة و الفقاهیة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فلظهور انصراف الخطاب إلی إرادة الحاضرین و تبادر الحاضر منه و صحّة سلبه عن المعدوم و عن الملفّق من الموجود و المعدوم، و إن خرج عن الظهور مخرج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أخذنا بالأقرب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فلأصالة عدم وضعه لما یشمل المعدوم و عدم ملاحظة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قیل و لکن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الحادث لا الحدوث، و لا عبرة عند العقلاء بالأصل فی الشکّ فی الحادث، بل لا مسرح له، لمعارضته بالمثل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من مجری الأصل ترتّب التوقّف فی الوضع علیه فلا حاجة إلی مجراه، لأنّ التوقّف من آثار الشک، لا من آثار مجری الأصل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ترتّب تعیین الوضع فیه لخصوص الحاضر علیه فلا یجدیه هذا الأصل، لما مرّ غیر مرّة من أنّه أصل مثبت، و الاصول المثبتة لا تفید الظنّ إلّا أن ترجع إلی الغلبة کأصالة عدم التقیید و عدم القرینة، و ما لا یفید الظنّ لا یثبت اللغات المنوط ثبوتها بحصول الظن</w:t>
      </w:r>
      <w:r>
        <w:rPr>
          <w:rFonts w:eastAsia="IRNazanin" w:cs="IRNazanin"/>
          <w:color w:val="111111"/>
          <w:sz w:val="28"/>
          <w:szCs w:val="28"/>
          <w:rtl w:val="true"/>
          <w:lang w:bidi="fa-IR"/>
        </w:rPr>
        <w:t xml:space="preserve">. </w:t>
      </w:r>
      <w:bookmarkStart w:id="237" w:name="pg12880_153400"/>
    </w:p>
    <w:p>
      <w:pPr>
        <w:pStyle w:val="BookText"/>
        <w:rPr/>
      </w:pPr>
      <w:bookmarkEnd w:id="237"/>
      <w:r>
        <w:rPr>
          <w:rFonts w:ascii="IRNazanin" w:hAnsi="IRNazanin" w:eastAsia="IRNazanin"/>
          <w:color w:val="111111"/>
          <w:sz w:val="28"/>
          <w:sz w:val="28"/>
          <w:szCs w:val="28"/>
          <w:rtl w:val="true"/>
          <w:lang w:bidi="fa-IR"/>
        </w:rPr>
        <w:t>فتبیّن أنه لا أصل فی البین من الاصول العملیة، أمّا مع القول بالاختصاص فلما عرفت من فساد الأصل المذکور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القول بالتعمیم فلأنّ ما یتخیّل من دوران الأمر بین الاشتراک المعنوی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الخطاب للأعمّ من الموجود و المعدوم و بین وضعه لخصوص الموجود و کون الاشتراک المعنوی خیر من الحقیقة و المجاز مدفوع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موضوع الدوران، لتوقّف موضوع الاشتراک المعنوی علی وجود القدر الجامع بین المعنیین کما بین المطلق و المقیّد، و ما نحن فیه لیس من قبیلهما، بل من قبیل الکلّی و الفرد و لا 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أولویّة الاشتراک المعنوی من الحقیقة و المجاز، لعدم تحقّق شرط الأولویّة فیه علی حسب ما تقرّر تفصیل کلّ من المعنیین فی مقدّمة تأسیس الأصل من بحث المشتق</w:t>
      </w:r>
      <w:r>
        <w:rPr>
          <w:rFonts w:eastAsia="IRNazanin" w:cs="IRNazanin"/>
          <w:color w:val="111111"/>
          <w:sz w:val="28"/>
          <w:szCs w:val="28"/>
          <w:rtl w:val="true"/>
          <w:lang w:bidi="fa-IR"/>
        </w:rPr>
        <w:t>.</w:t>
      </w:r>
    </w:p>
    <w:p>
      <w:pPr>
        <w:pStyle w:val="Heading4"/>
        <w:numPr>
          <w:ilvl w:val="3"/>
          <w:numId w:val="1"/>
        </w:numPr>
        <w:rPr/>
      </w:pPr>
      <w:bookmarkStart w:id="238" w:name="__RefHeading___Toc2986465_3224264995"/>
      <w:bookmarkStart w:id="239" w:name="_Toc91"/>
      <w:bookmarkEnd w:id="238"/>
      <w:r>
        <w:rPr>
          <w:rtl w:val="true"/>
        </w:rPr>
        <w:t>[</w:t>
      </w:r>
      <w:r>
        <w:rPr>
          <w:rtl w:val="true"/>
        </w:rPr>
        <w:t>حجّة المعمّمین وجوه یتوقّف الکلام فیها علی تقدیم مقدمة</w:t>
      </w:r>
      <w:r>
        <w:rPr>
          <w:rtl w:val="true"/>
        </w:rPr>
        <w:t>]</w:t>
      </w:r>
      <w:bookmarkEnd w:id="239"/>
    </w:p>
    <w:p>
      <w:pPr>
        <w:pStyle w:val="Heading5"/>
        <w:numPr>
          <w:ilvl w:val="4"/>
          <w:numId w:val="1"/>
        </w:numPr>
        <w:rPr/>
      </w:pPr>
      <w:bookmarkStart w:id="240" w:name="__RefHeading___Toc2986467_3224264995"/>
      <w:bookmarkStart w:id="241" w:name="_Toc92"/>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هل یحصل بمجرّد الإرادة و لو لم یتوجّه التکلیف إلی المکلّف لا إلقاء و لا مدلولا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لازم الاشاعرة الحاملین کلام المعبود علی الکلام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یحصل إلّا بإعلام المکلّف و لو من باب تعمیم مدلول الخطاب له و اختصاص إلقائه بغیره، کما فی تکلیف المولی عبیده الحاضرین و الغائبین بتکلیف واحد خاص إلقائه بالحاضرین و عام مدلوله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اختاره صاحب الضوابط</w:t>
      </w:r>
      <w:r>
        <w:rPr>
          <w:rStyle w:val="FootnoteAnchor"/>
          <w:rtl w:val="true"/>
        </w:rPr>
        <w:footnoteReference w:id="448"/>
      </w:r>
      <w:r>
        <w:rPr>
          <w:rFonts w:ascii="IRNazanin" w:hAnsi="IRNazanin" w:eastAsia="IRNazanin"/>
          <w:color w:val="111111"/>
          <w:sz w:val="28"/>
          <w:sz w:val="28"/>
          <w:szCs w:val="28"/>
          <w:rtl w:val="true"/>
          <w:lang w:bidi="fa-IR"/>
        </w:rPr>
        <w:t>و غیره ناقلا إیّاه عن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یحصل إلّا بإعلام المکلّف من باب تعمیم إلقاء الخطاب له، لا تعمیم المدلول فقط، کما اختاره الاستاد دام ظلّه حاکیا إیّاه عن المشهور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هذه المقدّمة فاعلم أنّ من مقتضیات القول الأوّل هو شمول </w:t>
      </w:r>
    </w:p>
    <w:p>
      <w:pPr>
        <w:pStyle w:val="BookText"/>
        <w:rPr/>
      </w:pPr>
      <w:r>
        <w:rPr>
          <w:rFonts w:ascii="IRNazanin" w:hAnsi="IRNazanin" w:eastAsia="IRNazanin"/>
          <w:color w:val="111111"/>
          <w:sz w:val="28"/>
          <w:sz w:val="28"/>
          <w:szCs w:val="28"/>
          <w:rtl w:val="true"/>
          <w:lang w:bidi="fa-IR"/>
        </w:rPr>
        <w:t>الخطاب و التکلیف للمعدومین علی نهج شموله الموجودین منجّزا من غیر فرق، و لا مدفع له سوی عدم معقولیّة الکلام النفسی و عدم کون التکلیف من جملته، و من مقتضیات القول الثانی هو شمول الخطاب و التکلیف المعدومین، لکن لا علی نهج شموله الموجودین و لا علی نهج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هذان القولان بملاحظة هذین اللازمین راجعین إلی إمکان التعلیق فی الخطابات و التکالیف و امتناعه کان المناسب التعرّض لتشخیص صحّة کلّ من اللازمین و فساده لکی یعلم صحّة کلّ من الملزومین و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القول بامتناع التعلیق من العالم بالعواقب دعوی الوجدان بأنّا لم نتعقّل من تعلیق الخطاب و التکلیف سوی التحلیل إلی الإخبار عن قضیتین مطلقتین ثبوتی فی حق الواجد و سلبیّ فی حق الفاقد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البرهان</w:t>
      </w:r>
      <w:r>
        <w:rPr>
          <w:rStyle w:val="FootnoteAnchor"/>
          <w:rtl w:val="true"/>
        </w:rPr>
        <w:footnoteReference w:id="449"/>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الخطاب و التکلیف أمر نسبی، فلا یتحقّق إلّا بتحقّق المنتسبین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التکلیف المعلّق لو کان إنشاء و لم یرجع إلی الإخبار لاستلزم العقاب علی ترکه، و 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التکلیف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حجّوا إن استطعتم، إمّا بنفس المشروط، أو بنفس الشرط، أو بالمشروط مع اقترانه بالشرط، أو بالشرط مع اقترانه بالمشروط، و الأقسام بأسرها باطلة، فالمقسم مثلها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من تحدیدهم الواجب المشروط بما یتوقّف تعلّقه بالمکلّف علی أمر غیر حاصل هو کونه إخبارا عمّا سیوجد من الوجوب و التکلیف، لا إنشاء له، و مرجع کلّ ذلک إلی استنتاج الاستحالة الذاتیة بین الإنشاء </w:t>
      </w:r>
    </w:p>
    <w:p>
      <w:pPr>
        <w:pStyle w:val="BookText"/>
        <w:rPr/>
      </w:pPr>
      <w:r>
        <w:rPr>
          <w:rFonts w:ascii="IRNazanin" w:hAnsi="IRNazanin" w:eastAsia="IRNazanin"/>
          <w:color w:val="111111"/>
          <w:sz w:val="28"/>
          <w:sz w:val="28"/>
          <w:szCs w:val="28"/>
          <w:rtl w:val="true"/>
          <w:lang w:bidi="fa-IR"/>
        </w:rPr>
        <w:t>و التعلیق کاجتماع الضدین کما صرّح به فی القوانین</w:t>
      </w:r>
      <w:r>
        <w:rPr>
          <w:rStyle w:val="FootnoteAnchor"/>
          <w:rtl w:val="true"/>
        </w:rPr>
        <w:footnoteReference w:id="450"/>
      </w:r>
      <w:r>
        <w:rPr>
          <w:rFonts w:ascii="IRNazanin" w:hAnsi="IRNazanin" w:eastAsia="IRNazanin"/>
          <w:color w:val="111111"/>
          <w:sz w:val="28"/>
          <w:sz w:val="28"/>
          <w:szCs w:val="28"/>
          <w:rtl w:val="true"/>
          <w:lang w:bidi="fa-IR"/>
        </w:rPr>
        <w:t>، أو الاستحالة العرضیة کالتکلیف بما لا یطاق کما عن الإشارات</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الجواب عن الوجدان بمنعه، بل بدعوی الوجدان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برهانه الأوّل و الثانی بأنّه إن ارید من التکلیف المستلزم لتحقّق المنتسبین و للعقاب علی ترکه التکلیف التنجیزی فبطلان اللازم ممنوع، و إن ارید منه التکلیف التعلیقی فالملازمة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برهانه الثالث باختیار الشقّ الثالث منه و المنع من بطلانه، إذ لم یقم علیه بیّنة و لا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برهانه الرابع بأنّه فی مقام تمییز الواجب المشروط عن الواجب المطلق، لا فی مقام تحقیق معنی الواجب المشروط، و قد جری دیدنهم علی نحو ذلک فی کثیر من مقامات التفهیم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للابتداء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للانتهاء، مع أنّ المعانی الحرفیّة غیر مستقلّة بأنفسها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تعبیرهم عن الضمیر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بلفظ المنفصل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المستتر لیس من مقولة الألفاظ و الاصوات، فجمیع ذلک من باب أنّ المقصود عام و إن کان الملفوظ خاصّ من باب ضیق الخناق و تعسّر التعبیر، هذا کلّه فی الجواب عن کل واحد واحد من حججهم تفصیلا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عن مجموعها إجمالا فهو ما أجاب به الفصول</w:t>
      </w:r>
      <w:r>
        <w:rPr>
          <w:rStyle w:val="FootnoteAnchor"/>
          <w:rtl w:val="true"/>
        </w:rPr>
        <w:footnoteReference w:id="452"/>
      </w:r>
      <w:r>
        <w:rPr>
          <w:rFonts w:ascii="IRNazanin" w:hAnsi="IRNazanin" w:eastAsia="IRNazanin"/>
          <w:color w:val="111111"/>
          <w:sz w:val="28"/>
          <w:sz w:val="28"/>
          <w:szCs w:val="28"/>
          <w:rtl w:val="true"/>
          <w:lang w:bidi="fa-IR"/>
        </w:rPr>
        <w:t xml:space="preserve">و ارتضاه الاستاد </w:t>
      </w:r>
    </w:p>
    <w:p>
      <w:pPr>
        <w:pStyle w:val="BookText"/>
        <w:rPr/>
      </w:pPr>
      <w:r>
        <w:rPr>
          <w:rFonts w:ascii="IRNazanin" w:hAnsi="IRNazanin" w:eastAsia="IRNazanin"/>
          <w:color w:val="111111"/>
          <w:sz w:val="28"/>
          <w:sz w:val="28"/>
          <w:szCs w:val="28"/>
          <w:rtl w:val="true"/>
          <w:lang w:bidi="fa-IR"/>
        </w:rPr>
        <w:t>و بعض مشایخه الفحول من منع الاستحالة مطلقا بما یرج حلّا إلی الوجدان المعتضد بأصالة الإمکان و ظهور الأمر المعلّق فی الإنشاء لا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نقضا إلی البرهان بأنّ التکلیف المشروط لو کان من باب الإعلام و الإخبار عن حصول الطلب عند حصول الشروط لا من باب إنشاء الطلب المشروط لاحتمل الصدق و الکذب، و من البیّن عدمه، و لاحتمل البداء و فسخ العزم بوفاء الوعد بحصول الطلب عند حصول الشرط المستلزم لعدم الذمّ و العقاب علی ترکه، و من البیّن بطلان اللازم، و لامتنع الشرط فی العقود و الإیقاعات و الوعد و الوعید، بل و فی الإخبار أیضا، إذ المقتضی لانحلال الإنشاء المشروط إلی الإخبار عن حصول الإنشاء و الطلب عند حصول الشرط هو المقتضی لانحلال الإخبار المشروط إلی الإخبار عن حصول الإخبار عند حصول الشرط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إمکان التعلیق فی الإنشاءات من الجاهل بالعواقب، لکن لا نسلّم إمکانه من العالم بالعواقب لما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أیضا من إمکانه و جوازه من العالم لا عقلا و لا لفظا، أمّا عدم المانع عقلا، فلعدم انحصار فائدة التعلیق فی جهل المعلّق حتی یکون صدوره من العالم لغوا و عبثا، بل فوائده کثیرة، منها تهییج المخاطب و حثّه علی الفعل کقولک لابنک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ابنی فافعل کذا، أو المماشاة معه، أو عدم استمرار الشرط فی حال المخاطب أو غیر ذلک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عدم المانع عرفا، فلعدم وضع أداة التعلیق لخصوص بیان جهل المعلّق، بل قد وضع بعض أداته لخصوص صورة علم المعلّق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بل لو سلّمنا وضعه لخصوص إفادة الجهل دون الأعمّ منه و من سائر الفوائد فلا أقلّ من کون سائر الفوائد المذکورة للتعلیق أقرب المجازات إلیه من الحمل علی صرف الإخبار، فعند تعذّر الحقیقة من العالم بالعواقب یتعیّن حمل التعلیق علی ما عدا الجهل من </w:t>
      </w:r>
    </w:p>
    <w:p>
      <w:pPr>
        <w:pStyle w:val="BookText"/>
        <w:rPr/>
      </w:pPr>
      <w:r>
        <w:rPr>
          <w:rFonts w:ascii="IRNazanin" w:hAnsi="IRNazanin" w:eastAsia="IRNazanin"/>
          <w:color w:val="111111"/>
          <w:sz w:val="28"/>
          <w:sz w:val="28"/>
          <w:szCs w:val="28"/>
          <w:rtl w:val="true"/>
          <w:lang w:bidi="fa-IR"/>
        </w:rPr>
        <w:t>سائر فوائد التعلیق، لا علی صرف الإخبار المجرّد عن جمیع فوائد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هذه المقدمة فاعلم أنّ بعضهم استدلّ علی عموم الخطاب و شموله المعدومین ببناء العقلاء علی جوازه فیما علم من المخاطب إرادة تعمیم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بناء العقلاء فی إرادة تعمیم المدلول علی تعمیم نفس الخطاب، بل قد یکون بنائهم فی إرادة ذلک علی تنزیل المعدومین منزلة الموجودین أو علی غیر ذلک من سائر طرق التعمیم التی مرّ ذکرها فی بعض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بناء العقلاء فإنّما هو فیما لم یقم علی التعمیم الأدلّة الخارجیة، و أمّا فیما قامت الأدلّة الخارجیة علی التعمیم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إلی یوم القیامة و حرامه حرام إلی یوم القیامة</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إلی غیر ذلک من أدلّة الاشتراک القائمة علی التعمیم فیما نحن فیه فلا نسلّم بناء العقلاء علی تعمیم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الأدلّة الخارجیّة فیما نحن فیه مؤکّدة لما فی مضمون الخطاب من التعمیم مدفوع بأنّ التأسیس أولی من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کون التعمیم الثابت علیه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حقیقیا للخطابات اللغویة، فمن الواضح منعه نقضا بلزوم الالتزام به فی خطابات السنّة، و المفروض عدم التزام أحد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حلّا بأنّه خلاف المتبادر و المصرّح به فی کلام اللغویین علی ما عرفت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ارید کونه معنی حقیقیا للخطابات الشرعیة الالهیة فمن الواضح أیضا منعه نقضا بلزوم الالتزام به فی الخطابات الشرعیة النبویة، بل و فی الخطابات </w:t>
      </w:r>
      <w:bookmarkStart w:id="242" w:name="pg12880_153405"/>
    </w:p>
    <w:p>
      <w:pPr>
        <w:pStyle w:val="BookText"/>
        <w:rPr/>
      </w:pPr>
      <w:bookmarkEnd w:id="242"/>
      <w:r>
        <w:rPr>
          <w:rFonts w:ascii="Amiri" w:hAnsi="Amiri" w:eastAsia="Amiri" w:cs="Amiri"/>
          <w:color w:val="111111"/>
          <w:sz w:val="28"/>
          <w:sz w:val="28"/>
          <w:szCs w:val="28"/>
          <w:rtl w:val="true"/>
          <w:lang w:bidi="ar-SA"/>
        </w:rPr>
        <w:t>الوصویّة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حلّا بأنّ النزاع فی ثبوت الحقیقة الشرعیة إنّما هو فی ألفاظ العبادات دون غیرها، و لو سلّمنا تعمیم النزاع ففی ثبوتها فی ألفاظ العبادات ألف کلام فضلا عن ثبوتها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کونه معنی مجازیا مشهورا، فمن الواضح أیضا منعه نقضا بما ذکر و حلّا بأصالة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کونه معنی مجازیّا غیر مشهور، ففیه مخالفة للظاهر الذی لیس قرینة صارفة عنه سوی ما یتخیّل للمعمّمین من وجوه لا یصلح للقرینیة کما اشیر إلی تفصیلها و تفصیل الوجه فی عدم صلوحها فی الفصول و الضوابط و غیرهما و من شاء فلیراجع</w:t>
      </w:r>
      <w:r>
        <w:rPr>
          <w:rFonts w:eastAsia="IRNazanin" w:cs="IRNazanin"/>
          <w:color w:val="111111"/>
          <w:sz w:val="28"/>
          <w:szCs w:val="28"/>
          <w:rtl w:val="true"/>
          <w:lang w:bidi="fa-IR"/>
        </w:rPr>
        <w:t>.</w:t>
      </w:r>
    </w:p>
    <w:p>
      <w:pPr>
        <w:pStyle w:val="Heading5"/>
        <w:numPr>
          <w:ilvl w:val="4"/>
          <w:numId w:val="1"/>
        </w:numPr>
        <w:rPr/>
      </w:pPr>
      <w:bookmarkStart w:id="243" w:name="__RefHeading___Toc2986469_3224264995"/>
      <w:bookmarkStart w:id="244" w:name="_Toc93"/>
      <w:bookmarkEnd w:id="243"/>
      <w:r>
        <w:rPr>
          <w:rtl w:val="true"/>
        </w:rPr>
        <w:t>تنبیهات</w:t>
      </w:r>
      <w:r>
        <w:rPr>
          <w:rtl w:val="true"/>
        </w:rPr>
        <w:t>:</w:t>
      </w:r>
      <w:bookmarkEnd w:id="244"/>
    </w:p>
    <w:p>
      <w:pPr>
        <w:pStyle w:val="Heading6"/>
        <w:numPr>
          <w:ilvl w:val="5"/>
          <w:numId w:val="1"/>
        </w:numPr>
        <w:rPr/>
      </w:pPr>
      <w:bookmarkStart w:id="245" w:name="__RefHeading___Toc2986471_3224264995"/>
      <w:bookmarkStart w:id="246" w:name="_Toc94"/>
      <w:bookmarkEnd w:id="245"/>
      <w:r>
        <w:rPr>
          <w:rtl w:val="true"/>
        </w:rPr>
        <w:t>[</w:t>
      </w:r>
      <w:r>
        <w:rPr>
          <w:rtl w:val="true"/>
        </w:rPr>
        <w:t>الأوّل</w:t>
      </w:r>
      <w:r>
        <w:rPr>
          <w:rtl w:val="true"/>
        </w:rPr>
        <w:t xml:space="preserve">: </w:t>
      </w:r>
      <w:r>
        <w:rPr>
          <w:rtl w:val="true"/>
        </w:rPr>
        <w:t>إنّ خطاب الحاضر هل یشمل الغائب أم لا؟</w:t>
      </w:r>
      <w:r>
        <w:rPr>
          <w:rtl w:val="true"/>
        </w:rPr>
        <w:t>]</w:t>
      </w:r>
      <w:bookmarkEnd w:id="246"/>
    </w:p>
    <w:p>
      <w:p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الکلام و تفصیله فیه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الشمول و عدمه من حیث أصل الخطاب فالأظهر عدم شمول الخطاب الحقیقی للغائبین، کما لا یشمل المعدومین، لکن لا لتفاوت أحوال الحاضرین و الغائبین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زعمه القوانین</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مرّ من أنّ احتمال التفاوت مدفوع بالأصل، و ثبوت التفاوت لا یمنع شموله الغائبین، بل لأنّ کلّ ما ینهض حجّة علی منع شموله المعدومین ینهض حجّة علی منع شموله الغائبین حرفا بحرف، و اختصاص بعضهم المنع فی العنوان بالمعدوم لعلّه من جهة اختصاص ظهور الثمرة المذکورة لمحلّ النزاع فیه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صاحب الضوابط</w:t>
      </w:r>
      <w:r>
        <w:rPr>
          <w:rStyle w:val="FootnoteAnchor"/>
          <w:rtl w:val="true"/>
        </w:rPr>
        <w:footnoteReference w:id="455"/>
      </w:r>
      <w:r>
        <w:rPr>
          <w:rFonts w:ascii="IRNazanin" w:hAnsi="IRNazanin" w:eastAsia="IRNazanin"/>
          <w:color w:val="111111"/>
          <w:sz w:val="28"/>
          <w:sz w:val="28"/>
          <w:szCs w:val="28"/>
          <w:rtl w:val="true"/>
          <w:lang w:bidi="fa-IR"/>
        </w:rPr>
        <w:t xml:space="preserve">و غیره بناء العرف علی شمول خطاب </w:t>
      </w:r>
      <w:bookmarkStart w:id="247" w:name="pg12880_153406"/>
    </w:p>
    <w:p>
      <w:pPr>
        <w:pStyle w:val="BookText"/>
        <w:rPr/>
      </w:pPr>
      <w:bookmarkEnd w:id="247"/>
      <w:r>
        <w:rPr>
          <w:rFonts w:ascii="IRNazanin" w:hAnsi="IRNazanin" w:eastAsia="IRNazanin"/>
          <w:color w:val="111111"/>
          <w:sz w:val="28"/>
          <w:sz w:val="28"/>
          <w:szCs w:val="28"/>
          <w:rtl w:val="true"/>
          <w:lang w:bidi="fa-IR"/>
        </w:rPr>
        <w:t>الحاضرین الغائبین، ففیه أنّه إن ارید کون شموله الغائبین معنی حقیقیا للخطابات اللغویّة فمن الواضح منعه نقضا بلزوم الالتزام به فی خطابات السنّة، و المفروض عدم التزامه به، و حلّا بأنّه خلاف المتبادر و المصرّح به فی کلام اللغویین علی ما هو عرفت إلی آخر ما تقدّم آنفا من التشقیقات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حضور العلمی فی الغائب أو انضمامه مع الحاضر فلا یجعله داخلا فی الخطاب عرفا، و أمّا التغلیب فلا یصحّح الخطاب، بل یصحّح التعبیر عن الغائب بالحاضر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زید تفعلان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تفعل و زید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أنتما تفعلان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الشمول و عدمه من حیث الأصل الاوّلی فالتحقیق أنّه إن قلنا بجواز خلوّ الواقعة عن الحکم فالأصل الاختصاص مطلقا، و إن قلنا بعدم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احتمل کون حکم الغائب الإباحة و کان حکم الحاضر ما عدا الإباحة فالأصل الاختصاص أیضا، لأصالة براءة ذمّة غیر الحاضر عن ذلک الحکم، بل الحکم فی حقّه الإباحة، للأصل، و إن لم یحتمل کون حکم الغائب الإباحة أو احتمل و کان حکم الحاضر أیضا الإباحة فالاصل الاشتراک و الاتّحاد، لأصالة عدم تعدّد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الشمول و عدمه من حیث الأصل الثانوی الوارد علی ذلک الأصل الأصیل الأوّلی فهو اشتراک الغائب و المعدوم للحاضر بالإجماع محقّقا و منقولا و ببناء العقلاء و بالاستقراء و بالنصوص المتواترة معنی کقوله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علی الواحد حکمی علی الجماعة،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الأوّلین حکم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 ذلک من النصوص التی بتلک المضامین</w:t>
      </w:r>
      <w:r>
        <w:rPr>
          <w:rFonts w:eastAsia="IRNazanin" w:cs="IRNazanin"/>
          <w:color w:val="111111"/>
          <w:sz w:val="28"/>
          <w:szCs w:val="28"/>
          <w:rtl w:val="true"/>
          <w:lang w:bidi="fa-IR"/>
        </w:rPr>
        <w:t>.</w:t>
      </w:r>
    </w:p>
    <w:p>
      <w:pPr>
        <w:pStyle w:val="Heading6"/>
        <w:numPr>
          <w:ilvl w:val="5"/>
          <w:numId w:val="1"/>
        </w:numPr>
        <w:rPr/>
      </w:pPr>
      <w:bookmarkStart w:id="248" w:name="__RefHeading___Toc2986473_3224264995"/>
      <w:bookmarkStart w:id="249" w:name="_Toc95"/>
      <w:bookmarkEnd w:id="248"/>
      <w:r>
        <w:rPr>
          <w:rtl w:val="true"/>
        </w:rPr>
        <w:t>[</w:t>
      </w:r>
      <w:r>
        <w:rPr>
          <w:rtl w:val="true"/>
        </w:rPr>
        <w:t>الثانی</w:t>
      </w:r>
      <w:r>
        <w:rPr>
          <w:rtl w:val="true"/>
        </w:rPr>
        <w:t xml:space="preserve">: </w:t>
      </w:r>
      <w:r>
        <w:rPr>
          <w:rtl w:val="true"/>
        </w:rPr>
        <w:t>إنّ خطاب النبی هل یشمل الامّة أم لا؟ وجهان</w:t>
      </w:r>
      <w:r>
        <w:rPr>
          <w:rtl w:val="true"/>
        </w:rPr>
        <w:t>.]</w:t>
      </w:r>
      <w:bookmarkEnd w:id="24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هو التفصیل السابق من أنّه أمّا من حیث أصل الخطاب فهو </w:t>
      </w:r>
      <w:bookmarkStart w:id="250" w:name="pg12880_153407"/>
    </w:p>
    <w:p>
      <w:pPr>
        <w:pStyle w:val="BookText"/>
        <w:rPr/>
      </w:pPr>
      <w:bookmarkEnd w:id="250"/>
      <w:r>
        <w:rPr>
          <w:rFonts w:ascii="IRNazanin" w:hAnsi="IRNazanin" w:eastAsia="IRNazanin"/>
          <w:color w:val="111111"/>
          <w:sz w:val="28"/>
          <w:sz w:val="28"/>
          <w:szCs w:val="28"/>
          <w:rtl w:val="true"/>
          <w:lang w:bidi="fa-IR"/>
        </w:rPr>
        <w:t>الاختصاص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الأصل الأوّلی فهو الاختصاص فی بعض الصور، و أمّا من حیث الاصل الثانوی الوارد علی الأصل الأصیل الأوّلی، فهو الاشتراک بالأدلّة السابقة من الإجماع و النصوص و بناء العقلاء و الاستقراء، مضافا إلی إجماعهم علی أنّ السنّة دلیل شرعی و أنّ فعل المعصوم من جملة الأدلّة، فالأصل اشتراک الامّة مع النبی فی کلّ ما ثبت فی حقّه من الأحکام إلّا ما خرج بالدلیل کخصائصه المعدودة، مع أنّ أکثر تلک الخصائص لیست من الأحکام الشرعیة، کما أنّ الأصل اشتراکهم مع الأئمّة فی جمیع الأحکام من غیر استثناء شی‌ء منها، لعدم ثبوت اختصاصهم بشی‌ء ممّا اختصّ به النبی علیه السّلام من الأحکام، فنحن مشارکون معهم و هم مشارکون معنا فی جمیع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نقضت الاشتراک بوجوب عملنا بالظنون الاجتهادیة أو التقلید و الحال أنّ الائمّة علیهم السّلام لا یعملون بشی‌ء منها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أجبت عنک بأنّ الاختلاف بیننا و بین الإمام ناشئ عن الاختلاف فی الموضوع، حیث إنّ باب العلم منفتح بالنسبة إلیه و منسدّ بالنسبة إلینا، و إلّا فلا إشکال فی اتّحاده معنا فی وجوب العمل بالظنون الاجتهادیة لو فرض اتّحاده معنا فی موضوع انسداد باب العلم، کما إشکال فی اتّحادنا معه فی الحکم لو فرض اتّحادنا معه فی موضوع انفتاح باب العلم</w:t>
      </w:r>
      <w:r>
        <w:rPr>
          <w:rFonts w:eastAsia="IRNazanin" w:cs="IRNazanin"/>
          <w:color w:val="111111"/>
          <w:sz w:val="28"/>
          <w:szCs w:val="28"/>
          <w:rtl w:val="true"/>
          <w:lang w:bidi="fa-IR"/>
        </w:rPr>
        <w:t>.</w:t>
      </w:r>
    </w:p>
    <w:p>
      <w:pPr>
        <w:pStyle w:val="Heading6"/>
        <w:numPr>
          <w:ilvl w:val="5"/>
          <w:numId w:val="1"/>
        </w:numPr>
        <w:rPr/>
      </w:pPr>
      <w:bookmarkStart w:id="251" w:name="__RefHeading___Toc2986475_3224264995"/>
      <w:bookmarkStart w:id="252" w:name="_Toc96"/>
      <w:bookmarkEnd w:id="251"/>
      <w:r>
        <w:rPr>
          <w:rtl w:val="true"/>
        </w:rPr>
        <w:t>[</w:t>
      </w:r>
      <w:r>
        <w:rPr>
          <w:rtl w:val="true"/>
        </w:rPr>
        <w:t>الثالث</w:t>
      </w:r>
      <w:r>
        <w:rPr>
          <w:rtl w:val="true"/>
        </w:rPr>
        <w:t xml:space="preserve">: </w:t>
      </w:r>
      <w:r>
        <w:rPr>
          <w:rtl w:val="true"/>
        </w:rPr>
        <w:t>إنّ الجمع إن کان بمادّته مخصوصا بالذکور کالرجال أو بالاناث کالنساء</w:t>
      </w:r>
      <w:r>
        <w:rPr>
          <w:rtl w:val="true"/>
        </w:rPr>
        <w:t>]</w:t>
      </w:r>
      <w:bookmarkEnd w:id="252"/>
    </w:p>
    <w:p>
      <w:pPr>
        <w:pStyle w:val="BookText"/>
        <w:rPr/>
      </w:pPr>
      <w:r>
        <w:rPr>
          <w:rFonts w:ascii="IRNazanin" w:hAnsi="IRNazanin" w:eastAsia="IRNazanin"/>
          <w:color w:val="111111"/>
          <w:sz w:val="28"/>
          <w:sz w:val="28"/>
          <w:szCs w:val="28"/>
          <w:rtl w:val="true"/>
          <w:lang w:bidi="fa-IR"/>
        </w:rPr>
        <w:t>فلا یعمّ أحدهما الآخر بالاتّفاق، و إن کان اختصاصه بأحدهما بالصیغة کمؤمنون و قاموا و مؤمنات و قمن فالمختصّ بالاناث لا یعمّ الذکور بالاتّفاق أیضا و اختلفوا فی عکسه و لنوزع الکلام فیه فی مقامات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الکلام فی الشمول و عدمه من حیث أصل الخطاب فالحقّ فیه </w:t>
      </w:r>
      <w:bookmarkStart w:id="253" w:name="pg12880_153408"/>
    </w:p>
    <w:p>
      <w:pPr>
        <w:pStyle w:val="BookText"/>
        <w:rPr/>
      </w:pPr>
      <w:bookmarkEnd w:id="253"/>
      <w:r>
        <w:rPr>
          <w:rFonts w:ascii="IRNazanin" w:hAnsi="IRNazanin" w:eastAsia="IRNazanin"/>
          <w:color w:val="111111"/>
          <w:sz w:val="28"/>
          <w:sz w:val="28"/>
          <w:szCs w:val="28"/>
          <w:rtl w:val="true"/>
          <w:lang w:bidi="fa-IR"/>
        </w:rPr>
        <w:t>العدم، للتبادر و إجماع أهل العربیّة علی کونها جمع المذکّر و شیوع عطف جمع المؤنث علیه، مع ظهور العطف فی المغایرة، و احتمال کونه من عطف الخاص علی العام بعید، إلی غیر ذلک من الوجوه التی أشار الیها فی الإشارات</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الکلام فی الشمول و عدمه من حیث الأصل الأوّلی فهو ما مرّ من اقتضائه الشمول و الاشتراک فی بعض الصور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الشمول و عدمه من حیث الأصل الثانوی الوارد علی الاصل الأوّلی فقد قام الإجماع علی الاشتراک فی غیر ما یختصّ بأحدهما یقینا کأحکام الحیض و النفاس و نحوهما بالمرأة، و أحکام غیبوبة الحشفة و ما یتعلّق بالخصیان و نحوهما بالرجال، و أمّا سائر الأحکام الغیر المختصّة بأحدهما فقد قام الإجماع علی أنّ الأصل فیها الاشتراک إلّا ما أخرجه الدلیل، فإثبات الجهر فی الصلاة الجهریة إنّما ثبت اختصاصه بالرجل بسبب الدلیل، و کذلک استحباب وضع الیدین علی الفخذین فوق الرکبتین حال الرکوع فی المرأة، و ما ذکرنا إنّما هو المستفاد من الأخبار و الأدلّة، فإثبات دعوی أنّ الأصل عدم الاشتراک إلّا ما أثبته الإجماع دونه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لا یقبل التخصیص، لکونه من الأدلّة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نقلوه بالعموم، و عموم دعوی الإجماع مثل عموم الحدیث معتبر، لاشتراک الدلیل</w:t>
      </w:r>
      <w:r>
        <w:rPr>
          <w:rFonts w:eastAsia="IRNazanin" w:cs="IRNazanin"/>
          <w:color w:val="111111"/>
          <w:sz w:val="28"/>
          <w:szCs w:val="28"/>
          <w:rtl w:val="true"/>
          <w:lang w:bidi="fa-IR"/>
        </w:rPr>
        <w:t>.</w:t>
      </w:r>
    </w:p>
    <w:p>
      <w:pPr>
        <w:pStyle w:val="Heading6"/>
        <w:numPr>
          <w:ilvl w:val="5"/>
          <w:numId w:val="1"/>
        </w:numPr>
        <w:rPr/>
      </w:pPr>
      <w:bookmarkStart w:id="254" w:name="__RefHeading___Toc2986477_3224264995"/>
      <w:bookmarkStart w:id="255" w:name="_Toc97"/>
      <w:bookmarkEnd w:id="254"/>
      <w:r>
        <w:rPr>
          <w:rtl w:val="true"/>
        </w:rPr>
        <w:t>[</w:t>
      </w:r>
      <w:r>
        <w:rPr>
          <w:rtl w:val="true"/>
        </w:rPr>
        <w:t>الرابع</w:t>
      </w:r>
      <w:r>
        <w:rPr>
          <w:rtl w:val="true"/>
        </w:rPr>
        <w:t xml:space="preserve">: </w:t>
      </w:r>
      <w:r>
        <w:rPr>
          <w:rtl w:val="true"/>
        </w:rPr>
        <w:t>إنّ الخطاب المختصّ بالأحرار لا یشمل العبید اتّفاقا،</w:t>
      </w:r>
      <w:r>
        <w:rPr>
          <w:rtl w:val="true"/>
        </w:rPr>
        <w:t>]</w:t>
      </w:r>
      <w:bookmarkEnd w:id="25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الخطاب المختصّ بالعبید لا یشمل الأحرار اتّفاقا، و اختلفوا فی شمول غیر المختصّ للعبید عرفا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بعد تسلیم </w:t>
      </w:r>
    </w:p>
    <w:p>
      <w:pPr>
        <w:pStyle w:val="BookText"/>
        <w:rPr/>
      </w:pPr>
      <w:r>
        <w:rPr>
          <w:rFonts w:ascii="IRNazanin" w:hAnsi="IRNazanin" w:eastAsia="IRNazanin"/>
          <w:color w:val="111111"/>
          <w:sz w:val="28"/>
          <w:sz w:val="28"/>
          <w:szCs w:val="28"/>
          <w:rtl w:val="true"/>
          <w:lang w:bidi="fa-IR"/>
        </w:rPr>
        <w:t>شموله لهم لغة و الحقّ شموله لهم عرفا، لأصالة عدم نقله لغة، هذا من حیث الشمول بنفس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الشمول بالدلیل الخارجی فلمّا کان فی أغلب الأحکام الاشتراک کان الظنّ یلحق المشکوک بالأعمّ الأغلب، إلّا أنّ اعتبار هذه الغلبة مبنی علی حجّیة مطلق الظن لا الظنّ الخاص فقط، هذا کلّه فی غیر المبعّض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المبعّض فالحکم المخصوص بأحدهما لا یعمّه، لعدم الموضوع، فلا بدّ و أن یرجع فیه إلی الاصول و القواعد، و تفصیله أنّ أحکام المبعّض إمّا غیر قابلة للتبعیض کأحکام العقود، أو قابلة له کالمیراث و الخدمة و الحدود و الکفّارات و الزکوات، و علی الأوّل إمّا أنّ حکم کلّ من بعضی المبعّض موافق للأصل أو مخالف للأصل، أو أحدهما موافق و الآخر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مقتضی الاصول فی الأوّل فمعلوم، و فی الثالث فهو سقوط المخالف، لعدم کون المبعّض موضوعا له و إبقاء الموافق للأصل، و أمّا فی الثانی فهو سقوط کلاهما إن أمکن و التخییر بینهما إن لم یمکن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فمقتضی قاعدة الجمع بین الدلیلین التبعیض فی الحکم</w:t>
      </w:r>
      <w:r>
        <w:rPr>
          <w:rFonts w:eastAsia="IRNazanin" w:cs="IRNazanin"/>
          <w:color w:val="111111"/>
          <w:sz w:val="28"/>
          <w:szCs w:val="28"/>
          <w:rtl w:val="true"/>
          <w:lang w:bidi="fa-IR"/>
        </w:rPr>
        <w:t xml:space="preserve">. </w:t>
      </w:r>
      <w:bookmarkStart w:id="256" w:name="pg12880_153410"/>
    </w:p>
    <w:p>
      <w:pPr>
        <w:pStyle w:val="Heading4"/>
        <w:numPr>
          <w:ilvl w:val="3"/>
          <w:numId w:val="1"/>
        </w:numPr>
        <w:rPr/>
      </w:pPr>
      <w:bookmarkStart w:id="257" w:name="__RefHeading___Toc2986479_3224264995"/>
      <w:bookmarkStart w:id="258" w:name="_Toc98"/>
      <w:bookmarkEnd w:id="256"/>
      <w:bookmarkEnd w:id="257"/>
      <w:r>
        <w:rPr>
          <w:rtl w:val="true"/>
        </w:rPr>
        <w:t>فصل فی جملة من مباحث التخصیص</w:t>
      </w:r>
      <w:bookmarkEnd w:id="258"/>
    </w:p>
    <w:p>
      <w:pPr>
        <w:pStyle w:val="Heading5"/>
        <w:numPr>
          <w:ilvl w:val="4"/>
          <w:numId w:val="1"/>
        </w:numPr>
        <w:rPr/>
      </w:pPr>
      <w:bookmarkStart w:id="259" w:name="__RefHeading___Toc2986481_3224264995"/>
      <w:bookmarkStart w:id="260" w:name="_Toc99"/>
      <w:bookmarkEnd w:id="259"/>
      <w:r>
        <w:rPr>
          <w:rtl w:val="true"/>
        </w:rPr>
        <w:t>[</w:t>
      </w:r>
      <w:r>
        <w:rPr>
          <w:rtl w:val="true"/>
        </w:rPr>
        <w:t>مقدّمة</w:t>
      </w:r>
      <w:r>
        <w:rPr>
          <w:rtl w:val="true"/>
        </w:rPr>
        <w:t xml:space="preserve">: </w:t>
      </w:r>
      <w:r>
        <w:rPr>
          <w:rtl w:val="true"/>
        </w:rPr>
        <w:t>الخاصّ قد مرّ تحدیده بغیر العامّ،</w:t>
      </w:r>
      <w:r>
        <w:rPr>
          <w:rtl w:val="true"/>
        </w:rPr>
        <w:t>]</w:t>
      </w:r>
      <w:bookmarkEnd w:id="260"/>
    </w:p>
    <w:p>
      <w:pPr>
        <w:pStyle w:val="BookText"/>
        <w:rPr/>
      </w:pPr>
      <w:r>
        <w:rPr>
          <w:rFonts w:ascii="IRNazanin" w:hAnsi="IRNazanin" w:eastAsia="IRNazanin"/>
          <w:color w:val="111111"/>
          <w:sz w:val="28"/>
          <w:sz w:val="28"/>
          <w:szCs w:val="28"/>
          <w:rtl w:val="true"/>
          <w:lang w:bidi="fa-IR"/>
        </w:rPr>
        <w:t>و بما لم یستغرق الجزئیات، سواء لم یکن له جزئی أصلا کالأعلام الشخصیة، أو کان له جزئیات لکن لم یستغرقها کالنکرات، حسبما مرّ الکلام فی تفصیل تحدیده فی مقدّمة تحدید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فتقابل الخاصّ للعام من قبیل تقابل الإیجاب و السلب، لا الأعدام و الملکات، و ذلک لعدم اعتبارهم فی الخاص شأنیّة العموم و استعداده حتی یکون تقابله للعام من قبیل الأعدام و الملکات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التخصیص لغة فهو مطلق القصر کما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خصّک بالکرامة، و الوضع تخصیص شی‌ء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اصطلاحا قصر العام علی بعض ما یتناوله، فالقصر بمنزلة الجنس، لأنّ الجنس إنّما یطلق علی ما کان من الذاتیات، و القصر فعل الشخص و هو من الأعراض کالضحک و المشی، و بقید العامّ یخرج قصر المطلق، فإنّه تقیید لا تخصیص فی الاصطلاح،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ما یتناوله، إنّما ذکر لمتعلّق القصر، لا لإخراج شی‌ء</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المراد من قصر العامّ أعم من قصر لفظ العامّ علی بعض ما یتناوله، أو حکم العام علی بعض ما یتناوله کالاستثناء البدائی و السهو، کما نصّ علی التعمیم </w:t>
      </w:r>
    </w:p>
    <w:p>
      <w:pPr>
        <w:pStyle w:val="BookText"/>
        <w:rPr/>
      </w:pPr>
      <w:r>
        <w:rPr>
          <w:rFonts w:ascii="IRNazanin" w:hAnsi="IRNazanin" w:eastAsia="IRNazanin"/>
          <w:color w:val="111111"/>
          <w:sz w:val="28"/>
          <w:sz w:val="28"/>
          <w:szCs w:val="28"/>
          <w:rtl w:val="true"/>
          <w:lang w:bidi="fa-IR"/>
        </w:rPr>
        <w:t>غیر واحد من محقّقی المتأخرین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صاحبی الضوابط</w:t>
      </w:r>
      <w:r>
        <w:rPr>
          <w:rStyle w:val="FootnoteAnchor"/>
          <w:rtl w:val="true"/>
        </w:rPr>
        <w:footnoteReference w:id="457"/>
      </w:r>
      <w:r>
        <w:rPr>
          <w:rFonts w:ascii="IRNazanin" w:hAnsi="IRNazanin" w:eastAsia="IRNazanin"/>
          <w:color w:val="111111"/>
          <w:sz w:val="28"/>
          <w:sz w:val="28"/>
          <w:szCs w:val="28"/>
          <w:rtl w:val="true"/>
          <w:lang w:bidi="fa-IR"/>
        </w:rPr>
        <w:t>و الإشارات</w:t>
      </w:r>
      <w:r>
        <w:rPr>
          <w:rStyle w:val="FootnoteAnchor"/>
          <w:rtl w:val="true"/>
        </w:rPr>
        <w:footnoteReference w:id="458"/>
      </w:r>
      <w:r>
        <w:rPr>
          <w:rFonts w:ascii="IRNazanin" w:hAnsi="IRNazanin" w:eastAsia="IRNazanin"/>
          <w:color w:val="111111"/>
          <w:sz w:val="28"/>
          <w:sz w:val="28"/>
          <w:szCs w:val="28"/>
          <w:rtl w:val="true"/>
          <w:lang w:bidi="fa-IR"/>
        </w:rPr>
        <w:t>و الفصول</w:t>
      </w:r>
      <w:r>
        <w:rPr>
          <w:rStyle w:val="FootnoteAnchor"/>
          <w:rtl w:val="true"/>
        </w:rPr>
        <w:footnoteReference w:id="459"/>
      </w:r>
      <w:r>
        <w:rPr>
          <w:rFonts w:ascii="IRNazanin" w:hAnsi="IRNazanin" w:eastAsia="IRNazanin"/>
          <w:color w:val="111111"/>
          <w:sz w:val="28"/>
          <w:sz w:val="28"/>
          <w:szCs w:val="28"/>
          <w:rtl w:val="true"/>
          <w:lang w:bidi="fa-IR"/>
        </w:rPr>
        <w:t>و استادنا العلّامة مشعرین بعدم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اقتصار بعضهم فی التحدید بقصر حکم العامّ فلعلّه لأجل مراعاة مذهب من یدفع التناقص فی الاستثناء بجعل اللفظ باقیا علی معناه و جعل الإسناد بعد الإخراج، أو لأجل أنّ مآل قصر حکم العام بالأخرة إلی قصر لفظ العامّ علی بعض ما یتناوله، و هذا هو الوجه فی عدم قصر حکم العام تخصیصا کقصر نفس العامّ مع کون الحکم بملاحظة نفسه لا یتّصف بالعموم و الخصوص الاصطلاحی، و إنّما یتّصف بالإطلاق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العام أعمّ من العموم الأفرادی و العموم الأفرادی و العموم المجموعی، فیلحق بالتخصیص أیضا قصر أسماء العدد کالعشرة و نحوها علی أقلّ من مدلولها، کما نصّ علیه أیضا غیر واحد من المحقّقین مشعرا بعدم الخلاف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العامّ أیضا أعمّ ممّا یکون عمومه معنی حقیقیا له أو مجازیّا، کما نصّوا علیه أیضا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المخصّص إمّا متّصل و هو ما لا یستقل فی الدلالة علی القصر کالشرط المتصل و الاستثناء و الصفة و الغایة و بدل البعض، و إمّا منفصل و هو ما یستقلّ بنفسه فی ذلک و إن کان متّصلا، و هو إمّا لفظی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بعد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إمّا عقلی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کُلَّ شَیْ‌ءٍ</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xml:space="preserve">فإنّ العقل أخرج ذاته </w:t>
      </w:r>
      <w:bookmarkStart w:id="261" w:name="pg12880_153412"/>
    </w:p>
    <w:p>
      <w:pPr>
        <w:pStyle w:val="BookText"/>
        <w:rPr/>
      </w:pPr>
      <w:bookmarkEnd w:id="261"/>
      <w:r>
        <w:rPr>
          <w:rFonts w:ascii="IRNazanin" w:hAnsi="IRNazanin" w:eastAsia="IRNazanin"/>
          <w:color w:val="111111"/>
          <w:sz w:val="28"/>
          <w:sz w:val="28"/>
          <w:szCs w:val="28"/>
          <w:rtl w:val="true"/>
          <w:lang w:bidi="fa-IR"/>
        </w:rPr>
        <w:t>المقدّس و أفعال العباد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استشکل هاهنا باشکالات</w:t>
      </w:r>
      <w:r>
        <w:rPr>
          <w:rFonts w:eastAsia="IRNazanin" w:cs="IRNazanin"/>
          <w:color w:val="111111"/>
          <w:sz w:val="28"/>
          <w:szCs w:val="28"/>
          <w:rtl w:val="true"/>
          <w:lang w:bidi="fa-IR"/>
        </w:rPr>
        <w:t>.</w:t>
      </w:r>
    </w:p>
    <w:p>
      <w:pPr>
        <w:pStyle w:val="Heading5"/>
        <w:numPr>
          <w:ilvl w:val="4"/>
          <w:numId w:val="1"/>
        </w:numPr>
        <w:rPr/>
      </w:pPr>
      <w:bookmarkStart w:id="262" w:name="__RefHeading___Toc2986483_3224264995"/>
      <w:bookmarkStart w:id="263" w:name="_Toc100"/>
      <w:bookmarkEnd w:id="262"/>
      <w:r>
        <w:rPr>
          <w:rtl w:val="true"/>
        </w:rPr>
        <w:t>[</w:t>
      </w:r>
      <w:r>
        <w:rPr>
          <w:rtl w:val="true"/>
        </w:rPr>
        <w:t>الأوّل</w:t>
      </w:r>
      <w:r>
        <w:rPr>
          <w:rtl w:val="true"/>
        </w:rPr>
        <w:t xml:space="preserve">: </w:t>
      </w:r>
      <w:r>
        <w:rPr>
          <w:rtl w:val="true"/>
        </w:rPr>
        <w:t>ما استشکله بعضهم فی الفرق بین مخصّصیّة قید الوصف للموصوف</w:t>
      </w:r>
      <w:r>
        <w:rPr>
          <w:rtl w:val="true"/>
        </w:rPr>
        <w:t>]</w:t>
      </w:r>
      <w:bookmarkEnd w:id="263"/>
    </w:p>
    <w:p>
      <w:pPr>
        <w:pStyle w:val="BookText"/>
        <w:rPr/>
      </w:pPr>
      <w:r>
        <w:rPr>
          <w:rFonts w:ascii="IRNazanin" w:hAnsi="IRNazanin" w:eastAsia="IRNazanin"/>
          <w:color w:val="111111"/>
          <w:sz w:val="28"/>
          <w:sz w:val="28"/>
          <w:szCs w:val="28"/>
          <w:rtl w:val="true"/>
          <w:lang w:bidi="fa-IR"/>
        </w:rPr>
        <w:t>و عدم مخصصیّة قید الاثنینیة و الجمعیة للمثنی و الجمع و قید العهد للعموم و قید الإضافة للمضاف، و قد قرّرنا دفع هذا الإشکال فی التنبیه الخامس من تنبیهات مقدّمة تحدید العامّ بما لا مزید علیه، فلا نطیل بالإعادة</w:t>
      </w:r>
      <w:r>
        <w:rPr>
          <w:rFonts w:eastAsia="IRNazanin" w:cs="IRNazanin"/>
          <w:color w:val="111111"/>
          <w:sz w:val="28"/>
          <w:szCs w:val="28"/>
          <w:rtl w:val="true"/>
          <w:lang w:bidi="fa-IR"/>
        </w:rPr>
        <w:t>.</w:t>
      </w:r>
    </w:p>
    <w:p>
      <w:pPr>
        <w:pStyle w:val="Heading5"/>
        <w:numPr>
          <w:ilvl w:val="4"/>
          <w:numId w:val="1"/>
        </w:numPr>
        <w:rPr/>
      </w:pPr>
      <w:bookmarkStart w:id="264" w:name="__RefHeading___Toc2986485_3224264995"/>
      <w:bookmarkStart w:id="265" w:name="_Toc101"/>
      <w:bookmarkEnd w:id="264"/>
      <w:r>
        <w:rPr>
          <w:rtl w:val="true"/>
        </w:rPr>
        <w:t>[</w:t>
      </w:r>
      <w:r>
        <w:rPr>
          <w:rtl w:val="true"/>
        </w:rPr>
        <w:t>الثانی</w:t>
      </w:r>
      <w:r>
        <w:rPr>
          <w:rtl w:val="true"/>
        </w:rPr>
        <w:t xml:space="preserve">: </w:t>
      </w:r>
      <w:r>
        <w:rPr>
          <w:rtl w:val="true"/>
        </w:rPr>
        <w:t xml:space="preserve">ما استشکله بعضهم من أنّ الاتّفاق علی عدّ الشرط و الاستثناء </w:t>
      </w:r>
      <w:r>
        <w:rPr>
          <w:rtl w:val="true"/>
        </w:rPr>
        <w:t>...]</w:t>
      </w:r>
      <w:bookmarkEnd w:id="26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استشکله بعضهم من أنّ الاتّفاق علی عدّ الشرط و الاستثناء و الصفة و الغایة و بدل البعض من المخصّصات المتّصلة مناف لما مرّ من الخلاف فی ثبوت المفهوم لبعضها، بل الاتّفاق علی عدم مفهوم لبعضها و هو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أنّ تخصیص العامّ بالوصف أو غیره لا ینحصر فی إفادته تخصیص الحکم و تقییده بمورده حتی ینافی ما ذکر، بل قد یحصل أیضا من مجرّد تخصیص اللفظ و تقییده بمورده المعبّر عنه باختصاص الحکم به، لا تخصیص الحکم به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فالفرق بین التخصیص بالوصف و بین ثبوت المفهوم له أنّ التخصیص به یقتضی السکوت عن حکم غیر المخصّص، و ثبوت المفهوم له یقتضی نفی حکم المخصّص عن غیر المخصّص، فلا منافاة بین الاتّفاق علی عدّ المذکورات من المخصّصات و بین الخلاف فی ثبوت المفهوم لبعضها، بل و لا بین الاتّفاق علی عدم مفهوم لبعضها حتی یحتاج إلی تجشّم الجمع بین الکلامین باعتبار الحیثیة بأنّ الکلام فی بحث مفهوم الوصف من حیث الوصفیّة و الدلالة الأفرادیة، و فی بحث العامّ من حیث تعقّب العام به و الدلالة الترکیبیة علی أن یجتمع فی الثانی الحیثیتان</w:t>
      </w:r>
      <w:r>
        <w:rPr>
          <w:rFonts w:eastAsia="IRNazanin" w:cs="IRNazanin"/>
          <w:color w:val="111111"/>
          <w:sz w:val="28"/>
          <w:szCs w:val="28"/>
          <w:rtl w:val="true"/>
          <w:lang w:bidi="fa-IR"/>
        </w:rPr>
        <w:t xml:space="preserve">. </w:t>
      </w:r>
      <w:bookmarkStart w:id="266" w:name="pg12880_153413"/>
    </w:p>
    <w:p>
      <w:pPr>
        <w:pStyle w:val="BookText"/>
        <w:rPr/>
      </w:pPr>
      <w:bookmarkEnd w:id="266"/>
      <w:r>
        <w:rPr>
          <w:rFonts w:ascii="IRNazanin" w:hAnsi="IRNazanin" w:eastAsia="IRNazanin"/>
          <w:color w:val="111111"/>
          <w:sz w:val="28"/>
          <w:sz w:val="28"/>
          <w:szCs w:val="28"/>
          <w:rtl w:val="true"/>
          <w:lang w:bidi="fa-IR"/>
        </w:rPr>
        <w:t>فمن قال بحجّیة مفهوم الوصف یجتمع له فی النفی دلیلان، بخلاف ما لو قیل بعدم حجّیة المفهوم، فإنّه لیس للتخصیص إلّا جهة واحدة، و لا بأنّ المدار فی الأوّل علی تعلیق الحکم بالوصف دون العام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سائمة الغنم زکاة و فی الثانی بتعلیقه علی العام دون الوصف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الغنم السائمة زکاة، لما عرفت من بطلانهما بأنّ کون شی‌ء مخصّصا لا ینافی عدم مفهوم له</w:t>
      </w:r>
      <w:r>
        <w:rPr>
          <w:rFonts w:eastAsia="IRNazanin" w:cs="IRNazanin"/>
          <w:color w:val="111111"/>
          <w:sz w:val="28"/>
          <w:szCs w:val="28"/>
          <w:rtl w:val="true"/>
          <w:lang w:bidi="fa-IR"/>
        </w:rPr>
        <w:t>.</w:t>
      </w:r>
    </w:p>
    <w:p>
      <w:pPr>
        <w:pStyle w:val="Heading5"/>
        <w:numPr>
          <w:ilvl w:val="4"/>
          <w:numId w:val="1"/>
        </w:numPr>
        <w:rPr/>
      </w:pPr>
      <w:bookmarkStart w:id="267" w:name="__RefHeading___Toc2986487_3224264995"/>
      <w:bookmarkStart w:id="268" w:name="_Toc102"/>
      <w:bookmarkEnd w:id="267"/>
      <w:r>
        <w:rPr>
          <w:rtl w:val="true"/>
        </w:rPr>
        <w:t>[</w:t>
      </w:r>
      <w:r>
        <w:rPr>
          <w:rtl w:val="true"/>
        </w:rPr>
        <w:t>الثالث</w:t>
      </w:r>
      <w:r>
        <w:rPr>
          <w:rtl w:val="true"/>
        </w:rPr>
        <w:t xml:space="preserve">: </w:t>
      </w:r>
      <w:r>
        <w:rPr>
          <w:rtl w:val="true"/>
        </w:rPr>
        <w:t xml:space="preserve">ما استشکله صاحب الفصول </w:t>
      </w:r>
      <w:r>
        <w:rPr>
          <w:rtl w:val="true"/>
        </w:rPr>
        <w:t>...]</w:t>
      </w:r>
      <w:bookmarkEnd w:id="26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استشکله صاحب الفصول</w:t>
      </w:r>
      <w:r>
        <w:rPr>
          <w:rStyle w:val="FootnoteAnchor"/>
          <w:rtl w:val="true"/>
        </w:rPr>
        <w:footnoteReference w:id="461"/>
      </w:r>
      <w:r>
        <w:rPr>
          <w:rFonts w:ascii="IRNazanin" w:hAnsi="IRNazanin" w:eastAsia="IRNazanin"/>
          <w:color w:val="111111"/>
          <w:sz w:val="28"/>
          <w:sz w:val="28"/>
          <w:szCs w:val="28"/>
          <w:rtl w:val="true"/>
          <w:lang w:bidi="fa-IR"/>
        </w:rPr>
        <w:t>علی عدّهم الوصف و الشرط و الغایة من جملة المخصّصات، حیث ادّعی التحقیق علی أنّه لیس شیئا من هذه الثلاثة من تخصیص العامّ، بل إمّا من تقیید الحکم کما فی الشرط، لأنّ الحکم فیه إنّما یتعلّق بالجمیع لکن لا مطلقا، بل إذا تحقّق الشرط، أو من تقیید العامّ ضمنا کما فی الصفة بالنسبة إلی الأفراد التی لا یتّصف بتلک الصفة مطلقا، فإنّ المراد من العلماء العدول هم الغیر الموصوفین بالفسق علی وجه یکون العموم طارئا علی المقیّد بعد تقییده بالوصف، لا علی وجه یکون التقیید طارئا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فی الغایة بالنسبة إلی الأفراد التی لا تقارن ما قبلها مطلقا، فإنّ المراد من العلماء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إلی أن یفسقوا، أو إلی یوم کذا، العلماء الغیر الموصوفین بالفسق و الموجودون قبل الغایة المذکورة، إذ لا معنی للتحدید بالغایة بالنسبة إلی من استمرّ الفسق فی حقّهم من زمن الخطاب أو تأخّر وجودهم عن الغایة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أمّا عن الشرط فبأنّه و إن کان من تقیید الحکم بالأصالة، إلّا أنّ الاصطلاح جار علی تسمیته بالتخصیص، نظرا إلی أنّ مآله بالأخرة إلی قصر العامّ علی بعض ما یتناوله، و لا مشاحة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عن الوصف فبأنّ فرضه من تقیید العام لا من تخصیصه بالتوجیه المذکور مردود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خلاف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منقوض بالاستثناء، حیث إنّه لا فرق بین التوصیف و الاستثناء، فکما أنّ الاستثناء من العامّ تخصیص له بوفاق منه، کذلک ینبغی أن یکون التوصیف أیضا تخصیصا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توجیه کون التوصیف تقییدا لا تخصیصا باعتبار کون العموم طارئا علی المقیّد بعد تقییده دون اعتبار کون التقیید طارئا علی العموم خلاف ما یقتضیه ترتیب أجزاء اللفظ المرکّب من الموصوف و الصفة و ترتیب وضعه الأفرادی، فإنّ ما یقتضیه الترتیب إنّما هو طروّ التقیید علی العموم، لا طروّ العموم علی المقیّد کما لا یخفی علی من له خبرة بأوضاع الألفاظ و کیفیّة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مخصصیّة التوصیف مخصصیّته فی الجملة، فلا ینافیه کونه تقییدا فیما لو اعتبر طروّ العموم علی المقیّد بعد تقییده بالوصف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الغایة فبأنّ ما أشار إلیه من أنّ المراد من العلماء فی المثال الأوّل العلماء الغیر الموصوفین بالفسق قبل لحوق الغایة لا بعده، معلّلا بأنّه لا معنی للتحدید بالغایة بالنسبة إلی من استمرّ الفسق فی حقّهم من زمن الخطاب حتی یکون لحوق الغایة موجبا لقصر العموم عنهم، بل فی العموم قصور عن شمولهم، فخروجهم عنه من باب التخصّص لا التخصیص، فالعموم الثابت للعلماء قبل الغایة ثابت له بعدها ممنوع، إذ لا موجب لقصور العلماء فی المثال المفروض عن شمول مستمری الفسق من زمن الخطاب إلّا لحوق الغایة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للتحدید بالغایة بالنسبة إلی مستمرّی الفسق من زمن </w:t>
      </w:r>
    </w:p>
    <w:p>
      <w:pPr>
        <w:pStyle w:val="BookText"/>
        <w:rPr/>
      </w:pPr>
      <w:r>
        <w:rPr>
          <w:rFonts w:ascii="IRNazanin" w:hAnsi="IRNazanin" w:eastAsia="IRNazanin"/>
          <w:color w:val="111111"/>
          <w:sz w:val="28"/>
          <w:sz w:val="28"/>
          <w:szCs w:val="28"/>
          <w:rtl w:val="true"/>
          <w:lang w:bidi="fa-IR"/>
        </w:rPr>
        <w:t>الخطاب إن کان من جهة لزوم اللغویة فهو مختصّ بصورة اختصاص الغایة بمستمرّی الفسق فقط تنصیصا، دون صورة کونها غایة للملفّق منهم و من غیرهم، سیّما إذا کان التلفیق من باب الظهور لا التنصیص، کما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جهة اخری فلم نتعقّله، هذا کلّه فی المثال الأوّل للغایة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ادّعاه فی المثال الثانی للغایة من أنّ المراد من العلماء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إلی یوم کذا، الموجودون قبل الغایة قبل لحوق الغایة لا بعده فمسلّم، لکن لا یقدح فی مخصصیّة الغایة، لما مرّ من استظهار أنّ مرادهم من مخصصیّة المخصّص هو مخصصیّة نوعه فی الجملة لا مخصصیّة جمیع أمثلته حتّی ینتقض بعدم مخصصیّة بعض أمثلته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مثالی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سلّم عدم مخصصیّتها فی المثال الثانی و لم یسلّم فی 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لوضوح عدم شمول العلماء فی المثال الثانی و هو أکرم العلماء الی یوم کذا، للموجودین بعد الغایة و هو الیوم الکذائی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 صحّة سلب العلماء عنهم و عدم تلبّسهم بالمبدإ بعد، فالعلماء فی المثال الثانی بعد لحوق الغایة باق علی عمومه الذی کان علیه قبل لحوقها، فلم یؤثّر لحوقها فیه قصرا، بخلاف العلماء فی المثال الأوّل، فإنّه قبل لحوق الغایة کان یعمّ مستمرّی الفسق و غیرهم، و بعد لحوقها قصر عن العموم و خصّ بغیر الموصوفین بالفسق</w:t>
      </w:r>
      <w:r>
        <w:rPr>
          <w:rFonts w:eastAsia="IRNazanin" w:cs="IRNazanin"/>
          <w:color w:val="111111"/>
          <w:sz w:val="28"/>
          <w:szCs w:val="28"/>
          <w:rtl w:val="true"/>
          <w:lang w:bidi="fa-IR"/>
        </w:rPr>
        <w:t xml:space="preserve">. </w:t>
      </w:r>
      <w:bookmarkStart w:id="269" w:name="pg12880_153416"/>
    </w:p>
    <w:p>
      <w:pPr>
        <w:pStyle w:val="Heading3"/>
        <w:numPr>
          <w:ilvl w:val="2"/>
          <w:numId w:val="1"/>
        </w:numPr>
        <w:rPr/>
      </w:pPr>
      <w:bookmarkStart w:id="270" w:name="__RefHeading___Toc2986489_3224264995"/>
      <w:bookmarkStart w:id="271" w:name="_Toc103"/>
      <w:bookmarkEnd w:id="269"/>
      <w:bookmarkEnd w:id="270"/>
      <w:r>
        <w:rPr>
          <w:rtl w:val="true"/>
        </w:rPr>
        <w:t>[</w:t>
      </w:r>
      <w:r>
        <w:rPr>
          <w:rtl w:val="true"/>
        </w:rPr>
        <w:t>أصل اختلفوا</w:t>
      </w:r>
      <w:r>
        <w:rPr>
          <w:rtl w:val="true"/>
        </w:rPr>
        <w:t xml:space="preserve">- </w:t>
      </w:r>
      <w:r>
        <w:rPr>
          <w:rtl w:val="true"/>
        </w:rPr>
        <w:t>بعد اتّفاقهم ظاهرا علی جواز التخصیص فی الجملة</w:t>
      </w:r>
      <w:r>
        <w:rPr>
          <w:rtl w:val="true"/>
        </w:rPr>
        <w:t>]</w:t>
      </w:r>
      <w:bookmarkEnd w:id="271"/>
    </w:p>
    <w:p>
      <w:pPr>
        <w:pStyle w:val="Heading4"/>
        <w:numPr>
          <w:ilvl w:val="3"/>
          <w:numId w:val="1"/>
        </w:numPr>
        <w:rPr/>
      </w:pPr>
      <w:bookmarkStart w:id="272" w:name="__RefHeading___Toc2986491_3224264995"/>
      <w:bookmarkStart w:id="273" w:name="_Toc104"/>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و علی عدم جواز المستوعب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منتهی التخصیص إلی کم هو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الأکثر جوازه إلی بقاء جمع یقرب من مدلول العام،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الواحد،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الاثنین،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الثلاثة،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الواحد فی تخصیص غیر الجمع العامّ و فیه إلی ثلاثة، و قیل بجوازه إلی الاثنین فی العامّ المنحصر فی قلیل، و إلی بقاء جمع یقرب من مدلول العامّ فی غیر المنحصر، و لعلّ القولین الأخیرین ناظران إلی فرض القرب من مدلول العامّ بالنسبة إلی کلّ شی‌ء بحسبه، و قیل بجوازه إلی الواحد إذا کان التخصیص بالاستثناء أو بدل البعض و إلی الاثنین إذا کان بمتّصل غیرهما من الشرط و الصفة و الغایة، و قیل بجوازه إلی بقاء جمع غیر محصور،</w:t>
      </w:r>
    </w:p>
    <w:p>
      <w:pPr>
        <w:pStyle w:val="Heading4"/>
        <w:numPr>
          <w:ilvl w:val="3"/>
          <w:numId w:val="1"/>
        </w:numPr>
        <w:rPr/>
      </w:pPr>
      <w:bookmarkStart w:id="274" w:name="__RefHeading___Toc2986493_3224264995"/>
      <w:bookmarkStart w:id="275" w:name="_Toc105"/>
      <w:bookmarkEnd w:id="274"/>
      <w:r>
        <w:rPr>
          <w:rtl w:val="true"/>
        </w:rPr>
        <w:t>[</w:t>
      </w:r>
      <w:r>
        <w:rPr>
          <w:rtl w:val="true"/>
        </w:rPr>
        <w:t>و ینبغی تقدیم مقدّمات</w:t>
      </w:r>
      <w:r>
        <w:rPr>
          <w:rtl w:val="true"/>
        </w:rPr>
        <w:t>.]</w:t>
      </w:r>
      <w:bookmarkEnd w:id="275"/>
    </w:p>
    <w:p>
      <w:pPr>
        <w:pStyle w:val="Heading5"/>
        <w:numPr>
          <w:ilvl w:val="4"/>
          <w:numId w:val="1"/>
        </w:numPr>
        <w:rPr/>
      </w:pPr>
      <w:bookmarkStart w:id="276" w:name="__RefHeading___Toc2986495_3224264995"/>
      <w:bookmarkStart w:id="277" w:name="_Toc106"/>
      <w:bookmarkEnd w:id="276"/>
      <w:r>
        <w:rPr>
          <w:rtl w:val="true"/>
        </w:rPr>
        <w:t>[ [</w:t>
      </w:r>
      <w:r>
        <w:rPr>
          <w:rtl w:val="true"/>
        </w:rPr>
        <w:t>المقدّمة</w:t>
      </w:r>
      <w:r>
        <w:rPr>
          <w:rtl w:val="true"/>
        </w:rPr>
        <w:t xml:space="preserve">] </w:t>
      </w:r>
      <w:r>
        <w:rPr>
          <w:rtl w:val="true"/>
        </w:rPr>
        <w:t>الاولی</w:t>
      </w:r>
      <w:r>
        <w:rPr>
          <w:rtl w:val="true"/>
        </w:rPr>
        <w:t xml:space="preserve">: </w:t>
      </w:r>
      <w:r>
        <w:rPr>
          <w:rtl w:val="true"/>
        </w:rPr>
        <w:t>فی تحریر محلّ النزاع و هو من جهات</w:t>
      </w:r>
      <w:r>
        <w:rPr>
          <w:rtl w:val="true"/>
        </w:rPr>
        <w:t>.]</w:t>
      </w:r>
      <w:bookmarkEnd w:id="277"/>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التخصیص المختلف فی منتهی جوازه هل هو التخصیص بمعنی قصر حکم العامّ، أو التخصیص بمعنی استعمال العامّ فی الخاصّ، و الظاهر أنّ نزاعهم هنا فی التخصیص بالمعنی الثانی کما یظهر من بعض حججهم، و من عدّ ذلک أقرب وجوه الفرق بین هذا النزاع و النزاع الآتی فی الاستثناء حسبما یأتی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التخصیص المذکور هل هو استعمال العامّ فی الخاصّ بعلاقة العموم و الخصوص، أو مطلق استعماله فیه و لو بعلاقة الکلّیة و الجزئیة، کما </w:t>
      </w:r>
    </w:p>
    <w:p>
      <w:pPr>
        <w:pStyle w:val="BookText"/>
        <w:rPr/>
      </w:pPr>
      <w:r>
        <w:rPr>
          <w:rFonts w:ascii="IRNazanin" w:hAnsi="IRNazanin" w:eastAsia="IRNazanin"/>
          <w:color w:val="111111"/>
          <w:sz w:val="28"/>
          <w:sz w:val="28"/>
          <w:szCs w:val="28"/>
          <w:rtl w:val="true"/>
          <w:lang w:bidi="fa-IR"/>
        </w:rPr>
        <w:t>فی تخصیص أسماء العدد، أو بعلاقة التشبیه و التنزیل، کما فی إطلاق العامّ علی فرد من باب المبالغة و التعظیم تشبیها له بجمیع أفراد العامّ و تنزیلا له منزلة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اختصاص النزاع فی التخصیص بعلاقة العموم و الخصوص، لا التخصیص بعلاقة الکلیّة و الجزئیّة کما فی أسماء العدد و إن لم یبعد اتّحاد المناط و إلحاقها به حکما، و لا التخصیص بعلاقة المشابهة کإطلاق العامّ علی الفرد تعظیما، فإنّه إن کان بغیر قرینة الاستثناء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لَهُ لَحافِظُونَ</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جاز اتّفاقا کما نصّ علیه الفصول</w:t>
      </w:r>
      <w:r>
        <w:rPr>
          <w:rStyle w:val="FootnoteAnchor"/>
          <w:rtl w:val="true"/>
        </w:rPr>
        <w:footnoteReference w:id="463"/>
      </w:r>
      <w:r>
        <w:rPr>
          <w:rFonts w:ascii="IRNazanin" w:hAnsi="IRNazanin" w:eastAsia="IRNazanin"/>
          <w:color w:val="111111"/>
          <w:sz w:val="28"/>
          <w:sz w:val="28"/>
          <w:szCs w:val="28"/>
          <w:rtl w:val="true"/>
          <w:lang w:bidi="fa-IR"/>
        </w:rPr>
        <w:t>و غیره، بل لیس من التخصیص فی شی‌ء، فإخراجه عن محلّ النزاع إخراج موضوعی لا حکمی، نظیر الاستثناء المنقطع، و إن کان بقرینة الاستثناء فهو و إن کان فیه نزاع فی الجملة، إلّا أنّه أیضا جائز عند المشهور، و علی فرض عدم جوازه فللنزاع فیه مبحث علی حدة لا هذا المبحث کما سیأتی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النزاع فی التخصیص أعمّ من الاستثناء التخصیصی، أم بحث الاستثناء بحث آخر؟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من شمول عنوان هذا النزاع لکلّ أفراد التخصیص الذی من جملتها الاستثناء التخصیصی و عدم جعل بعضهم له عنوانا آخر، و من جعل کثیر له عنوانا آخر و عدم تمثیلهم هنا بالاستثناء التخصیصی، و الأظهر أنّ الاستثناء التخصیصی إن کان بعلاقة العموم و الخصوص فهو مندرج فی هذا المبحث، و إن کان بعلاقة التشبیه و التنزیل فللنزاع فیه مبحث آخر کما عرفت و ستعرف</w:t>
      </w:r>
      <w:r>
        <w:rPr>
          <w:rFonts w:eastAsia="IRNazanin" w:cs="IRNazanin"/>
          <w:color w:val="111111"/>
          <w:sz w:val="28"/>
          <w:szCs w:val="28"/>
          <w:rtl w:val="true"/>
          <w:lang w:bidi="fa-IR"/>
        </w:rPr>
        <w:t xml:space="preserve">. </w:t>
      </w:r>
      <w:bookmarkStart w:id="278" w:name="pg12880_153418"/>
    </w:p>
    <w:p>
      <w:pPr>
        <w:pStyle w:val="BookText"/>
        <w:rPr/>
      </w:pPr>
      <w:bookmarkEnd w:id="278"/>
      <w:r>
        <w:rPr>
          <w:rFonts w:ascii="IRNazanin" w:hAnsi="IRNazanin" w:eastAsia="IRNazanin"/>
          <w:color w:val="111111"/>
          <w:sz w:val="28"/>
          <w:sz w:val="28"/>
          <w:szCs w:val="28"/>
          <w:rtl w:val="true"/>
          <w:lang w:bidi="fa-IR"/>
        </w:rPr>
        <w:t>ثمّ هل النزاع فی التخصیص أعمّ من النسخ الذی هو تخصیص فی الأزمان أم خاصّ بالتخصیص الأفرادی؟ وجهان، من عموم ظاهر العناوین، و من انصراف التخصیص فی کلماتهم إلی ما عدا النسخ کما هو الإنصاف، فیخرج عن موضوع البحث و إن کان متّحدا مع التخصیص الأفرادی فی حکم جواز التخصیص إلی الواحد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النسبة بین التخصیص و النسخ عموم من وجه یجتمعان فیما کان نسخا و تخصیصا فی الأزمان، و یفترقان فیما کان تخصیصا فی الأفراد فقط و فیما کان تقیدا فی الأزمان بأن کان الدالّ علی حکم المنسوخ مطلقا لا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تخصیص الأکثر فی النسخ اتّفاقی بعد حضور وقت العمل و لو مرّة، فکیف یتحد مع التخصیص الأفرادی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 جواز النسخ بعد العمل و لو مرة إنّما هو من حیث الجواز العقلی و عدمه، فاتّفقوا فیه علی عدم تقبیح العقل ذلک، کما لو قال مقام إعلام حکم المنسوخ بلفظ مطلق لا عامّ، ثمّ بعد العمل به مرّة نسخه، فالاتّفاق علی جواز النسخ بعد العمل مرّة لا یلازم الاتّفاق علی جوازه بطریق التخصیص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النزاع إنّما هو فی الجواز اللغوی لا العقلی و لا الشرعی التکلیفی و لا الوضعی، و السّر واضح، و أمّا تمسّکهم فی عدم جواز التخصیص بالقبح فلیس مرادهم منه القبح العقلی، بل القبح و الاستنکار العرفی، ثمّ المراد بالقبح العرفی ما یساوق الغلط کما هو الظاهر من إطلاقه هنا، لا مجرّد الاستبشاع و خروج اللفظ عن حدّ الفصاحة، فإنّه لا ینافی الجواز</w:t>
      </w:r>
      <w:r>
        <w:rPr>
          <w:rFonts w:eastAsia="IRNazanin" w:cs="IRNazanin"/>
          <w:color w:val="111111"/>
          <w:sz w:val="28"/>
          <w:szCs w:val="28"/>
          <w:rtl w:val="true"/>
          <w:lang w:bidi="fa-IR"/>
        </w:rPr>
        <w:t>.</w:t>
      </w:r>
    </w:p>
    <w:p>
      <w:pPr>
        <w:pStyle w:val="Heading5"/>
        <w:numPr>
          <w:ilvl w:val="4"/>
          <w:numId w:val="1"/>
        </w:numPr>
        <w:rPr/>
      </w:pPr>
      <w:bookmarkStart w:id="279" w:name="__RefHeading___Toc2986497_3224264995"/>
      <w:bookmarkStart w:id="280" w:name="_Toc107"/>
      <w:bookmarkEnd w:id="279"/>
      <w:r>
        <w:rPr>
          <w:rtl w:val="true"/>
        </w:rPr>
        <w:t>[</w:t>
      </w:r>
      <w:r>
        <w:rPr>
          <w:rtl w:val="true"/>
        </w:rPr>
        <w:t>المقدّمة الثانیة</w:t>
      </w:r>
      <w:r>
        <w:rPr>
          <w:rtl w:val="true"/>
        </w:rPr>
        <w:t xml:space="preserve">: </w:t>
      </w:r>
      <w:r>
        <w:rPr>
          <w:rtl w:val="true"/>
        </w:rPr>
        <w:t>فی ثمرة النزاع</w:t>
      </w:r>
      <w:r>
        <w:rPr>
          <w:rtl w:val="true"/>
        </w:rPr>
        <w:t>]</w:t>
      </w:r>
      <w:bookmarkEnd w:id="280"/>
    </w:p>
    <w:p>
      <w:pPr>
        <w:pStyle w:val="BookText"/>
        <w:rPr/>
      </w:pPr>
      <w:r>
        <w:rPr>
          <w:rFonts w:ascii="IRNazanin" w:hAnsi="IRNazanin" w:eastAsia="IRNazanin"/>
          <w:color w:val="111111"/>
          <w:sz w:val="28"/>
          <w:sz w:val="28"/>
          <w:szCs w:val="28"/>
          <w:rtl w:val="true"/>
          <w:lang w:bidi="fa-IR"/>
        </w:rPr>
        <w:t>و هی تظهر فی موضعین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دار الأمر بین ارتکاب التخصیص بالأکثر و سائر المجازات، </w:t>
      </w:r>
    </w:p>
    <w:p>
      <w:pPr>
        <w:pStyle w:val="BookText"/>
        <w:rPr/>
      </w:pPr>
      <w:r>
        <w:rPr>
          <w:rFonts w:ascii="IRNazanin" w:hAnsi="IRNazanin" w:eastAsia="IRNazanin"/>
          <w:color w:val="111111"/>
          <w:sz w:val="28"/>
          <w:sz w:val="28"/>
          <w:szCs w:val="28"/>
          <w:rtl w:val="true"/>
          <w:lang w:bidi="fa-IR"/>
        </w:rPr>
        <w:t>حیث یتعیّن المجاز علی تقدیر عدم الجواز، و یحتمل الأمرین علی تقدیر الجواز، فیرجع الی المرجّحات، و إن لم توجد فإلی الأصل کما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حیث إنّ الأمر فیه دائر بین تخصیص أکثر العهود الغیر المعنویة فی أبواب الفقه، بل و أکثر العهود المعنونة فیها، حیث إنّ جلّها من العقود الجائزة، و اللوازم منها أیضا مشروطة کلّ واحد بشروط متعدّدة لو انتفی کلّ واحد من تلک الشروط انتفی اللزوم، فلا یبقی من العهود لازم إلّا قلیل فی جنب کثیر و هو التخصیص بالأکثر، و بین حمل العقود علی العقود المتعارفة عند المشافهین، فلا یلزم حینئذ التخصیص بالأکثر، لکنّه یسقط الاستدلال بالآیة علی أصالة اللزوم فی العقود، فعلی عدم الجواز یتعیّن المجاز، و علی الجواز یحتمل الأمرین و یرجع إلی المرجّحات، و إن لم توجد فإلی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ورد خبر واحد مخصّص بالأکثر، فعلی الجواز یعمل به، و علی عدم الجواز لا یعمل، فإنّ عدم الجواز یوهنه و یسقطه عن درجة الاعتبار و إن کان بحسب الظاهر صحیحا أعلائیّا، خلافا لما حکی عن الفاضل التونی</w:t>
      </w:r>
      <w:r>
        <w:rPr>
          <w:rStyle w:val="FootnoteAnchor"/>
          <w:rtl w:val="true"/>
        </w:rPr>
        <w:footnoteReference w:id="464"/>
      </w:r>
      <w:r>
        <w:rPr>
          <w:rFonts w:ascii="IRNazanin" w:hAnsi="IRNazanin" w:eastAsia="IRNazanin"/>
          <w:color w:val="111111"/>
          <w:sz w:val="28"/>
          <w:sz w:val="28"/>
          <w:szCs w:val="28"/>
          <w:rtl w:val="true"/>
          <w:lang w:bidi="fa-IR"/>
        </w:rPr>
        <w:t>من أنّه لا یطرح الخبر الصحیح المخصّص بالأکثر بواسطة الظن الاجتهادی بعدم جواز التخصیص بالأکثر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بمکان من الوهن، لما یرد علیه نقضا بأنّه لو بنی علی عدم اعتبار الظنون الاجتهادیة و علی أنّها ظنون واهیة للزم هدم أساس الاصول الراجع إلی قواعد المعقول أو المنقول و إحداث فقه جدید و دین بدیع، ضرورة أنّ مرجع تلک الظنون إلی بناء العقلاء أو بناء العرف المحکّم و المبتنی علیه محاورات الشارع و مخاطباته، إذ لیس له اختراع جدید فی المحاورات و المخاطبات مع العرف وراء </w:t>
      </w:r>
      <w:bookmarkStart w:id="281" w:name="pg12880_153420"/>
    </w:p>
    <w:p>
      <w:pPr>
        <w:pStyle w:val="BookText"/>
        <w:rPr/>
      </w:pPr>
      <w:bookmarkEnd w:id="281"/>
      <w:r>
        <w:rPr>
          <w:rFonts w:ascii="IRNazanin" w:hAnsi="IRNazanin" w:eastAsia="IRNazanin"/>
          <w:color w:val="111111"/>
          <w:sz w:val="28"/>
          <w:sz w:val="28"/>
          <w:szCs w:val="28"/>
          <w:rtl w:val="true"/>
          <w:lang w:bidi="fa-IR"/>
        </w:rPr>
        <w:t>ما هو المحکّم و المتّبع عند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حلّا بأنّ عدم العمل بالخبر المخصّص بالأکثر علی تقدیر عدم جواز التخصیص به إنّما هو لأجل استحالة صدوره عن المعصوم علیه السّلام، لا لأجل مجرّد عدم جواز التخصیص بالأکثر، فإنّ فرض الخبر المخصّص بالأکثر صادرا عن المعصوم علیه السّلام بعد فرض غلطیّته و عدم جوازه فرض محال و إن فرض کونه صحیحا أعلائیا، فإنّ ذلک مع کونه مجرّد فرض لا وقوع له ظاهرا لا یستلزم الصدور علی فرض وقوعه أیضا، فإنّ الصحیح الأعلائی ما کان سلسلة رواته عدولا، و من المعلوم أنّ عدالة الرواة إنّما تعصم عن التّعمد فی الکذب دون الخطأ و النسیان، فاشتباه المشتبه المذکور ناشئ عن الخلط بفرض المحال ممکنا و غیر الواقع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کما لا إشکال فی ترتیب العمل بالخبر المخصّص بالأکثر علی القول بجواز التخصیص بالأکثر، کذلک لا ینبغی الإشکال فی ترتّب عدم العمل به علی القول بعدم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ینبغی الإشکال فی إطلاق ترتّب عدم العمل بالخبر المخصّص بالأکثر علی القول بعدم جواز التخصیص بالأکثر، فإنّ الحقّ منع الإطلاق و اختیار التفصیل بین ما إذا استند عدم جواز التخصیص بالأکثر إلی الدلیل الاجتهادی فیترتّب علیه عدم العمل بذلک الخبر، و بین ما إذا استند إلی الدلیل الفقاهتی فلا یترتّب علیه عدم العمل، بل یعمل بذلک الخبر، لورود أدلّة حجیة الخبر حینئذ علی أدلّة عدم جواز التخصیص بالأکثر بعد فرضها من الأدلّة الفقاهیة لا الاجتهادیة</w:t>
      </w:r>
      <w:r>
        <w:rPr>
          <w:rFonts w:eastAsia="IRNazanin" w:cs="IRNazanin"/>
          <w:color w:val="111111"/>
          <w:sz w:val="28"/>
          <w:szCs w:val="28"/>
          <w:rtl w:val="true"/>
          <w:lang w:bidi="fa-IR"/>
        </w:rPr>
        <w:t>.</w:t>
      </w:r>
    </w:p>
    <w:p>
      <w:pPr>
        <w:pStyle w:val="Heading5"/>
        <w:numPr>
          <w:ilvl w:val="4"/>
          <w:numId w:val="1"/>
        </w:numPr>
        <w:rPr/>
      </w:pPr>
      <w:bookmarkStart w:id="282" w:name="__RefHeading___Toc2986499_3224264995"/>
      <w:bookmarkStart w:id="283" w:name="_Toc108"/>
      <w:bookmarkEnd w:id="282"/>
      <w:r>
        <w:rPr>
          <w:rtl w:val="true"/>
        </w:rPr>
        <w:t>[</w:t>
      </w:r>
      <w:r>
        <w:rPr>
          <w:rtl w:val="true"/>
        </w:rPr>
        <w:t>المقدمة الثالثة</w:t>
      </w:r>
      <w:r>
        <w:rPr>
          <w:rtl w:val="true"/>
        </w:rPr>
        <w:t xml:space="preserve">: </w:t>
      </w:r>
      <w:r>
        <w:rPr>
          <w:rtl w:val="true"/>
        </w:rPr>
        <w:t>فی تأسیس الأصل،</w:t>
      </w:r>
      <w:r>
        <w:rPr>
          <w:rtl w:val="true"/>
        </w:rPr>
        <w:t>]</w:t>
      </w:r>
      <w:bookmarkEnd w:id="28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فاعلم أنّ الأصل الأصیل عند الشکّ </w:t>
      </w:r>
      <w:bookmarkStart w:id="284" w:name="pg12880_153421"/>
    </w:p>
    <w:p>
      <w:pPr>
        <w:pStyle w:val="BookText"/>
        <w:rPr/>
      </w:pPr>
      <w:bookmarkEnd w:id="284"/>
      <w:r>
        <w:rPr>
          <w:rFonts w:ascii="IRNazanin" w:hAnsi="IRNazanin" w:eastAsia="IRNazanin"/>
          <w:color w:val="111111"/>
          <w:sz w:val="28"/>
          <w:sz w:val="28"/>
          <w:szCs w:val="28"/>
          <w:rtl w:val="true"/>
          <w:lang w:bidi="fa-IR"/>
        </w:rPr>
        <w:t>فی صحّة مجاز من المجازات اللغویة التی منها التخصیص بالأکثر فیما نحن فیه هو عدم الصحّة و عدم الجواز اتّفاقا، لأنّ اللغات توقیفیة لا بدّ من التوقّف فیها حتی بثبت الرخصة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فالأصل فی اللغات کائنة ما کانت فی مواردها</w:t>
      </w:r>
      <w:r>
        <w:rPr>
          <w:rStyle w:val="FootnoteAnchor"/>
          <w:rtl w:val="true"/>
        </w:rPr>
        <w:footnoteReference w:id="465"/>
      </w:r>
      <w:r>
        <w:rPr>
          <w:rFonts w:ascii="IRNazanin" w:hAnsi="IRNazanin" w:eastAsia="IRNazanin"/>
          <w:color w:val="111111"/>
          <w:sz w:val="28"/>
          <w:sz w:val="28"/>
          <w:szCs w:val="28"/>
          <w:rtl w:val="true"/>
          <w:lang w:bidi="fa-IR"/>
        </w:rPr>
        <w:t>و هیئاتها و کیفیة ترکیب مفرداتها و مرکّباتها و وضع حقائقها و مجازاتها و کیفیة استعمالها التوقّف، فما لم یظهر الإذن من الواضع فی شی‌ء لم یصحّ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فاللغات کالأحکام، فکما لا یجوز التشریع فی الأحکام إلّا بالوصول من الشارع، کذلک اللغات لا یجوز الالتزام فیها إلّا بالوصول من الواضع، و کما لا یجوز التعدی عن القدر المتیقّن وصوله من الشارع اتّفاقا، کذلک لا یجوز التعدّی عن القدر المتیقّن وصوله من الواضع اتّفاقا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تمهّدت المقدّمات</w:t>
      </w:r>
    </w:p>
    <w:p>
      <w:pPr>
        <w:pStyle w:val="Heading4"/>
        <w:numPr>
          <w:ilvl w:val="3"/>
          <w:numId w:val="1"/>
        </w:numPr>
        <w:rPr/>
      </w:pPr>
      <w:bookmarkStart w:id="285" w:name="__RefHeading___Toc2986501_3224264995"/>
      <w:bookmarkStart w:id="286" w:name="_Toc109"/>
      <w:bookmarkEnd w:id="285"/>
      <w:r>
        <w:rPr>
          <w:rtl w:val="true"/>
        </w:rPr>
        <w:t>[</w:t>
      </w:r>
      <w:r>
        <w:rPr>
          <w:rtl w:val="true"/>
        </w:rPr>
        <w:t>فاعلم أنّ حجّة القول بجواز التخصیص إلی الواحد</w:t>
      </w:r>
      <w:r>
        <w:rPr>
          <w:rtl w:val="true"/>
        </w:rPr>
        <w:t>]</w:t>
      </w:r>
      <w:bookmarkEnd w:id="286"/>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الاستظهار من إطلاق قول البیانیین و غیرهم فی تعداد العلائق، و من عدم تقییدهم علاقة العموم و الخصوص بقید أنّ نوع العلاقة مهما وجد مصحّح للمجاز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إطلاقهم فی مقام التعداد مع کونه مقیّدا فی صریح کلام الأکثر فی غیر مقام التعداد وارد مورد حکم آخر و هو بیان أصل العدد، کما مرّ تفصیله و تحقیقه فی أوائل الکتاب بما لا مزید علیه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الجواز و وجود المقتضی و عدم المانع، أمّا من جهة التخصیص فلأنّ الاستثناء موضوع لمطلق الإخراج، و الشرط لمطلق الاشتراط، و الغایة لمطلق التحدید، و أمّا من جهة العامّ فلتحقّق الوضع فیما یصحّ فیه الإخراج قبل الحکم </w:t>
      </w:r>
    </w:p>
    <w:p>
      <w:pPr>
        <w:pStyle w:val="BookText"/>
        <w:rPr/>
      </w:pPr>
      <w:r>
        <w:rPr>
          <w:rFonts w:ascii="IRNazanin" w:hAnsi="IRNazanin" w:eastAsia="IRNazanin"/>
          <w:color w:val="111111"/>
          <w:sz w:val="28"/>
          <w:sz w:val="28"/>
          <w:szCs w:val="28"/>
          <w:rtl w:val="true"/>
          <w:lang w:bidi="fa-IR"/>
        </w:rPr>
        <w:t>و وجود العلاقة و هی العموم و الخصوص، إلی غیر ذلک من الوجوه التی استقصاها و استقصی ما فیها کتاب الإشارات</w:t>
      </w:r>
      <w:r>
        <w:rPr>
          <w:rStyle w:val="FootnoteAnchor"/>
          <w:rtl w:val="true"/>
        </w:rPr>
        <w:footnoteReference w:id="466"/>
      </w:r>
      <w:r>
        <w:rPr>
          <w:rFonts w:ascii="IRNazanin" w:hAnsi="IRNazanin" w:eastAsia="IRNazanin"/>
          <w:color w:val="111111"/>
          <w:sz w:val="28"/>
          <w:sz w:val="28"/>
          <w:szCs w:val="28"/>
          <w:rtl w:val="true"/>
          <w:lang w:bidi="fa-IR"/>
        </w:rPr>
        <w:t>بما لا مزید علیه و من شاء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یصحّ التخصیص بالأکثر لما رتّب الفقهاء علیه أحکام الاعتراف فی کتاب الأقاریر، حیث قالوا بأنّ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عشرة إلّا ستة إلّا اثنین إلّا واحد، لزمه واحد، فلولا صحته لحکموا بإلغاء الاستثناء و ألزموه بعشرة، کما فی الاستثناء المستوعب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بمنع الملازمة نقضا بترتّب أحکام الاعتراف أیضا علی ما لو قال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عشرة بنصب المبتدأ أو جرّه أو نحو ذلک من الأغلاط فی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حلّا بأنّ الأحکام اللازمة للمعترف المترتّبة علی الاعتراف مبنیّة علی استکشاف مراد المعترف بأحد طرق الاعتراف من اللفظ و الکتابة أو الإیماء و الاشارة، و لم یعلم من الفقهاء استناد ما یلزم المعترف بالتخصیص بالأکثر إلی طریقیة لفظه حتّی یستکشف منه صحّة الطریق، بل لعلّه مستند إلی ما ینضمّ إلی اللفظ من الطرق الخارجیة کالإیماء و الإشارة و نحوهما ممّا یوجب العلم بمراد المعترف، إلّا أنّ الظاهر من الفقهاء استنادهم الإلزام إلی طریقیة اللفظ، إذ یبعد جدّا سیّما من عادة الشرّاح عدم التنبیه علی مستند الإلزام لو کان من الامور الخارجیة، و لکن لا مناص للمجیب عن ارتکاب هذا الخلاف فی جوابه إذا کان قائلا بکون الاستثناء أخصّ من التخصیص مطلقا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قائلا بکون الاستثناء أعمّ من التخصیص من وجه کان له المناص فی الجواب عن المثال المذکور بخروجه عن محلّ النزاع</w:t>
      </w:r>
      <w:r>
        <w:rPr>
          <w:rFonts w:eastAsia="IRNazanin" w:cs="IRNazanin"/>
          <w:color w:val="111111"/>
          <w:sz w:val="28"/>
          <w:szCs w:val="28"/>
          <w:rtl w:val="true"/>
          <w:lang w:bidi="fa-IR"/>
        </w:rPr>
        <w:t xml:space="preserve">. </w:t>
      </w:r>
      <w:bookmarkStart w:id="287" w:name="pg12880_153423"/>
    </w:p>
    <w:p>
      <w:pPr>
        <w:pStyle w:val="Heading4"/>
        <w:numPr>
          <w:ilvl w:val="3"/>
          <w:numId w:val="1"/>
        </w:numPr>
        <w:rPr/>
      </w:pPr>
      <w:bookmarkStart w:id="288" w:name="__RefHeading___Toc2986503_3224264995"/>
      <w:bookmarkStart w:id="289" w:name="_Toc110"/>
      <w:bookmarkEnd w:id="287"/>
      <w:bookmarkEnd w:id="288"/>
      <w:r>
        <w:rPr>
          <w:rtl w:val="true"/>
        </w:rPr>
        <w:t>[</w:t>
      </w:r>
      <w:r>
        <w:rPr>
          <w:rtl w:val="true"/>
        </w:rPr>
        <w:t>حجة القول بعدم الجواز التخصیص عمّا لا یقرب من مدلول العام وجوه</w:t>
      </w:r>
      <w:r>
        <w:rPr>
          <w:rtl w:val="true"/>
        </w:rPr>
        <w:t>:]</w:t>
      </w:r>
      <w:bookmarkEnd w:id="289"/>
    </w:p>
    <w:p>
      <w:pPr>
        <w:pStyle w:val="BookText"/>
        <w:rPr/>
      </w:pPr>
      <w:r>
        <w:rPr>
          <w:rFonts w:ascii="IRNazanin" w:hAnsi="IRNazanin" w:eastAsia="IRNazanin"/>
          <w:color w:val="111111"/>
          <w:sz w:val="28"/>
          <w:sz w:val="28"/>
          <w:szCs w:val="28"/>
          <w:rtl w:val="true"/>
          <w:lang w:bidi="fa-IR"/>
        </w:rPr>
        <w:t>أوجهها أصالة عدم الجواز، لأنّ اللغات کالأحکام توقیفیّة لا یجوز التعدّی عما ثبت فیه الرخصة إلی ما لم یثبت، و القدر الثابت منه فی المقام هو بقاء جمع یقرب من مدلول العامّ، و یکفی فیما عداه عدم قیام دلیل علی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بقبح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کلّ رمّانة فی البستان و فیه الألف و قد أکل واحدة أو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بهجر القول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الفصول</w:t>
      </w:r>
      <w:r>
        <w:rPr>
          <w:rStyle w:val="FootnoteAnchor"/>
          <w:rtl w:val="true"/>
        </w:rPr>
        <w:footnoteReference w:id="467"/>
      </w:r>
      <w:r>
        <w:rPr>
          <w:rFonts w:ascii="IRNazanin" w:hAnsi="IRNazanin" w:eastAsia="IRNazanin"/>
          <w:color w:val="111111"/>
          <w:sz w:val="28"/>
          <w:sz w:val="28"/>
          <w:szCs w:val="28"/>
          <w:rtl w:val="true"/>
          <w:lang w:bidi="fa-IR"/>
        </w:rPr>
        <w:t>من أنّ علاقة العموم و الخصوص إنّما تعتبر حیث یساعد علیه الطبع، و هذا بحکم الاستقراء إنّما یتحقّق بین المجموع و ما یقاربه دون مطلق الأبعاض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الوجوه الثلاثة الأخیرة من القبح و الهجر و الاستهجان مع کونها متقاربة، بل متساویة لا تثبت المدّعی، و ذلک لاحتمال أن لا یکون مستندها هو القبح اللفظی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غلطیّة الاستعمال، بل کان مستندها هو القبح العقلی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عبثیّة إتیان العامّ ثمّ تخصیصه بالأکثر، مع إمکان التعبیر بالأقلّ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أنّ القبح العقلی یرتفع بإرادة السخریّة و المزاح و غیرهما من الدواعی، بخلاف القبح اللفظی، فإنّه لا یرتفع بشی‌ء من تلک الدواعی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فالعمدة لنا فی مستند المنع هو الأصل، دون سائر الوجوه و إن کان مقتضی الأصل هو التوقّف فی الجواز و المنع عنه فقاهة لا اجتهادا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جواز استعمالنا إیّاه، لا الحکم بفساد استعماله إذا نقل حتّی یطرح الروایة المشتملة علیه </w:t>
      </w:r>
    </w:p>
    <w:p>
      <w:pPr>
        <w:pStyle w:val="BookText"/>
        <w:rPr/>
      </w:pPr>
      <w:r>
        <w:rPr>
          <w:rFonts w:ascii="IRNazanin" w:hAnsi="IRNazanin" w:eastAsia="IRNazanin"/>
          <w:color w:val="111111"/>
          <w:sz w:val="28"/>
          <w:sz w:val="28"/>
          <w:szCs w:val="28"/>
          <w:rtl w:val="true"/>
          <w:lang w:bidi="fa-IR"/>
        </w:rPr>
        <w:t>أو یحکم بعدم جواز حمل الروایة علی المعنی المشتمل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یقتضی الأصل المذکور هو منع التخصیص بالأکثر بعلاقة العموم و الخصوص، لا منعه مطلقا و لو بسائر العلائق، و علائق التخصیص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المشابهة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الکلّ و الجزء، فإنّها و إن اختصّت فیما نحن فیه بالعموم المجموعی کما فی أسماء العدد و نحوها، إلّا أنّ اعتبارها و لو فی تخصیص العامّ المجموعی بالأکثر کاشف عن جواز تخصیص مطلق العمومات بالأکثر، لضعف القول بالفصل النازل منزلة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الجزء و الکلّ، فإنّها و إن اختصّت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و کل رجل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و العلماء من العمومات، بتقریب أنّ العامّ و هو الرجل فی لا رجل و کلّ رجل جزء للجزئی، فالعامّ جزء للجزئیات، إلّا أنّ بضمیمة ضعف القول بالفصل و عدمه یستکشف عن جواز التخصیص بها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علاقة الجزء و الکلّ مشروطة بکون الجزء ممّا ینتفی الکلّ بانتفائه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بوجود الشرط المذکور فیما نحن فیه، فإنّ انتفاء الرجولیّة عن الشخص الخاصّ موجب لانتفاء شخصیّته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علاقة الجزء و الکلّ إنّما هو فیما إذا کان الجزء من الذاتیات لا الأعراض کالرجولیة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أن نعتبره فی أمثلة الذاتیات کلا إنسان و کلّ انسان، ثمّ نعتبره فی العرضیات بضمیمة ضعف القول بالفصل فی المسألة أو عدمه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الکلّی و الجزئی الموجودة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إنسان و کلّ إنسان، و یتعدّی إلی سائر أمثلة الباب بضعف القول بالفصل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الالتزام الموجودة فی جمیع أمثلة الباب، حیث إنّ دلالة العام علی الخاص دلالة التزامیة لا مطابقیة، کما توهّمه بعض من اشتبه علیه مدلول العامّ الاصولی بمدلول العامّ المنطقی، و صدق العام علی الخاص بصدق الکلی علی جزئیاته، بل و لا تضمنیّة کما توهمه بعض من اشتبه کون العامّ مرکّبا من الأفراد و لم یتفطّن لکون مدلول العامّ کلّ فرد لا مجموع الأفراد، و أنّ دلالة کلّ فرد علی الفرد الخاصّ دلالة التزامیة، لکونها دلالة علی الخارج عمّا وضع له اللفظ، انتهی السؤال بإن قلت مع طول توجیهه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من جواز التخصیص بالأکثر بعلاقة المشابهة و الالتزام بین العامّ و الخاصّ، ففیه أنّ تلک العلاقتین کعلاقة العموم و الخصوص فی عدم ثبوت الرخصة فی نوعهما و اختصاص القدر الثابت فیه الرخصة بما یقرب من مدلول العامّ، لا غیر، أ لا تری عدم جواز استعمال النخلة فی الحائط الطویل مع وجود علاقة المشابهة، و عدم استعمال الابن فی الأب و لا العکس مع وجود الالتزام؟</w:t>
      </w:r>
    </w:p>
    <w:p>
      <w:pPr>
        <w:pStyle w:val="BookText"/>
        <w:rPr/>
      </w:pPr>
      <w:r>
        <w:rPr>
          <w:rFonts w:ascii="IRNazanin" w:hAnsi="IRNazanin" w:eastAsia="IRNazanin"/>
          <w:color w:val="111111"/>
          <w:sz w:val="28"/>
          <w:sz w:val="28"/>
          <w:szCs w:val="28"/>
          <w:rtl w:val="true"/>
          <w:lang w:bidi="fa-IR"/>
        </w:rPr>
        <w:t>و أمّا ما ذکره من جواز التخصیص بالأکثر بعلاقة الکلّ و الجزء فیدفعه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اعتبار علاقة الکلّ و الجزء بما إذا کان للکلّ ترکیب حقیقی و للجزء وجود غیر مستقلّ لا غیر، و من الواضح فیما نحن فیه عدم وجود الشرط المذکور، ضرورة انفصال أجزاء العامّ بعضها عن بعض مع کون الجزء مستقلّا فی الوجود و الترکیب اعتباریا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أغمضنا عن جمیع ذلک و فرضنا کون العامّ کلّا و الأفراد أجزاء، لکن لم یثبت استعمال أیّ کلّ و لو فی غایة العظمة فی أیّ جزء و لو فی غایة الصغر کالألوف فی الواحد</w:t>
      </w:r>
      <w:r>
        <w:rPr>
          <w:rFonts w:eastAsia="IRNazanin" w:cs="IRNazanin"/>
          <w:color w:val="111111"/>
          <w:sz w:val="28"/>
          <w:szCs w:val="28"/>
          <w:rtl w:val="true"/>
          <w:lang w:bidi="fa-IR"/>
        </w:rPr>
        <w:t xml:space="preserve">. </w:t>
      </w:r>
      <w:bookmarkStart w:id="290" w:name="pg12880_153426"/>
    </w:p>
    <w:p>
      <w:pPr>
        <w:pStyle w:val="BookText"/>
        <w:rPr/>
      </w:pPr>
      <w:bookmarkEnd w:id="290"/>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ثبوت استعمال أیّ کلّ فی أیّ جزء، لکنّه خارج عن محلّ النزاع، لکونه من باب التقیید لا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جواز التخصیص بالأکثر بعلاقة الجزء و الکلّ أو الکلّی و الجزئی بالتقریب المذکور، فمضافا إلی أنّه لیس من باب التخصیص، بل هو من باب التقیید الخارج عن محلّ النزاع، لیس شی‌ء من تلک العلاقتین بین الخاصّ و العامّ بوصف العموم، بل إنّما هو یکون بینهما مع انسلاخ معنی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لیس شی‌ء من علاقة الجزء و الکلّ أو الکلی أو الجزئی بین مدلول الرجل الخاص و مدلول کلّ رجل بوصف الکلیة و العموم، و إنّما یکون بین مدلول الرجل الخاص و مدلول رجل المنسلخ عن الاقتران بکلّ و الاتّصاف بالعموم، فلیس معنی من تلک العلاقتین بین الخاصّ و نفس العامّ، و إنّما هو بین الخاص و متعلّق العموم</w:t>
      </w:r>
      <w:r>
        <w:rPr>
          <w:rFonts w:eastAsia="IRNazanin" w:cs="IRNazanin"/>
          <w:color w:val="111111"/>
          <w:sz w:val="28"/>
          <w:szCs w:val="28"/>
          <w:rtl w:val="true"/>
          <w:lang w:bidi="fa-IR"/>
        </w:rPr>
        <w:t>.</w:t>
      </w:r>
    </w:p>
    <w:p>
      <w:pPr>
        <w:pStyle w:val="Heading3"/>
        <w:numPr>
          <w:ilvl w:val="2"/>
          <w:numId w:val="1"/>
        </w:numPr>
        <w:rPr/>
      </w:pPr>
      <w:bookmarkStart w:id="291" w:name="__RefHeading___Toc2986505_3224264995"/>
      <w:bookmarkStart w:id="292" w:name="_Toc111"/>
      <w:bookmarkEnd w:id="291"/>
      <w:r>
        <w:rPr>
          <w:rtl w:val="true"/>
        </w:rPr>
        <w:t>[</w:t>
      </w:r>
      <w:r>
        <w:rPr>
          <w:rtl w:val="true"/>
        </w:rPr>
        <w:t>أصل اختلفوا فی کون العامّ المخصّص حقیقة أو مجازا</w:t>
      </w:r>
      <w:r>
        <w:rPr>
          <w:rtl w:val="true"/>
        </w:rPr>
        <w:t>]</w:t>
      </w:r>
      <w:bookmarkEnd w:id="292"/>
    </w:p>
    <w:p>
      <w:pPr>
        <w:pStyle w:val="Heading4"/>
        <w:numPr>
          <w:ilvl w:val="3"/>
          <w:numId w:val="1"/>
        </w:numPr>
        <w:rPr/>
      </w:pPr>
      <w:bookmarkStart w:id="293" w:name="__RefHeading___Toc2986507_3224264995"/>
      <w:bookmarkStart w:id="294" w:name="_Toc112"/>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علی أقوال، و إطلاق عنوان المعنونین أنسب من تقییده المعالم</w:t>
      </w:r>
      <w:r>
        <w:rPr>
          <w:rStyle w:val="FootnoteAnchor"/>
          <w:rtl w:val="true"/>
        </w:rPr>
        <w:footnoteReference w:id="468"/>
      </w:r>
      <w:r>
        <w:rPr>
          <w:rFonts w:ascii="IRNazanin" w:hAnsi="IRNazanin" w:eastAsia="IRNazanin"/>
          <w:color w:val="111111"/>
          <w:sz w:val="28"/>
          <w:sz w:val="28"/>
          <w:szCs w:val="28"/>
          <w:rtl w:val="true"/>
          <w:lang w:bidi="fa-IR"/>
        </w:rPr>
        <w:t>و غیره بما إذا ارید به الباقی، و وجه الأنسبیة شمول الإطلاق و انطباقه علی القول بالتفصیل فی المسألة بین أن یکون التخصیص بواسطة قصر لفظ العامّ، و بین أن یکون بواسطة قصر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المسألة تستدعی البصیرة تقدیم مقدمات</w:t>
      </w:r>
      <w:r>
        <w:rPr>
          <w:rFonts w:eastAsia="IRNazanin" w:cs="IRNazanin"/>
          <w:color w:val="111111"/>
          <w:sz w:val="28"/>
          <w:szCs w:val="28"/>
          <w:rtl w:val="true"/>
          <w:lang w:bidi="fa-IR"/>
        </w:rPr>
        <w:t>:</w:t>
      </w:r>
    </w:p>
    <w:p>
      <w:pPr>
        <w:pStyle w:val="Heading4"/>
        <w:numPr>
          <w:ilvl w:val="3"/>
          <w:numId w:val="1"/>
        </w:numPr>
        <w:rPr/>
      </w:pPr>
      <w:bookmarkStart w:id="295" w:name="__RefHeading___Toc2986509_3224264995"/>
      <w:bookmarkStart w:id="296" w:name="_Toc113"/>
      <w:bookmarkEnd w:id="295"/>
      <w:r>
        <w:rPr>
          <w:rtl w:val="true"/>
        </w:rPr>
        <w:t>[ [</w:t>
      </w:r>
      <w:r>
        <w:rPr>
          <w:rtl w:val="true"/>
        </w:rPr>
        <w:t>المقدّمة</w:t>
      </w:r>
      <w:r>
        <w:rPr>
          <w:rtl w:val="true"/>
        </w:rPr>
        <w:t xml:space="preserve">] </w:t>
      </w:r>
      <w:r>
        <w:rPr>
          <w:rtl w:val="true"/>
        </w:rPr>
        <w:t>الاولی</w:t>
      </w:r>
      <w:r>
        <w:rPr>
          <w:rtl w:val="true"/>
        </w:rPr>
        <w:t xml:space="preserve">: </w:t>
      </w:r>
      <w:r>
        <w:rPr>
          <w:rtl w:val="true"/>
        </w:rPr>
        <w:t>حکی تنصیص جماعة</w:t>
      </w:r>
      <w:r>
        <w:rPr>
          <w:rtl w:val="true"/>
        </w:rPr>
        <w:t>]</w:t>
      </w:r>
      <w:bookmarkEnd w:id="29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الغرض من أوضاع </w:t>
      </w:r>
    </w:p>
    <w:p>
      <w:pPr>
        <w:pStyle w:val="BookText"/>
        <w:rPr/>
      </w:pPr>
      <w:r>
        <w:rPr>
          <w:rFonts w:ascii="IRNazanin" w:hAnsi="IRNazanin" w:eastAsia="IRNazanin"/>
          <w:color w:val="111111"/>
          <w:sz w:val="28"/>
          <w:sz w:val="28"/>
          <w:szCs w:val="28"/>
          <w:rtl w:val="true"/>
          <w:lang w:bidi="fa-IR"/>
        </w:rPr>
        <w:t>المفردة لیس إفادة معانیها الأفرادیة، بل إنّما الغرض من وضعها إفهام معانیها الترکیبیة بعد ترکیب بعضها مع بعض للعالم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المتأخّرون فی المقصود من ذلک، فاستظهر فی الهدایة</w:t>
      </w:r>
      <w:r>
        <w:rPr>
          <w:rStyle w:val="FootnoteAnchor"/>
          <w:rtl w:val="true"/>
        </w:rPr>
        <w:footnoteReference w:id="469"/>
      </w:r>
      <w:r>
        <w:rPr>
          <w:rFonts w:ascii="IRNazanin" w:hAnsi="IRNazanin" w:eastAsia="IRNazanin"/>
          <w:color w:val="111111"/>
          <w:sz w:val="28"/>
          <w:sz w:val="28"/>
          <w:szCs w:val="28"/>
          <w:rtl w:val="true"/>
          <w:lang w:bidi="fa-IR"/>
        </w:rPr>
        <w:t>کون المراد أنّ المقصود الأصلی من وضع المفردات هو إفهام المعانی الترکیبیة الحاصلة من ترکیبها للعالم بأوضاعها و أنّ إحضار معانیها المفردة عند التلفّظ بها مقصودة بالتبع و من باب المقدّمة لأجل الإیصال إلی المعانی الترکیبیة المقصودة بالذات الحاصلة من ضمّ بعضها إلی بعض بعد وضع الهیئات العارضة علیها لمعانیها المبیّنة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فی القوانین</w:t>
      </w:r>
      <w:r>
        <w:rPr>
          <w:rStyle w:val="FootnoteAnchor"/>
          <w:rtl w:val="true"/>
        </w:rPr>
        <w:footnoteReference w:id="470"/>
      </w:r>
      <w:r>
        <w:rPr>
          <w:rFonts w:ascii="IRNazanin" w:hAnsi="IRNazanin" w:eastAsia="IRNazanin"/>
          <w:color w:val="111111"/>
          <w:sz w:val="28"/>
          <w:sz w:val="28"/>
          <w:szCs w:val="28"/>
          <w:rtl w:val="true"/>
          <w:lang w:bidi="fa-IR"/>
        </w:rPr>
        <w:t>مرادهم علی أنّ المقصود من وضع الألفاظ المفردة لیس إفهام معانیها التصدیقیة أعنی إفهام کون معانیها قد وضعت لها تلک الألفاظ، بل المقصود من وضعها إفهام معانیها التصوّریة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إفهام تصوّر معانیها من التلفظ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هو حمل کلامهم علی نفی کلّ من الأمرین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کون الغرض من وضع المفردات هو إفهام معانیها التصدیقیة مع نفی کون الغرض هو إفهام معانیها التصوّریة بالأصالة، و إنّما الغرض من وضعها هو إفهام معانیها الأفرادیة تبعا و مقدّمة لأجل الإیصال إلی معانیها الترکیبیّة، و وجه الأقربیة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فیه من الجمع الذی هو أولی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مساعدة الوجدان و البرهان علی کلّ من النفیین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نفی کون الغرض الأصلی من وضع المفردات هو إفهام معانیها التصوّریة فلما یشهد علیه وجدان کلّ من فرض نفسه واضعا من ظهور کون الغرض من تقریر </w:t>
      </w:r>
    </w:p>
    <w:p>
      <w:pPr>
        <w:pStyle w:val="BookText"/>
        <w:rPr/>
      </w:pPr>
      <w:r>
        <w:rPr>
          <w:rFonts w:ascii="IRNazanin" w:hAnsi="IRNazanin" w:eastAsia="IRNazanin"/>
          <w:color w:val="111111"/>
          <w:sz w:val="28"/>
          <w:sz w:val="28"/>
          <w:szCs w:val="28"/>
          <w:rtl w:val="true"/>
          <w:lang w:bidi="fa-IR"/>
        </w:rPr>
        <w:t>الأوضاع هو إظهار ما فی الضمیر من المطالب و الحاجات، و ظهور أنّ ما یتعلّق به الأغراض إنّما هو بیان المعانی الترکیبیة، دون المفاهیم الأفرادیة، لعدم تعلّق الاغراض بها إلّا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نفی کون الغرض من وضع المفردات هو إفهام معانیها التصدیقیة فلما یشهد علیه البرهان من استحالته، أمّا استحالة حصول هذا الغرض من الجاهل بالوضع فواضح، و أمّا استحالته من العالم بالوضع فلاستلزامه الدور و هو توقّف استفادة المعانی التصدیقیة منها علی العلم بأوضاعها، و توقّف العلم بالوضع للمعنی علی تصوّر ذلک المعنی و حصوله فی النفس، و هو الدور الصریح، مضافا إلی استلزامه تحصیل الحاصل و نفی الفرق بین المفرد و المرکّب من حیث دلالة کلّ منهما علی نوع من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المذکور أیضا موجود فیما إذا کان الغرض من وضع الألفاظ المفردة هو إفهام معانیها التصوّریة بالتقریب المذکور من استحالة إفهام معانیها التصوّریة، أمّا للجاهل بالوضع فواضح، و أمّا للعالم فلتوقّف إفهام معانیها التصوّریة علی العلم بالوضع و توقّف العلم بالوضع للمعنی علی تصور ذلک المعنی و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بالوضع إنّما یتوقّف علی تصور المعنی و حصوله فی البال فی الجملة، لا علی ذلک الإحضار الحاصل بسماع اللفظ عند تلفّظ المتکلّم به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فالغرض من وضع المفردات هو إفادة معانیها التصوّریة لا التصدیقیة، سواء کان ذلک من جهة لزوم الدور أو شی‌ء آخر من لزوم تحصیل الحاصل أو انتفاء الفرق بین المرکّب و المفرد من حیث لزوم إفادة کلّ منهما نوعا من التصدیق، أو غیر ذلک</w:t>
      </w:r>
      <w:r>
        <w:rPr>
          <w:rFonts w:eastAsia="IRNazanin" w:cs="IRNazanin"/>
          <w:color w:val="111111"/>
          <w:sz w:val="28"/>
          <w:szCs w:val="28"/>
          <w:rtl w:val="true"/>
          <w:lang w:bidi="fa-IR"/>
        </w:rPr>
        <w:t xml:space="preserve">. </w:t>
      </w:r>
      <w:bookmarkStart w:id="297" w:name="pg12880_153429"/>
    </w:p>
    <w:p>
      <w:pPr>
        <w:pStyle w:val="BookText"/>
        <w:rPr/>
      </w:pPr>
      <w:bookmarkEnd w:id="297"/>
      <w:r>
        <w:rPr>
          <w:rFonts w:ascii="IRNazanin" w:hAnsi="IRNazanin" w:eastAsia="IRNazanin"/>
          <w:color w:val="111111"/>
          <w:sz w:val="28"/>
          <w:sz w:val="28"/>
          <w:szCs w:val="28"/>
          <w:rtl w:val="true"/>
          <w:lang w:bidi="fa-IR"/>
        </w:rPr>
        <w:t>و أمّا المرکّبات فلیست کالمفردات فی الوضع لإفادة المعانی التصوریة، بل إنّما تفید معانیها التصدیقیّة من غیر استلزام دور أو شی‌ء آخر، أمّا علی القول بعدم ثبوت وضع فیها وراء، وضع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سلب کون وضعها کوضع المفردات سالبة بانتفاء الموضوع، و أمّا علی القول بثبوت الوضع فیها، فلأنّه وضع نوعی یفید التصدیق بمفاد مفرداتها لا وضع شخصی یفید التصدیق بکون مفادها قد وضعت له ألفاظها حتی یستلزم الدور، کما یستلزمه وضع المفردات لذلک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فالتصدیق الموضوع بإزائه المرکّبات علی تقدیر ثبوت الوضع فیها لیس تصدیقا بما یستلزم الدور من وضع المفردات بإزائه، فتدبّر</w:t>
      </w:r>
      <w:r>
        <w:rPr>
          <w:rFonts w:eastAsia="IRNazanin" w:cs="IRNazanin"/>
          <w:color w:val="111111"/>
          <w:sz w:val="28"/>
          <w:szCs w:val="28"/>
          <w:rtl w:val="true"/>
          <w:lang w:bidi="fa-IR"/>
        </w:rPr>
        <w:t>.</w:t>
      </w:r>
    </w:p>
    <w:p>
      <w:pPr>
        <w:pStyle w:val="Heading4"/>
        <w:numPr>
          <w:ilvl w:val="3"/>
          <w:numId w:val="1"/>
        </w:numPr>
        <w:rPr/>
      </w:pPr>
      <w:bookmarkStart w:id="298" w:name="__RefHeading___Toc2986511_3224264995"/>
      <w:bookmarkStart w:id="299" w:name="_Toc114"/>
      <w:bookmarkEnd w:id="298"/>
      <w:r>
        <w:rPr>
          <w:rtl w:val="true"/>
        </w:rPr>
        <w:t>[</w:t>
      </w:r>
      <w:r>
        <w:rPr>
          <w:rtl w:val="true"/>
        </w:rPr>
        <w:t>المقدمة الثانیة</w:t>
      </w:r>
      <w:r>
        <w:rPr>
          <w:rtl w:val="true"/>
        </w:rPr>
        <w:t xml:space="preserve">: </w:t>
      </w:r>
      <w:r>
        <w:rPr>
          <w:rtl w:val="true"/>
        </w:rPr>
        <w:t>أنّ الدلالة الوضعیة</w:t>
      </w:r>
      <w:r>
        <w:rPr>
          <w:rtl w:val="true"/>
        </w:rPr>
        <w:t>]</w:t>
      </w:r>
      <w:bookmarkEnd w:id="299"/>
    </w:p>
    <w:p>
      <w:pPr>
        <w:pStyle w:val="BookText"/>
        <w:rPr/>
      </w:pPr>
      <w:r>
        <w:rPr>
          <w:rFonts w:ascii="IRNazanin" w:hAnsi="IRNazanin" w:eastAsia="IRNazanin"/>
          <w:color w:val="111111"/>
          <w:sz w:val="28"/>
          <w:sz w:val="28"/>
          <w:szCs w:val="28"/>
          <w:rtl w:val="true"/>
          <w:lang w:bidi="fa-IR"/>
        </w:rPr>
        <w:t>هل هی تابعة للإرادة بحیث تکون الدلالة الغیر التابعة للإرادة کتلفّظ النائم و الساهی خارجة عن قانون الوضع و غیر مستندة إلی الواضع و رخصته کخروج الإرادة الغیر الجاریة علی وفق قانون الوضع و الدلالة عنه، أم لا؟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الألفاظ موضوعة بإزاء معانیها من حیث هی أو من حیث کونها مرادة للافظها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أقربهما الأوّل وفاقا للشیخ الرئیس</w:t>
      </w:r>
      <w:r>
        <w:rPr>
          <w:rStyle w:val="FootnoteAnchor"/>
          <w:rtl w:val="true"/>
        </w:rPr>
        <w:footnoteReference w:id="471"/>
      </w:r>
      <w:r>
        <w:rPr>
          <w:rFonts w:ascii="IRNazanin" w:hAnsi="IRNazanin" w:eastAsia="IRNazanin"/>
          <w:color w:val="111111"/>
          <w:sz w:val="28"/>
          <w:sz w:val="28"/>
          <w:szCs w:val="28"/>
          <w:rtl w:val="true"/>
          <w:lang w:bidi="fa-IR"/>
        </w:rPr>
        <w:t>و المحقق الطوسی</w:t>
      </w:r>
      <w:r>
        <w:rPr>
          <w:rStyle w:val="FootnoteAnchor"/>
          <w:rtl w:val="true"/>
        </w:rPr>
        <w:footnoteReference w:id="472"/>
      </w:r>
      <w:r>
        <w:rPr>
          <w:rFonts w:ascii="IRNazanin" w:hAnsi="IRNazanin" w:eastAsia="IRNazanin"/>
          <w:color w:val="111111"/>
          <w:sz w:val="28"/>
          <w:sz w:val="28"/>
          <w:szCs w:val="28"/>
          <w:rtl w:val="true"/>
          <w:lang w:bidi="fa-IR"/>
        </w:rPr>
        <w:t>و القمی</w:t>
      </w:r>
      <w:r>
        <w:rPr>
          <w:rStyle w:val="FootnoteAnchor"/>
          <w:rtl w:val="true"/>
        </w:rPr>
        <w:footnoteReference w:id="473"/>
      </w:r>
      <w:r>
        <w:rPr>
          <w:rFonts w:ascii="IRNazanin" w:hAnsi="IRNazanin" w:eastAsia="IRNazanin"/>
          <w:color w:val="111111"/>
          <w:sz w:val="28"/>
          <w:sz w:val="28"/>
          <w:szCs w:val="28"/>
          <w:rtl w:val="true"/>
          <w:lang w:bidi="fa-IR"/>
        </w:rPr>
        <w:t>و استادنا العلّامة، و اقتصارا علی ما تقتضیه الحکمة الباعثة علی الوضع، إذ من المعلوم أنّ غرض الواضع و مسیس الحاجة الباعثة له علی الوضع و الرخصة فی الاستعمال إنّما هو إظهار ما فی الضمیر من المطالب و الحاجات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مقتضی لتعمیم الوضع و الرخصة فی استعمال ما لا یبرز شیئا من الإرادات و الحاجات، و إذا انتفی المقتضی لتعمیم الوضع و الرخصة فی استعمال ما لا یتبع الإرادة کان استعماله خارجا عن قانون الوضع و دلالته غیر مستندة إلی الواضع و رخصته، سیّما إذا کان الواضع الخالق لا المخلوق، و قضاء لأصالة التوقیف و التوصیف فی اللغات، فإنّ القدر الثابت فیه الرخصة من الاستعمالات هو الاستعمال المستتبع للإرادة، فلا یجوز التعدّی و ثبوت الرخصة فیما عداه، لکن لا لأصالة عدم تعمیم الوضع و الرخصة حتی یندفع بالمعارضة و بکونه من الاصول المثبتة التی لا تعویل علیها فی اللغات، بل لما ذکرنا من أصالة التوقیف و التوصیف فی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بتعمیم الدلالة و عدم تبعیّتها للإرادة وجدان التفکیک بینهما فی تکلّم النائم و الساهی و غیرهما ممّن لم یقصد الإرادة، و إطلاق تحدیدهم الوضع بتعیین اللفظ للدلالة علی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استناد الدلالة المنفکّة عن الإرادة إلی وضع الواضع و لا إلی رخصته، بل إنّما هو مستند إلی القهر الحاصل من اعتیاد النفس بالانصراف إلی أغلب حالات الدلالة و هو حالة استتباعها الإرادة و إن لم یرخص الواضع فیه، کما لم یرخّص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زید مثلا، مع دلالته علیه عادة فی مقام المزاح و السخریة، و کما لم یرخّص استعمال المشترک فی أکثر من معنی علی المشهور، مع دلالة إطلاقه علیه علی وجه التردید عند عدم القرینة علی التعیین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فالانتقال من اللفظ إلی المعنی مع العلم بعدم الإرادة انتقال إلی ما یصلح له اللفظ من حیث العلم بالوضع و لیس انتقالا إلی ما وضع له اللفظ بالاعتبار </w:t>
      </w:r>
    </w:p>
    <w:p>
      <w:pPr>
        <w:pStyle w:val="BookText"/>
        <w:rPr/>
      </w:pPr>
      <w:r>
        <w:rPr>
          <w:rFonts w:ascii="IRNazanin" w:hAnsi="IRNazanin" w:eastAsia="IRNazanin"/>
          <w:color w:val="111111"/>
          <w:sz w:val="28"/>
          <w:sz w:val="28"/>
          <w:szCs w:val="28"/>
          <w:rtl w:val="true"/>
          <w:lang w:bidi="fa-IR"/>
        </w:rPr>
        <w:t>الذی وضع له، و الفرق بین الانتقالین هو الفرق بین الانتقال إلی الشی‌ء بحقیقته و الانتقال إلیه بوجهه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إطلاق الحد وارد مورد الغالب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أغلب أحوال المحدود، حیث لم ینفک عن الإرادة غالبا أو وارد مورد التعویل علی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تحدید بعضهم الوضع مضافا إلی معارضته بتقیید من هو أفضل و أعلم منه لیس منقولا عن لسان الواضع حتی یجوز التعویل علی إطلاقه علی تقدیر اعتبار قول الناقل، بل مأخوذ من اجتهاده و تتّبعه الذی لا یجوز للغیر التعویل علیه، و لهذا یجوز التعویل علی منقولات اللغویین دون اجتهاداتهم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الاحتیاج إلی تقیید الحدّ بحیثیة کون المعنی مرادا مبنیّ علی اعتبار الحیثیة المذکورة شرطا خارجا عن المعنی، و أمّا علی اعتبارها شطرا داخلا فی المعنی فاعتبار المعنی یغنی عن اعتبارها، لأنّها حینئذ جزئه، و لکنّه یلزم علی تقدیر دخول الحیثیة فی المعنی تضمّن کلّ لفظ معنی حرفیا و هو بعید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تحقیق هذه المسألة فاعلم أنّ من جملة الثمرات المترتّبة علیها هو الاحتیاج إلی اعتبار الحیثیّة فی دفع انتقاض حدود الدلالات الثلاث بعضها مع بعض علی القول بعدم استتباع الدلالة للإرادة، و عدم الاحتیاج إلی اعتبارها فی ذلک علی القول بالاستتباع حسبما أشار إلیه فی القوانین</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تلک الثمرات أیضا لزوم التناقض فی الاستثناء علی القول بعدم استتباع الدلالة للإرادة، إذ المفروض علی هذا القول استناد کلّ من دلالة ما قبل </w:t>
      </w:r>
    </w:p>
    <w:p>
      <w:pPr>
        <w:pStyle w:val="BookText"/>
        <w:rPr/>
      </w:pPr>
      <w:r>
        <w:rPr>
          <w:rFonts w:ascii="IRNazanin" w:hAnsi="IRNazanin" w:eastAsia="IRNazanin"/>
          <w:color w:val="111111"/>
          <w:sz w:val="28"/>
          <w:sz w:val="28"/>
          <w:szCs w:val="28"/>
          <w:rtl w:val="true"/>
          <w:lang w:bidi="fa-IR"/>
        </w:rPr>
        <w:t>الاستثناء علی دخول المستثنی فی الحکم و دلالة الاستثناء علی خروجه عنه إلی الدلالة الوضعیّة الجاریة علی حسب قانون الوضع و رخصته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یندفع التناقض علی هذا القول بما تفصّی به المشهور من إرادة ما عدا المستثنی من المستثنی منه، و لا بما تفصّی به العلّامة</w:t>
      </w:r>
      <w:r>
        <w:rPr>
          <w:rStyle w:val="FootnoteAnchor"/>
          <w:rtl w:val="true"/>
        </w:rPr>
        <w:footnoteReference w:id="475"/>
      </w:r>
      <w:r>
        <w:rPr>
          <w:rFonts w:ascii="IRNazanin" w:hAnsi="IRNazanin" w:eastAsia="IRNazanin"/>
          <w:color w:val="111111"/>
          <w:sz w:val="28"/>
          <w:sz w:val="28"/>
          <w:szCs w:val="28"/>
          <w:rtl w:val="true"/>
          <w:lang w:bidi="fa-IR"/>
        </w:rPr>
        <w:t>و غیره من إرادة إسناد الحکم إلی ما عدا المستثنی من الأفراد الباقیة، لأنّ مقتضی هذا القول کون الإرادة لا تستتبعها الدلالة، فتناقض الدلالة علی هذا القول لا یدفعه شی‌ء من الإرادتین، بل إنّما ینحصر دفعه بما اختاره القاضی فی رفع التناقض من أنّ مجموع المستثنی منه و الأداة و المستثنی موضوع للباقی و مستعمل فیه و الإسناد إنّما وقع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باستتباع الدلالة للإرادة فیندفع شبهة التناقض بکلّ من الوجوه الثلاثة و لا یتعیّن دفعه فی الوجه الثالث، و ذلک لأنّ مقتضی هذا القول کون الدلالة المناقضة و هی المخالفة للإرادة غیر مستندة إلی الواضع و لا إلی رخصته، و المستندة إلی الواضع و رخصته و هی المستتبعة للإرادة غیر مناقضة، فالدلالة المناقضة علی هذا القول غیر معتبرة، و المعتبرة منها غیر 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علی هذا القول فی ترجیح أحد الوجوه الثلاثة لدفع التناقض</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ترجیح کلّ من الإرادتین علی الوجه الثالث فیکفی أغلبیة ما فیهما من التجوّز علی ما فی الثالث من الاشتراک اللفظی عند الدوران، اللّهم إلّا أن یوجّه الثالث بما یرجع إلی أحد الأوّلین، أو إلی الوجه الآتی فی کلام الفصول، کما یظهر من توجیه العضدی</w:t>
      </w:r>
      <w:r>
        <w:rPr>
          <w:rStyle w:val="FootnoteAnchor"/>
          <w:rtl w:val="true"/>
        </w:rPr>
        <w:footnoteReference w:id="476"/>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فی ترجیح الإرادة الاولی علی الثانیة بعد فرض اتّحادهما فی الاستناد إلی رخصة الواضع و فی النکتة الباعثة علی إسناد الحکم ظاهرا إلی الکلّ ثمّ استخراج البعض عنه دون إسناد الحکم إلی الباقی من أوّل الأمر مع و جازته و خلوّه عن شائبة التناقض، فیکفی ما فی الإرادة الثانیة من استلزام ما لا یستلزمه الاولی من عبثیة إرادة المستثنی من المستثنی منه أوّلا، ثمّ إخراجه من الحکم ثانیا من دون داع إلیه و إن کان التجوّز فی الإسناد اللازم للإرادة الثانیة أغلب و أکثر من التجوّز فی اللفظ اللازم للإرادة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 من انحصار دفع التناقض بأحد الوجوه الثلاثة المذکورة التی لا رابع لها هو مقتضی المشهور المنصور، و إلّا فقد زاد بعضهم فی التفصّی عن إشکال التناقض وجوه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اعتمد علیه الفصول</w:t>
      </w:r>
      <w:r>
        <w:rPr>
          <w:rStyle w:val="FootnoteAnchor"/>
          <w:rtl w:val="true"/>
        </w:rPr>
        <w:footnoteReference w:id="477"/>
      </w:r>
      <w:r>
        <w:rPr>
          <w:rFonts w:ascii="IRNazanin" w:hAnsi="IRNazanin" w:eastAsia="IRNazanin"/>
          <w:color w:val="111111"/>
          <w:sz w:val="28"/>
          <w:sz w:val="28"/>
          <w:szCs w:val="28"/>
          <w:rtl w:val="true"/>
          <w:lang w:bidi="fa-IR"/>
        </w:rPr>
        <w:t>من أنّ المراد من المستثنی منه ما یتناول المستثنی و النسبة متعلّقة به بهذا الاعتبار، کما هو الظاهر من اللفظ و المتبادر عند الاستعمال، و الإخراج راجع إلیه، و لا إشکال علیه، لأنّه إن ارید بالتناقض المورد علیه التناقض بحسب ظاهر مؤدّی الخطاب فالتزامه ممّا لا ضیر فیه، إذ لیس فیه قبح لا عقلا و لا عرفا، و إن ارید التناقض بحسب ما هو المقصود من الخطاب حقیقة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به القصد بالذات علی ما یساعد علیه ظاهر الاستعمال فممنوع، لظهور أنّ المقصود بالذات إنّما هو الإسناد إلی ما عدا المستثنی، و الإسناد إلیه فی ضمن الکلّ إنّما قصد تبعا لشمول 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أنّ مرجعه أیضا إلی رفع التناقض فی الدلالة بأحد الإرادتین المذکورتین، غایة الفرق إمّا بینه و بین المشهور، ففی التزامه بإرادة تابعة للدلالة </w:t>
      </w:r>
      <w:bookmarkStart w:id="300" w:name="pg12880_153434"/>
    </w:p>
    <w:p>
      <w:pPr>
        <w:pStyle w:val="BookText"/>
        <w:rPr/>
      </w:pPr>
      <w:bookmarkEnd w:id="300"/>
      <w:r>
        <w:rPr>
          <w:rFonts w:ascii="IRNazanin" w:hAnsi="IRNazanin" w:eastAsia="IRNazanin"/>
          <w:color w:val="111111"/>
          <w:sz w:val="28"/>
          <w:sz w:val="28"/>
          <w:szCs w:val="28"/>
          <w:rtl w:val="true"/>
          <w:lang w:bidi="fa-IR"/>
        </w:rPr>
        <w:t>وراء الإرادة المقصودة بالذات و عدم التزام المشهور به حذرا من العبثیة فی الالتزام بما لا 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بینه و بین العلّامة، ففی التزامه بإسناده الحکم إلی المستثنی منه قبل الإخراج و التزام العلّامة قدّس سرّه بإسناده بعد الإخراج، هذا مع أنّ إطلاق دفعه تناقض الدلالة بالإرادة ممنوع، بل هو مبنیّ علی القول بأنّ الدلالة تابعة للإرادة و إلّا فقد عرفت أنّ الإرادة لا تدفع تناقض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آخران قد تصدّی الفصول</w:t>
      </w:r>
      <w:r>
        <w:rPr>
          <w:rStyle w:val="FootnoteAnchor"/>
          <w:rtl w:val="true"/>
        </w:rPr>
        <w:footnoteReference w:id="478"/>
      </w:r>
      <w:r>
        <w:rPr>
          <w:rFonts w:ascii="IRNazanin" w:hAnsi="IRNazanin" w:eastAsia="IRNazanin"/>
          <w:color w:val="111111"/>
          <w:sz w:val="28"/>
          <w:sz w:val="28"/>
          <w:szCs w:val="28"/>
          <w:rtl w:val="true"/>
          <w:lang w:bidi="fa-IR"/>
        </w:rPr>
        <w:t>لذکرهما و ذکر ما فیهما من التزییف بما فیه الغنیة عن تصدّینا له</w:t>
      </w:r>
      <w:r>
        <w:rPr>
          <w:rFonts w:eastAsia="IRNazanin" w:cs="IRNazanin"/>
          <w:color w:val="111111"/>
          <w:sz w:val="28"/>
          <w:szCs w:val="28"/>
          <w:rtl w:val="true"/>
          <w:lang w:bidi="fa-IR"/>
        </w:rPr>
        <w:t>.</w:t>
      </w:r>
    </w:p>
    <w:p>
      <w:pPr>
        <w:pStyle w:val="Heading4"/>
        <w:numPr>
          <w:ilvl w:val="3"/>
          <w:numId w:val="1"/>
        </w:numPr>
        <w:rPr/>
      </w:pPr>
      <w:bookmarkStart w:id="301" w:name="__RefHeading___Toc2986513_3224264995"/>
      <w:bookmarkStart w:id="302" w:name="_Toc115"/>
      <w:bookmarkEnd w:id="301"/>
      <w:r>
        <w:rPr>
          <w:rtl w:val="true"/>
        </w:rPr>
        <w:t>[</w:t>
      </w:r>
      <w:r>
        <w:rPr>
          <w:rtl w:val="true"/>
        </w:rPr>
        <w:t>المقدمة الثالثة</w:t>
      </w:r>
      <w:r>
        <w:rPr>
          <w:rtl w:val="true"/>
        </w:rPr>
        <w:t xml:space="preserve">: </w:t>
      </w:r>
      <w:r>
        <w:rPr>
          <w:rtl w:val="true"/>
        </w:rPr>
        <w:t>اعلم أنّه لا خلاف فی صحّة الاستثناء</w:t>
      </w:r>
      <w:r>
        <w:rPr>
          <w:rtl w:val="true"/>
        </w:rPr>
        <w:t>]</w:t>
      </w:r>
      <w:bookmarkEnd w:id="302"/>
    </w:p>
    <w:p>
      <w:pPr>
        <w:pStyle w:val="BookText"/>
        <w:rPr/>
      </w:pPr>
      <w:r>
        <w:rPr>
          <w:rFonts w:ascii="IRNazanin" w:hAnsi="IRNazanin" w:eastAsia="IRNazanin"/>
          <w:color w:val="111111"/>
          <w:sz w:val="28"/>
          <w:sz w:val="28"/>
          <w:szCs w:val="28"/>
          <w:rtl w:val="true"/>
          <w:lang w:bidi="fa-IR"/>
        </w:rPr>
        <w:t xml:space="preserve">المستوعب عقلا، کما لا خلاف فی صحة استثناء ما دون النصف لغة، و إنّما الخلاف فی صحّة استثناء المستوعب و استثناء ما فوق النصف لغة، أمّا الخلاف فی المستوعب و هو المساوی للمستثنی منه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ألف إلّا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الزائد منه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ألف إلّا ألفین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بالجواز مطلقا، و هو الذی استصوبه الضوابط</w:t>
      </w:r>
      <w:r>
        <w:rPr>
          <w:rStyle w:val="FootnoteAnchor"/>
          <w:rtl w:val="true"/>
        </w:rPr>
        <w:footnoteReference w:id="479"/>
      </w:r>
      <w:r>
        <w:rPr>
          <w:rFonts w:ascii="IRNazanin" w:hAnsi="IRNazanin" w:eastAsia="IRNazanin"/>
          <w:color w:val="111111"/>
          <w:sz w:val="28"/>
          <w:sz w:val="28"/>
          <w:szCs w:val="28"/>
          <w:rtl w:val="true"/>
          <w:lang w:bidi="fa-IR"/>
        </w:rPr>
        <w:t>و حکی عن الفراء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بالعدم مطلقا، و هو المشهور المعتضد بالاتّفاقات المنقولة علیه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الاستیعاب الاتّفاقی کأکرم کل من زارنی إلّا الفاسق، و اتّفق أنّه لم یزره إلّا الفاسق، فیجوز، و بین غیره کالاستیعاب عقلا أو عادة کأکرم کلّ إنسان إلّا کلّ ضاحک أو کلّ حیوان، أو مفهوما کأکرم کلّ إنسان إلّا کلّ </w:t>
      </w:r>
    </w:p>
    <w:p>
      <w:pPr>
        <w:pStyle w:val="BookText"/>
        <w:rPr/>
      </w:pPr>
      <w:r>
        <w:rPr>
          <w:rFonts w:ascii="IRNazanin" w:hAnsi="IRNazanin" w:eastAsia="IRNazanin"/>
          <w:color w:val="111111"/>
          <w:sz w:val="28"/>
          <w:sz w:val="28"/>
          <w:szCs w:val="28"/>
          <w:rtl w:val="true"/>
          <w:lang w:bidi="fa-IR"/>
        </w:rPr>
        <w:t>إنسان، فلا یجوز، و هو الذی استصوبه الفصول</w:t>
      </w:r>
      <w:r>
        <w:rPr>
          <w:rStyle w:val="FootnoteAnchor"/>
          <w:rtl w:val="true"/>
        </w:rPr>
        <w:footnoteReference w:id="480"/>
      </w:r>
      <w:r>
        <w:rPr>
          <w:rFonts w:ascii="IRNazanin" w:hAnsi="IRNazanin" w:eastAsia="IRNazanin"/>
          <w:color w:val="111111"/>
          <w:sz w:val="28"/>
          <w:sz w:val="28"/>
          <w:szCs w:val="28"/>
          <w:rtl w:val="true"/>
          <w:lang w:bidi="fa-IR"/>
        </w:rPr>
        <w:t>، و أقرب الأقوال إلی القاعدة المحکّمة من التوقیف و التوظیف فی اللغات هو القول الثانی، کما یعلم تفصیله من المبحث السابق و ممّا سیأتی، مضافا إلی ما عرفت من اعتضاده بالاتّفاقات المنقولة بل المحصّلة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الموارد التی تظهر ثمرة کون المستوعب لغوا و عدمه الأقاریر حیث إنّه لو قال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لزید علیّ عشرة دراهم إلّا عشرة دراهم لم یلزمه شی‌ء علی عدم اللغویة، و لزمه علی اللغویة العشرة و عدم الإصغاء إلی الاستثناء، لأنّه لغو و الصحیح هو جملة المستثنی منه، فیؤخذ به علی اللغویة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ناقش صاحب الضوابط</w:t>
      </w:r>
      <w:r>
        <w:rPr>
          <w:rStyle w:val="FootnoteAnchor"/>
          <w:rtl w:val="true"/>
        </w:rPr>
        <w:footnoteReference w:id="481"/>
      </w:r>
      <w:r>
        <w:rPr>
          <w:rFonts w:ascii="IRNazanin" w:hAnsi="IRNazanin" w:eastAsia="IRNazanin"/>
          <w:color w:val="111111"/>
          <w:sz w:val="28"/>
          <w:sz w:val="28"/>
          <w:szCs w:val="28"/>
          <w:rtl w:val="true"/>
          <w:lang w:bidi="fa-IR"/>
        </w:rPr>
        <w:t>بأنّ هذه الثمرة لیست من ثمرات اللغویة و عدمها، بل من ثمرات عدم سماع الإنکار بعد الإقرار، لأنّ لصدور مثل ذلک الکلام عن المتکلّم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علی وجه السخریّة و المزاح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علی وجه اللغو کمن یتکلّم لا عن شعور و یتفوّه بالهذیان و لا یرید بکلامه معنی، فخرج عن الإقرار و الإخبار رأسا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عشرة رجوعا عن القول الأوّل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عشرة، و هذا یتصوّر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الأخیر من باب الإنکار بعد الإقرار عمدا،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قوله الأوّل عن سهو و اشتباه ثمّ تذکّر فی البین و رجع، فمرادهم من لزوم الأخذ بالمستثنی منه بعد صدور ذلک الکلام لیس فی صورة العلم بأنّه من باب القسم الأوّل و لا الثانی و لا الأخیر ظاهرا، فلا تظهر الثمرة </w:t>
      </w:r>
    </w:p>
    <w:p>
      <w:pPr>
        <w:pStyle w:val="BookText"/>
        <w:rPr/>
      </w:pPr>
      <w:r>
        <w:rPr>
          <w:rFonts w:ascii="IRNazanin" w:hAnsi="IRNazanin" w:eastAsia="IRNazanin"/>
          <w:color w:val="111111"/>
          <w:sz w:val="28"/>
          <w:sz w:val="28"/>
          <w:szCs w:val="28"/>
          <w:rtl w:val="true"/>
          <w:lang w:bidi="fa-IR"/>
        </w:rPr>
        <w:t>فی تلک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الثالثة فالأمر کما ذکروه، إلّا أنّ هذا لیس لأجل لغویّة الاستثناء المستغرق، بل لو فرضنا صحّته لأخذ منه أیضا، حتی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عشرة إلّا ثلاثة و علم أنّ ذلک من القسم الثالث فهو أیضا حکمه کحکم المستغرق، فظهر أنّ ذلک لیس من ثمرات اللغویة، بل من ثمرات الإنکار بعد الإقرار 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أجاد فیما أفاد من عدم ظهور الثمرة فی شی‌ء من الصور المذکورة، إلّا أنّه قد فاته صورة اخری هی مورد الثمرة و هی صورة ورود الاستثناء المستوعب المفروض بطلانه محتملا لکلّ ما ذکره من قصد السخریّة أو الهذریة بمجموع الکلام الصحیح و الباطل، و من قصد الرجوع عن مضمون الصحیح بالاستثناء الباطل و محتملا لما لم یذکره من قصد السخریة أو الهذریة بالاستثناء الباطل دون مجموع الکلام، و من الواضح ظهور الاستثناء علی تقدیر بطلانه فی هذریة نفسه لا هذریة ما قبله من الکلام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بناء القوم و فتوی الفقهاء بالأخذ بمضمون الکلام الصحیح إذا تعقّبه الاستثناء الباطل مبنیّ علی ظهوره فی هذریّة نفسه، لا علی ظهوره فی الإنکار بعد الإقرار حتی یأتی بنائهم و فتواهم بذلک علی تقدیر صحّة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الخلاف فی الاستثناء الغیر المستوعب إذا زاد عن النصف أو ساواه فعلی أقوال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الأکثر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الفصول</w:t>
      </w:r>
      <w:r>
        <w:rPr>
          <w:rStyle w:val="FootnoteAnchor"/>
          <w:rtl w:val="true"/>
        </w:rPr>
        <w:footnoteReference w:id="482"/>
      </w:r>
      <w:r>
        <w:rPr>
          <w:rFonts w:ascii="IRNazanin" w:hAnsi="IRNazanin" w:eastAsia="IRNazanin"/>
          <w:color w:val="111111"/>
          <w:sz w:val="28"/>
          <w:sz w:val="28"/>
          <w:szCs w:val="28"/>
          <w:rtl w:val="true"/>
          <w:lang w:bidi="fa-IR"/>
        </w:rPr>
        <w:t>و الضوابط</w:t>
      </w:r>
      <w:r>
        <w:rPr>
          <w:rStyle w:val="FootnoteAnchor"/>
          <w:rtl w:val="true"/>
        </w:rPr>
        <w:footnoteReference w:id="483"/>
      </w:r>
      <w:r>
        <w:rPr>
          <w:rFonts w:ascii="Amiri" w:hAnsi="Amiri" w:eastAsia="Amiri" w:cs="Amiri"/>
          <w:color w:val="111111"/>
          <w:sz w:val="28"/>
          <w:sz w:val="28"/>
          <w:szCs w:val="28"/>
          <w:rtl w:val="true"/>
          <w:lang w:bidi="ar-SA"/>
        </w:rPr>
        <w:t xml:space="preserve">و استادنا العلّامة جوازه، </w:t>
      </w:r>
    </w:p>
    <w:p>
      <w:pPr>
        <w:pStyle w:val="BookText"/>
        <w:rPr/>
      </w:pPr>
      <w:r>
        <w:rPr>
          <w:rFonts w:ascii="IRNazanin" w:hAnsi="IRNazanin" w:eastAsia="IRNazanin"/>
          <w:color w:val="111111"/>
          <w:sz w:val="28"/>
          <w:sz w:val="28"/>
          <w:szCs w:val="28"/>
          <w:rtl w:val="true"/>
          <w:lang w:bidi="fa-IR"/>
        </w:rPr>
        <w:t>و عن الحنابلة و القاضی</w:t>
      </w:r>
      <w:r>
        <w:rPr>
          <w:rStyle w:val="FootnoteAnchor"/>
          <w:rtl w:val="true"/>
        </w:rPr>
        <w:footnoteReference w:id="484"/>
      </w:r>
      <w:r>
        <w:rPr>
          <w:rFonts w:ascii="IRNazanin" w:hAnsi="IRNazanin" w:eastAsia="IRNazanin"/>
          <w:color w:val="111111"/>
          <w:sz w:val="28"/>
          <w:sz w:val="28"/>
          <w:szCs w:val="28"/>
          <w:rtl w:val="true"/>
          <w:lang w:bidi="fa-IR"/>
        </w:rPr>
        <w:t>المنع فاعتبروا بقاء الأکثر، و عن المحقّق</w:t>
      </w:r>
      <w:r>
        <w:rPr>
          <w:rStyle w:val="FootnoteAnchor"/>
          <w:rtl w:val="true"/>
        </w:rPr>
        <w:footnoteReference w:id="485"/>
      </w:r>
      <w:r>
        <w:rPr>
          <w:rFonts w:ascii="IRNazanin" w:hAnsi="IRNazanin" w:eastAsia="IRNazanin"/>
          <w:color w:val="111111"/>
          <w:sz w:val="28"/>
          <w:sz w:val="28"/>
          <w:szCs w:val="28"/>
          <w:rtl w:val="true"/>
          <w:lang w:bidi="fa-IR"/>
        </w:rPr>
        <w:t>التفصیل بین ما لم ینتهی الکثرة إلی حدّ یقبح استثنائها عادة کعندی مائة إلّا تسعة و تسعین و نصف فیجوز، و بین غیره فلا یجوز، و فصّل القوانین</w:t>
      </w:r>
      <w:r>
        <w:rPr>
          <w:rStyle w:val="FootnoteAnchor"/>
          <w:rtl w:val="true"/>
        </w:rPr>
        <w:footnoteReference w:id="486"/>
      </w:r>
      <w:r>
        <w:rPr>
          <w:rFonts w:ascii="IRNazanin" w:hAnsi="IRNazanin" w:eastAsia="IRNazanin"/>
          <w:color w:val="111111"/>
          <w:sz w:val="28"/>
          <w:sz w:val="28"/>
          <w:szCs w:val="28"/>
          <w:rtl w:val="true"/>
          <w:lang w:bidi="fa-IR"/>
        </w:rPr>
        <w:t>حیث ذهب إلی جوازه مجازا و عدم جوازه حقیقة، إلی غیر ذلک من التفاصیل، و یشکل هاهنا بورود تناقضین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التناقض بین ما حکی عن الأکثر فی المبحث السابق من عدم جواز التخصیص بالأکثر، و فی هذا المبحث من جواز استثناء الأکثر، مع أنّ الاستثناء إمّا أخصّ مطلقا من مطلق التخصیص، أو أعمّ منه من وجه، فیلزم علی التقدیرین التناقض بین قولی المشهور فی مادّة اجتماع التخصیص و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التناقض بین قولی القوانین بعدم جواز التخصیص بالأکثر لا حقیقة و لا مجازا فی المبحث المتقدّم، و جواز استثناء الأکثر مجازا فی هذا المبحث مع عدّه البحثین بحثا واحدا و نسبته الغفلة إلی کلّ من أفرد لکلّ منهما بحثا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أمّا عن التناقض الثانی فبأنّ المراد من عدم جواز التخصیص بالأکثر و لو مجازا فی المبحث المتقدّم هو عدم جوازه مجازا بعلاقة العموم و الخصوص، لا عدم جوازه مطلقا، و المراد من جواز الاستثناء الأکثر فی هذا البحث هو جوازه بعلاقة المشابهة أو تنزیل الأکثر منزلة القلّة للمبالغة فی التحقیر، لا جوازه بعلاقة العموم و الخصوص حتی یناقض قوله هنا لما قاله هناک، و الدلیل علی أنّ مراده ذلک صریح تفسیره المجازیّة باستعمال الاستثناء بعلاقة مشابهة أو ادّعاء القلّة فیه للمبالغة فی التحقیر و إن کان کثیرا و نحو ذلک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التناقض الأوّل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القوانین من منع صحّة ما </w:t>
      </w:r>
    </w:p>
    <w:p>
      <w:pPr>
        <w:pStyle w:val="BookText"/>
        <w:rPr/>
      </w:pPr>
      <w:r>
        <w:rPr>
          <w:rFonts w:ascii="IRNazanin" w:hAnsi="IRNazanin" w:eastAsia="IRNazanin"/>
          <w:color w:val="111111"/>
          <w:sz w:val="28"/>
          <w:sz w:val="28"/>
          <w:szCs w:val="28"/>
          <w:rtl w:val="true"/>
          <w:lang w:bidi="fa-IR"/>
        </w:rPr>
        <w:t>نقلوه عن الأکثر فی أحد الموضعین، لوقوعه فی کلام البعض حیث حمل نسبة أحد القولین المتعاکسین فی بحث التخصیص و الاستثناء إلی المشهور علی السهو و الغفلة، و لکنّه بعید، سیّما إذا کان الناسب و الناقل جماعة کالعلّامة و الحاجبی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الفصول</w:t>
      </w:r>
      <w:r>
        <w:rPr>
          <w:rStyle w:val="FootnoteAnchor"/>
          <w:rtl w:val="true"/>
        </w:rPr>
        <w:footnoteReference w:id="487"/>
      </w:r>
      <w:r>
        <w:rPr>
          <w:rFonts w:ascii="IRNazanin" w:hAnsi="IRNazanin" w:eastAsia="IRNazanin"/>
          <w:color w:val="111111"/>
          <w:sz w:val="28"/>
          <w:sz w:val="28"/>
          <w:szCs w:val="28"/>
          <w:rtl w:val="true"/>
          <w:lang w:bidi="fa-IR"/>
        </w:rPr>
        <w:t>من تلفیق المشهور فی المسألتین بجعل کلّ مشهور سوی الآخر بواسطة اعتبار الأکثریة فی کلّ من المسألتین أکثر بالنسبة إلی القائلین بآحاد بقیّة الأقوال دون المجموع، و هو بعید أیضا، لارتکاب التأویل فی المسألتین بالنسبة إلی الطائفتین من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المناهج</w:t>
      </w:r>
      <w:r>
        <w:rPr>
          <w:rStyle w:val="FootnoteAnchor"/>
          <w:rtl w:val="true"/>
        </w:rPr>
        <w:footnoteReference w:id="488"/>
      </w:r>
      <w:r>
        <w:rPr>
          <w:rFonts w:ascii="IRNazanin" w:hAnsi="IRNazanin" w:eastAsia="IRNazanin"/>
          <w:color w:val="111111"/>
          <w:sz w:val="28"/>
          <w:sz w:val="28"/>
          <w:szCs w:val="28"/>
          <w:rtl w:val="true"/>
          <w:lang w:bidi="fa-IR"/>
        </w:rPr>
        <w:t>من أنّ النزاع فی المسألة المتقدّمة فی تخصیص العمومات الأفرادیة کأکرم العلماء و نحوه، و فی مسألة الاستثناء فی تخصیص العمومات المجموعیة کعندی عشرة إلّا کذا و أکلت الرغیف إلّا کذا و نحوه، فبین موضوع المسألتین تباین کلّی لا تساو حتی یستشکل من تباین حکمیهما، و یبعده أیضا تمثیلهم فی کلّ من المسألتین بکلّ من العمومین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النزاع فی المسألة المتقدّمة فی غیر الاستثناء من المخصّصات، و یبعده أیضا تمثیلهم فیها بالاستثناء و وجود القول فیها بالتفصیل بین الاستثناء و غیره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النزاع فی المسألة السابقة فی التخصیص بمعنی استعمال العامّ فی الخاص، و فی مسألة الاستثناء فی التخصیص بمعنی قصر حکم العامّ، و هو من أقرب وجوه الفرق بین المسألتین الذی استقربه الفصول</w:t>
      </w:r>
      <w:r>
        <w:rPr>
          <w:rStyle w:val="FootnoteAnchor"/>
          <w:rtl w:val="true"/>
        </w:rPr>
        <w:footnoteReference w:id="489"/>
      </w:r>
      <w:r>
        <w:rPr>
          <w:rFonts w:ascii="IRNazanin" w:hAnsi="IRNazanin" w:eastAsia="IRNazanin"/>
          <w:color w:val="111111"/>
          <w:sz w:val="28"/>
          <w:sz w:val="28"/>
          <w:szCs w:val="28"/>
          <w:rtl w:val="true"/>
          <w:lang w:bidi="fa-IR"/>
        </w:rPr>
        <w:t xml:space="preserve">و استادنا العلّامة فی دفع التناقض، لخلوّه عن شوائب البعد، و منه یستقرب و یستظهر موافقنا المشهور فی </w:t>
      </w:r>
    </w:p>
    <w:p>
      <w:pPr>
        <w:pStyle w:val="BookText"/>
        <w:rPr/>
      </w:pPr>
      <w:r>
        <w:rPr>
          <w:rFonts w:ascii="IRNazanin" w:hAnsi="IRNazanin" w:eastAsia="IRNazanin"/>
          <w:color w:val="111111"/>
          <w:sz w:val="28"/>
          <w:sz w:val="28"/>
          <w:szCs w:val="28"/>
          <w:rtl w:val="true"/>
          <w:lang w:bidi="fa-IR"/>
        </w:rPr>
        <w:t>عدم جواز التخصیص بالأکثر فی المسألة السابقة و جواز الاستثناء الأکثر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الاستظهار ما عرفته من أنّ علاقة العموم و الخصوص المبتنی علیه استعمال العامّ فی الخاصّ الذی هو محلّ النزاع فی المسألة السابقة أمر توقیفی لم یثبت رخصة الواضع إلّا فی صنف منه و هو بقاء جمع یقرب من مدلول العامّ، بخلاف علاقة التنزیل المبتنی علیه قصر حکم العامّ علی الخاص الذی هو محلّ النزاع فی مسألة الاستثناء، فانه تصرّف عقلی ذمامه فی ید العاقل فیجوز له بواسطته قصر حکم العامّ علی الخاصّ إلی ما شاء حتی یبقی واحد، کما یشهد علیه وقوعه کذلک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عِبادِی لَیْسَ لَکَ عَلَیْهِمْ سُلْطانٌ إِلَّا مَنِ اتَّبَعَکَ مِنَ الْغاوِینَ</w:t>
      </w:r>
      <w:r>
        <w:rPr>
          <w:rStyle w:val="FootnoteAnchor"/>
          <w:rtl w:val="true"/>
        </w:rPr>
        <w:footnoteReference w:id="490"/>
      </w:r>
      <w:r>
        <w:rPr>
          <w:rFonts w:ascii="IRNazanin" w:hAnsi="IRNazanin" w:eastAsia="IRNazanin"/>
          <w:color w:val="111111"/>
          <w:sz w:val="28"/>
          <w:sz w:val="28"/>
          <w:szCs w:val="28"/>
          <w:rtl w:val="true"/>
          <w:lang w:bidi="fa-IR"/>
        </w:rPr>
        <w:t>و قوله تعالی فی 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آدم کلّکم جائع إلّا من أطعمته</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الباقی فی کلّ منهما أقلّ بالعیان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فمحسوس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الثانی فلقوله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أَکْثَرُ النَّاسِ وَ لَوْ حَرَصْتَ بِمُؤْمِنِینَ</w:t>
      </w:r>
      <w:r>
        <w:rPr>
          <w:rStyle w:val="FootnoteAnchor"/>
          <w:rtl w:val="true"/>
        </w:rPr>
        <w:footnoteReference w:id="492"/>
      </w:r>
      <w:r>
        <w:rPr>
          <w:rFonts w:ascii="IRNazanin" w:hAnsi="IRNazanin" w:eastAsia="IRNazanin"/>
          <w:color w:val="111111"/>
          <w:sz w:val="28"/>
          <w:sz w:val="28"/>
          <w:szCs w:val="28"/>
          <w:rtl w:val="true"/>
          <w:lang w:bidi="fa-IR"/>
        </w:rPr>
        <w:t>و إطباق العلماء علی أنّ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عشرة إلّا تسعة لم یلزم إلّا بواحد، و ذلک دلیل علی صحّته، إذ لو ألغوه لألزموه بتمام العشرة کما فی الاستثناء المستوعب</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أجبنا به عن دلالة تلک الشواهد علی جواز التخصیص بالأکثر فی المبحث السابق من التأویل و الخروج عن الظاهر فلا ینهض جوابا عن دلالتها علی </w:t>
      </w:r>
      <w:bookmarkStart w:id="303" w:name="pg12880_153440"/>
    </w:p>
    <w:p>
      <w:pPr>
        <w:pStyle w:val="BookText"/>
        <w:rPr/>
      </w:pPr>
      <w:bookmarkEnd w:id="303"/>
      <w:r>
        <w:rPr>
          <w:rFonts w:ascii="IRNazanin" w:hAnsi="IRNazanin" w:eastAsia="IRNazanin"/>
          <w:color w:val="111111"/>
          <w:sz w:val="28"/>
          <w:sz w:val="28"/>
          <w:szCs w:val="28"/>
          <w:rtl w:val="true"/>
          <w:lang w:bidi="fa-IR"/>
        </w:rPr>
        <w:t>جواز استثناء الأکثر فی هذا المبحث، و ذلک لقیام الدلیل الملزم للتأویل فی ذلک المبحث دون هذا المبحث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4"/>
        <w:numPr>
          <w:ilvl w:val="3"/>
          <w:numId w:val="1"/>
        </w:numPr>
        <w:rPr/>
      </w:pPr>
      <w:bookmarkStart w:id="304" w:name="__RefHeading___Toc2986515_3224264995"/>
      <w:bookmarkStart w:id="305" w:name="_Toc116"/>
      <w:bookmarkEnd w:id="304"/>
      <w:r>
        <w:rPr>
          <w:rtl w:val="true"/>
        </w:rPr>
        <w:t>[</w:t>
      </w:r>
      <w:r>
        <w:rPr>
          <w:rtl w:val="true"/>
        </w:rPr>
        <w:t>المقدّمة الرابعة</w:t>
      </w:r>
      <w:r>
        <w:rPr>
          <w:rtl w:val="true"/>
        </w:rPr>
        <w:t xml:space="preserve">: </w:t>
      </w:r>
      <w:r>
        <w:rPr>
          <w:rtl w:val="true"/>
        </w:rPr>
        <w:t>هل النزاع مختصّ بالقائلین بوضع الألفاظ</w:t>
      </w:r>
      <w:r>
        <w:rPr>
          <w:rtl w:val="true"/>
        </w:rPr>
        <w:t>]</w:t>
      </w:r>
      <w:bookmarkEnd w:id="305"/>
    </w:p>
    <w:p>
      <w:pPr>
        <w:pStyle w:val="BookText"/>
        <w:rPr/>
      </w:pPr>
      <w:r>
        <w:rPr>
          <w:rFonts w:ascii="IRNazanin" w:hAnsi="IRNazanin" w:eastAsia="IRNazanin"/>
          <w:color w:val="111111"/>
          <w:sz w:val="28"/>
          <w:sz w:val="28"/>
          <w:szCs w:val="28"/>
          <w:rtl w:val="true"/>
          <w:lang w:bidi="fa-IR"/>
        </w:rPr>
        <w:t>للعموم فقط، أم یعمّهم و القائلین بالاشتراک أو الوضع للخصوص؟ وجوه، کاحتمال کون النزاع صغرویّا أم کبرویّا أم فیهما، و کونه فیما عدا الاستثناء، أو فی الأعمّ، منه و فی لفظ العام أو فی الهیئة الترکیبیّة و إن کان ظاهر العنوان کونه فی خصوص لفظ العامّ لا غیر</w:t>
      </w:r>
      <w:r>
        <w:rPr>
          <w:rFonts w:eastAsia="IRNazanin" w:cs="IRNazanin"/>
          <w:color w:val="111111"/>
          <w:sz w:val="28"/>
          <w:szCs w:val="28"/>
          <w:rtl w:val="true"/>
          <w:lang w:bidi="fa-IR"/>
        </w:rPr>
        <w:t>.</w:t>
      </w:r>
    </w:p>
    <w:p>
      <w:pPr>
        <w:pStyle w:val="Heading4"/>
        <w:numPr>
          <w:ilvl w:val="3"/>
          <w:numId w:val="1"/>
        </w:numPr>
        <w:rPr/>
      </w:pPr>
      <w:bookmarkStart w:id="306" w:name="__RefHeading___Toc2986517_3224264995"/>
      <w:bookmarkStart w:id="307" w:name="_Toc117"/>
      <w:bookmarkEnd w:id="306"/>
      <w:r>
        <w:rPr>
          <w:rtl w:val="true"/>
        </w:rPr>
        <w:t>[</w:t>
      </w:r>
      <w:r>
        <w:rPr>
          <w:rtl w:val="true"/>
        </w:rPr>
        <w:t>المقدّمة الخامسة</w:t>
      </w:r>
      <w:r>
        <w:rPr>
          <w:rtl w:val="true"/>
        </w:rPr>
        <w:t xml:space="preserve">: </w:t>
      </w:r>
      <w:r>
        <w:rPr>
          <w:rtl w:val="true"/>
        </w:rPr>
        <w:t>فی تأسیس الأصل العملی و اللفظی</w:t>
      </w:r>
      <w:r>
        <w:rPr>
          <w:rtl w:val="true"/>
        </w:rPr>
        <w:t>]</w:t>
      </w:r>
      <w:bookmarkEnd w:id="30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کون النزاع صغرویا و من حیث کونه کبرویا،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النزاع صغرویّا بمعنی أن یکون النزاع فی أنّ المستعمل فیه هو الجمیع حتّی یکون حقیقة أو الباقی حتی یکون مجازا فالأصل العملی مع المجازیة، لما فی الحقیقیة المبتنیة علی استعمال العامّ فی الجمیع إمّا من الوضع الزائد علی الوضع الأفرادی کما هو لازم مقالة القاضی فی دفع التناقض و الأصل عدمه، أو من الإرادة الزائدة علی الإرادة المقصودة بالذات کما هو لازم قول العلّامة</w:t>
      </w:r>
      <w:r>
        <w:rPr>
          <w:rStyle w:val="FootnoteAnchor"/>
          <w:rtl w:val="true"/>
        </w:rPr>
        <w:footnoteReference w:id="493"/>
      </w:r>
      <w:r>
        <w:rPr>
          <w:rFonts w:ascii="IRNazanin" w:hAnsi="IRNazanin" w:eastAsia="IRNazanin"/>
          <w:color w:val="111111"/>
          <w:sz w:val="28"/>
          <w:sz w:val="28"/>
          <w:szCs w:val="28"/>
          <w:rtl w:val="true"/>
          <w:lang w:bidi="fa-IR"/>
        </w:rPr>
        <w:t>و صاحب الفصول</w:t>
      </w:r>
      <w:r>
        <w:rPr>
          <w:rStyle w:val="FootnoteAnchor"/>
          <w:rtl w:val="true"/>
        </w:rPr>
        <w:footnoteReference w:id="494"/>
      </w:r>
      <w:r>
        <w:rPr>
          <w:rFonts w:ascii="IRNazanin" w:hAnsi="IRNazanin" w:eastAsia="IRNazanin"/>
          <w:color w:val="111111"/>
          <w:sz w:val="28"/>
          <w:sz w:val="28"/>
          <w:szCs w:val="28"/>
          <w:rtl w:val="true"/>
          <w:lang w:bidi="fa-IR"/>
        </w:rPr>
        <w:t>فی دفع التناقض، و الأصل عدمه، إلّا أنّ أصالة عدم الإرادة الزائدة لا تثبت المجازیة، لاستناده إلی محض التعبّد و لیس ناظرا إلی الواقع، فلا یثبت ما یترتّب علیه من الآثار الغیر الشرعیة، بخلاف أصالة عدم الوضع، فإنّه مستند إلی الغلبة و ناظر إلی الواقع، فیثبت مطلق ما یترتّب علیه و لو کان من الآثار العقلیة و العادیة، هذا کلّه فی الأصل العملی</w:t>
      </w:r>
      <w:r>
        <w:rPr>
          <w:rFonts w:eastAsia="IRNazanin" w:cs="IRNazanin"/>
          <w:color w:val="111111"/>
          <w:sz w:val="28"/>
          <w:szCs w:val="28"/>
          <w:rtl w:val="true"/>
          <w:lang w:bidi="fa-IR"/>
        </w:rPr>
        <w:t xml:space="preserve">. </w:t>
      </w:r>
      <w:bookmarkStart w:id="308" w:name="pg12880_153441"/>
    </w:p>
    <w:p>
      <w:pPr>
        <w:pStyle w:val="BookText"/>
        <w:rPr/>
      </w:pPr>
      <w:bookmarkEnd w:id="308"/>
      <w:r>
        <w:rPr>
          <w:rFonts w:ascii="IRNazanin" w:hAnsi="IRNazanin" w:eastAsia="IRNazanin"/>
          <w:color w:val="111111"/>
          <w:sz w:val="28"/>
          <w:sz w:val="28"/>
          <w:szCs w:val="28"/>
          <w:rtl w:val="true"/>
          <w:lang w:bidi="fa-IR"/>
        </w:rPr>
        <w:t>و أمّا الأصل اللفظی و هو غلبة المجاز فی الإسناد اللازم لقول العلّامة و صاحب الفصول من المجاز فی اللفظ اللازم لقول المشهور فی دفع التناقض فمع الحقیقة، هذا إذا کان النزاع صغرویا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کبرویّا بمعنی أنّ النزاع فی مجازیّة العامّ المخصّص و حقیقیته مع کون المستعمل فیه هو الجمیع، فتفصیله أنّ القول بالحقیقة فی الباقی کالحقیقة فی العام إن فرض بطریق الاشتراک اللفظی کما هو لازم قول القاضی فالأصل مع المجازیّة، لمرجوحیة الاشتراک اللفظی، و إن فرض بطریق الاشتراک المعنوی فالأصل مع الحقیقة، لأغلبیّة الاشتراک المعنوی من المجاز</w:t>
      </w:r>
      <w:r>
        <w:rPr>
          <w:rFonts w:eastAsia="IRNazanin" w:cs="IRNazanin"/>
          <w:color w:val="111111"/>
          <w:sz w:val="28"/>
          <w:szCs w:val="28"/>
          <w:rtl w:val="true"/>
          <w:lang w:bidi="fa-IR"/>
        </w:rPr>
        <w:t>.</w:t>
      </w:r>
    </w:p>
    <w:p>
      <w:pPr>
        <w:pStyle w:val="Heading4"/>
        <w:numPr>
          <w:ilvl w:val="3"/>
          <w:numId w:val="1"/>
        </w:numPr>
        <w:rPr/>
      </w:pPr>
      <w:bookmarkStart w:id="309" w:name="__RefHeading___Toc2986519_3224264995"/>
      <w:bookmarkStart w:id="310" w:name="_Toc118"/>
      <w:bookmarkEnd w:id="309"/>
      <w:r>
        <w:rPr>
          <w:rtl w:val="true"/>
        </w:rPr>
        <w:t>[</w:t>
      </w:r>
      <w:r>
        <w:rPr>
          <w:rtl w:val="true"/>
        </w:rPr>
        <w:t>المقدمة السادسة</w:t>
      </w:r>
      <w:r>
        <w:rPr>
          <w:rtl w:val="true"/>
        </w:rPr>
        <w:t xml:space="preserve">: </w:t>
      </w:r>
      <w:r>
        <w:rPr>
          <w:rtl w:val="true"/>
        </w:rPr>
        <w:t>ثمرة النزاع</w:t>
      </w:r>
      <w:r>
        <w:rPr>
          <w:rtl w:val="true"/>
        </w:rPr>
        <w:t>]</w:t>
      </w:r>
      <w:bookmarkEnd w:id="31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تظهر فی موارد قد تصدّی الضوابط</w:t>
      </w:r>
      <w:r>
        <w:rPr>
          <w:rStyle w:val="FootnoteAnchor"/>
          <w:rtl w:val="true"/>
        </w:rPr>
        <w:footnoteReference w:id="495"/>
      </w:r>
      <w:r>
        <w:rPr>
          <w:rFonts w:ascii="IRNazanin" w:hAnsi="IRNazanin" w:eastAsia="IRNazanin"/>
          <w:color w:val="111111"/>
          <w:sz w:val="28"/>
          <w:sz w:val="28"/>
          <w:szCs w:val="28"/>
          <w:rtl w:val="true"/>
          <w:lang w:bidi="fa-IR"/>
        </w:rPr>
        <w:t>لارتسامها و ارتسام ما فی بعضها بما فیه الکفایة بل الزیادة علی ما اقتبسناه من تقریر الاستاد فی المقام فلیراجع</w:t>
      </w:r>
      <w:r>
        <w:rPr>
          <w:rFonts w:eastAsia="IRNazanin" w:cs="IRNazanin"/>
          <w:color w:val="111111"/>
          <w:sz w:val="28"/>
          <w:szCs w:val="28"/>
          <w:rtl w:val="true"/>
          <w:lang w:bidi="fa-IR"/>
        </w:rPr>
        <w:t xml:space="preserve">. </w:t>
      </w:r>
      <w:bookmarkStart w:id="311" w:name="pg12880_153442"/>
    </w:p>
    <w:p>
      <w:pPr>
        <w:pStyle w:val="Heading3"/>
        <w:numPr>
          <w:ilvl w:val="2"/>
          <w:numId w:val="1"/>
        </w:numPr>
        <w:rPr/>
      </w:pPr>
      <w:bookmarkStart w:id="312" w:name="__RefHeading___Toc2986521_3224264995"/>
      <w:bookmarkStart w:id="313" w:name="_Toc119"/>
      <w:bookmarkEnd w:id="311"/>
      <w:bookmarkEnd w:id="312"/>
      <w:r>
        <w:rPr>
          <w:rtl w:val="true"/>
        </w:rPr>
        <w:t>[</w:t>
      </w:r>
      <w:r>
        <w:rPr>
          <w:rtl w:val="true"/>
        </w:rPr>
        <w:t>أصل اختلفوا فی حجیّة العامّ المخصّص علی أقوال</w:t>
      </w:r>
      <w:r>
        <w:rPr>
          <w:rtl w:val="true"/>
        </w:rPr>
        <w:t>]</w:t>
      </w:r>
      <w:bookmarkEnd w:id="313"/>
    </w:p>
    <w:p>
      <w:pPr>
        <w:pStyle w:val="Heading4"/>
        <w:numPr>
          <w:ilvl w:val="3"/>
          <w:numId w:val="1"/>
        </w:numPr>
        <w:rPr/>
      </w:pPr>
      <w:bookmarkStart w:id="314" w:name="__RefHeading___Toc2986523_3224264995"/>
      <w:bookmarkStart w:id="315" w:name="_Toc120"/>
      <w:bookmarkEnd w:id="314"/>
      <w:r>
        <w:rPr>
          <w:rtl w:val="true"/>
        </w:rPr>
        <w:t>اشارة</w:t>
      </w:r>
      <w:bookmarkEnd w:id="315"/>
    </w:p>
    <w:p>
      <w:pPr>
        <w:pStyle w:val="BookText"/>
        <w:rPr/>
      </w:pPr>
      <w:r>
        <w:rPr>
          <w:rFonts w:ascii="IRNazanin" w:hAnsi="IRNazanin" w:eastAsia="IRNazanin"/>
          <w:color w:val="111111"/>
          <w:sz w:val="28"/>
          <w:sz w:val="28"/>
          <w:szCs w:val="28"/>
          <w:rtl w:val="true"/>
          <w:lang w:bidi="fa-IR"/>
        </w:rPr>
        <w:t>، و لا بدّ أن یعلم أوّلا أنّ المراد من حجّیة العامّ المخصّص لیس اعتبار عمومه مطلقا علی وجه لو لم یخصّص أصلا، فإنّ حجیة العام بهذا المعنی مختصّ بما إذا تعیّن عموم العام و شکّ فی أصل وجود التخصیص أو مخصّصیة الشی‌ء الموجود أو وجود تخصیص آخر أو مخصّصیة موجود آخر، کما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لا تکرم زیدا، و اشتبه زید بین جاهل لو حمل علیه سلم العموم عن التخصیص، و بین عالم لو حمل علیه خصّ العام، بل المراد من حجّیة العام المخصّص اعتبار العموم و جواز العمل به حتّی یبقی مسمّی التخصیص المفروض تطرّقه علی العامّ کالواحد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إلّا بعضهم، و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اکرم العلماء الّا جماعة منهم، و من عدم حجیة عدم اعتباره أصلا و الرجوع إلی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العامّ المخصّص إمّا مخصص بمجمل أو بمبیّن، أمّا المخصّص بالمجمل إمّا مجمل بالنسبة إلی جمیع أفراد العامّ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المشرکین إلّا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مجمل بالنسبة إلی بعض أفراد العامّ و مبیّن بالنسبة إلی آخر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المشرکین إلّا بعض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إجمال بالنسبة إلی ما عدا الیهود من أفراد المشرکین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کلّ منهما إمّا مجمل قدرا و شخصا کهذا العام مخصّص،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یُتْلی عَلَیْکُمْ</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 xml:space="preserve">أو قدرا لا شخصا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کلّ من فی الدار إلّا 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المقدار مخیّرا من حیث الأشخاص، أو شخصا لا قدرا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اقتل من </w:t>
      </w:r>
    </w:p>
    <w:p>
      <w:pPr>
        <w:pStyle w:val="BookText"/>
        <w:rPr/>
      </w:pPr>
      <w:r>
        <w:rPr>
          <w:rFonts w:ascii="IRNazanin" w:hAnsi="IRNazanin" w:eastAsia="IRNazanin"/>
          <w:color w:val="111111"/>
          <w:sz w:val="28"/>
          <w:sz w:val="28"/>
          <w:szCs w:val="28"/>
          <w:rtl w:val="true"/>
          <w:lang w:bidi="fa-IR"/>
        </w:rPr>
        <w:t>فی الدار الّا خمسة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دار الإجمال بین الأقلّ و الأکثر و الأقلّ داخل تحت الأکثر فهو مقداری، و إلّا فهو شخصیّ، سواء دار بین المتباینین، کدورانه بین زید و عمرو، أم دار بین الأقلّ و الأکثر، و الأقل غیر داخل تحت الأکثر، کدورانه بین زید و بین عمرو 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من هذه الأقسام الستّة إمّا أن یکون الإجمال فی مفهوم المخصّص و المراد منه، أو فی موضوعه و مصداقه، و علی کلّ من هذه الأقسام الاثنی عشر إمّا أن یکون التخصیص بالمستقلّ أو بغیر المستقلّ کأحد المخصّصات الخمسة المتّصلة من الشرط و الوصف و الغایة و الاستثناء و بدل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أقسام التخصیص بالمجمل فاعلم أنّ الأظهر عدم حجّیة العامّ المخصّص بالمجمل فی شی‌ء من أقسامه الأربعة و العشرین، وفاقا لإطلاق المعالم</w:t>
      </w:r>
      <w:r>
        <w:rPr>
          <w:rStyle w:val="FootnoteAnchor"/>
          <w:rtl w:val="true"/>
        </w:rPr>
        <w:footnoteReference w:id="497"/>
      </w:r>
      <w:r>
        <w:rPr>
          <w:rFonts w:ascii="IRNazanin" w:hAnsi="IRNazanin" w:eastAsia="IRNazanin"/>
          <w:color w:val="111111"/>
          <w:sz w:val="28"/>
          <w:sz w:val="28"/>
          <w:szCs w:val="28"/>
          <w:rtl w:val="true"/>
          <w:lang w:bidi="fa-IR"/>
        </w:rPr>
        <w:t>و القوانین</w:t>
      </w:r>
      <w:r>
        <w:rPr>
          <w:rStyle w:val="FootnoteAnchor"/>
          <w:rtl w:val="true"/>
        </w:rPr>
        <w:footnoteReference w:id="498"/>
      </w:r>
      <w:r>
        <w:rPr>
          <w:rFonts w:ascii="IRNazanin" w:hAnsi="IRNazanin" w:eastAsia="IRNazanin"/>
          <w:color w:val="111111"/>
          <w:sz w:val="28"/>
          <w:sz w:val="28"/>
          <w:szCs w:val="28"/>
          <w:rtl w:val="true"/>
          <w:lang w:bidi="fa-IR"/>
        </w:rPr>
        <w:t>و الضوابط</w:t>
      </w:r>
      <w:r>
        <w:rPr>
          <w:rStyle w:val="FootnoteAnchor"/>
          <w:rtl w:val="true"/>
        </w:rPr>
        <w:footnoteReference w:id="499"/>
      </w:r>
      <w:r>
        <w:rPr>
          <w:rFonts w:ascii="IRNazanin" w:hAnsi="IRNazanin" w:eastAsia="IRNazanin"/>
          <w:color w:val="111111"/>
          <w:sz w:val="28"/>
          <w:sz w:val="28"/>
          <w:szCs w:val="28"/>
          <w:rtl w:val="true"/>
          <w:lang w:bidi="fa-IR"/>
        </w:rPr>
        <w:t>و الإشارات</w:t>
      </w:r>
      <w:r>
        <w:rPr>
          <w:rStyle w:val="FootnoteAnchor"/>
          <w:rtl w:val="true"/>
        </w:rPr>
        <w:footnoteReference w:id="500"/>
      </w:r>
      <w:r>
        <w:rPr>
          <w:rFonts w:ascii="IRNazanin" w:hAnsi="IRNazanin" w:eastAsia="IRNazanin"/>
          <w:color w:val="111111"/>
          <w:sz w:val="28"/>
          <w:sz w:val="28"/>
          <w:szCs w:val="28"/>
          <w:rtl w:val="true"/>
          <w:lang w:bidi="fa-IR"/>
        </w:rPr>
        <w:t>، بل لإطلاق دعوی الوفاق علیه فی الهدایة</w:t>
      </w:r>
      <w:r>
        <w:rPr>
          <w:rStyle w:val="FootnoteAnchor"/>
          <w:rtl w:val="true"/>
        </w:rPr>
        <w:footnoteReference w:id="501"/>
      </w:r>
      <w:r>
        <w:rPr>
          <w:rFonts w:ascii="IRNazanin" w:hAnsi="IRNazanin" w:eastAsia="IRNazanin"/>
          <w:color w:val="111111"/>
          <w:sz w:val="28"/>
          <w:sz w:val="28"/>
          <w:szCs w:val="28"/>
          <w:rtl w:val="true"/>
          <w:lang w:bidi="fa-IR"/>
        </w:rPr>
        <w:t>و الفصول</w:t>
      </w:r>
      <w:r>
        <w:rPr>
          <w:rStyle w:val="FootnoteAnchor"/>
          <w:rtl w:val="true"/>
        </w:rPr>
        <w:footnoteReference w:id="502"/>
      </w:r>
      <w:r>
        <w:rPr>
          <w:rFonts w:ascii="IRNazanin" w:hAnsi="IRNazanin" w:eastAsia="IRNazanin"/>
          <w:color w:val="111111"/>
          <w:sz w:val="28"/>
          <w:sz w:val="28"/>
          <w:szCs w:val="28"/>
          <w:rtl w:val="true"/>
          <w:lang w:bidi="fa-IR"/>
        </w:rPr>
        <w:t>و الإشارات</w:t>
      </w:r>
      <w:r>
        <w:rPr>
          <w:rStyle w:val="FootnoteAnchor"/>
          <w:rtl w:val="true"/>
        </w:rPr>
        <w:footnoteReference w:id="503"/>
      </w:r>
      <w:r>
        <w:rPr>
          <w:rFonts w:ascii="IRNazanin" w:hAnsi="IRNazanin" w:eastAsia="IRNazanin"/>
          <w:color w:val="111111"/>
          <w:sz w:val="28"/>
          <w:sz w:val="28"/>
          <w:szCs w:val="28"/>
          <w:rtl w:val="true"/>
          <w:lang w:bidi="fa-IR"/>
        </w:rPr>
        <w:t>تبعا لحکایته عن جماعة من الفحول،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 لتنصیص الاستاد علی ما عدا صورة الإجمال الحکمی الدائر بین الأقلّ و الأکثر و اعتمادا علی ما قرّرناه من أنّ اعتبار ظواهر الألفاظ إنّما هو من باب الظنّ بالمراد، لا صرف التعبّد، و بعد طروّ التخصیص بأیّ قسم من أقسام المجمل </w:t>
      </w:r>
    </w:p>
    <w:p>
      <w:pPr>
        <w:pStyle w:val="BookText"/>
        <w:rPr/>
      </w:pPr>
      <w:r>
        <w:rPr>
          <w:rFonts w:ascii="IRNazanin" w:hAnsi="IRNazanin" w:eastAsia="IRNazanin"/>
          <w:color w:val="111111"/>
          <w:sz w:val="28"/>
          <w:sz w:val="28"/>
          <w:szCs w:val="28"/>
          <w:rtl w:val="true"/>
          <w:lang w:bidi="fa-IR"/>
        </w:rPr>
        <w:t>لم یبق ظن و لا وثوق بإرادة الظهور البتّة و حذرا من القبح أو الترجیح بلا مرجّح لولاه، فإنّ اعتبار العموم و رفع الإجمال منحصر فی حمل المجمل علی جمیع معانیه أو علی بعض دون بعض مع تساوی نسبة کلّ فرد بالنسبة إلی المخرج و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حکاه فی المناهج</w:t>
      </w:r>
      <w:r>
        <w:rPr>
          <w:rStyle w:val="FootnoteAnchor"/>
          <w:rtl w:val="true"/>
        </w:rPr>
        <w:footnoteReference w:id="504"/>
      </w:r>
      <w:r>
        <w:rPr>
          <w:rFonts w:ascii="IRNazanin" w:hAnsi="IRNazanin" w:eastAsia="IRNazanin"/>
          <w:color w:val="111111"/>
          <w:sz w:val="28"/>
          <w:sz w:val="28"/>
          <w:szCs w:val="28"/>
          <w:rtl w:val="true"/>
          <w:lang w:bidi="fa-IR"/>
        </w:rPr>
        <w:t>من نسبة القول بحجّیة العامّ المخصّص بالمجمل من جمیع الوجوه إلی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کذب هذه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مستند سوی البناء علی اعتبار العموم و الظهور من باب التعبّد الصرف، و هو کما تری کاف فی الشناعة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حکاه فی الإشارات عن بعض و عثرنا علیه فی تقاریر بعض السادة من أساتید عصرنا من اختیار الحجّیة فی المنفصل لسقوط المخصّص عن الحجّیة لإجماله فیستصحب عموم العامّ لحصوله فی کلام مستقلّ و عدمها فی المتصل، لأنّه مع العامّ بمنزلة کلام واحد، فیسری جهالة الجزء إلی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التفرقة بإجراء الأصل و عدمه بین التخصیص المستقلّ و غیر المستقلّ بعد فرض مطلق التخصیص مفسّرا للعامّ تحکّم بحت، لأنّ الشکّ الناشئ عن المخصّص بعد فرضه مفسّرا شکّ فی الحادث لا الحدوث، و الأصل فی الشک فی الحادث لا یعتبر عند العقلاء، بل لا مجری له، لمعارضته بالمثل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التفرقة المذکورة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العموم و إمکان استصحابه فی التخصیص المستقلّ و عدمه فی التخصیص الغیر المستقلّ، إلّا أنّه فرق غیر مجد، ضرورة أنّ المترتّب علی استصحاب هذا العموم هو عدم تخصیصه بأزید من المتیقّن، لا أثر شرعی بلا واسطة الغیر حتی یکون معتبرا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المذکور بینهما علی تقدیر تسلیمه فهو من الاستصحابات المثبتة التی لیست حجّة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استصحاب العموم من الاستصحابات المثبتة أو لیس بحجّة لما اعتمد علیه الکلّ فی نفی التخصیص و نفی القرینة إذا کان الشک فی أصل وجود التخصیص أو فی مخصّصیة الشی‌ء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الکلّ علی الأصل فیما ذکر لیس من جهة التعبّد، بل إنّما هو من جهة رجوعه إلی ما یفید الظنّ من الغلبة، أو قبح الإغراء بالجهل و تأخیر البیان عن وقت الحاجة، أو نحو ذلک ممّا لا یرجع إلیه الأصل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استصوبه صاحب المناهج</w:t>
      </w:r>
      <w:r>
        <w:rPr>
          <w:rStyle w:val="FootnoteAnchor"/>
          <w:rtl w:val="true"/>
        </w:rPr>
        <w:footnoteReference w:id="505"/>
      </w:r>
      <w:r>
        <w:rPr>
          <w:rFonts w:ascii="IRNazanin" w:hAnsi="IRNazanin" w:eastAsia="IRNazanin"/>
          <w:color w:val="111111"/>
          <w:sz w:val="28"/>
          <w:sz w:val="28"/>
          <w:szCs w:val="28"/>
          <w:rtl w:val="true"/>
          <w:lang w:bidi="fa-IR"/>
        </w:rPr>
        <w:t>من الحجیّة فی غیر المستقلّ و عدمها فی المستقلّ علی عکس التفصیل السابق فمستند إلی مقدّمتین، صغراهما أنّ العامّ المخصّص بغیر المستقلّ مستعمل فی الجمیع حقیقة، و بالمستقلّ مستعمل فی الباقی مجازا، و کبراهما جریان استصحاب العموم و أصالة عدم خروج ما لم یعلم خروجه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الصغری، إذ لا دلیل علیه لا لفظا و لا عقلا، بل لا قائل به سواه ظاهرا، إذ قد عرفت أنّ أقوال دفع شبهة التناقض فی الاستثناء کلّها مطلقة لا مفصّل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الکبری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ارید من استعمال العامّ فی الجمیع حقیقة إرادة الجمیع حقیقة فهو یناقض الإخراج حقیقة و لو عن الحکم علی وجه لا یمکن دفعه بشی‌ء من الوجوه المقرّرة فی دفعه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ارید منه إرادة الجمیع بالإرادة الغیر المقصودة بالذات فالیقین ببقائه لا </w:t>
      </w:r>
    </w:p>
    <w:p>
      <w:pPr>
        <w:pStyle w:val="BookText"/>
        <w:rPr/>
      </w:pPr>
      <w:r>
        <w:rPr>
          <w:rFonts w:ascii="IRNazanin" w:hAnsi="IRNazanin" w:eastAsia="IRNazanin"/>
          <w:color w:val="111111"/>
          <w:sz w:val="28"/>
          <w:sz w:val="28"/>
          <w:szCs w:val="28"/>
          <w:rtl w:val="true"/>
          <w:lang w:bidi="fa-IR"/>
        </w:rPr>
        <w:t>ینافی الخروج، فضلا عن استصحاب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أنّ مطلق التخصیص سواء کان حکمیا أو اسمیّا مفسّر للعموم، و بعد فرضه مفسّرا یکون التفرقة بین قسمیه بإجراء الأصل و عدمه تحکّم بحت، لأنّ الشک الناشئ عن المخصّص بعد فرضه مفسّرا شک فی الحادث لا الحدوث، و لا یعتبر الأصل عند العقلاء فی الشکّ فی الحادث، بل لا مجری له فیه، لمعارضته بالمثل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التفرقة المذکورة بینها بمجری الأصل و عدمه، لکنّه فرق غیر مجد، لما ذکرنا من أنّه من الاصول المثبتة التی لیست عندنا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مال إلیه الاستاد من الفرق بین التخصیص بالمجمل شخصا فیسری إلی جمیع أفراد العامّ و یسقط العموم عن الاعتبار رأسا، لکون المجمل شخصا دائرا بین المتباینین و لا ترجیح لأحدهما علی الآخر، و بین التخصیص بالمجمل الحکمی قدرا فلا یسری إلی جمیع أفراد العام، لکون المجمل الحکمی قدرا دائرا بین الأقلّ و الأکثر و الترجیح بینهما فی جانب الأقلّ لکونه المتیقّن، فیتعیّن التخصیص به و یبقی العموم علی حاله حاکما علی سائر المقادیر الغیر المتیقّن خروجها عن تحته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التفرقة المذکورة بوجود المرجّح فی المجمل قدرا و هو تیقّن خروج أقلّ المقادیر و عدم وجوده فی المجمل شخصا إن أجدی شیئا فإنّما هو ثمرة عملیة بمعونة الاصول العملیّة المختصّة بمقام الحیرة فی العمل بعد الرجوع إلیها، لا ثمرة لفظیة و هو إثبات العموم و تحکیمه علی المقادیر المشکوک خروجها عن تحته الذی هو محلّ النزاع و محطّ النظر فیما نحن بصدده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مراد الاستاد أیضا ذلک، و الّا فقد تبیّن لک أنّ إجمال المخصّص حاکم </w:t>
      </w:r>
    </w:p>
    <w:p>
      <w:pPr>
        <w:pStyle w:val="BookText"/>
        <w:rPr/>
      </w:pPr>
      <w:r>
        <w:rPr>
          <w:rFonts w:ascii="IRNazanin" w:hAnsi="IRNazanin" w:eastAsia="IRNazanin"/>
          <w:color w:val="111111"/>
          <w:sz w:val="28"/>
          <w:sz w:val="28"/>
          <w:szCs w:val="28"/>
          <w:rtl w:val="true"/>
          <w:lang w:bidi="fa-IR"/>
        </w:rPr>
        <w:t>علی بیان العام، سواء کان شخصا أو قدرا، نعم غایة الفرق أنّ الإجمال شخصا یسری إلی کلّ واحد من أفراد المخصّص به، فیستوعب جمیع أفراد العامّ بحیث لم یبق فرد متیقّن بقائه تحت العام، بخلاف الإجمال قدرا المبیّن شخصا، فإنّ سریانه إنّما هو إلی منتهی مراتب التخصیص و هو بقاء الواحد أو ما یقرب من المدلول أو غیرهما ممّا قیل، فلا یستوعب إجماله ما فوق منتهی مراتب التخصیص من سائر المقادیر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غایة الفرق بین الإجمال بالنسبة إلی بعض أفراد العام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المشرکین إلّا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الإجمال بالنسبة إلی بعض أفراد العام دون بعض آخر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المشرکین إلّا بعض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سرایة الإجمال فی کلّ منهما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عثرنا علیه فی تقاریر بعض السادة من أساتید عصرنا تبعا لما حکی عن بعض آخر من حجیّة العامّ المخصّص بالمجمل المتّصل إذا کان إجماله مصداقیا استنادا إلی استصحاب ما قد حصل من ظهور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منع الفرق بین المتّصل و المنفصل بعد فرض مطلق التخصیص مفسّرا للعام و صیرورة الشک الناشئ عن التخصیص شکّا فی الحادث لا الحدوث حتی یجری فیه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الفرق المذکور بینهما علی تقدیر تسلیمه من الاستصحابات المثبتة التی لیست عندنا بحجّة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لکن لا شکّ فی کون العموم بالنسبة إلی متعلّقه من قبیل الحکم بالنسبة إلی الموضوع، و لا شک أنّ تیقن العموم و الحکم لا یتعقّل کونه مبیّنا لمتعلّقه و مشخّصا لموضوعه، فضلا عن استصحاب العموم و الحکم، بل لیس </w:t>
      </w:r>
    </w:p>
    <w:p>
      <w:pPr>
        <w:pStyle w:val="BookText"/>
        <w:rPr/>
      </w:pPr>
      <w:r>
        <w:rPr>
          <w:rFonts w:ascii="IRNazanin" w:hAnsi="IRNazanin" w:eastAsia="IRNazanin"/>
          <w:color w:val="111111"/>
          <w:sz w:val="28"/>
          <w:sz w:val="28"/>
          <w:szCs w:val="28"/>
          <w:rtl w:val="true"/>
          <w:lang w:bidi="fa-IR"/>
        </w:rPr>
        <w:t>تشخیص الموضوعات الخارجیة من شأن الحاکم، إذ قد تکون مجملة حتی فی نظر الحاکم، و مع ذلک کیف یتعقّل تشخیصها بحکم الحاکم فضلا عن تشخیصها باستصحاب بقاء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أنّک قد تطلب من العطّار شیئا من المعاجین و الأدویة المبیّنة مفهومها المجملة مصداقها حتی فی نظرک، و لا یصحّ للعطّار شرعا و لا عرفا أن یعطیک شیئا من المصادیق المشتبهة من غیر أن یعیّن کونه مطلوبک تمسّکا بعموم المطلق فضلا عن التمسّک باستصحابه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ما من شأن الأصل إنّما هو بیان ما من شأن المتکلم بیانه إذا استلزم عدم بیانه القبح علی الحکیم بإغرائه بالجهل کأصالة عدم القرینة و عدم التقیید، لا بیان ما لا یستلزم عدمه ذلک، فضلا عن بیان ما لیس من شأن المتکلّم بیانه کما فیما نحن فیه، فإنّ بیان المصادیق الخارجیّة التی تطرّق علیها الإجمال بواسطة عروض الظلمة و نحوها من العوارض الخارجیة لیس إلّا من شأن الامور الخارجیّة الرافعة لذلک العارض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 فساد القول بحجّیة العام المخصّص بالمجمل المصداقی مطلقا، بل عدّ المجمل المصداقی مع کونه مبیّنا بحسب المفهوم من جملة المخصّص بالمجمل و إلحاقه به إنّما هو من باب الاستطراد و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یوجّه به القول بحجیّة العامّ المخصّص به هو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 مقدّمتین صغراهما دعوی أنّ المفهوم عرفا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 إلّا الفساق، مثلا کون العلم مقتضی للإکرام و الفسق مانعا منه، قیاسا علی فهم مانعیّة الحریر لصحّة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کبراهما أنّ المقتضی للشی‌ء لا ینفکّ عن اقتضائه له ما لم یعلم المانع إمّا من جهة أنّ نفس الشک فی المانعیّة کاف فی إبقاء اقتضاء المقتضی، أو من </w:t>
      </w:r>
    </w:p>
    <w:p>
      <w:pPr>
        <w:pStyle w:val="BookText"/>
        <w:rPr/>
      </w:pPr>
      <w:r>
        <w:rPr>
          <w:rFonts w:ascii="IRNazanin" w:hAnsi="IRNazanin" w:eastAsia="IRNazanin"/>
          <w:color w:val="111111"/>
          <w:sz w:val="28"/>
          <w:sz w:val="28"/>
          <w:szCs w:val="28"/>
          <w:rtl w:val="true"/>
          <w:lang w:bidi="fa-IR"/>
        </w:rPr>
        <w:t>جهة ضمیمة أصالة عدم مانعیّة المشکوک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دعوی مقدّمتین، صغراهما أنّ المفهوم عرفا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 إلّا الفساق، مثلا هو کون العلم علّة تامة للإکرام، و الفسق علّة تامة لعدمه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کبراهما أنّه لمّا تزاحمت العلّتان فی المصداق المشکوک قدّم حکم العلّة المعلومة و هو العلم علی حکم العلّة المشکوکة و هو الفسق، إمّا من جهة ترجیح المعلوم علی المشکوک، أو من جهة أنّ علیّة المعلوم متیقّنة و علیّة المشکوک و مزاحمته له غیر متیقّنة، فالأصل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الصغری و بطلان المقایسة فی اللغات، و فهم اقتضاء العلم و مانعیّة الفسق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إلّا الفساق علی تقدیر تسلیمه فإنّما هو من ضمیمة القرائن الخارجیّة و هو المناسبة الاقترانیة بین الحکم و المحکوم علیه، کما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الواجد یحلّ عقوبته و عرضه، لا من جهة حاقّ التخصیص، و لهذا لو ابدل المثال المذکور بأکرم القوم إلّا زیدا، لم یتوهّم منه شائبة الإشعار بالاقتضاء و المانعیة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الکبری، أمّا علی الجهة الاولی فللاتّفاق علی عدم ترتّب اقتضاء المقتضی علی مجرّد الشک فی المانعیة، بل هو مترتّب علی إحراز عدمه اجتهادا أو فقاهة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الجهة الثانیة فلأنّه إن ارید من أصالة عدم المانع أصالة عدم مفهوم المانع و کلیّته فهو و إن کان له حالة سابقة، إلّا أنّ المترتّب علیه أثر عقلی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مانعیّة المصداق الجزئی، لا أثر شرعی حتی یکون حجّة عندنا، مع أنّه لو سلّمنا حجّیته فالموضوع متبدّل، حیث إنّ موضوع عدم المانع الأزلی السابق علی وجود المقتضی غیر موضوع عدم المانع بعد وجوده، و مع تبدّل الموضوع لا </w:t>
      </w:r>
      <w:bookmarkStart w:id="316" w:name="pg12880_153450"/>
    </w:p>
    <w:p>
      <w:pPr>
        <w:pStyle w:val="BookText"/>
        <w:rPr/>
      </w:pPr>
      <w:bookmarkEnd w:id="316"/>
      <w:r>
        <w:rPr>
          <w:rFonts w:ascii="IRNazanin" w:hAnsi="IRNazanin" w:eastAsia="IRNazanin"/>
          <w:color w:val="111111"/>
          <w:sz w:val="28"/>
          <w:sz w:val="28"/>
          <w:szCs w:val="28"/>
          <w:rtl w:val="true"/>
          <w:lang w:bidi="fa-IR"/>
        </w:rPr>
        <w:t>یعتبر الأصل و لو فرض حجّیته، إلّا ان یدّعی بناء العرف علی عدم تبدّله من باب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 أصالة عدم مصداق المانع الجزئی فهو و إن کان المترتّب علیه أثر شرعی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الإکرام من دون واسطة، إلّا أنّه من قبیل الشکّ فی الحادث لا الحدوث، فلا یجری فیه الأصل، لمعارضته بالمثل و لزوم الترجیح بلا مرجّح، أو لعدم اعتباره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بما مرّ الجواب به عن الأوّل من منع الکبری و الصغری بطریق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ارتضی الاستاد دام ظلّه نقلا عن شیخه العلّامة استثناء حجّیة صورة من العام المخصّص بالمجمل المصداقی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من الخارج تخصیصه علی وجه التعلیق لا التنجیز، کما لو لعن بنی امیّة قاطبة، و علم من الخارج أنّه لو وجد صالحا من بنی أمیّة لم یجز لعنه و خرج عن تحت العموم، ثمّ شکّ فی اندراج مصداق خارجی تحت عنوان العموم أو تحت عنوان المخصّص المعلّق علی الصلوح حکم بحجّیة العموم و اندراج المجمل تحته و حکومة بیانه علی هذا الإجمال المصداقی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دام ظلّه اعترف بأنّ الوجه فی ذلک رجوع التخصیص التعلیقی بعد الشکّ فی تنجّزه فی مصداق إلی الشکّ فی أصل طروّ التخصیص الحاکم علیه أصالة العموم، فیلحق به لا بالتخصیص بالمجمل حتی یحتاج إلی الاستثناء کما لا یخفی، هذا کلّه فی العامّ المخصّص بالمجمل</w:t>
      </w:r>
      <w:r>
        <w:rPr>
          <w:rFonts w:eastAsia="IRNazanin" w:cs="IRNazanin"/>
          <w:color w:val="111111"/>
          <w:sz w:val="28"/>
          <w:szCs w:val="28"/>
          <w:rtl w:val="true"/>
          <w:lang w:bidi="fa-IR"/>
        </w:rPr>
        <w:t>.</w:t>
      </w:r>
    </w:p>
    <w:p>
      <w:pPr>
        <w:pStyle w:val="Heading4"/>
        <w:numPr>
          <w:ilvl w:val="3"/>
          <w:numId w:val="1"/>
        </w:numPr>
        <w:rPr/>
      </w:pPr>
      <w:bookmarkStart w:id="317" w:name="__RefHeading___Toc2986525_3224264995"/>
      <w:bookmarkStart w:id="318" w:name="_Toc121"/>
      <w:bookmarkEnd w:id="317"/>
      <w:r>
        <w:rPr>
          <w:rtl w:val="true"/>
        </w:rPr>
        <w:t>[</w:t>
      </w:r>
      <w:r>
        <w:rPr>
          <w:rtl w:val="true"/>
        </w:rPr>
        <w:t>و أمّا العامّ المخصّص بالمبیّن</w:t>
      </w:r>
      <w:r>
        <w:rPr>
          <w:rtl w:val="true"/>
        </w:rPr>
        <w:t>]</w:t>
      </w:r>
      <w:bookmarkEnd w:id="318"/>
    </w:p>
    <w:p>
      <w:pPr>
        <w:pStyle w:val="Heading5"/>
        <w:numPr>
          <w:ilvl w:val="4"/>
          <w:numId w:val="1"/>
        </w:numPr>
        <w:rPr/>
      </w:pPr>
      <w:bookmarkStart w:id="319" w:name="__RefHeading___Toc2986527_3224264995"/>
      <w:bookmarkStart w:id="320" w:name="_Toc122"/>
      <w:bookmarkEnd w:id="319"/>
      <w:r>
        <w:rPr>
          <w:rtl w:val="true"/>
        </w:rPr>
        <w:t>اشارة</w:t>
      </w:r>
      <w:bookmarkEnd w:id="32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و إن اختلفوا فی حجّیته فی الباقی علی أقوال، إلّا أنّ الحقّ عندنا بقائه فی الحجّیة مطلقا، بل هو أقوی فی الحجّیة من العام </w:t>
      </w:r>
      <w:bookmarkStart w:id="321" w:name="pg12880_153451"/>
    </w:p>
    <w:p>
      <w:pPr>
        <w:pStyle w:val="BookText"/>
        <w:rPr/>
      </w:pPr>
      <w:bookmarkEnd w:id="321"/>
      <w:r>
        <w:rPr>
          <w:rFonts w:ascii="IRNazanin" w:hAnsi="IRNazanin" w:eastAsia="IRNazanin"/>
          <w:color w:val="111111"/>
          <w:sz w:val="28"/>
          <w:sz w:val="28"/>
          <w:szCs w:val="28"/>
          <w:rtl w:val="true"/>
          <w:lang w:bidi="fa-IR"/>
        </w:rPr>
        <w:t>الغیر المخصّص، نظرا إلی أنّه أبعد من احتمال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مستندنا علی بقائه فی الحجّیة لیس مجرّد الاستصحاب حتی یستظهر المنع بأنّه إن ارید استصحاب التناول الثابت قبل طروّ التخصیص بعد التخصیص فالموضوع متبدّل، و لا یصح الاستصحاب مع تبدّله، و إن ارید استصحاب التناول الثابت بعد التخصیص فلیس له حالة سابقة بعد فرض التخصیص کاشفا عن إرادة الباقی من أوّل الأمر، إلّا إذا کان التخصیص بدائیا و لا 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مستندنا علیه مضافا إلی الاتّفاقات المنقولة تبادر الباقی منه عرفا و عدّ المخالف عند العقلاء عاصیا و المستفهم عنه و عن غیره سفیها، و بأصالة عدم النقل یتمّ المطلوب لغة و شرعا، و کونه أقرب المجازات و أشیعها عرفا، و احتجاج السلف من العلماء و الصحابة و المعصومین علیهم السّلام بالعمومات المخصّصة من غیر نکیر أصلا، و ذلک منهم إجماع محصّل و سیرة قطعیة علی حجّیته مطلقا، بل علیه مدار محاورات الخلائق طرا فی کلّ عصر و مصر حدیثا و قدیما، و لولاه لم یفد کلمة التوحید توحیدا، بل لم یکن عامّ فی الفروع حجّة و هو معلوم البطلان قطعا، بل عدّه بعضهم من الضروریات بدیهة، و فی ذلک الکفایة بل الزیادة فی الجواب عن دلیل الخصم إجمالا، و من شاء فلیطلبه من الکتب المألوفة تفصیلا</w:t>
      </w:r>
      <w:r>
        <w:rPr>
          <w:rFonts w:eastAsia="IRNazanin" w:cs="IRNazanin"/>
          <w:color w:val="111111"/>
          <w:sz w:val="28"/>
          <w:szCs w:val="28"/>
          <w:rtl w:val="true"/>
          <w:lang w:bidi="fa-IR"/>
        </w:rPr>
        <w:t>.</w:t>
      </w:r>
    </w:p>
    <w:p>
      <w:pPr>
        <w:pStyle w:val="Heading5"/>
        <w:numPr>
          <w:ilvl w:val="4"/>
          <w:numId w:val="1"/>
        </w:numPr>
        <w:rPr/>
      </w:pPr>
      <w:bookmarkStart w:id="322" w:name="__RefHeading___Toc2986529_3224264995"/>
      <w:bookmarkStart w:id="323" w:name="_Toc123"/>
      <w:bookmarkEnd w:id="322"/>
      <w:r>
        <w:rPr>
          <w:rtl w:val="true"/>
        </w:rPr>
        <w:t>و ینبغی التنبیه علی امور</w:t>
      </w:r>
      <w:r>
        <w:rPr>
          <w:rtl w:val="true"/>
        </w:rPr>
        <w:t>:</w:t>
      </w:r>
      <w:bookmarkEnd w:id="32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اورد علی احتجاج المانع بحجیّة العامّ المخصّص بالمبین فی غیر مورد التخصیص مطلقا بمساواة سائر ما تحت مورد التخصیص من مراتب المجاز علی تقدیر مجازیّة العامّ المخصّص فی الباقی، و من مراتب الحقیقة علی تقدیر </w:t>
      </w:r>
    </w:p>
    <w:p>
      <w:pPr>
        <w:pStyle w:val="BookText"/>
        <w:rPr/>
      </w:pPr>
      <w:r>
        <w:rPr>
          <w:rFonts w:ascii="IRNazanin" w:hAnsi="IRNazanin" w:eastAsia="IRNazanin"/>
          <w:color w:val="111111"/>
          <w:sz w:val="28"/>
          <w:sz w:val="28"/>
          <w:szCs w:val="28"/>
          <w:rtl w:val="true"/>
          <w:lang w:bidi="fa-IR"/>
        </w:rPr>
        <w:t>حقیقیته فیه بأنّ الحجّة علی تقدیر تسلیمها غیر وافیة بإجمال العامّ المخصّص فی جمیع ما تحت مورد التخصیص من سائر المراتب، بل لازمه استثناء مرتبة نهایة التخصیص و الالتزام بحجیّة العامّ و بیانه فی تلک المرتبة، لمعلومیّة عدم تجاوز التخصیص عنها، فیرجع المانع بالإطلاق فی المسألة إلی التفصیل فیها بین الالتزام بحجیّة العام المخصّص و بیانه فی منتهی مراتب التخصیص، و عدم حجیّته و إجماله فیما عدا المنتهی من سائر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یدفعه أنّ مرتبة منتهی التخصیص و هو ما یقرب من مدلول العام، أو أقلّ مدلول الجمع، أو الواحد علی حسب اختلاف الآراء فیه إنّما هو مبیّن بالنسبة إلی نفس العدد، و لا یجدی المستدلّ، لعدم تعیین المصداق عنده، نظرا إلی أنّ الغالب الوقوع فی التخصیصات ملاحظة التعیینات، فیسری الإجمال إلی کلّ الأفراد إلّا فی وجه نادر و هو ما إذا حوّل المتکلّم تعیین المصداق إلی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استظهر من المانع تخصیصه النزاع بهذا الوجه توجّه الإیراد المذکور علیه و لزمه استثناء مرتبة نهایة التخصیص و الرجوع إلی التفصیل المذکور، و لکنّه لا وجه للتخصیص</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بعضهم منافاة النزاع فی هذه المسألة للنزاع فی المسألة السابقة حیث إنّ النزاع فی کون العام المخصّص حقیقة أو مجازا فی الباقی ثمّة ینافی النزاع هنا فی الحجّیة، إذ کلّ من الحقیقیة و المجاز ظاهر فی معناه و حجة، و قد تعرّضوا لدفع هذه المنافاة بوجوه استقصاها القوانین</w:t>
      </w:r>
      <w:r>
        <w:rPr>
          <w:rStyle w:val="FootnoteAnchor"/>
          <w:rtl w:val="true"/>
        </w:rPr>
        <w:footnoteReference w:id="506"/>
      </w:r>
      <w:r>
        <w:rPr>
          <w:rFonts w:ascii="IRNazanin" w:hAnsi="IRNazanin" w:eastAsia="IRNazanin"/>
          <w:color w:val="111111"/>
          <w:sz w:val="28"/>
          <w:sz w:val="28"/>
          <w:szCs w:val="28"/>
          <w:rtl w:val="true"/>
          <w:lang w:bidi="fa-IR"/>
        </w:rPr>
        <w:t>و الإشارات</w:t>
      </w:r>
      <w:r>
        <w:rPr>
          <w:rStyle w:val="FootnoteAnchor"/>
          <w:rtl w:val="true"/>
        </w:rPr>
        <w:footnoteReference w:id="507"/>
      </w:r>
      <w:r>
        <w:rPr>
          <w:rFonts w:ascii="IRNazanin" w:hAnsi="IRNazanin" w:eastAsia="IRNazanin"/>
          <w:color w:val="111111"/>
          <w:sz w:val="28"/>
          <w:sz w:val="28"/>
          <w:szCs w:val="28"/>
          <w:rtl w:val="true"/>
          <w:lang w:bidi="fa-IR"/>
        </w:rPr>
        <w:t xml:space="preserve">أوجهها أنّ قولهم فی </w:t>
      </w:r>
      <w:bookmarkStart w:id="324" w:name="pg12880_153453"/>
    </w:p>
    <w:p>
      <w:pPr>
        <w:pStyle w:val="BookText"/>
        <w:rPr/>
      </w:pPr>
      <w:bookmarkEnd w:id="324"/>
      <w:r>
        <w:rPr>
          <w:rFonts w:ascii="IRNazanin" w:hAnsi="IRNazanin" w:eastAsia="IRNazanin"/>
          <w:color w:val="111111"/>
          <w:sz w:val="28"/>
          <w:sz w:val="28"/>
          <w:szCs w:val="28"/>
          <w:rtl w:val="true"/>
          <w:lang w:bidi="fa-IR"/>
        </w:rPr>
        <w:t>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العامّ المخصّص حقیقة أو مجاز فی الباقی، و إن کان ظاهرا فی إرادة تمام الباقی، إلّا أنّ تعاقبهم ذلک النزاع بالنزاع فی حجّیة العامّ المخصّص و عدم حجیّته صارف عن ذلک الظهور و معیّن لإرادتهم الباقی فی الجملة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المراتب الباقیة، لا تمام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فیما مرّ بین العامّ المخصّص و المطلق المقیّد نفیا و إثباتا و حجة و نقضا</w:t>
      </w:r>
      <w:r>
        <w:rPr>
          <w:rFonts w:eastAsia="IRNazanin" w:cs="IRNazanin"/>
          <w:color w:val="111111"/>
          <w:sz w:val="28"/>
          <w:szCs w:val="28"/>
          <w:rtl w:val="true"/>
          <w:lang w:bidi="fa-IR"/>
        </w:rPr>
        <w:t>.</w:t>
      </w:r>
    </w:p>
    <w:p>
      <w:pPr>
        <w:pStyle w:val="Heading3"/>
        <w:numPr>
          <w:ilvl w:val="2"/>
          <w:numId w:val="1"/>
        </w:numPr>
        <w:rPr/>
      </w:pPr>
      <w:bookmarkStart w:id="325" w:name="__RefHeading___Toc2986531_3224264995"/>
      <w:bookmarkStart w:id="326" w:name="_Toc124"/>
      <w:bookmarkEnd w:id="325"/>
      <w:r>
        <w:rPr>
          <w:rtl w:val="true"/>
        </w:rPr>
        <w:t>[</w:t>
      </w:r>
      <w:r>
        <w:rPr>
          <w:rtl w:val="true"/>
        </w:rPr>
        <w:t>أصل هل یجوز العمل بالعامّ قبل الفحص عن المخصّص،</w:t>
      </w:r>
      <w:r>
        <w:rPr>
          <w:rtl w:val="true"/>
        </w:rPr>
        <w:t>]</w:t>
      </w:r>
      <w:bookmarkEnd w:id="326"/>
    </w:p>
    <w:p>
      <w:pPr>
        <w:pStyle w:val="Heading4"/>
        <w:numPr>
          <w:ilvl w:val="3"/>
          <w:numId w:val="1"/>
        </w:numPr>
        <w:rPr/>
      </w:pPr>
      <w:bookmarkStart w:id="327" w:name="__RefHeading___Toc2986533_3224264995"/>
      <w:bookmarkStart w:id="328" w:name="_Toc125"/>
      <w:bookmarkEnd w:id="327"/>
      <w:r>
        <w:rPr>
          <w:rtl w:val="true"/>
        </w:rPr>
        <w:t>اشارة</w:t>
      </w:r>
      <w:bookmarkEnd w:id="328"/>
    </w:p>
    <w:p>
      <w:pPr>
        <w:pStyle w:val="BookText"/>
        <w:rPr/>
      </w:pPr>
      <w:r>
        <w:rPr>
          <w:rFonts w:ascii="IRNazanin" w:hAnsi="IRNazanin" w:eastAsia="IRNazanin"/>
          <w:color w:val="111111"/>
          <w:sz w:val="28"/>
          <w:sz w:val="28"/>
          <w:szCs w:val="28"/>
          <w:rtl w:val="true"/>
          <w:lang w:bidi="fa-IR"/>
        </w:rPr>
        <w:t>کما یجوز العمل بأصالة الطهارة و الإباحة فی الشبهات الموضوعیة قبل الاستعلام، أم لا یجوز العمل به قبل الفحص عن المخصّص، کما لا یجوز العمل بالبراءة إجماعا قبل الفحص عن الدلیل الوارد علیه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اتّساع الوقت و تضیّقه، و تحصل البصیرة فی المسألة بتقدیم امور</w:t>
      </w:r>
      <w:r>
        <w:rPr>
          <w:rFonts w:eastAsia="IRNazanin" w:cs="IRNazanin"/>
          <w:color w:val="111111"/>
          <w:sz w:val="28"/>
          <w:szCs w:val="28"/>
          <w:rtl w:val="true"/>
          <w:lang w:bidi="fa-IR"/>
        </w:rPr>
        <w:t>.</w:t>
      </w:r>
    </w:p>
    <w:p>
      <w:pPr>
        <w:pStyle w:val="Heading4"/>
        <w:numPr>
          <w:ilvl w:val="3"/>
          <w:numId w:val="1"/>
        </w:numPr>
        <w:rPr/>
      </w:pPr>
      <w:bookmarkStart w:id="329" w:name="__RefHeading___Toc2986535_3224264995"/>
      <w:bookmarkStart w:id="330" w:name="_Toc126"/>
      <w:bookmarkEnd w:id="329"/>
      <w:r>
        <w:rPr>
          <w:rtl w:val="true"/>
        </w:rPr>
        <w:t>[</w:t>
      </w:r>
      <w:r>
        <w:rPr>
          <w:rtl w:val="true"/>
        </w:rPr>
        <w:t>الأوّل</w:t>
      </w:r>
      <w:r>
        <w:rPr>
          <w:rtl w:val="true"/>
        </w:rPr>
        <w:t xml:space="preserve">: </w:t>
      </w:r>
      <w:r>
        <w:rPr>
          <w:rtl w:val="true"/>
        </w:rPr>
        <w:t>فی بیان مبنی النزاع،</w:t>
      </w:r>
      <w:r>
        <w:rPr>
          <w:rtl w:val="true"/>
        </w:rPr>
        <w:t>]</w:t>
      </w:r>
      <w:bookmarkEnd w:id="33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فاعلم أنّ عدم جواز العمل بالعامّ قبل الفحص مبنی علی اعتبار أصالة الحقیقة و ظواهر الألفاظ من باب الظنّ بالمراد و الطریقیة، و جوازه مبنیّ علی اعتبارها من باب التعبّد الصرف و الموضوعیّة، و علی ابتناء الجواز علی ذلک یندفع عن المجوّز أکثر ما أورد علیه فی الإشارات من أنّ العمل بالعامّ قبل الفحص عن المخصّص مع شیوعه یستلزم الترجیح بلا مرجح، بل و تقدیم المرجوح علی الراجح و الاستغناء عن الاجتهاد فی الأحکام، و من أنّ </w:t>
      </w:r>
      <w:bookmarkStart w:id="331" w:name="pg12880_153454"/>
    </w:p>
    <w:p>
      <w:pPr>
        <w:pStyle w:val="BookText"/>
        <w:rPr/>
      </w:pPr>
      <w:bookmarkEnd w:id="331"/>
      <w:r>
        <w:rPr>
          <w:rFonts w:ascii="IRNazanin" w:hAnsi="IRNazanin" w:eastAsia="IRNazanin"/>
          <w:color w:val="111111"/>
          <w:sz w:val="28"/>
          <w:sz w:val="28"/>
          <w:szCs w:val="28"/>
          <w:rtl w:val="true"/>
          <w:lang w:bidi="fa-IR"/>
        </w:rPr>
        <w:t>الحکم بعموم العامّ علی فرد محتمل الخروج حکم من دون حجّة، بل منهی عنه، لأنّه قول بغیر علم و جرأة علی اللّه و علی رسوله، بل افتراء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الاندفاع نقضا بجواز العمل بغیر البراءة من أصالة الطهارة و الإباحة فی الشبهات الموضوعیة قبل الاستعلام، و حلّا بمنع الملازمة إن ارید من نفی المرجّح نفی مطلق المرجّح، و من الاستغناء عن الاجتهاد الاستغناء عن مطلق الاجتهاد، و بمنع بطلان اللازم إن ارید نفی المرجح الظنّی لا التعبدی و الاستغناء عن الاجتهاد فی المخصّص، لا الاستغناء عن الاجتهاد فی سائر العلوم المتوقّف علیها الاجتهاد من النحو و الصرف و اللغة و المنطق و البیان و الاصول و الدرایة و أحکام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فرق بین المجوّز و المانع من حیث احتیاج المجوّز إلی الاجتهاد فی کلّ ما یحتاج المانع إلی الاجتهاد فیه، إلّا فی الاجتهاد عن المخصّص حیث إنّه واجب مشروط عند المجوّز، و واجب مطلق عند المانع</w:t>
      </w:r>
      <w:r>
        <w:rPr>
          <w:rFonts w:eastAsia="IRNazanin" w:cs="IRNazanin"/>
          <w:color w:val="111111"/>
          <w:sz w:val="28"/>
          <w:szCs w:val="28"/>
          <w:rtl w:val="true"/>
          <w:lang w:bidi="fa-IR"/>
        </w:rPr>
        <w:t>.</w:t>
      </w:r>
    </w:p>
    <w:p>
      <w:pPr>
        <w:pStyle w:val="Heading4"/>
        <w:numPr>
          <w:ilvl w:val="3"/>
          <w:numId w:val="1"/>
        </w:numPr>
        <w:rPr/>
      </w:pPr>
      <w:bookmarkStart w:id="332" w:name="__RefHeading___Toc2986537_3224264995"/>
      <w:bookmarkStart w:id="333" w:name="_Toc127"/>
      <w:bookmarkEnd w:id="332"/>
      <w:r>
        <w:rPr>
          <w:rtl w:val="true"/>
        </w:rPr>
        <w:t>[</w:t>
      </w:r>
      <w:r>
        <w:rPr>
          <w:rtl w:val="true"/>
        </w:rPr>
        <w:t>الثانی</w:t>
      </w:r>
      <w:r>
        <w:rPr>
          <w:rtl w:val="true"/>
        </w:rPr>
        <w:t xml:space="preserve">: </w:t>
      </w:r>
      <w:r>
        <w:rPr>
          <w:rtl w:val="true"/>
        </w:rPr>
        <w:t>فی تحریر محلّ النزاع،</w:t>
      </w:r>
      <w:r>
        <w:rPr>
          <w:rtl w:val="true"/>
        </w:rPr>
        <w:t>]</w:t>
      </w:r>
      <w:bookmarkEnd w:id="333"/>
    </w:p>
    <w:p>
      <w:pPr>
        <w:pStyle w:val="BookText"/>
        <w:rPr/>
      </w:pPr>
      <w:r>
        <w:rPr>
          <w:rFonts w:ascii="IRNazanin" w:hAnsi="IRNazanin" w:eastAsia="IRNazanin"/>
          <w:color w:val="111111"/>
          <w:sz w:val="28"/>
          <w:sz w:val="28"/>
          <w:szCs w:val="28"/>
          <w:rtl w:val="true"/>
          <w:lang w:bidi="fa-IR"/>
        </w:rPr>
        <w:t>اعلم أنّ المراد من عدم جواز العمل بالعام قبل الفحص هل هو بمعنی لزوم الاحتراز عنه، حذرا من الوقوع فی المؤاخذة بمصادفة ما ارتکبه للحرام الواقعی، فلا مؤاخذة إلّا علی تقدیر الوقوع فی الحرام و غیر المرام، أو هو بمعنی لزوم الاحتراز عنه من حیث إنّه مشتبه فیستحق المؤاخذة علی العمل بالعموم و لو لم یصادف الحرام و غیر المرام، و لو صادفه استحقّ عقابین؟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وجهان أقواهما الأوّل، لأنّ حکم العقل بوجوب دفع الضرر بمعنی العقاب المحتمل، بل المقطوع حکم إرشادی، و کذا لو فرض حکم بالاجتناب عن عقاب محتمل أو مقطوع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تحرّز عن الوقوع فی معصیة الزنا، لم یکن إلّا </w:t>
      </w:r>
    </w:p>
    <w:p>
      <w:pPr>
        <w:pStyle w:val="BookText"/>
        <w:rPr/>
      </w:pPr>
      <w:r>
        <w:rPr>
          <w:rFonts w:ascii="IRNazanin" w:hAnsi="IRNazanin" w:eastAsia="IRNazanin"/>
          <w:color w:val="111111"/>
          <w:sz w:val="28"/>
          <w:sz w:val="28"/>
          <w:szCs w:val="28"/>
          <w:rtl w:val="true"/>
          <w:lang w:bidi="fa-IR"/>
        </w:rPr>
        <w:t>ارشادیا، فلا یترتّب علی موافقته و مخالفته سوی خاصیّة نفس المأمور به و ترکه، و المراد من جواز العمل بالعامّ قبل الفحص هو عدم لزوم الفحص بالمعنی المذکور، لا عدم رجحانه، فإنّ رجحان الفحص حکم عقلی کرجحان الاحتیاط فی تحصیل الواقع لا مجال لإنکاره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محلّ النزاع فی جواز العمل بالعام قبل الفحص إنّما هو فیما علم إجمالا بتخصیص نوع العمومات، کما فی العمومات الغیر الشفاهیة، و أمّا إذا لم یعلم کما فی بعض العمومات الشفاهیة فلا إشکال فی عدم وجوب الفحص، کما لا إشکال فی وجوبه إذا علم إجمالا تخصیص خصوص ما یرید العمل به لا تخصیص نوعه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النزاع فی الفحص عن المخصّص جزئی من جزئیات النزاع فی الفحص عن المعارض لیعمّ النزاع کلّ دلیل یحتمل أن یکون له معارض احتمالا راجحا، أو النزاع فی خصوص الفحص عن المخصّص دون الفحص عن سائر ما یحتمل کونه معارضا للدلیل؟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الاستدلال علی الفحص بوجود العلم الإجمالی بطروّ التخصیص علی نوع العمومات یعطی الوجه الأوّل، و ظاهر الاستدلال علی الفحص بشیوع تخصیص نوع العمومات إلی حدّ بلغ مرتبة الشهرة و الرجحان المساوی احتماله لاحتمال الحقیقة یعطی الوجه الثانی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الوجه الأوّل هو أن یکون إجمال العامّ الموجب للفحص إجمالا عرضیا، و لازم الوجه الثانی هو أن یکون إجماله ذاتیا، و الفرق بین الإجمالین أنّه إذا استند المنع عن العمل بالعمومات إلی الإجمال العرضی اختصّ المنع بغیر المشافهین للعموم، و کان المنع مستمرّا إلی حصول العلم من الفحص بعدم </w:t>
      </w:r>
      <w:bookmarkStart w:id="334" w:name="pg12880_153456"/>
    </w:p>
    <w:p>
      <w:pPr>
        <w:pStyle w:val="BookText"/>
        <w:rPr/>
      </w:pPr>
      <w:bookmarkEnd w:id="334"/>
      <w:r>
        <w:rPr>
          <w:rFonts w:ascii="IRNazanin" w:hAnsi="IRNazanin" w:eastAsia="IRNazanin"/>
          <w:color w:val="111111"/>
          <w:sz w:val="28"/>
          <w:sz w:val="28"/>
          <w:szCs w:val="28"/>
          <w:rtl w:val="true"/>
          <w:lang w:bidi="fa-IR"/>
        </w:rPr>
        <w:t>المخصص أو ما یقوم مقام العلم و لو لم یعثر علی تخصیص له أصلا، لا إلی مجرّد العثور علی مخصّص أو مخصّصات له، بخلاف ما اذا استند المنع عن العمل بالعمومات إلی الإجمال الذاتی، فإنّه یعمّ المشافهین و غیرهم و کان مستمرّا إلی أن یعثر علی مخصّص له و لو کان واحدا، و لا یرتفع بغیر العثور علیه و لو بلغ الفحص إلی الیأس أو العجز عنه</w:t>
      </w:r>
      <w:r>
        <w:rPr>
          <w:rFonts w:eastAsia="IRNazanin" w:cs="IRNazanin"/>
          <w:color w:val="111111"/>
          <w:sz w:val="28"/>
          <w:szCs w:val="28"/>
          <w:rtl w:val="true"/>
          <w:lang w:bidi="fa-IR"/>
        </w:rPr>
        <w:t>.</w:t>
      </w:r>
    </w:p>
    <w:p>
      <w:pPr>
        <w:pStyle w:val="Heading4"/>
        <w:numPr>
          <w:ilvl w:val="3"/>
          <w:numId w:val="1"/>
        </w:numPr>
        <w:rPr/>
      </w:pPr>
      <w:bookmarkStart w:id="335" w:name="__RefHeading___Toc2986539_3224264995"/>
      <w:bookmarkStart w:id="336" w:name="_Toc128"/>
      <w:bookmarkEnd w:id="335"/>
      <w:r>
        <w:rPr>
          <w:rtl w:val="true"/>
        </w:rPr>
        <w:t>[</w:t>
      </w:r>
      <w:r>
        <w:rPr>
          <w:rtl w:val="true"/>
        </w:rPr>
        <w:t>الثالث</w:t>
      </w:r>
      <w:r>
        <w:rPr>
          <w:rtl w:val="true"/>
        </w:rPr>
        <w:t xml:space="preserve">: </w:t>
      </w:r>
      <w:r>
        <w:rPr>
          <w:rtl w:val="true"/>
        </w:rPr>
        <w:t>فی تأسیس الأصل،</w:t>
      </w:r>
      <w:r>
        <w:rPr>
          <w:rtl w:val="true"/>
        </w:rPr>
        <w:t>]</w:t>
      </w:r>
      <w:bookmarkEnd w:id="336"/>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الشک فی جواز العمل بالعام قبل الفحص ناشئ عن الشک فی وجود المقتضی للعمل بالعامّ قبل الفحص المسبّب عن الشکّ فی بلوغ شیوع التخصیص إلی مرتبة المجاز المشهور المساوی احتماله لاحتمال الحقیقة و العموم کما هو أحد وجوه المانعین فالأصل مع المجوّز، لأصالة عدم بلوغ التخصیص إلی تلک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وجود المقتضی للعمل بالعامّ قبل الفحص، 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کون الشک فی وجود المقتضی کالشک فی وجوب الفحص مسبّب عن الشک فی بلوغ شیوع التخصیص إلی تلک المرتبة، فأصالة عدم بلوغه إلی تلک المرتبة مزیل لذلک الشکّ، و قد تقرّر فی محلّه حکومة الأصل المزیل علی الأصل المزال، سواء کان مطابقا أم مخالفا له فی المؤدّی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الشکّ فی جواز العمل بالعامّ قبل الفحص ناشئ عن الشک فی مانعیّة احتمال التخصیص کما هو العهدة فی وجه المنع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مع المجوّز أیضا، لإحراز عدم مانعیّة المشکوک بأصالة عدم مانعیته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مدفوع بما مرّ من أنّه إن ارید منه أصالة عدم مفهوم المانع و کلیّته فهو </w:t>
      </w:r>
    </w:p>
    <w:p>
      <w:pPr>
        <w:pStyle w:val="BookText"/>
        <w:rPr/>
      </w:pPr>
      <w:r>
        <w:rPr>
          <w:rFonts w:ascii="IRNazanin" w:hAnsi="IRNazanin" w:eastAsia="IRNazanin"/>
          <w:color w:val="111111"/>
          <w:sz w:val="28"/>
          <w:sz w:val="28"/>
          <w:szCs w:val="28"/>
          <w:rtl w:val="true"/>
          <w:lang w:bidi="fa-IR"/>
        </w:rPr>
        <w:t>و إن کان له حالة سابقة، إلّا أنّ المترتّب علیه أثر عقلی و هو عدم مانعیة المصداق الجزئی، لا أثر شرعی حتی یکون حجّة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سلّم حجیّته فالموضوع متبدّل، حیث إنّ موضوع عدم المانع الازلی السابق علی وجود المقتضی غیر موضوع عدم المانع بعد وجوده، و مع تبدّل الموضوع لا یعتبر الأصل و لو فرض حجّیته، إلّا أن یدّعی بناء العرف علی عدم تبدّله من باب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 أصالة عدم مصداق المانع الجزئی فهو و إن کان المترتّب علیه أثر شرعی و هو حکم الإکرام من دون واسطة، إلّا أنّه من قبیل الشکّ فی الحادث لا الحدوث، فلا یجری فیه الأصل، لمعارضته بالمثل و لزوم الترجیح بلا مرجّح، أو لعدم اعتباره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هذه المقدّمة أنّ الأصل فی المسألة علی التقدیر الأوّل مع المجوّز، لأصالة عدم بلوغ التخصیص إلی مرتبة المجاز المساوی احتماله لاحتمال العموم، و أمّا علی التقدیر الثانی فلیس مع المجوّز، لما عرفت، بل و لا مع المانع، لأنّ عدم حجّیة الظواهر المشکوک حجیّتها إنّما هو من آثار الشک، لا من آثار مجری الأصل فی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تمهّدت الامور المذکورة فاعلم أنّ الحقّ عدم جواز العمل بالعامّ قبل الفحص، لکن لا لما قیل من شیوع تخصیص العام إلی أن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إلّا و قد خص، فإنّ مجرّد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بلوغ التخصیص إلی مرتبة المجاز المشهور حتی یساوی احتماله لاحتمال العموم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بلوغه إلی تلک المرتبة، لأنّ بلوغه إلی تلک المرتبة یستلزم ما لا یلتزم به المدّعی من إجمال العموم ذاتا و عدم جواز العمل به قبل التخصیص </w:t>
      </w:r>
    </w:p>
    <w:p>
      <w:pPr>
        <w:pStyle w:val="BookText"/>
        <w:rPr/>
      </w:pPr>
      <w:r>
        <w:rPr>
          <w:rFonts w:ascii="IRNazanin" w:hAnsi="IRNazanin" w:eastAsia="IRNazanin"/>
          <w:color w:val="111111"/>
          <w:sz w:val="28"/>
          <w:sz w:val="28"/>
          <w:szCs w:val="28"/>
          <w:rtl w:val="true"/>
          <w:lang w:bidi="fa-IR"/>
        </w:rPr>
        <w:t>و إن بلغ الفحص إلی حدّ العذر و الیأس عنه، لا عدم جواز العمل به قبل الفحص فقط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بلوغه إلی تلک المرتبة لا یوجب إجمال العامّ إلّا إذا تجرّد العامّ عن الاقتران بشی‌ء من القرائن المعیّنة للتخصیص، و هو مجرّد فرض لا وقوع له، إذ لا یکاد یوجد عام مجرّد عن جمیع القرائن المقارنة الدالّة علی تخصیصه، فإنّ العامّ إذا لم یقترن بشی‌ء من قرائن التخصیص المتّصلة به فلا أقلّ من اقترانه بقرینة عقلیّة أو 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تجرّده عن ذلک أیضا فلا أقل من اقترانه بالعلم بتخصیصه بشی‌ء من قاعده لا ضرر و لا ضرار، أو قاعدة نفی الجرح، أو غیر ذلک من القواعد الشرعیة و غیرها، و من المعلوم أیضا أنّ مجرد الاقتران بتخصیص ما یکفی فی رفع الإجمال الناشئ عن کثرة التخصیص فی نوع العمومات، فإنّ کثرة التخصیص فی نوع العموم و إن بلغ ما بلغ لا یقضی کثرة مقدار التخصیص، بل یصدق علی مسمّی التخصیص و مجرّد تخصیص ما فی أفراد العامّ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ذکرنا أنّ حقیقة عدم جواز العمل بالعامّ قبل الفحص لیس لبلوغ تخصیصه إلی مرتبة المجاز المشهور المساوی احتماله لاحتمال العموم، بل إنّما هو لوجوه أخر،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فرد من أفراد العمومات بعد العلم الإجمالی بتخصیص نوعها غیر مظنون الإرادة، و کلّ ما هو غیر مظنون الإرادة من الظواهر لیس بمعتبر و لا حجّة، أمّا الصغری فبالوجدان، و أمّا الکبری فبالبرهان الذی أسلفناه فی تذنیب علائم الوضع من استقراء بناء العقلاء و سیرة العلماء و العرفاء علی اعتبار ظواهر الألفاظ من باب الظنّ و الکشف عن المراد، لا من باب صرف التعبّد و الموضوعیة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مقایسة النراقی</w:t>
      </w:r>
      <w:r>
        <w:rPr>
          <w:rStyle w:val="FootnoteAnchor"/>
          <w:rtl w:val="true"/>
        </w:rPr>
        <w:footnoteReference w:id="508"/>
      </w:r>
      <w:r>
        <w:rPr>
          <w:rFonts w:ascii="IRNazanin" w:hAnsi="IRNazanin" w:eastAsia="IRNazanin"/>
          <w:color w:val="111111"/>
          <w:sz w:val="28"/>
          <w:sz w:val="28"/>
          <w:szCs w:val="28"/>
          <w:rtl w:val="true"/>
          <w:lang w:bidi="fa-IR"/>
        </w:rPr>
        <w:t>العلم الإجمالی فیما نحن فیه بالعلم الإجمالی فی الشبهة الغیر المحصورة فی عدم الاعتبار و عدم تنجّز التکلیف ففیه منع القیاس بوجود الفرق من 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العلم الإجمالی فیما نحن فیه بالنسبة إلی العمل و الارتکاب و إن لم یکن محصورا بالنسبة إلی متعلّق العمل، و المعیار فی المحصور و غیره إنّما هو علی العمل، لا متعلّق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اشتباه حبّة تمّن حرام فی ألفی حبة یعدّ من الشبهة المحصورة لا غیر المحصورة، حیث إنّ أطراف الشبهة و إن کانت بین ألفی حبّة، إلّا أنّها بالنسبة إلی التناول محصورة فی لقمات یسیرة، و کذلک العمومات المحتمل تخصیصها و إن کانت غیر محصورة بالنسبة إلی نفسها، إلّا أنّها بالنسبة إلی حال ارتکابها أو حال الإفتاء بها محصورة فی أزمنة یسیرة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فیما نحن فیه و لو سلّم کونها غیر محصورة، إلّا أنّها کثیرة فی کثیر لا قلیل فی کثیر حتی لا یجب الاجتناب عن أطرافها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الفروق بین المقیس و المقیس علیه أنّ دلیل جواز ارتکاب الشبهة الغیر المحصورة من مجری البراءة و أصالة العدم لا ینهض دلیلا علی إرادة عموم العام و ظهوره فی العموم المنوط به استنباط الأحکام، و بالجملة أنّ العلم الإجمالی و إن لم یعتبر فی الشبهة الغیر المحصورة، إلّا أنّه معتبر فی الألفاظ من جهة إخلاله بالظواهر المنوط بها استنباط الاحکام، کما أنّ الظن الحاصل من القیاس أو الاستحسان و إن لم یعتبر فی نفسه، إلّا أنّه مخلّ باعتبار ما ینوط بالظنّ إذا کان علی خلافه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فروق المقیس و المقیس علیه فرق إجمالی، و هو أنّ الإجماع الثابت علی عدم اعتبار العلم الإجمالی فی الشبهة الغیر المحصورة غیر ثابت علی عدم اعتباره فیما نحن فیه، بل الثابت عکسه، فإنّ الإجماع علی اعتبار العلم الإجمالی فیما نحن فیه و عدم جواز العمل بالعامّ قبل الفحص منقول عن جماعة من الخاصة و العامّة، بل لا یبعد تحصیله علی المتتبّع، فمن الخاصّة العلّامة</w:t>
      </w:r>
      <w:r>
        <w:rPr>
          <w:rStyle w:val="FootnoteAnchor"/>
          <w:rtl w:val="true"/>
        </w:rPr>
        <w:footnoteReference w:id="509"/>
      </w:r>
      <w:r>
        <w:rPr>
          <w:rFonts w:ascii="IRNazanin" w:hAnsi="IRNazanin" w:eastAsia="IRNazanin"/>
          <w:color w:val="111111"/>
          <w:sz w:val="28"/>
          <w:sz w:val="28"/>
          <w:szCs w:val="28"/>
          <w:rtl w:val="true"/>
          <w:lang w:bidi="fa-IR"/>
        </w:rPr>
        <w:t>و العمیدی، و من العامّة الحاجبی و الغزالی و الآمدی</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جاز العمل بالعامّ قبل الفحص التامّ للزم الهرج و المرج فی الأحکام و انفتاح باب الطعن علی الإسلام بالنقض و الإبرام، و أقبح من هذا لزومه فی الدماء و الفروج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إذا رأی المکلّف آیة أُحِلَّ لَکُمْ ما وَراءَ ذلِکُمْ</w:t>
      </w:r>
      <w:r>
        <w:rPr>
          <w:rStyle w:val="FootnoteAnchor"/>
          <w:rtl w:val="true"/>
        </w:rPr>
        <w:footnoteReference w:id="511"/>
      </w:r>
      <w:r>
        <w:rPr>
          <w:rFonts w:ascii="IRNazanin" w:hAnsi="IRNazanin" w:eastAsia="IRNazanin"/>
          <w:color w:val="111111"/>
          <w:sz w:val="28"/>
          <w:sz w:val="28"/>
          <w:szCs w:val="28"/>
          <w:rtl w:val="true"/>
          <w:lang w:bidi="fa-IR"/>
        </w:rPr>
        <w:t>فتزوّج امرأة لیس من محرّمات الآیة ثمّ اطّلع علی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الرضاعة ما یحرم من النسب</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وجد انه قد تحقّق بینهما مراضعة، فاعتقد أنّها ما کانت زوجته، فخلّی سبیلها من غیر طلاق، فتزوّجت بآخر، فاطّلع الأوّل علی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من الرضاع ما لم یکن خمسة عشر رضعة</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فاعتقد أنّها زوجته فاستردّها ثمّ اطلع أنّ رضاع یوم و لیلة أیضا یحرّم، فخلّی سبیلها، فذهبت إلی زوجها الثانی أو تزوّجت بثالث، فاطّلع الأوّل علی أنّ الرضاع لا یوجب حرمة إلّا فی الحولین فاستردّها، و هکذا متی اطّلع بمخصّص خلی سبیلها، و إذا اطّلع بمخصّص لذلک المخصّص استردّها و هو کما تری من أقبح المفاسد و الهرج و المرج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مقایسة ما یلزم من تلک المفاسد قبل الفحص بما یلزم منها بعد الفحص، حیث إنّ الفحص لا یفید العلم غالبا فیمکن تغییر رأی المجتهد بعد الفحص ثانیا و ثالثا أیضا، قیاس مع الفارق، فإنّ الاختلاف اللازم بعد الفحص مع أنّه نادر جدا لیس بمثابة الاختلاف اللازم من العمل بالعامّ قبل الفحص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جاز الحکم بالعموم قبل الفحص للزم الترجیح بلا مرجّح، بل تقدیم المرجوح و القول بغیر علم و التجرّی و الکذب و الافتراء علی اللّه، و رسوله إلی غیر ذلک من اللوازم المطّردة فی جمیع الأدلّة، و لکن لزوم جمیع لوازم هذا الوجه الأخیر مبنیّ علی کبری الوجه الأوّل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اعتبار ظواهر الألفاظ من باب الظنّ بالمراد و الکشف عنه، لا من باب صرف التعبّد و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المجتهد یجب علیه البحث عن الأدلّة و کیفیة دلالتها، و التخصیص کیفیة فی الدلالة، و لکن کلیّة کبری هذا الوجه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وجوب الفحص عن کیفیة فی الأدلّة أیضا مبنیّ علی کبری الوجه الأوّل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اعتبار ظواهر الألفاظ من باب الکشف عن المراد و الطریقیة، لا من باب صرف التعبّد و الموضوعیّة، و إلّا فیرد علیه ما اورد نقضا بأنّ المجاز و الإضمار أیضا من جملة الکیفیات، و الحال أنّه لا یجب الفحص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حلّا بأنّه إن أراد وجوب الفحص عن أنّه کیف یدلّ علی المراد بعد ثبوت أصل الدلالة فممنوع، بل العلم بأنّه دالّ کاف فی التمسّک به و إن لم یعلم کیفیّته، و إن أراد وجوب الفحص عن الکیفیات التی یتوقّف ثبوت أصل الدلالة علیها فمسلّم، لکنّ المفروض أنّ ذلک البحث قد حصل، لأنّ وضع تلک الصیغ بازاء العموم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فتبیّن أنّه علی اعتبار ظواهر الألفاظ من باب صرف التعبد و الموضوعیة </w:t>
      </w:r>
      <w:bookmarkStart w:id="337" w:name="pg12880_153462"/>
    </w:p>
    <w:p>
      <w:pPr>
        <w:pStyle w:val="BookText"/>
        <w:rPr/>
      </w:pPr>
      <w:bookmarkEnd w:id="337"/>
      <w:r>
        <w:rPr>
          <w:rFonts w:ascii="IRNazanin" w:hAnsi="IRNazanin" w:eastAsia="IRNazanin"/>
          <w:color w:val="111111"/>
          <w:sz w:val="28"/>
          <w:sz w:val="28"/>
          <w:szCs w:val="28"/>
          <w:rtl w:val="true"/>
          <w:lang w:bidi="fa-IR"/>
        </w:rPr>
        <w:t>یتوجّه الإیراد و ینتقض کلیّة وجوب الفحص عن کیفیّة الأدلّة بعدم وجوب الفحص عن المجاز و الإضمار، و یکون الفرق بین التخصیص و المجاز حینئذ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اعتبارها من باب الکشف عن المراد و الطریقیة فیندفع الإیراد المذکور بأنّ المراد من کیفیات الدلالة التی یجب الفحص عنها هو الکیفیات التی یتوقّف الظن بالإرادة علی الفحص عنها، لا مطلق الکیفیات، و یرتفع النقض المذکور بوجود الفرق بین الفحص عن المجاز فی حق المشافه و عن التخصیص فی حق غیر المشافه، من حیث تحصل الظن بالمراد من الثانی دون الأوّل، إلی غیر ذلک ممّا استقصاه المناهج</w:t>
      </w:r>
      <w:r>
        <w:rPr>
          <w:rStyle w:val="FootnoteAnchor"/>
          <w:rtl w:val="true"/>
        </w:rPr>
        <w:footnoteReference w:id="514"/>
      </w:r>
      <w:r>
        <w:rPr>
          <w:rFonts w:ascii="IRNazanin" w:hAnsi="IRNazanin" w:eastAsia="IRNazanin"/>
          <w:color w:val="111111"/>
          <w:sz w:val="28"/>
          <w:sz w:val="28"/>
          <w:szCs w:val="28"/>
          <w:rtl w:val="true"/>
          <w:lang w:bidi="fa-IR"/>
        </w:rPr>
        <w:t>من الوجوه و الاصول و الأخبار المشعرة بعدم جواز العمل بالعام قبل الفحص و إن کان مبناها أو مرجعها إلی شی‌ء واحد، و هو ما استقرّت علیه دیدن العقلاء و سیرة العلماء و العرفاء من اعتبار ظواهر الألفاظ من باب الکشف عن المراد و الطریقیّة، لا من باب التعبّد و الموضوعیة</w:t>
      </w:r>
      <w:r>
        <w:rPr>
          <w:rFonts w:eastAsia="IRNazanin" w:cs="IRNazanin"/>
          <w:color w:val="111111"/>
          <w:sz w:val="28"/>
          <w:szCs w:val="28"/>
          <w:rtl w:val="true"/>
          <w:lang w:bidi="fa-IR"/>
        </w:rPr>
        <w:t>.</w:t>
      </w:r>
    </w:p>
    <w:p>
      <w:pPr>
        <w:pStyle w:val="Heading4"/>
        <w:numPr>
          <w:ilvl w:val="3"/>
          <w:numId w:val="1"/>
        </w:numPr>
        <w:rPr/>
      </w:pPr>
      <w:bookmarkStart w:id="338" w:name="__RefHeading___Toc2986541_3224264995"/>
      <w:bookmarkStart w:id="339" w:name="_Toc129"/>
      <w:bookmarkEnd w:id="338"/>
      <w:r>
        <w:rPr>
          <w:rtl w:val="true"/>
        </w:rPr>
        <w:t>[</w:t>
      </w:r>
      <w:r>
        <w:rPr>
          <w:rtl w:val="true"/>
        </w:rPr>
        <w:t>حجّة مجوّز العمل بالعام قبل الفحص وجوه، منها</w:t>
      </w:r>
      <w:r>
        <w:rPr>
          <w:rtl w:val="true"/>
        </w:rPr>
        <w:t>]</w:t>
      </w:r>
      <w:bookmarkEnd w:id="33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المناهج</w:t>
      </w:r>
      <w:r>
        <w:rPr>
          <w:rStyle w:val="FootnoteAnchor"/>
          <w:rtl w:val="true"/>
        </w:rPr>
        <w:footnoteReference w:id="515"/>
      </w:r>
      <w:r>
        <w:rPr>
          <w:rFonts w:ascii="IRNazanin" w:hAnsi="IRNazanin" w:eastAsia="IRNazanin"/>
          <w:color w:val="111111"/>
          <w:sz w:val="28"/>
          <w:sz w:val="28"/>
          <w:szCs w:val="28"/>
          <w:rtl w:val="true"/>
          <w:lang w:bidi="fa-IR"/>
        </w:rPr>
        <w:t>تبعا لما عن الشیروانی</w:t>
      </w:r>
      <w:r>
        <w:rPr>
          <w:rStyle w:val="FootnoteAnchor"/>
          <w:rtl w:val="true"/>
        </w:rPr>
        <w:footnoteReference w:id="516"/>
      </w:r>
      <w:r>
        <w:rPr>
          <w:rFonts w:ascii="IRNazanin" w:hAnsi="IRNazanin" w:eastAsia="IRNazanin"/>
          <w:color w:val="111111"/>
          <w:sz w:val="28"/>
          <w:sz w:val="28"/>
          <w:szCs w:val="28"/>
          <w:rtl w:val="true"/>
          <w:lang w:bidi="fa-IR"/>
        </w:rPr>
        <w:t>و الفاضل التونی</w:t>
      </w:r>
      <w:r>
        <w:rPr>
          <w:rStyle w:val="FootnoteAnchor"/>
          <w:rtl w:val="true"/>
        </w:rPr>
        <w:footnoteReference w:id="517"/>
      </w:r>
      <w:r>
        <w:rPr>
          <w:rFonts w:ascii="IRNazanin" w:hAnsi="IRNazanin" w:eastAsia="IRNazanin"/>
          <w:color w:val="111111"/>
          <w:sz w:val="28"/>
          <w:sz w:val="28"/>
          <w:szCs w:val="28"/>
          <w:rtl w:val="true"/>
          <w:lang w:bidi="fa-IR"/>
        </w:rPr>
        <w:t>فی الوافیة و السیّد الصدر</w:t>
      </w:r>
      <w:r>
        <w:rPr>
          <w:rStyle w:val="FootnoteAnchor"/>
          <w:rtl w:val="true"/>
        </w:rPr>
        <w:footnoteReference w:id="518"/>
      </w:r>
      <w:r>
        <w:rPr>
          <w:rFonts w:ascii="IRNazanin" w:hAnsi="IRNazanin" w:eastAsia="IRNazanin"/>
          <w:color w:val="111111"/>
          <w:sz w:val="28"/>
          <w:sz w:val="28"/>
          <w:szCs w:val="28"/>
          <w:rtl w:val="true"/>
          <w:lang w:bidi="fa-IR"/>
        </w:rPr>
        <w:t>فی شرحها من دعوی الإجماع و السیرة علی جواز العمل بالعامّ قبل الفحص بتقریب أنّ دیدن الصحابة و التابعین فی مقام المخاصمة فی مسألة إذا احتج أحدهم علی صاحبه بعامّ من کتاب أو سنّة کان جاریا علی عدم مطالبة الآخر التوقّف منه حتی یتفحّص عن المعارض أو المخصّص، بل سکت أو تلقّی بالقبول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مخصوص فاصبر </w:t>
      </w:r>
    </w:p>
    <w:p>
      <w:pPr>
        <w:pStyle w:val="BookText"/>
        <w:rPr/>
      </w:pPr>
      <w:r>
        <w:rPr>
          <w:rFonts w:ascii="Amiri" w:hAnsi="Amiri" w:eastAsia="Amiri" w:cs="Amiri"/>
          <w:color w:val="111111"/>
          <w:sz w:val="28"/>
          <w:sz w:val="28"/>
          <w:szCs w:val="28"/>
          <w:rtl w:val="true"/>
          <w:lang w:bidi="ar-SA"/>
        </w:rPr>
        <w:t>حتی نتفحّص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بتقریب أنّ دیدن کلّ واحد من أصحاب الائمّة کان علی العمل بما عنده من بعض الاصول الأربعمائة و لو کان أصلا واحدا، و الأئمّة کانوا عالمین بأنّ کلّا منهم یعمل بما عنده و لو کان أصلا واحدا، و لا یتمّ الفحص عن المخصّص و المعارض إلّا بتحصیل جمیعها، فلو کان واجبا لأمرهم الأئمّة بتحصیل الجمیع و نهوهم عن العمل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التقریب یبتنی أکثر ما تفرّد به الأخباریة من تجویزهم تأخیر البیان عن وقت الحاجة، و من تفریقهم بین ظواهر السنّة و الکتاب فی الحجّیة و عدم الحجّیة، و من عدم التزامهم بالبحث عن أخبار الکتب الأربعة، و من تجویزهم تقلید المیّت و غیر الأعلم، و من عدم وجوب الاجتهاد عندهم لا عینا و لا تخییرا، بل هم یحرمون الاجتهاد و لا یعتبرون فی المفتی شیئا من الکلام و الاصول و النحو و الصرف و اللغة و المنطق و غیر ذلک من مقدمات الاجتهاد سوی معرفة کلام العرب، بل ذهب بعضهم إلی اعتبار ما عدا معرفة اصطلاح أهل البیت فی المفتی، إلی غیر ذلک من متفرّداتهم الواهیة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فالجواب أمّا عن التقریب الأوّل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دیدن الصحابة علی ما ذکر، لان التّتبع یکذّبه، فإنّ من تتبّع دیدن العلماء من السلف و الخلف یراهم تفحّصوا غایة الفحص و راجعوا أبواب الأحادیث و حصّلوا الکتب النادرة الوجود للفحص عن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ذلک کلّه لمجرّد رجحان الفحص فی مقام التألیف لا لوجوبه فی مقام الإفتاء خلاف ما یقتضیه العادة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مثل الصحابة خارج عن محلّ النزاع، للفرق و التفاوت الظاهر </w:t>
      </w:r>
    </w:p>
    <w:p>
      <w:pPr>
        <w:pStyle w:val="BookText"/>
        <w:rPr/>
      </w:pPr>
      <w:r>
        <w:rPr>
          <w:rFonts w:ascii="IRNazanin" w:hAnsi="IRNazanin" w:eastAsia="IRNazanin"/>
          <w:color w:val="111111"/>
          <w:sz w:val="28"/>
          <w:sz w:val="28"/>
          <w:szCs w:val="28"/>
          <w:rtl w:val="true"/>
          <w:lang w:bidi="fa-IR"/>
        </w:rPr>
        <w:t>بیننا و بینهم بقلّة المعارض بالنسبة إلیهم و کثرته بالنسبة إلینا، و عدم العلم الإجمالی لهم بتخصیص أکثر العمومات و وجوده لنا، فمثل الصحابة مثل عبد قال له المولی مشافهة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السوق و اشتر کذا و کذا فی عدم وجوب الفحص علیه، لأنّ عدم عثور العبد فی مقام البیان علی ما لو أراده المولی بلا بیان راجع إلی تقصیر المولی فی البیان، لا تقصیر العبد فی الفحص، بخلاف مثلنا، فإنّه مثل عبد غائب بعث إلیه المولی طومارا فیه عمومات و لکثیر منها مخصّصات فی استحقاقه العقاب و مذمّة العقلاء لو عمل بالعمومات من غیر مراجعة المخصّصات، ثمّ ظهر له بعد وقته مخصّص، لرجوع عدم مصادفته مراد المولی حینئذ إلی تقصیره فی الفحص عنه، لا إلی تقصیر المولی فی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دیدن الصحابة إجماع عملیّ لا یثبت المدّعی إلّا بإحراز انحصار جهة عمل جمیعهم فی جواز العمل بالعامّ قبل الفحص و لم یثبت، إذ لعلّ سکوت بعضهم من جهة سبق الفحص منه، أو من جهة الوثوق بعدم احتجاج صاحبه بالعام إلّا بعد الفحص، أو من جهة المماشاة و قطع المخاصمة إلی أن یراجع الفحص، إلی غیر ذلک من الجهات و الدواعی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فی القوانین رابعا بأنّ الاستدلال بالعموم غالبا لیس فی جمیع أفراد العام، بل المتنازعین و المباحثین کان نزاعهم فی طائفة من أفراد العامّ و کانوا غافلین من العامّ، فباستدلال صاحبه بذلک کان یسکت، و ذلک لا ینافی تخصیص العامّ بالنسبة إلی غیر تلک الأفراد، إذ العامّ المخصّص حجّة فی الباقی، فمرادنا من وجوب الفحص فی العمل بالعامّ وجوبه فی العمل بجمیع أفراد العام</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فیه أنّه إن أراد أنّ أغلب موارد استدلالهم بالعموم الذی یسکت الخصم هو بعض أفراد العامّ المتیقّن بقائها تحت العموم لا جمیع أفراده المحتمل خروج بعضها عن تحته، فهو علی تقدیر تسلیم الأغلبیة فیه راجع إلی الجواب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أنّ أغلب موارد استدلالهم بالعموم الذی یسکت الخصم هو بعض الموارد الجزئیة من أفراد العام لا مجموع الموارد و کلّ الأفراد، ففیه أنّ النزاع لا یختص بجواز العمل بمجموع أفراد العام قبل الفحص، بل النزاع شامل للعمل بأیّ فرد من أفراد العام المحتمل تخصیصه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التقریب الثانی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ثبوته إن لم یکن الثابت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ثبوته لا یثبت المدّعی إلّا بإحراز جهات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العلم الإجمالی بوجود المعارضات و المخصصات فی حقّ الصحابة علی الوجه الثابت فی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اطّلاع الإمام بعملهم من الطرق البشریة، إذ لم یعهد منه معاملة الناس بعلمه علیه السّلام من غیر الطرق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تمکّنه علیه السّلام من ردعهم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تمکّنهم من الارتداع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عدم ردعه علیه السّلام إیّاهم، و لم یثبت علی تقدیر ثبوت أصل العمل کونه من هذه الجهات الخمسة، بل الثابت خلافه کما لا یخفی علی المتتبّع الخبیر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وجوه المجوّزین أصالة عدم المخصّص، فإنّه دلیل علی عدمه، و مقایسة احتمال المخصّص علی احتمال سائر المجازات فی الارتفاع بالأصل اتّفاقا بتقریب أنّه لو وجب الفحص عن المخصّص فی البناء علی العموم لوجب </w:t>
      </w:r>
    </w:p>
    <w:p>
      <w:pPr>
        <w:pStyle w:val="BookText"/>
        <w:rPr/>
      </w:pPr>
      <w:r>
        <w:rPr>
          <w:rFonts w:ascii="IRNazanin" w:hAnsi="IRNazanin" w:eastAsia="IRNazanin"/>
          <w:color w:val="111111"/>
          <w:sz w:val="28"/>
          <w:sz w:val="28"/>
          <w:szCs w:val="28"/>
          <w:rtl w:val="true"/>
          <w:lang w:bidi="fa-IR"/>
        </w:rPr>
        <w:t>الفحص عن سائر المجازات فی البناء علی الحقیقة، لاشتراکهما فی المأخذ و هو احتمال إرادة خلاف الظاهر و الوقوع فی الخطأ من العمل بالظاهر، و التالی باطل بالاتّفاق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أمّا عن الأصل فبما مرّ فی المقدّمات من أنّ العلم الإجمالی بتخصیص نوع العمومات مخلّ بظهور العام فی العموم، و بعد إخلال الظهور بذلک لا یجدی الأصل إصلاحه إلّا بعد الفحص أو التعبّد بالأصل، و لمّا لم یثبت التعبد بالأصل فی مباحث الألفاظ تعیّن الاصلاح بالفحص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المقایسة فبمنع الحکم فی المقیس علیه إن ارید عدم وجوب الفحص عن المجاز و لو احتمله احتمالا راجحا، و دعوی الوفاق علیه فریة و بهتان، و بمنع المقایسة إن ارید عدم وجوب الفحص عن المجاز فیما لم یرجّح احتماله بإبداء الفرق بین احتمال التخصیص و المعارض بین احتمال سائر المجازات فی رجحان الأوّل سیّما بالنسبة إلینا معاشر الغائبین، و مرجوحیة الثانی سیّما بالنسبة إلی المشافهین، و مع الغضّ عن هذا الفرق فمجرّد الوفاق یکفی فارقا بین المقیس و المقیس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وجوه المجوّزین ما استدلّ به فی المناهج</w:t>
      </w:r>
      <w:r>
        <w:rPr>
          <w:rStyle w:val="FootnoteAnchor"/>
          <w:rtl w:val="true"/>
        </w:rPr>
        <w:footnoteReference w:id="520"/>
      </w:r>
      <w:r>
        <w:rPr>
          <w:rFonts w:ascii="IRNazanin" w:hAnsi="IRNazanin" w:eastAsia="IRNazanin"/>
          <w:color w:val="111111"/>
          <w:sz w:val="28"/>
          <w:sz w:val="28"/>
          <w:szCs w:val="28"/>
          <w:rtl w:val="true"/>
          <w:lang w:bidi="fa-IR"/>
        </w:rPr>
        <w:t>علی الجواز من الآیات و الأخبار التی لا إشعار فیها علیه، لو رودها مورد حکم آخر فضلا عن دلالتها علیه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الآیات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ما آتاها</w:t>
      </w:r>
      <w:r>
        <w:rPr>
          <w:rStyle w:val="FootnoteAnchor"/>
          <w:rtl w:val="true"/>
        </w:rPr>
        <w:footnoteReference w:id="521"/>
      </w:r>
      <w:r>
        <w:rPr>
          <w:rFonts w:ascii="IRNazanin" w:hAnsi="IRNazanin" w:eastAsia="IRNazanin"/>
          <w:color w:val="111111"/>
          <w:sz w:val="28"/>
          <w:sz w:val="28"/>
          <w:szCs w:val="28"/>
          <w:rtl w:val="true"/>
          <w:lang w:bidi="fa-IR"/>
        </w:rPr>
        <w:t xml:space="preserve">و ما بمضمونه من الأخبار بتوجیه أنّ العامّ ممّا اوتی به، فالتکلیف به، و المخصّص ممّا لم یؤت به </w:t>
      </w:r>
    </w:p>
    <w:p>
      <w:pPr>
        <w:pStyle w:val="BookText"/>
        <w:rPr/>
      </w:pPr>
      <w:r>
        <w:rPr>
          <w:rFonts w:ascii="IRNazanin" w:hAnsi="IRNazanin" w:eastAsia="IRNazanin"/>
          <w:color w:val="111111"/>
          <w:sz w:val="28"/>
          <w:sz w:val="28"/>
          <w:szCs w:val="28"/>
          <w:rtl w:val="true"/>
          <w:lang w:bidi="fa-IR"/>
        </w:rPr>
        <w:t>فلا تکلیف به، بناء علی أنّ العلم بمخصّص فی الجملة لیس إتیانا بالمخصّص لذلک العامّ، و علی أنّ الفارق بین العامّ و سائر الأحکام الغیر الجاریة فیها مثله من جواز العمل فیها بالأصل قبل الفحص هو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المستفیضة فیمن بلغه ثواب علی عمل فعمله التماس ذلک الثواب اوتیه و إن لم یکن کما بلغه</w:t>
      </w:r>
      <w:r>
        <w:rPr>
          <w:rStyle w:val="FootnoteAnchor"/>
          <w:rtl w:val="true"/>
        </w:rPr>
        <w:footnoteReference w:id="522"/>
      </w:r>
      <w:r>
        <w:rPr>
          <w:rFonts w:ascii="IRNazanin" w:hAnsi="IRNazanin" w:eastAsia="IRNazanin"/>
          <w:color w:val="111111"/>
          <w:sz w:val="28"/>
          <w:sz w:val="28"/>
          <w:szCs w:val="28"/>
          <w:rtl w:val="true"/>
          <w:lang w:bidi="fa-IR"/>
        </w:rPr>
        <w:t>، فإنّه بإطلاقه یشمل العمل قبل الفحص و بعده و بضمیمة عدم القول بالفصل ثبت المدّعی فی غیر ما یشتمل علی الثواب، و لا مخصّص لهذه الأخبار بعد أن تفحّصنا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المشهورة عن ابن إدریس فی آخر السرائر عن کتاب هشام بالسند الصحیح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أن نلقی الاصول و علیکم أن تفرّعوا</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xml:space="preserve">و صحیحة اخری عن کتاب أحمد بن محمّد بن أبی نصر البزنطی عن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إلقاء الاصول إلیکم و علیکم التفریع</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فإنّ المراد بالاصول العمومات إجماعا و بالتفریع تطبیقها علی الجزئیات، فامر تطبیق جزئیات العام علیه من غیر تقیید بما قبل الفحص 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المستفیضة الواردة فی ردع التجسّس و الفحص من بعض الصحابة کما فی ردّه علیه السّلام سؤال السائل عن زکاة الارز بعد ما أجابه عمّا فیه الزکاة بتسعة أشیاء و عفو رسول اللّه صلّی اللّه علیه و آله عمّا سوی ذلک</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عمّا سوی ذلک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ارز و 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الأخبار الآمرة بالعمل بالأدلّة من غیر تقیید بما بعد الفحص</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أمّا عن الآیة و ما بمضمونها من الأخبار فبأنّ المراد منها هو المراد </w:t>
      </w:r>
    </w:p>
    <w:p>
      <w:pPr>
        <w:pStyle w:val="BookText"/>
        <w:rPr/>
      </w:pPr>
      <w:r>
        <w:rPr>
          <w:rFonts w:ascii="Amiri" w:hAnsi="Amiri" w:eastAsia="Amiri" w:cs="Amiri"/>
          <w:color w:val="111111"/>
          <w:sz w:val="28"/>
          <w:sz w:val="28"/>
          <w:szCs w:val="28"/>
          <w:rtl w:val="true"/>
          <w:lang w:bidi="ar-SA"/>
        </w:rPr>
        <w:t>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w:t>
      </w:r>
      <w:r>
        <w:rPr>
          <w:rStyle w:val="FootnoteAnchor"/>
          <w:rtl w:val="true"/>
        </w:rPr>
        <w:footnoteReference w:id="526"/>
      </w:r>
      <w:r>
        <w:rPr>
          <w:rFonts w:ascii="IRNazanin" w:hAnsi="IRNazanin" w:eastAsia="IRNazanin"/>
          <w:color w:val="111111"/>
          <w:sz w:val="28"/>
          <w:sz w:val="28"/>
          <w:szCs w:val="28"/>
          <w:rtl w:val="true"/>
          <w:lang w:bidi="fa-IR"/>
        </w:rPr>
        <w:t>من نفی التکلیف بما لا یطاق، لا نفی الفحص باتّفاق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روایة من بلغه ثواب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مؤدّی ما یحکم به العقل الآبی عن التخصیص من رجحان الاحتیاط و حسنه فیما یحتمل الثواب من غیر شائبة العقاب، لا مؤدّی حکم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لکنّه لیس فی معرض الإطلاق، بل فی معرض بیان أصل جواز العمل بمحتمل الثواب، نظیر سائر الإطلاقات الواردة مورد بیان أصل الحکم مثل أمر الطبیب المریض بشرب الدواء و أمر المولی عبده بالمسافرة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أنّه فی معرض العموم و الإطلاق، لکنّه مقیّد و مخصّص بما ذکرنا من بناء العقلاء و لزوم الهرج و المرج و غیر ذلک ممّا یقتضی تقییده بما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بهذین الجوابین الأخیرین نجیب عن إطلاق الأخبار الآمرة بالعمل بالأدلّة و الآمرة بالتفریع علی الاصول، سیّما بناء علی ما رأوه المجتهدون من أنّ المراد من التفریع ما یشمل الاستنباط، فإنّ تقیید الاستنباط بعلم الکلام و الاصول و الدرایة و النحو و الصرف و اللغة و القوّة القدسیّة و غیر ذلک من شروط الاستنباط یسهّل تقییده بما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أخبار ردّ التجسّس و الفحص فبأنّ موردها مورد النصوص و المحکمات سیّما بالنسبة إلی المشافهین، و محلّ النزاع إنّما هو مورد الإجمال و المتشابهات سیّما بالنسبة إلینا معاشر الغائبین، هذا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القول بالتفصیل فلم نقف له علی شی‌ء یعتدّ به و یردّه أنّ ضیق الوقت لا </w:t>
      </w:r>
    </w:p>
    <w:p>
      <w:pPr>
        <w:pStyle w:val="BookText"/>
        <w:rPr/>
      </w:pPr>
      <w:r>
        <w:rPr>
          <w:rFonts w:ascii="IRNazanin" w:hAnsi="IRNazanin" w:eastAsia="IRNazanin"/>
          <w:color w:val="111111"/>
          <w:sz w:val="28"/>
          <w:sz w:val="28"/>
          <w:szCs w:val="28"/>
          <w:rtl w:val="true"/>
          <w:lang w:bidi="fa-IR"/>
        </w:rPr>
        <w:t>ینفع فی الحجّیة، فإنّ المفروض عدم حصول الظنّ بالعموم، لتساویه مع الخصوص أو رجحان الخصوص، فیرجع الأمر إلی عدم القدرة علی الاجتهاد، فیتعیّن علیه غیره ممّا یبرئ به الذمة من الاحتیاط أو التقلید أو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فی أصل لزوم الفحص عن المعارض و عدمه، و أمّا مقدار الفحص علی تقدیر اللزوم فهل هو إلی زمان حصول العلم بعدم المعارض، أو الظنّ القریب إلی العلم، أو مطلق الظنّ و لو أوّل مراتبه؟ وجوه، بل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الأوّل إلی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الغزالی</w:t>
      </w:r>
      <w:r>
        <w:rPr>
          <w:rStyle w:val="FootnoteAnchor"/>
          <w:rtl w:val="true"/>
        </w:rPr>
        <w:footnoteReference w:id="527"/>
      </w:r>
      <w:r>
        <w:rPr>
          <w:rFonts w:ascii="IRNazanin" w:hAnsi="IRNazanin" w:eastAsia="IRNazanin"/>
          <w:color w:val="111111"/>
          <w:sz w:val="28"/>
          <w:sz w:val="28"/>
          <w:szCs w:val="28"/>
          <w:rtl w:val="true"/>
          <w:lang w:bidi="fa-IR"/>
        </w:rPr>
        <w:t>، و الثانی الی بعض مجهول، و الثالث إلی المشهور و هو المنصور وفاقا لصریح الضوابط</w:t>
      </w:r>
      <w:r>
        <w:rPr>
          <w:rStyle w:val="FootnoteAnchor"/>
          <w:rtl w:val="true"/>
        </w:rPr>
        <w:footnoteReference w:id="528"/>
      </w:r>
      <w:r>
        <w:rPr>
          <w:rFonts w:ascii="IRNazanin" w:hAnsi="IRNazanin" w:eastAsia="IRNazanin"/>
          <w:color w:val="111111"/>
          <w:sz w:val="28"/>
          <w:sz w:val="28"/>
          <w:szCs w:val="28"/>
          <w:rtl w:val="true"/>
          <w:lang w:bidi="fa-IR"/>
        </w:rPr>
        <w:t>و ظاهر المعالم</w:t>
      </w:r>
      <w:r>
        <w:rPr>
          <w:rStyle w:val="FootnoteAnchor"/>
          <w:rtl w:val="true"/>
        </w:rPr>
        <w:footnoteReference w:id="529"/>
      </w:r>
      <w:r>
        <w:rPr>
          <w:rFonts w:ascii="IRNazanin" w:hAnsi="IRNazanin" w:eastAsia="IRNazanin"/>
          <w:color w:val="111111"/>
          <w:sz w:val="28"/>
          <w:sz w:val="28"/>
          <w:szCs w:val="28"/>
          <w:rtl w:val="true"/>
          <w:lang w:bidi="fa-IR"/>
        </w:rPr>
        <w:t>و القوانین</w:t>
      </w:r>
      <w:r>
        <w:rPr>
          <w:rStyle w:val="FootnoteAnchor"/>
          <w:rtl w:val="true"/>
        </w:rPr>
        <w:footnoteReference w:id="530"/>
      </w:r>
      <w:r>
        <w:rPr>
          <w:rFonts w:ascii="IRNazanin" w:hAnsi="IRNazanin" w:eastAsia="IRNazanin"/>
          <w:color w:val="111111"/>
          <w:sz w:val="28"/>
          <w:sz w:val="28"/>
          <w:szCs w:val="28"/>
          <w:rtl w:val="true"/>
          <w:lang w:bidi="fa-IR"/>
        </w:rPr>
        <w:t>و الإشارات</w:t>
      </w:r>
      <w:r>
        <w:rPr>
          <w:rStyle w:val="FootnoteAnchor"/>
          <w:rtl w:val="true"/>
        </w:rPr>
        <w:footnoteReference w:id="531"/>
      </w:r>
      <w:r>
        <w:rPr>
          <w:rFonts w:ascii="IRNazanin" w:hAnsi="IRNazanin" w:eastAsia="IRNazanin"/>
          <w:color w:val="111111"/>
          <w:sz w:val="28"/>
          <w:sz w:val="28"/>
          <w:szCs w:val="28"/>
          <w:rtl w:val="true"/>
          <w:lang w:bidi="fa-IR"/>
        </w:rPr>
        <w:t>و الفصول</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لنا علیه أنّ الظن بعدم المخصّص و المعارض ظنّ بالمراد من الألفاظ، و کلّ ما هو مظنون الإرادة من الألفاظ معتبر مطلقا، من غیر فرق بین قرب الظنّ إلی العلم و بعده مرتبة أو بمراتب، و لا بین من قصد إفهامه و بین من لم یقصد، بل و لا بین وجود الظن الشخصی و النوعی، و لا بین وجود الظن الغیر المعتبر علی خلافه و عدمه علی قول، لأنّ جمیع ما قرّرناه فی محلّه لحجیّة ظواهر الألفاظ و اعتبار أصالة عدم الصارف عن الظاهر من السیرة القطعیة و بناء العقلاء و دیدن الصحابة و إجماع العلماء فی المحاورات و الأقاریر و الوصایا و الفتاوی و الطوامیر جار فی </w:t>
      </w:r>
    </w:p>
    <w:p>
      <w:pPr>
        <w:pStyle w:val="BookText"/>
        <w:rPr/>
      </w:pPr>
      <w:r>
        <w:rPr>
          <w:rFonts w:ascii="IRNazanin" w:hAnsi="IRNazanin" w:eastAsia="IRNazanin"/>
          <w:color w:val="111111"/>
          <w:sz w:val="28"/>
          <w:sz w:val="28"/>
          <w:szCs w:val="28"/>
          <w:rtl w:val="true"/>
          <w:lang w:bidi="fa-IR"/>
        </w:rPr>
        <w:t>جمیع الصور المذکورة علی تأمّل فی الصورتین الأخیرتین حسبما قرّر فی محلّه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تحصیل القطع بعدم المعارض و انفتاح باب العلم فیه، و الأصل فیما أمکن فیه تحصیل القطع و انفتح فیه باب العلم هو حرمة العمل بما دون القطع، أمّا الکبری فللوفاق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الصغری فلأنّ الحکم المستفاد من العام إن کان ممّا ابتلی به عموما أو ممّا کثر عنه البحث و لم یطّلع علی تخصیصه فالعادة تقتضی القطع بانتفائه، و إن لم تکن بهذه المثابة فبحث المجتهد یوجب القطع بانتفائه، إذ لو کان له تخصیص لاطّلع علیه، إذا الحکم مع عدم اطّلاعه علی المخصّص هو العموم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الصغری، لأنّ عدم الاطّلاع مع کثرة بحثهم أو بحثه عنه لا یوجب القطع بالعدم إن ارید عدمه حقیقة، إذ غایة ذلک عدم الوجدان و هو لا یقتضی عدم الوجود، و إن ارید أنّه عند عدم ما یوجب القطع بعدمه یکفی عدم وقوف المجتهد علیه بعد الفحص فی القطع بوجوب البناء علی عدمه و التعویل علی العموم فی العمل أو فی الحکم الظاهری عاد النزاع لفظیا، فإنّ من اکتفی بالظن بالعدم أراد به الظن بالعدم واقعا، فلا ینافی قول من اعتبر القطع به ظاهرا، کیف و قد تقرّر عندنا أنّ مآل الظنون الاجتهادیة إلی القطع فی الحکم و العمل و أنّ الظن إنّما هو فی طریقه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کلیّة الکبری، لخروج الظن فیما نحن فیه عن تحت الأصل، فإنّ الظن بعدم المخصّص ظنّ بإرادة العموم من لفظ العامّ، و هو من الظنون الخاصة التی هی فی عرض العلم فی الحجیّة و الاعتبار، لا فی طوله حتی یتوقف اعتباره علی تعذّر العلم و تعسّر الاحتیاط،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أجاب صاحب القوانین</w:t>
      </w:r>
      <w:r>
        <w:rPr>
          <w:rStyle w:val="FootnoteAnchor"/>
          <w:rtl w:val="true"/>
        </w:rPr>
        <w:footnoteReference w:id="533"/>
      </w:r>
      <w:r>
        <w:rPr>
          <w:rFonts w:ascii="IRNazanin" w:hAnsi="IRNazanin" w:eastAsia="IRNazanin"/>
          <w:color w:val="111111"/>
          <w:sz w:val="28"/>
          <w:sz w:val="28"/>
          <w:szCs w:val="28"/>
          <w:rtl w:val="true"/>
          <w:lang w:bidi="fa-IR"/>
        </w:rPr>
        <w:t>عمّن اعتبر الفحص إلی أن یحصل القطع بأنّ الحکم إمّا مرکّب من مقدّمات، أو جزء مرکّب من العبادات، أو بسیط، و اعتبار العلم فی مجموع مقدّمات الحکم المرکّب أو أجزائه متعذّر، فالتکلیف به تکلیف بالمحال، و فی بعضها دون بعض ترجیح بلا مرجّح، و فی الحکم البسیط متعسّر، فالتکلیف به منفی عن الشریعة السمحة بالآیات و الأخبار، مضافا إلی أنّ اعتبار العلم فی عدم المعارض یستلزم اعتباره فی جمیع شرائط الخبر من اتّصال السند و صدق الراوی و سائر کیفیات الدلالة إلّا مع الیأس عن العلم، انتهی محصّل جوابه بعد التنقیح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للخصم أن یجیب عن أصل الجواب باختیار الشقّ الثانی و فرض المرجّح تعذّر العلم فی البعض دون بعض، فلا یلزم من اعتبار العلم فی بعض ما یمکن حصوله فیه دون ما لا یمکن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العلاوة بمنع بطلان اللازم و هو اعتبار القطع فی جمیع شرائط الخبر إلّا مع الیأس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الثانی أنّ المکلّف به هو العلم، و العلم متعذّر، و المرجع فی کلّ متعذر إلی الأقرب فالأقرب إلیه، فالمرجع بعد تعذّر العلم إلی ما یقرب إلیه من الظنون، لا إلی مطلق الظنّ، فإنّ الضرورة تقدّر بقدرها، و المیسور لا یسقط بالمعسور، و ما لا یدرک کلّه لا یترک کلّه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الصغری إن ارید من العلم خصوص القطع، و منع الکبری إن ارید منه ما یعمّ الظنون الخاصّة، إذ الظنّ بعدم المخصّص ظنّ بالمراد من اللفظ و هو من الظنون الخاصّة حسبما عرفت</w:t>
      </w:r>
      <w:r>
        <w:rPr>
          <w:rFonts w:eastAsia="IRNazanin" w:cs="IRNazanin"/>
          <w:color w:val="111111"/>
          <w:sz w:val="28"/>
          <w:szCs w:val="28"/>
          <w:rtl w:val="true"/>
          <w:lang w:bidi="fa-IR"/>
        </w:rPr>
        <w:t xml:space="preserve">. </w:t>
      </w:r>
      <w:bookmarkStart w:id="340" w:name="pg12880_153472"/>
    </w:p>
    <w:p>
      <w:pPr>
        <w:pStyle w:val="Heading3"/>
        <w:numPr>
          <w:ilvl w:val="2"/>
          <w:numId w:val="1"/>
        </w:numPr>
        <w:rPr/>
      </w:pPr>
      <w:bookmarkStart w:id="341" w:name="__RefHeading___Toc2986543_3224264995"/>
      <w:bookmarkStart w:id="342" w:name="_Toc130"/>
      <w:bookmarkEnd w:id="340"/>
      <w:bookmarkEnd w:id="341"/>
      <w:r>
        <w:rPr>
          <w:rtl w:val="true"/>
        </w:rPr>
        <w:t>[</w:t>
      </w:r>
      <w:r>
        <w:rPr>
          <w:rtl w:val="true"/>
        </w:rPr>
        <w:t>أصل المستثنی و المستثنی منه</w:t>
      </w:r>
      <w:r>
        <w:rPr>
          <w:rtl w:val="true"/>
        </w:rPr>
        <w:t>]</w:t>
      </w:r>
      <w:bookmarkEnd w:id="342"/>
    </w:p>
    <w:p>
      <w:pPr>
        <w:pStyle w:val="Heading4"/>
        <w:numPr>
          <w:ilvl w:val="3"/>
          <w:numId w:val="1"/>
        </w:numPr>
        <w:rPr/>
      </w:pPr>
      <w:bookmarkStart w:id="343" w:name="__RefHeading___Toc2986545_3224264995"/>
      <w:bookmarkStart w:id="344" w:name="_Toc131"/>
      <w:bookmarkEnd w:id="343"/>
      <w:r>
        <w:rPr>
          <w:rtl w:val="true"/>
        </w:rPr>
        <w:t>اشارة</w:t>
      </w:r>
      <w:bookmarkEnd w:id="344"/>
    </w:p>
    <w:p>
      <w:pPr>
        <w:pStyle w:val="BookText"/>
        <w:rPr/>
      </w:pPr>
      <w:r>
        <w:rPr>
          <w:rFonts w:ascii="IRNazanin" w:hAnsi="IRNazanin" w:eastAsia="IRNazanin"/>
          <w:color w:val="111111"/>
          <w:sz w:val="28"/>
          <w:sz w:val="28"/>
          <w:szCs w:val="28"/>
          <w:rtl w:val="true"/>
          <w:lang w:bidi="fa-IR"/>
        </w:rPr>
        <w:t>إمّا أن یتّحدان أو یتعدّدان، و حکمهما واضح ممّا مرّ، أو یتعدّد المستثنی دون المستثنی منه، أو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صورة تعدّد المستثنی خاصّة فحکمه أنّه إن کان الثانی معطوفا علی الأوّل کانا جمیعا راجعین إلی المستثنی منه، لوجوب اشتراک المعطوف مع المعطوف علیه فی الحکم، سواء تکرّرت الأداة أولا، هذا إذا لم یستلزم الثانی استغراق المستثنی منه، و إلّا یکون الثانی باطلا و لا یستلزم بطلان الأوّل، فإنّ الحکم به علی خلاف الأصل، فیکتفی فی مورد الثبوت علی أنّ الأوّل وقع موقعه و لا یصح الثانی و لا یقبله الکلام، فیکون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معطوفا فإن أمکن رجوعه إلی متلوّه بأن یکون أقلّ منه تعیّن للقرب و تبادره عند الإطلاق، مع نقل الاتّفاق علی بطلان عکسه و ظهور بطلان رجوعه إلیهما معا عرفا، علی أنّ استعمال مثله یستلزم استعماله فی النفی و الإثبات معا، و هو لغو، مع أنّه لم یثبت جوازه، هذا، و عدم رجوعه إلی شی‌ء منه أظهر بطلانا، بل ضروری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یمکن بأن یکون مستغرقا بالإضافة إلیه بالتساوی أو الزیادة تعیّن رجوعه إلی الأوّل کالمعطوف بالواو، لبقاء محلّ الاستثناء، فإنّ المتکلّم ما دام متشاغلا بالکلام له الإخراج عن عمومه بالاستثناء و عدم إمکان إرجاعه إلی أقرب منه، فتعیّن رجوعه الی متلوّه الأخیر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الاستثناء أزید من اثنین تعیّن ما مرّ أیضا، للأقربیة، و احتمل </w:t>
      </w:r>
      <w:bookmarkStart w:id="345" w:name="pg12880_153473"/>
    </w:p>
    <w:p>
      <w:pPr>
        <w:pStyle w:val="BookText"/>
        <w:rPr/>
      </w:pPr>
      <w:bookmarkEnd w:id="345"/>
      <w:r>
        <w:rPr>
          <w:rFonts w:ascii="IRNazanin" w:hAnsi="IRNazanin" w:eastAsia="IRNazanin"/>
          <w:color w:val="111111"/>
          <w:sz w:val="28"/>
          <w:sz w:val="28"/>
          <w:szCs w:val="28"/>
          <w:rtl w:val="true"/>
          <w:lang w:bidi="fa-IR"/>
        </w:rPr>
        <w:t>النهایة</w:t>
      </w:r>
      <w:r>
        <w:rPr>
          <w:rStyle w:val="FootnoteAnchor"/>
          <w:rtl w:val="true"/>
        </w:rPr>
        <w:footnoteReference w:id="534"/>
      </w:r>
      <w:r>
        <w:rPr>
          <w:rFonts w:ascii="IRNazanin" w:hAnsi="IRNazanin" w:eastAsia="IRNazanin"/>
          <w:color w:val="111111"/>
          <w:sz w:val="28"/>
          <w:sz w:val="28"/>
          <w:szCs w:val="28"/>
          <w:rtl w:val="true"/>
          <w:lang w:bidi="fa-IR"/>
        </w:rPr>
        <w:t>فی التساوی التأکید، و عن بعضهم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تقدیم التأسیس و لا سیّما فی مثله، لعدم سماع التأکید فیه علی ما قال له الاستاد وفاقا لصاحب الإشارات</w:t>
      </w:r>
      <w:r>
        <w:rPr>
          <w:rStyle w:val="FootnoteAnchor"/>
          <w:rtl w:val="true"/>
        </w:rPr>
        <w:footnoteReference w:id="535"/>
      </w:r>
      <w:r>
        <w:rPr>
          <w:rFonts w:ascii="IRNazanin" w:hAnsi="IRNazanin" w:eastAsia="IRNazanin"/>
          <w:color w:val="111111"/>
          <w:sz w:val="28"/>
          <w:sz w:val="28"/>
          <w:szCs w:val="28"/>
          <w:rtl w:val="true"/>
          <w:lang w:bidi="fa-IR"/>
        </w:rPr>
        <w:t>قدّس سرّه و لعلّه من جهة منافاة تأکید الاستثناء الموهم للتقلیل لنکتة إلقاء الکلام علی وجه العموم المقصود منه إیهام التکثیر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آخر لزوم أداء العشرة فیما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عشرة إلّا ثلاثة ثلاثة، معلّلا بأنّ الاستثناء من النفی إثبات، و یردّه ما مرّ فضلا عن استیعابه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صورة تعدّد المستثنی منه مع العطف فقد اختلفوا فیه علی أقوال، و هی المسألة المعنونة بأنّ الاستثناء المتعقّب عمومات متعدّدة هل هو راجع إلی الجمیع أو الأخیر فقط، و تستدعی البصیرة فی المسألة تقدیم مطالب</w:t>
      </w:r>
      <w:r>
        <w:rPr>
          <w:rFonts w:eastAsia="IRNazanin" w:cs="IRNazanin"/>
          <w:color w:val="111111"/>
          <w:sz w:val="28"/>
          <w:szCs w:val="28"/>
          <w:rtl w:val="true"/>
          <w:lang w:bidi="fa-IR"/>
        </w:rPr>
        <w:t>:</w:t>
      </w:r>
    </w:p>
    <w:p>
      <w:pPr>
        <w:pStyle w:val="Heading4"/>
        <w:numPr>
          <w:ilvl w:val="3"/>
          <w:numId w:val="1"/>
        </w:numPr>
        <w:rPr/>
      </w:pPr>
      <w:bookmarkStart w:id="346" w:name="__RefHeading___Toc2986547_3224264995"/>
      <w:bookmarkStart w:id="347" w:name="_Toc132"/>
      <w:bookmarkEnd w:id="346"/>
      <w:r>
        <w:rPr>
          <w:rtl w:val="true"/>
        </w:rPr>
        <w:t>[ [</w:t>
      </w:r>
      <w:r>
        <w:rPr>
          <w:rtl w:val="true"/>
        </w:rPr>
        <w:t>المطلب</w:t>
      </w:r>
      <w:r>
        <w:rPr>
          <w:rtl w:val="true"/>
        </w:rPr>
        <w:t xml:space="preserve">] </w:t>
      </w:r>
      <w:r>
        <w:rPr>
          <w:rtl w:val="true"/>
        </w:rPr>
        <w:t>الأوّل</w:t>
      </w:r>
      <w:r>
        <w:rPr>
          <w:rtl w:val="true"/>
        </w:rPr>
        <w:t xml:space="preserve">: </w:t>
      </w:r>
      <w:r>
        <w:rPr>
          <w:rtl w:val="true"/>
        </w:rPr>
        <w:t>فی تحریر محلّ النزاع،</w:t>
      </w:r>
      <w:r>
        <w:rPr>
          <w:rtl w:val="true"/>
        </w:rPr>
        <w:t>]</w:t>
      </w:r>
      <w:bookmarkEnd w:id="34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المراد من الاستثناء فهل هو خصوص الاخراج بإلّا و أخواته، أو یعمّ سائر أنواع التخصیص بالمتّصل من الشرط و القید و الغایة و البدل؟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فرضهم الخلاف و الاحتجاج فی تعقّب الاستثناء، و من تصریح المعالم</w:t>
      </w:r>
      <w:r>
        <w:rPr>
          <w:rStyle w:val="FootnoteAnchor"/>
          <w:rtl w:val="true"/>
        </w:rPr>
        <w:footnoteReference w:id="536"/>
      </w:r>
      <w:r>
        <w:rPr>
          <w:rFonts w:ascii="IRNazanin" w:hAnsi="IRNazanin" w:eastAsia="IRNazanin"/>
          <w:color w:val="111111"/>
          <w:sz w:val="28"/>
          <w:sz w:val="28"/>
          <w:szCs w:val="28"/>
          <w:rtl w:val="true"/>
          <w:lang w:bidi="fa-IR"/>
        </w:rPr>
        <w:t>و القوانین</w:t>
      </w:r>
      <w:r>
        <w:rPr>
          <w:rStyle w:val="FootnoteAnchor"/>
          <w:rtl w:val="true"/>
        </w:rPr>
        <w:footnoteReference w:id="537"/>
      </w:r>
      <w:r>
        <w:rPr>
          <w:rFonts w:ascii="IRNazanin" w:hAnsi="IRNazanin" w:eastAsia="IRNazanin"/>
          <w:color w:val="111111"/>
          <w:sz w:val="28"/>
          <w:sz w:val="28"/>
          <w:szCs w:val="28"/>
          <w:rtl w:val="true"/>
          <w:lang w:bidi="fa-IR"/>
        </w:rPr>
        <w:t xml:space="preserve">بما یشعر منه الاتّفاق علی عدم الفرق بین أنواع التخصیص، و لکنّ المراد من التخصیص علی تقدیر شمول البحث له و عدم الفرق بینه و بین الاستثناء هو التخصیص بالمتّصل، فإنّ المنفصل خارج عن محلّ البحث، لاستقلاله بالإفادة، و إنّما یقتضی بتخصیص العامّ من جهة بنائه علی الخاص علی ما هو قضیّة تعارض العموم و الخاص المطلقین، و هو إنّما یکون </w:t>
      </w:r>
    </w:p>
    <w:p>
      <w:pPr>
        <w:pStyle w:val="BookText"/>
        <w:rPr/>
      </w:pPr>
      <w:r>
        <w:rPr>
          <w:rFonts w:ascii="IRNazanin" w:hAnsi="IRNazanin" w:eastAsia="IRNazanin"/>
          <w:color w:val="111111"/>
          <w:sz w:val="28"/>
          <w:sz w:val="28"/>
          <w:szCs w:val="28"/>
          <w:rtl w:val="true"/>
          <w:lang w:bidi="fa-IR"/>
        </w:rPr>
        <w:t>بعد مناقضة العامّ علی الخاصّ، و حینئذ فلا یرتبط بغیر ما حصل التعارض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اتّحد حکم العامین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الفقهاء و أکرم الادباء،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و هو مندرج فی الفقهاء و الادباء، فالظاهر رجوع التخصیص إلی العامین، لقضاء إطلاق النهی عن إکرامه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من تعدّد العمومات فأعمّ من التعدّد الناشئ عن اختلاف نفس العمومات کأکرم العلماء و الأصدقاء و الأقرباء إلّا واحدا، و من التعدّد الناشئ عن اختلاف الأحکام مع اتّحاد العمومات بالذات کأکرم العلماء و أضفهم و أخلعهم، و من الملفّق من الجهتین کأکرم العلماء و أضف الأصدقاء و أهن الجهّال إلّا واحدا، و هذا هو مراد من عمّم عنوان تعقّب المخصّص عمومات متعدّدة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 کانت أم مفردة، فالمراد من تعدد الجمل اختلاف الأحکام مع اتّحاد العمومات بالذات کالمثال الثانی، و من المفرد غیره کالمثال الأوّل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من تعدّدها أیضا أعمّ من کونها متعاطفة أو غیرها کما هو ظاهر أکثر عناوینهم، بل و صریح بعضها و إن عنون النزاع بعضهم فی خصوص المتعاطفة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محلّ النزاع من رجوع التخصیص المتعقّب للمتعدّد إلی الأخیر أو المتعدّد إنّما هو فی الظهور و عدمه، لا فی الصحّة و عدمه، و لهذا قیّدوا عنوان البحث فی مرجع التخصیص بصحّة عوده إلی المتعدّد احترازا عن اندراج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الصلحاء إلّا الجهّال، ممّا لا یصحّ عوده إلی المتعدّد فی محل النزاع و إن کان التقیید بالصحة لإخراج ما لم یصحّ ممّا لا حاجة إلیه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لأنّ التقیید إن کان من جهة اشتراط الواضع الصحّة فی وضعه للرجوع </w:t>
      </w:r>
      <w:bookmarkStart w:id="348" w:name="pg12880_153475"/>
    </w:p>
    <w:p>
      <w:pPr>
        <w:pStyle w:val="BookText"/>
        <w:rPr/>
      </w:pPr>
      <w:bookmarkEnd w:id="348"/>
      <w:r>
        <w:rPr>
          <w:rFonts w:ascii="IRNazanin" w:hAnsi="IRNazanin" w:eastAsia="IRNazanin"/>
          <w:color w:val="111111"/>
          <w:sz w:val="28"/>
          <w:sz w:val="28"/>
          <w:szCs w:val="28"/>
          <w:rtl w:val="true"/>
          <w:lang w:bidi="fa-IR"/>
        </w:rPr>
        <w:t>إلی المتعدّد لیکون للتخصیص وضعان فی حالتین فهو عدیم النظیر فی الأوضاع اللغویة أو فی حکم العدم، و إن کان من جهة أنّ عدم الصحّة قرینة صارفة عن الرجوع إلی المتعدّد فاعتبروا عدمه، فأیّ وجه لتخصیص القرینة المذکورة من بین القرائن الصارفة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تخصیصه بالذکر من جهة کونه قرینة داخلیّة قاضیة بعدم الرجوع إلی المتعدّد بخلاف سائر القرائن الخارجیة</w:t>
      </w:r>
      <w:r>
        <w:rPr>
          <w:rFonts w:eastAsia="IRNazanin" w:cs="IRNazanin"/>
          <w:color w:val="111111"/>
          <w:sz w:val="28"/>
          <w:szCs w:val="28"/>
          <w:rtl w:val="true"/>
          <w:lang w:bidi="fa-IR"/>
        </w:rPr>
        <w:t>.</w:t>
      </w:r>
    </w:p>
    <w:p>
      <w:pPr>
        <w:pStyle w:val="Heading4"/>
        <w:numPr>
          <w:ilvl w:val="3"/>
          <w:numId w:val="1"/>
        </w:numPr>
        <w:rPr/>
      </w:pPr>
      <w:bookmarkStart w:id="349" w:name="__RefHeading___Toc2986549_3224264995"/>
      <w:bookmarkStart w:id="350" w:name="_Toc133"/>
      <w:bookmarkEnd w:id="349"/>
      <w:r>
        <w:rPr>
          <w:rtl w:val="true"/>
        </w:rPr>
        <w:t>[</w:t>
      </w:r>
      <w:r>
        <w:rPr>
          <w:rtl w:val="true"/>
        </w:rPr>
        <w:t>المطلب الثانی</w:t>
      </w:r>
      <w:r>
        <w:rPr>
          <w:rtl w:val="true"/>
        </w:rPr>
        <w:t xml:space="preserve">: </w:t>
      </w:r>
      <w:r>
        <w:rPr>
          <w:rtl w:val="true"/>
        </w:rPr>
        <w:t>فی تعداد الأقوال و بیان الفرق بینهما لیستبان الثمرة</w:t>
      </w:r>
      <w:r>
        <w:rPr>
          <w:rtl w:val="true"/>
        </w:rPr>
        <w:t>]</w:t>
      </w:r>
      <w:bookmarkEnd w:id="350"/>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عن الشیخ</w:t>
      </w:r>
      <w:r>
        <w:rPr>
          <w:rStyle w:val="FootnoteAnchor"/>
          <w:rtl w:val="true"/>
        </w:rPr>
        <w:footnoteReference w:id="538"/>
      </w:r>
      <w:r>
        <w:rPr>
          <w:rFonts w:ascii="IRNazanin" w:hAnsi="IRNazanin" w:eastAsia="IRNazanin"/>
          <w:color w:val="111111"/>
          <w:sz w:val="28"/>
          <w:sz w:val="28"/>
          <w:szCs w:val="28"/>
          <w:rtl w:val="true"/>
          <w:lang w:bidi="fa-IR"/>
        </w:rPr>
        <w:t>و الشافعیة</w:t>
      </w:r>
      <w:r>
        <w:rPr>
          <w:rStyle w:val="FootnoteAnchor"/>
          <w:rtl w:val="true"/>
        </w:rPr>
        <w:footnoteReference w:id="539"/>
      </w:r>
      <w:r>
        <w:rPr>
          <w:rFonts w:ascii="IRNazanin" w:hAnsi="IRNazanin" w:eastAsia="IRNazanin"/>
          <w:color w:val="111111"/>
          <w:sz w:val="28"/>
          <w:sz w:val="28"/>
          <w:szCs w:val="28"/>
          <w:rtl w:val="true"/>
          <w:lang w:bidi="fa-IR"/>
        </w:rPr>
        <w:t>من ظهور عوده إلی الجمیع، و هو محتمل لإرادة وضع أداة الاستثناء لکلّی الإخراج عن الجمیع، لیکون وضعها من قبیل الوضع العامّ و الموضوع له العام، و لإرادة وضعها لجزئیات الإخراج عنه، لیکون من قبیل الوضع العام و الموضوع له الخاصّ علی اختلاف الرأیین فی وضع الحروف و المبهمات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منهما یحتمل لإرادة وضعها علی أحد الوجهین للإخراج عن المتعدّد، لیستند الظهور إلی الواضع، و یکون الاستثناء المتعقّب لغیر المتعدّد مجازا و لإرادة وضعها علی أحد الوجهین للإخراج عمّا تقدّمها، إن واحدا فعن واحد، و إن متعدّدا فعن متعدّد، لیستند ظهور المتعقّب للمتعدّد فی المتعدّد إلی قرینة المقام، لا إلی الوضع</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 علی أیّ من التقادیر المحتملة یحتمل أن یراد من عوده إلی المجموع </w:t>
      </w:r>
    </w:p>
    <w:p>
      <w:pPr>
        <w:pStyle w:val="BookText"/>
        <w:rPr/>
      </w:pPr>
      <w:r>
        <w:rPr>
          <w:rFonts w:ascii="IRNazanin" w:hAnsi="IRNazanin" w:eastAsia="IRNazanin"/>
          <w:color w:val="111111"/>
          <w:sz w:val="28"/>
          <w:sz w:val="28"/>
          <w:szCs w:val="28"/>
          <w:rtl w:val="true"/>
          <w:lang w:bidi="fa-IR"/>
        </w:rPr>
        <w:t>إخراج المستثنی من مجموع المذکورات علی وجه التقسیط علیهما، کأن یراد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لزید علی مائة و لعمرو خمسون و لبکر أربعون إلّا خمسة إخراج الخمسة من مجموع المذکورات من غیر أن یراد إخراجه عن کلّ واحد منها، فلا یتعیّن حینئذ خصوص القدر المخرج عن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إخراجه عن کلّ واحد واحد من المذکورات لا علی وجه التقسیط، بل إمّا دفعة لیکون التعدّد فی متعلّق الإخراج نظیر استعمال المشترک فی مجموع معانیه من حیث المجموع، و إمّا علی وجه البدلیّة و التعاقب، لیکون التعدّد فی نفس الإخراج لا فی متعلّقه، نظیر استعمال المشترک فی جمیع معانیه علی ما هو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 فیبعد جدا تنزیل النزاع إلیه، إذ ظاهر کلام القائل برجوعه إلی الجمیع خروج المستثنی بتمامه من الکلّ دون تقسیطه علیه، و أمّا الاحتمال الثالث فلم یثبت أصل رخصة الواضع فیه فضلا عن تنزیل هذا النزاع مع کونه معنونا فی بحث العموم و الخصوص إلی مصداق من مصادیق النزاع فی استعمال اللفظ فی أکثر من معنی و إن زعم القوانین</w:t>
      </w:r>
      <w:r>
        <w:rPr>
          <w:rStyle w:val="FootnoteAnchor"/>
          <w:rtl w:val="true"/>
        </w:rPr>
        <w:footnoteReference w:id="540"/>
      </w:r>
      <w:r>
        <w:rPr>
          <w:rFonts w:ascii="IRNazanin" w:hAnsi="IRNazanin" w:eastAsia="IRNazanin"/>
          <w:color w:val="111111"/>
          <w:sz w:val="28"/>
          <w:sz w:val="28"/>
          <w:szCs w:val="28"/>
          <w:rtl w:val="true"/>
          <w:lang w:bidi="fa-IR"/>
        </w:rPr>
        <w:t>تنزیله علیه، فالمتعیّن هو الاحتمال الثانی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عن الحنفیة و السیوری و المبادی و الفاضلین و الشهید فی الدروس</w:t>
      </w:r>
      <w:r>
        <w:rPr>
          <w:rStyle w:val="FootnoteAnchor"/>
          <w:rtl w:val="true"/>
        </w:rPr>
        <w:footnoteReference w:id="541"/>
      </w:r>
      <w:r>
        <w:rPr>
          <w:rFonts w:ascii="IRNazanin" w:hAnsi="IRNazanin" w:eastAsia="IRNazanin"/>
          <w:color w:val="111111"/>
          <w:sz w:val="28"/>
          <w:sz w:val="28"/>
          <w:szCs w:val="28"/>
          <w:rtl w:val="true"/>
          <w:lang w:bidi="fa-IR"/>
        </w:rPr>
        <w:t xml:space="preserve">و غیرهم من ظهور عوده إلی الأخیرة فقط، و هو محتمل أیضا، لإرادة وضعها لکلیّ الإخراج عن الأخیرة، أو لجزئیات الإخراج عنها لیستند الظهور علی کلّ من التقدیرین إلی الوضع و الاستعمال فی غیر الأخیرة أو </w:t>
      </w:r>
    </w:p>
    <w:p>
      <w:pPr>
        <w:pStyle w:val="BookText"/>
        <w:rPr/>
      </w:pPr>
      <w:r>
        <w:rPr>
          <w:rFonts w:ascii="IRNazanin" w:hAnsi="IRNazanin" w:eastAsia="IRNazanin"/>
          <w:color w:val="111111"/>
          <w:sz w:val="28"/>
          <w:sz w:val="28"/>
          <w:szCs w:val="28"/>
          <w:rtl w:val="true"/>
          <w:lang w:bidi="fa-IR"/>
        </w:rPr>
        <w:t>المجموع من الأخیرة و غیرها إلی المجاز، کما هو المحکیّ عن الحنفیة</w:t>
      </w:r>
      <w:r>
        <w:rPr>
          <w:rStyle w:val="FootnoteAnchor"/>
          <w:rtl w:val="true"/>
        </w:rPr>
        <w:footnoteReference w:id="542"/>
      </w:r>
      <w:r>
        <w:rPr>
          <w:rFonts w:ascii="IRNazanin" w:hAnsi="IRNazanin" w:eastAsia="IRNazanin"/>
          <w:color w:val="111111"/>
          <w:sz w:val="28"/>
          <w:sz w:val="28"/>
          <w:szCs w:val="28"/>
          <w:rtl w:val="true"/>
          <w:lang w:bidi="fa-IR"/>
        </w:rPr>
        <w:t>، و لجزئیات الإخراج عن متعدّد واحد، سواء کان هو الأوّل أو الوسط أو الأخیر کما هو مختار القوانین</w:t>
      </w:r>
      <w:r>
        <w:rPr>
          <w:rStyle w:val="FootnoteAnchor"/>
          <w:rtl w:val="true"/>
        </w:rPr>
        <w:footnoteReference w:id="543"/>
      </w:r>
      <w:r>
        <w:rPr>
          <w:rFonts w:ascii="IRNazanin" w:hAnsi="IRNazanin" w:eastAsia="IRNazanin"/>
          <w:color w:val="111111"/>
          <w:sz w:val="28"/>
          <w:sz w:val="28"/>
          <w:szCs w:val="28"/>
          <w:rtl w:val="true"/>
          <w:lang w:bidi="fa-IR"/>
        </w:rPr>
        <w:t>، و لجزئیات الإخراج المطلق، سواء کان عن متعدّد واحد أو عن مجموع المتعدّدات کما هو مختار الفصول</w:t>
      </w:r>
      <w:r>
        <w:rPr>
          <w:rStyle w:val="FootnoteAnchor"/>
          <w:rtl w:val="true"/>
        </w:rPr>
        <w:footnoteReference w:id="544"/>
      </w:r>
      <w:r>
        <w:rPr>
          <w:rFonts w:ascii="IRNazanin" w:hAnsi="IRNazanin" w:eastAsia="IRNazanin"/>
          <w:color w:val="111111"/>
          <w:sz w:val="28"/>
          <w:sz w:val="28"/>
          <w:szCs w:val="28"/>
          <w:rtl w:val="true"/>
          <w:lang w:bidi="fa-IR"/>
        </w:rPr>
        <w:t>رحمه اللّه و أحد وجهی المعالم</w:t>
      </w:r>
      <w:r>
        <w:rPr>
          <w:rStyle w:val="FootnoteAnchor"/>
          <w:rtl w:val="true"/>
        </w:rPr>
        <w:footnoteReference w:id="545"/>
      </w:r>
      <w:r>
        <w:rPr>
          <w:rFonts w:ascii="IRNazanin" w:hAnsi="IRNazanin" w:eastAsia="IRNazanin"/>
          <w:color w:val="111111"/>
          <w:sz w:val="28"/>
          <w:sz w:val="28"/>
          <w:szCs w:val="28"/>
          <w:rtl w:val="true"/>
          <w:lang w:bidi="fa-IR"/>
        </w:rPr>
        <w:t>لیستند ظهوره فی الأخیرة علی کلّ من التقدیرین إلی غیر الوضع من الشواهد الخارجیة کالأقربیة و القدر المتیقن و أصالة عموم ما عداها و استعماله فی غیر الأخیرة إلی الحقیقة بمعونة قرینة مفهمة، و کذلک فی المجموع من الأخیرة و غیرها علی التقدیر الثانی لا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الاشتراک اللفظی کما عن السیدان</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الاشتراک المعنوی کما هو أحد وجهی عبارة المعالم</w:t>
      </w:r>
      <w:r>
        <w:rPr>
          <w:rStyle w:val="FootnoteAnchor"/>
          <w:rtl w:val="true"/>
        </w:rPr>
        <w:footnoteReference w:id="547"/>
      </w:r>
      <w:r>
        <w:rPr>
          <w:rFonts w:ascii="IRNazanin" w:hAnsi="IRNazanin" w:eastAsia="IRNazanin"/>
          <w:color w:val="111111"/>
          <w:sz w:val="28"/>
          <w:sz w:val="28"/>
          <w:szCs w:val="28"/>
          <w:rtl w:val="true"/>
          <w:lang w:bidi="fa-IR"/>
        </w:rPr>
        <w:t>الذی نسبه إلیه صاحب القوانین</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بالتوقّف، و قد فصّل فی الضوابط</w:t>
      </w:r>
      <w:r>
        <w:rPr>
          <w:rStyle w:val="FootnoteAnchor"/>
          <w:rtl w:val="true"/>
        </w:rPr>
        <w:footnoteReference w:id="549"/>
      </w:r>
      <w:r>
        <w:rPr>
          <w:rFonts w:ascii="IRNazanin" w:hAnsi="IRNazanin" w:eastAsia="IRNazanin"/>
          <w:color w:val="111111"/>
          <w:sz w:val="28"/>
          <w:sz w:val="28"/>
          <w:szCs w:val="28"/>
          <w:rtl w:val="true"/>
          <w:lang w:bidi="fa-IR"/>
        </w:rPr>
        <w:t>بأنّه إذا تعقّب المخصّص عمومات و کان استثناء و المستثنی فردا من المستثنی منه و العمومات أحکاما مختلفة متّحدة بالنوع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جهة الإخبار و الإنشاء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اخلعهم و أضفهم إلّا زیدا رجع إلی الکلّ، أو مختلفة بالنوع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 و اخلعهم و کلّهم </w:t>
      </w:r>
    </w:p>
    <w:p>
      <w:pPr>
        <w:pStyle w:val="BookText"/>
        <w:rPr/>
      </w:pPr>
      <w:r>
        <w:rPr>
          <w:rFonts w:ascii="IRNazanin" w:hAnsi="IRNazanin" w:eastAsia="IRNazanin"/>
          <w:color w:val="111111"/>
          <w:sz w:val="28"/>
          <w:sz w:val="28"/>
          <w:szCs w:val="28"/>
          <w:rtl w:val="true"/>
          <w:lang w:bidi="fa-IR"/>
        </w:rPr>
        <w:t>کاتبون إلّا زیدا رجع إلی الأخیرة، أو لم یکن فردا منه کالفرد فی هذا التفصیل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اخلعهم و أضفهم إلّا یوم الجمعة، أو أکرم العلماء و أضفهم و جعلتهم مخلعین إلّا یوم الجمعة، فالمدار فی تلک الأربعة اتّحاد الحکم نوعا و 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العمومات مفردة بأن یکون التعدّد فی العمومات أنفسها، فإن کان المستثنی فردا رجع إلی الأخیر اتّحد الحکم أو اختلف، أو غیر فرد فکذلک إن اختلف الحکم، و إلّا فإلی الجمیع، أو صفة أو بدل بعض فإلی الأخیر، أو شرطا أو غایة مع اتّحاد الأحکام نوعا فإلی الجمیع، و الّا فإلی الأخیر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المدرک فی التفصیل المذکور هو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تفصّل بتفصیلات أخر یرجع حاصلها إلی اعتماد القرینة علی الأمرین، و فرض وجودها خارج عن محلّ النزاع لا یؤثّر مزید علی الأقوال الخمسة الاول، بقی الکلام فی الفرق بینها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الفرق من حیث القول و المأخذ و الحقیقة و المجاز فقد اتّضح ممّا مر بین کلّ واحد من الأقوال الخمسة و ما عداه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حیث العمل و الثمرة فبین القول بالرجوع إلی الجمیع و بین کلّ واحد من سائر الأقوال فواضح ممّا مرّ أیضا، و أمّا بین سائر الأقوال بعضها مع بعض فعن العضدی و غیره عدم الفرق من تلک الحیثیة، فهی متوافقة فی اختصاصها بتخصیص الأخیرة و عدم تناولها الجمیع و إن اختلفت فی المأخذ، حیث إنّ عدم التناول علی بعضها مستند إلی ظهور عدم التناول، و علی بعضها مستند إلی عدم ظهور التناول و استصحاب عموم ما عدا الأخیرة بأصالة عدم التخصص و عدم قرینیة المشکوک قرینیته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خلافا لصاحب القوانین</w:t>
      </w:r>
      <w:r>
        <w:rPr>
          <w:rStyle w:val="FootnoteAnchor"/>
          <w:rtl w:val="true"/>
        </w:rPr>
        <w:footnoteReference w:id="550"/>
      </w:r>
      <w:r>
        <w:rPr>
          <w:rFonts w:ascii="IRNazanin" w:hAnsi="IRNazanin" w:eastAsia="IRNazanin"/>
          <w:color w:val="111111"/>
          <w:sz w:val="28"/>
          <w:sz w:val="28"/>
          <w:szCs w:val="28"/>
          <w:rtl w:val="true"/>
          <w:lang w:bidi="fa-IR"/>
        </w:rPr>
        <w:t>، حیث فرّق من حیث العمل بین القول بالاشتراک اللفظی و القول بالرجوع إلی الأخیرة باعتبار استصحاب عموم ما عدا الأخیرة بالأصل علی الثانی دون الأوّل، فالمرجع عنده فی عموم ما عدا الأخیرة و تخصیصه علی الاشتراک اللفظی إلی الأصول العملیة، لا إلی أصالة العموم و عدم التخصیص، و ذلک بناء منه علی أنّ الشک فی تخصیص ما عدا الأخیرة شکّ فی المراد من الحادث هل هو تخصیص المجموع أو الأخیر فقط، لا شکّ فی حدوث التخصیص حتّی یعتبر أصالة عدمه، فالشک فی عموم ما عدا الأخیرة عنده شکّ فی المقتضی للعموم، لا فی المانع عنه حتی یستصحب بقائه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بناء علی ما ارتضاه بعض أساتیدنا تبعا لما فی الفرائد</w:t>
      </w:r>
      <w:r>
        <w:rPr>
          <w:rStyle w:val="FootnoteAnchor"/>
          <w:rtl w:val="true"/>
        </w:rPr>
        <w:footnoteReference w:id="551"/>
      </w:r>
      <w:r>
        <w:rPr>
          <w:rFonts w:ascii="IRNazanin" w:hAnsi="IRNazanin" w:eastAsia="IRNazanin"/>
          <w:color w:val="111111"/>
          <w:sz w:val="28"/>
          <w:sz w:val="28"/>
          <w:szCs w:val="28"/>
          <w:rtl w:val="true"/>
          <w:lang w:bidi="fa-IR"/>
        </w:rPr>
        <w:t>من أنّ الشک فی قرینیة الشی‌ء المتّصل باللفظ من حال أو مقال مخلّ بظهور اللفظ بحیث لم یبق ظنّ بإرادة الظهور و لا وثوق باعتبار أصالة العدم، کما لم یبق شی‌ء منهما فی المجاز المشهور و فی الأمر و النهی الواردین فی مظانّ الحظر و الإیجاب علی المشهور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المبنی الأوّل و الثانی أنّ الأوّل مقتضاه کون الشکّ فی المقتضی للعموم، فلا مجری للأصل فیه، و أنّ الثانی مقتضاه کون الشک فی مانعیة الشی‌ء علی وجه لم یعتبر فیه الأصل و إن کان له مجری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فالمدّعی علی کلّ من المبنیین مدفوع</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المبنی الأوّل فلأنّ رجوع الشک فی تخصیص ما عدا الأخیرة علی القول بالاشتراک اللفظی إلی الشکّ فی الحادث دون الحدوث مبنیّ علی الالتزام </w:t>
      </w:r>
      <w:bookmarkStart w:id="351" w:name="pg12880_153480"/>
    </w:p>
    <w:p>
      <w:pPr>
        <w:pStyle w:val="BookText"/>
        <w:rPr/>
      </w:pPr>
      <w:bookmarkEnd w:id="351"/>
      <w:r>
        <w:rPr>
          <w:rFonts w:ascii="IRNazanin" w:hAnsi="IRNazanin" w:eastAsia="IRNazanin"/>
          <w:color w:val="111111"/>
          <w:sz w:val="28"/>
          <w:sz w:val="28"/>
          <w:szCs w:val="28"/>
          <w:rtl w:val="true"/>
          <w:lang w:bidi="fa-IR"/>
        </w:rPr>
        <w:t>بوضع علی حدة للهیئة المرکّبة من الاستثناء المتعقّب للعمومات وراء وضعه الأفرادی، و دونه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المبنی الثانی فلمنع الفرق فی بقاء الظهور و مجری أصالة عدم المانعیة و عدم القرینیة بین اتّصال المشکوک قرینیته و مانعیته باللفظ، و بین انفصاله عنه، و هل تری من وجدانک بعد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الأقرباء و الأصدقاء، فرقا بین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أستثنی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ظهور ما عدا الأخیرة فی العموم؟</w:t>
      </w:r>
    </w:p>
    <w:p>
      <w:pPr>
        <w:pStyle w:val="BookText"/>
        <w:rPr/>
      </w:pPr>
      <w:r>
        <w:rPr>
          <w:rFonts w:ascii="IRNazanin" w:hAnsi="IRNazanin" w:eastAsia="IRNazanin"/>
          <w:color w:val="111111"/>
          <w:sz w:val="28"/>
          <w:sz w:val="28"/>
          <w:szCs w:val="28"/>
          <w:rtl w:val="true"/>
          <w:lang w:bidi="fa-IR"/>
        </w:rPr>
        <w:t>نعم ربّما یتخیّل الفرق لو قلنا باعتبار ظواهر الألفاظ من باب الظن الشخصی لا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تنظیره الاستثناء المتعقّب للجمل بوقوع الأمر عقیب الحضر و المجاز المشهور فی عدم اعتبار أصالة الحقیقة، فممنوع، لأنّ عدم اعتبارها علی القول به فیهما لیس لمجرّد الشکّ فی قرینیة الوقوع عقیب الحظر و مانعیّة الشهرة، بل إنّما هو لغلبة القرینیّة و المانعیّة الحاصلة من الاستقراء فیهما دونه و هو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الوجه فی البناء علی أصالة عدم مخصّصیّة المشکوک مخصّصیته هو سلامتها عن المعارض، و فی عدم البناء علی أصالة عدم قرینیّة الشهرة و نحوها هو معارضتها بغلبة عدم إهمالها حسبما مرّ فی محلّه</w:t>
      </w:r>
      <w:r>
        <w:rPr>
          <w:rFonts w:eastAsia="IRNazanin" w:cs="IRNazanin"/>
          <w:color w:val="111111"/>
          <w:sz w:val="28"/>
          <w:szCs w:val="28"/>
          <w:rtl w:val="true"/>
          <w:lang w:bidi="fa-IR"/>
        </w:rPr>
        <w:t>.</w:t>
      </w:r>
    </w:p>
    <w:p>
      <w:pPr>
        <w:pStyle w:val="Heading4"/>
        <w:numPr>
          <w:ilvl w:val="3"/>
          <w:numId w:val="1"/>
        </w:numPr>
        <w:rPr/>
      </w:pPr>
      <w:bookmarkStart w:id="352" w:name="__RefHeading___Toc2986551_3224264995"/>
      <w:bookmarkStart w:id="353" w:name="_Toc134"/>
      <w:bookmarkEnd w:id="352"/>
      <w:r>
        <w:rPr>
          <w:rtl w:val="true"/>
        </w:rPr>
        <w:t>[</w:t>
      </w:r>
      <w:r>
        <w:rPr>
          <w:rtl w:val="true"/>
        </w:rPr>
        <w:t>المطلب الثالث</w:t>
      </w:r>
      <w:r>
        <w:rPr>
          <w:rtl w:val="true"/>
        </w:rPr>
        <w:t xml:space="preserve">: </w:t>
      </w:r>
      <w:r>
        <w:rPr>
          <w:rtl w:val="true"/>
        </w:rPr>
        <w:t>فی تعیین أنّ العلاقة المصحّحة لإرجاع الاستثناء إلی الجمیع</w:t>
      </w:r>
      <w:r>
        <w:rPr>
          <w:rtl w:val="true"/>
        </w:rPr>
        <w:t>]</w:t>
      </w:r>
      <w:bookmarkEnd w:id="353"/>
    </w:p>
    <w:p>
      <w:pPr>
        <w:pStyle w:val="BookText"/>
        <w:rPr/>
      </w:pPr>
      <w:r>
        <w:rPr>
          <w:rFonts w:ascii="IRNazanin" w:hAnsi="IRNazanin" w:eastAsia="IRNazanin"/>
          <w:color w:val="111111"/>
          <w:sz w:val="28"/>
          <w:sz w:val="28"/>
          <w:szCs w:val="28"/>
          <w:rtl w:val="true"/>
          <w:lang w:bidi="fa-IR"/>
        </w:rPr>
        <w:t>علی تقدیر وضعه للرجوع إلی الأخیرة فقط أیّ نوع من أنواع العلائق؟</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بعض أنّ المصحّح رخصة الواضع و إن لم تصادف شیئا من العلائق المألوفة</w:t>
      </w:r>
      <w:r>
        <w:rPr>
          <w:rFonts w:eastAsia="IRNazanin" w:cs="IRNazanin"/>
          <w:color w:val="111111"/>
          <w:sz w:val="28"/>
          <w:szCs w:val="28"/>
          <w:rtl w:val="true"/>
          <w:lang w:bidi="fa-IR"/>
        </w:rPr>
        <w:t xml:space="preserve">. </w:t>
      </w:r>
      <w:bookmarkStart w:id="354" w:name="pg12880_153481"/>
    </w:p>
    <w:p>
      <w:pPr>
        <w:pStyle w:val="Heading4"/>
        <w:numPr>
          <w:ilvl w:val="3"/>
          <w:numId w:val="1"/>
        </w:numPr>
        <w:rPr/>
      </w:pPr>
      <w:bookmarkStart w:id="355" w:name="__RefHeading___Toc2986553_3224264995"/>
      <w:bookmarkStart w:id="356" w:name="_Toc135"/>
      <w:bookmarkEnd w:id="354"/>
      <w:bookmarkEnd w:id="355"/>
      <w:r>
        <w:rPr>
          <w:rtl w:val="true"/>
        </w:rPr>
        <w:t>[</w:t>
      </w:r>
      <w:r>
        <w:rPr>
          <w:rtl w:val="true"/>
        </w:rPr>
        <w:t>بیان مختار فی المسألة</w:t>
      </w:r>
      <w:r>
        <w:rPr>
          <w:rtl w:val="true"/>
        </w:rPr>
        <w:t>]</w:t>
      </w:r>
      <w:bookmarkEnd w:id="356"/>
    </w:p>
    <w:p>
      <w:pPr>
        <w:pStyle w:val="BookText"/>
        <w:rPr/>
      </w:pPr>
      <w:r>
        <w:rPr>
          <w:rFonts w:ascii="IRNazanin" w:hAnsi="IRNazanin" w:eastAsia="IRNazanin"/>
          <w:color w:val="111111"/>
          <w:sz w:val="28"/>
          <w:sz w:val="28"/>
          <w:szCs w:val="28"/>
          <w:rtl w:val="true"/>
          <w:lang w:bidi="fa-IR"/>
        </w:rPr>
        <w:t>و یدفعه أنّ وجود العلاقة کما هی کاشفة عن وجود الرخصة، کذلک وجود الرخصة کاشفة عن وجود العلاقة أو الوضع لا محالة بدلیل الاستقراء، فانفکاک الرخصة عن العلاقة مجرّد فرض لا وقوع له فی الاستعمال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 آخر أنّ المصحّح علاقة التشبیه یعنی تشبیه الاستثناء من الکلّ بالاستثناء من الأخیر تأویلا و تنزیلا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شهادة الوجدان علی عدم دوران الاستعمال مدار ملاحظة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 آخر کونه علاقة المقیّد و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أنّ الإخراج من الأخیر فقط جزء عقلی من الإخراج عن کلّ واحد من المذکورات، لا جزئی من جزئیاته حتّی یتحقق بینهما علاقة الجزئی و الکلّی، و لا جزء خارجی حتّی تصحّحه علاقة الجزء و الکلّ،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الإخراج عن الأخیرة فقط استعمال فی مطلق الإخراج ثمّ استعمال مطلق الإخراج فی الإخراج عن کلّ واحد، لکنّه مبنیّ علی جواز سبک المجاز من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 آخر کونه علاقة الخصوص و العموم، و قد نقل استادنا العلّامة دام ظلّه عن المیر فی الحاشیة دعوی الوفاق علی أنّه کما أنّ علاقة العموم و الخصوص مصحّحة لاستعمال العامّ فی الخاصّ، کذلک علاقة الخصوص و العموم مصحّحة لاستعمال الخاصّ فی العامّ، و فی هذا النقل الکفایة سیّما فی مثل المسألة من مباحث الألفاظ</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اذا تمهّدت المقدّمات فاعلم أنّ الأظهر ظهور الاستثناء المتعقّب عمومات فی الرجوع إلی الأخیرة و إبقاء ما عدا الأخیرة علی العموم بأصالة الحقیقة و العموم ما لم یقم علی الإخراج قرینة خارجیّة من القرائن الحالیّة و المقامیّة، و هل الظهور وضعی أم إطلاقی وجهان، و ما استدلّ به علی تعیین أحدهما من الأدلّة الاجتهادیة </w:t>
      </w:r>
      <w:bookmarkStart w:id="357" w:name="pg12880_153482"/>
    </w:p>
    <w:p>
      <w:pPr>
        <w:pStyle w:val="BookText"/>
        <w:rPr/>
      </w:pPr>
      <w:bookmarkEnd w:id="357"/>
      <w:r>
        <w:rPr>
          <w:rFonts w:ascii="IRNazanin" w:hAnsi="IRNazanin" w:eastAsia="IRNazanin"/>
          <w:color w:val="111111"/>
          <w:sz w:val="28"/>
          <w:sz w:val="28"/>
          <w:szCs w:val="28"/>
          <w:rtl w:val="true"/>
          <w:lang w:bidi="fa-IR"/>
        </w:rPr>
        <w:t>کالتبادر و نحوه غیر سلیم عن المناقشة، فیتعیّن الرجوع فی تعیینه إلی الاصول الفقاهیة و الأصل و الغلبة عندنا مع الوضع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کیفیة وضع أداة الاستثناء فهو تابع لوضع الحروف و المبهمات، لعدم خروج أداة الاستثناء عن أحد النوعین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کیفیة وضع المستثنی فهو تابع لکیفیّة نوعه أیضا، فإن کان من نوع المشتقّات فکالمشتقّات، و من غیره فکغیره، و أمّا حجج المختلفین فی المسألة و جوابها فیطلب من الکتب المألوفة</w:t>
      </w:r>
      <w:r>
        <w:rPr>
          <w:rFonts w:eastAsia="IRNazanin" w:cs="IRNazanin"/>
          <w:color w:val="111111"/>
          <w:sz w:val="28"/>
          <w:szCs w:val="28"/>
          <w:rtl w:val="true"/>
          <w:lang w:bidi="fa-IR"/>
        </w:rPr>
        <w:t>.</w:t>
      </w:r>
    </w:p>
    <w:p>
      <w:pPr>
        <w:pStyle w:val="Heading3"/>
        <w:numPr>
          <w:ilvl w:val="2"/>
          <w:numId w:val="1"/>
        </w:numPr>
        <w:rPr/>
      </w:pPr>
      <w:bookmarkStart w:id="358" w:name="__RefHeading___Toc2986555_3224264995"/>
      <w:bookmarkStart w:id="359" w:name="_Toc136"/>
      <w:bookmarkEnd w:id="358"/>
      <w:r>
        <w:rPr>
          <w:rtl w:val="true"/>
        </w:rPr>
        <w:t>[</w:t>
      </w:r>
      <w:r>
        <w:rPr>
          <w:rtl w:val="true"/>
        </w:rPr>
        <w:t>أصل رجوع الضمیر إلی بعض أفراد العامّ</w:t>
      </w:r>
      <w:r>
        <w:rPr>
          <w:rtl w:val="true"/>
        </w:rPr>
        <w:t>]</w:t>
      </w:r>
      <w:bookmarkEnd w:id="359"/>
    </w:p>
    <w:p>
      <w:pPr>
        <w:pStyle w:val="BookText"/>
        <w:rPr/>
      </w:pPr>
      <w:r>
        <w:rPr>
          <w:rFonts w:ascii="IRNazanin" w:hAnsi="IRNazanin" w:eastAsia="IRNazanin"/>
          <w:color w:val="111111"/>
          <w:sz w:val="28"/>
          <w:sz w:val="28"/>
          <w:szCs w:val="28"/>
          <w:rtl w:val="true"/>
          <w:lang w:bidi="fa-IR"/>
        </w:rPr>
        <w:t>هل یوجب تخصیصه، کما اختاره الضوابط</w:t>
      </w:r>
      <w:r>
        <w:rPr>
          <w:rStyle w:val="FootnoteAnchor"/>
          <w:rtl w:val="true"/>
        </w:rPr>
        <w:footnoteReference w:id="552"/>
      </w:r>
      <w:r>
        <w:rPr>
          <w:rFonts w:ascii="IRNazanin" w:hAnsi="IRNazanin" w:eastAsia="IRNazanin"/>
          <w:color w:val="111111"/>
          <w:sz w:val="28"/>
          <w:sz w:val="28"/>
          <w:szCs w:val="28"/>
          <w:rtl w:val="true"/>
          <w:lang w:bidi="fa-IR"/>
        </w:rPr>
        <w:t>تبعا لجمع من الناس و للعلّامة فی النهایة</w:t>
      </w:r>
      <w:r>
        <w:rPr>
          <w:rStyle w:val="FootnoteAnchor"/>
          <w:rtl w:val="true"/>
        </w:rPr>
        <w:footnoteReference w:id="553"/>
      </w:r>
      <w:r>
        <w:rPr>
          <w:rFonts w:ascii="IRNazanin" w:hAnsi="IRNazanin" w:eastAsia="IRNazanin"/>
          <w:color w:val="111111"/>
          <w:sz w:val="28"/>
          <w:sz w:val="28"/>
          <w:szCs w:val="28"/>
          <w:rtl w:val="true"/>
          <w:lang w:bidi="fa-IR"/>
        </w:rPr>
        <w:t>، أو لا یخصّصه کما هو الأقرب وفاقا لاستادنا العلّامة و صاحب القوانین</w:t>
      </w:r>
      <w:r>
        <w:rPr>
          <w:rStyle w:val="FootnoteAnchor"/>
          <w:rtl w:val="true"/>
        </w:rPr>
        <w:footnoteReference w:id="554"/>
      </w:r>
      <w:r>
        <w:rPr>
          <w:rFonts w:ascii="IRNazanin" w:hAnsi="IRNazanin" w:eastAsia="IRNazanin"/>
          <w:color w:val="111111"/>
          <w:sz w:val="28"/>
          <w:sz w:val="28"/>
          <w:szCs w:val="28"/>
          <w:rtl w:val="true"/>
          <w:lang w:bidi="fa-IR"/>
        </w:rPr>
        <w:t>و الفصول</w:t>
      </w:r>
      <w:r>
        <w:rPr>
          <w:rStyle w:val="FootnoteAnchor"/>
          <w:rtl w:val="true"/>
        </w:rPr>
        <w:footnoteReference w:id="555"/>
      </w:r>
      <w:r>
        <w:rPr>
          <w:rFonts w:ascii="IRNazanin" w:hAnsi="IRNazanin" w:eastAsia="IRNazanin"/>
          <w:color w:val="111111"/>
          <w:sz w:val="28"/>
          <w:sz w:val="28"/>
          <w:szCs w:val="28"/>
          <w:rtl w:val="true"/>
          <w:lang w:bidi="fa-IR"/>
        </w:rPr>
        <w:t>و الشیخ</w:t>
      </w:r>
      <w:r>
        <w:rPr>
          <w:rStyle w:val="FootnoteAnchor"/>
          <w:rtl w:val="true"/>
        </w:rPr>
        <w:footnoteReference w:id="556"/>
      </w:r>
      <w:r>
        <w:rPr>
          <w:rFonts w:ascii="IRNazanin" w:hAnsi="IRNazanin" w:eastAsia="IRNazanin"/>
          <w:color w:val="111111"/>
          <w:sz w:val="28"/>
          <w:sz w:val="28"/>
          <w:szCs w:val="28"/>
          <w:rtl w:val="true"/>
          <w:lang w:bidi="fa-IR"/>
        </w:rPr>
        <w:t>و جماعة من العامّة، أو الوقف کما استقربه المعالم</w:t>
      </w:r>
      <w:r>
        <w:rPr>
          <w:rStyle w:val="FootnoteAnchor"/>
          <w:rtl w:val="true"/>
        </w:rPr>
        <w:footnoteReference w:id="557"/>
      </w:r>
      <w:r>
        <w:rPr>
          <w:rFonts w:ascii="IRNazanin" w:hAnsi="IRNazanin" w:eastAsia="IRNazanin"/>
          <w:color w:val="111111"/>
          <w:sz w:val="28"/>
          <w:sz w:val="28"/>
          <w:szCs w:val="28"/>
          <w:rtl w:val="true"/>
          <w:lang w:bidi="fa-IR"/>
        </w:rPr>
        <w:t>تبعا لما حکاه عن المحقّق</w:t>
      </w:r>
      <w:r>
        <w:rPr>
          <w:rStyle w:val="FootnoteAnchor"/>
          <w:rtl w:val="true"/>
        </w:rPr>
        <w:footnoteReference w:id="558"/>
      </w:r>
      <w:r>
        <w:rPr>
          <w:rFonts w:ascii="IRNazanin" w:hAnsi="IRNazanin" w:eastAsia="IRNazanin"/>
          <w:color w:val="111111"/>
          <w:sz w:val="28"/>
          <w:sz w:val="28"/>
          <w:szCs w:val="28"/>
          <w:rtl w:val="true"/>
          <w:lang w:bidi="fa-IR"/>
        </w:rPr>
        <w:t>و المرتضی</w:t>
      </w:r>
      <w:r>
        <w:rPr>
          <w:rStyle w:val="FootnoteAnchor"/>
          <w:rtl w:val="true"/>
        </w:rPr>
        <w:footnoteReference w:id="559"/>
      </w:r>
      <w:r>
        <w:rPr>
          <w:rFonts w:ascii="IRNazanin" w:hAnsi="IRNazanin" w:eastAsia="IRNazanin"/>
          <w:color w:val="111111"/>
          <w:sz w:val="28"/>
          <w:sz w:val="28"/>
          <w:szCs w:val="28"/>
          <w:rtl w:val="true"/>
          <w:lang w:bidi="fa-IR"/>
        </w:rPr>
        <w:t>و العلّامة فی التهذیب</w:t>
      </w:r>
      <w:r>
        <w:rPr>
          <w:rStyle w:val="FootnoteAnchor"/>
          <w:rtl w:val="true"/>
        </w:rPr>
        <w:footnoteReference w:id="560"/>
      </w: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ذلک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یَتَرَبَّصْنَ بِأَنْفُسِهِنَّ ثَلاثَةَ قُرُوءٍ إلی </w:t>
      </w:r>
    </w:p>
    <w:p>
      <w:pPr>
        <w:pStyle w:val="BookText"/>
        <w:rPr/>
      </w:pP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w:t>
      </w:r>
      <w:r>
        <w:rPr>
          <w:rStyle w:val="FootnoteAnchor"/>
          <w:rtl w:val="true"/>
        </w:rPr>
        <w:footnoteReference w:id="561"/>
      </w:r>
      <w:r>
        <w:rPr>
          <w:rFonts w:ascii="IRNazanin" w:hAnsi="IRNazanin" w:eastAsia="IRNazanin"/>
          <w:color w:val="111111"/>
          <w:sz w:val="28"/>
          <w:sz w:val="28"/>
          <w:szCs w:val="28"/>
          <w:rtl w:val="true"/>
          <w:lang w:bidi="fa-IR"/>
        </w:rPr>
        <w:t xml:space="preserve">فإنّ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للرجعیات، فعلی الأوّل یختصّ التربّص بهنّ، و علی الثانی یعمّ البائنات، و علی الثالث یتوقّف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ما اخترناه أنّ بناء العقلاء و دیدنهم جار علی اغتفارهم فی الثوانی من التصرّف و المسامحة ما لا یغتفرونه فی الأوائل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من ذلک ما استدلّ به فی القوانین</w:t>
      </w:r>
      <w:r>
        <w:rPr>
          <w:rStyle w:val="FootnoteAnchor"/>
          <w:rtl w:val="true"/>
        </w:rPr>
        <w:footnoteReference w:id="562"/>
      </w:r>
      <w:r>
        <w:rPr>
          <w:rFonts w:ascii="IRNazanin" w:hAnsi="IRNazanin" w:eastAsia="IRNazanin"/>
          <w:color w:val="111111"/>
          <w:sz w:val="28"/>
          <w:sz w:val="28"/>
          <w:szCs w:val="28"/>
          <w:rtl w:val="true"/>
          <w:lang w:bidi="fa-IR"/>
        </w:rPr>
        <w:t>من أنّ الظاهر أصل، و الضمیر تابع، و الدلالة الأصلیة أقوی من الدلالة التبعیة، و التصرّف فی الأضعف أسهل، مضافا إلی أصالة الحقیقة و العموم و عدم مخصّصیّة المشکوک مخصصیّته و عدم قرینیّة المشکوک قرینیّته، و عدم مانعیّة المشکوک مانعیّته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المخصّصة دعوی فهم العرف، و أنّ العرف متی فهم من الضمیر معنی حکم بأنّه المراد من المرجع، سواء کان المرجع حقیقة فیه أم مجازا، فلا حاجة إلی بیان أنّ الضمیر حقیقة فیما کان المرجع حقیقة مطلقا، أو إذا کان ظاهرا فیه، أو إذا کان مرادا منه، أو فیما کان المرجع ظاهرا فیه مطلقا أو بشرط کونه مرادا، أو فیما کان مرادا من المرجع و لکنّه لم یثبت</w:t>
      </w:r>
      <w:r>
        <w:rPr>
          <w:rFonts w:eastAsia="IRNazanin" w:cs="IRNazanin"/>
          <w:color w:val="111111"/>
          <w:sz w:val="28"/>
          <w:szCs w:val="28"/>
          <w:rtl w:val="true"/>
          <w:lang w:bidi="fa-IR"/>
        </w:rPr>
        <w:t xml:space="preserve">. </w:t>
      </w:r>
      <w:bookmarkStart w:id="360" w:name="pg12880_153484"/>
    </w:p>
    <w:p>
      <w:pPr>
        <w:pStyle w:val="Heading3"/>
        <w:numPr>
          <w:ilvl w:val="2"/>
          <w:numId w:val="1"/>
        </w:numPr>
        <w:rPr/>
      </w:pPr>
      <w:bookmarkStart w:id="361" w:name="__RefHeading___Toc2986557_3224264995"/>
      <w:bookmarkStart w:id="362" w:name="_Toc137"/>
      <w:bookmarkEnd w:id="360"/>
      <w:bookmarkEnd w:id="361"/>
      <w:r>
        <w:rPr>
          <w:rtl w:val="true"/>
        </w:rPr>
        <w:t>[</w:t>
      </w:r>
      <w:r>
        <w:rPr>
          <w:rtl w:val="true"/>
        </w:rPr>
        <w:t>أصل اختلفوا فی جواز تخصیص العامّ بمفهوم المخالفة</w:t>
      </w:r>
      <w:r>
        <w:rPr>
          <w:rtl w:val="true"/>
        </w:rPr>
        <w:t>]</w:t>
      </w:r>
      <w:bookmarkEnd w:id="362"/>
    </w:p>
    <w:p>
      <w:pPr>
        <w:pStyle w:val="BookText"/>
        <w:rPr/>
      </w:pPr>
      <w:r>
        <w:rPr>
          <w:rFonts w:ascii="IRNazanin" w:hAnsi="IRNazanin" w:eastAsia="IRNazanin"/>
          <w:color w:val="111111"/>
          <w:sz w:val="28"/>
          <w:sz w:val="28"/>
          <w:szCs w:val="28"/>
          <w:rtl w:val="true"/>
          <w:lang w:bidi="fa-IR"/>
        </w:rPr>
        <w:t>بعد اتّفاقهم علی جوازه فی مفهوم الموافقة علی أقوال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و الأظهر الجواز وفاقا للمشهور و لکن لا لمجرّد ما استدلّ به البعض من أنّه جمع بین الدلیلین المتعارضین، و الجمع مهما أمکن أولی من الطرح، فإنّ وجوه الجمع لا تنحصر فی التخصیص، إذ کما یمکن الجمع بإلغاء العموم، کذلک یمکن بإلغاء المفهوم أو ارتکاب الإضمار أو التقدیر، إلی غیر ذلک من وجوه الجمع، مضافا إلی أنّ أولویة الجمع من الطرح تبرعیة لا دلیل علی لزومها لیجدی المدعی، بل لأنّ اجتماعهما مع تساویهما قرینة علی إرادة التخصیص عرفا سیّما مع أغلبیة التخصیص و اولویته من سائر وجوه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الخصم بأنّ المنطوق و إن کان عاما فهو أقوی دلالة من المفهوم و إن کان خاصّا فلا یصلح لمعارضته، فإنّ الخاصّ إنّما یقدّم علی العامّ إذا کان أقوی دلالة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اجیب عنه تارة بمنع الکبری و أنّ الجمع بین الدلیلین أولی من إبطال أحدهما و إن کان أضعف، و اخری بمنع الصغری بتقریب أنّ دلالة المفهوم لا یقصّر عن المنطوق غالبا فی القوّة کمفهوم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 ما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المعتضد بالشواهد الخارجیة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الجواب الأوّل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منه جدّا، ضرورة أنّ المدار و المرجع فی تعارض الظاهرین إنّما هو علی المرجّحات الدلالیّة من القوّة و الضعف إن وجد، و إلّا فإلی المرجّحات الخارجیّة إن وجدت، و إلّا فإلی التخییر أو التساقط و الرجوع إلی الاصل أو التوقّف علی اختلاف الآراء</w:t>
      </w:r>
      <w:r>
        <w:rPr>
          <w:rFonts w:eastAsia="IRNazanin" w:cs="IRNazanin"/>
          <w:color w:val="111111"/>
          <w:sz w:val="28"/>
          <w:szCs w:val="28"/>
          <w:rtl w:val="true"/>
          <w:lang w:bidi="fa-IR"/>
        </w:rPr>
        <w:t xml:space="preserve">. </w:t>
      </w:r>
      <w:bookmarkStart w:id="363" w:name="pg12880_153485"/>
    </w:p>
    <w:p>
      <w:pPr>
        <w:pStyle w:val="BookText"/>
        <w:rPr/>
      </w:pPr>
      <w:bookmarkEnd w:id="363"/>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أولویّة الجمع لا یعیّن التخصیص بعد ما عرفت من تعدّد وجوه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یرد علی الجواب الثانی بأنّ دعوی المساواة فی الغالب علی تقدیر تسلیمها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ترجیح أصل التخصیص، بل توجب المصیر إلی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ترجیح التخصیص مطلقا حتی فی الفرض الغیر الغالب کما هو المدّعی، کفرض ضعف المفهوم کمفهوم الشرط الغیر الصریح مع قوة العموم کعموم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فالصواب فی الجواب عن حجّة الخصم منع کون المفهوم أضعف من المنطوق مطلقا، و دعوی أنّ دلالة الخاصّ و إن کان مفهوما أقوی عرفا من دلالة العامّ و إن کان منطوقا فی جمیع الموارد، لا فی الغالب فقط، سیّما مع شیوع التخصیص و أولویّته من سائر أنواع المجاز</w:t>
      </w:r>
      <w:r>
        <w:rPr>
          <w:rFonts w:eastAsia="IRNazanin" w:cs="IRNazanin"/>
          <w:color w:val="111111"/>
          <w:sz w:val="28"/>
          <w:szCs w:val="28"/>
          <w:rtl w:val="true"/>
          <w:lang w:bidi="fa-IR"/>
        </w:rPr>
        <w:t>.</w:t>
      </w:r>
    </w:p>
    <w:p>
      <w:pPr>
        <w:pStyle w:val="Heading3"/>
        <w:numPr>
          <w:ilvl w:val="2"/>
          <w:numId w:val="1"/>
        </w:numPr>
        <w:rPr/>
      </w:pPr>
      <w:bookmarkStart w:id="364" w:name="__RefHeading___Toc2986559_3224264995"/>
      <w:bookmarkStart w:id="365" w:name="_Toc138"/>
      <w:bookmarkEnd w:id="364"/>
      <w:r>
        <w:rPr>
          <w:rtl w:val="true"/>
        </w:rPr>
        <w:t>[</w:t>
      </w:r>
      <w:r>
        <w:rPr>
          <w:rtl w:val="true"/>
        </w:rPr>
        <w:t>أصل لا ریب فی جواز تخصیص کلّ من الکتاب و الخبر المتواتر</w:t>
      </w:r>
      <w:r>
        <w:rPr>
          <w:rtl w:val="true"/>
        </w:rPr>
        <w:t>]</w:t>
      </w:r>
      <w:bookmarkEnd w:id="365"/>
    </w:p>
    <w:p>
      <w:pPr>
        <w:pStyle w:val="Heading4"/>
        <w:numPr>
          <w:ilvl w:val="3"/>
          <w:numId w:val="1"/>
        </w:numPr>
        <w:rPr/>
      </w:pPr>
      <w:bookmarkStart w:id="366" w:name="__RefHeading___Toc2986561_3224264995"/>
      <w:bookmarkStart w:id="367" w:name="_Toc139"/>
      <w:bookmarkEnd w:id="366"/>
      <w:r>
        <w:rPr>
          <w:rtl w:val="true"/>
        </w:rPr>
        <w:t>اشارة</w:t>
      </w:r>
      <w:bookmarkEnd w:id="367"/>
    </w:p>
    <w:p>
      <w:pPr>
        <w:pStyle w:val="BookText"/>
        <w:rPr/>
      </w:pPr>
      <w:r>
        <w:rPr>
          <w:rFonts w:ascii="IRNazanin" w:hAnsi="IRNazanin" w:eastAsia="IRNazanin"/>
          <w:color w:val="111111"/>
          <w:sz w:val="28"/>
          <w:sz w:val="28"/>
          <w:szCs w:val="28"/>
          <w:rtl w:val="true"/>
          <w:lang w:bidi="fa-IR"/>
        </w:rPr>
        <w:t>و ما فی معناه من الخبر المحفوف بقرائن العلم بنفسه و بالآخر و تخصیص خبر الواحد، حیث نقول بحجّیته بنفسه و بهما، و تخصیص الکلّ بالإجماع القطعی و العقل، و وجهها ظاهر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اختلفوا فی تخصیص الکتاب بخبر الواحد المجرّد عن قرائن العلم حیث قلنا بحجّیته علی أقوال،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العامّ المخصّص بدلیل قطعی فیجوز، و بین غیره فلا، 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العامّ المخصّص بدلیل منفصل و لو ظنیا فیجوز، و بین غیره فلا، 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التوقّف، و تستدعی البصیرة تقدیم </w:t>
      </w:r>
      <w:bookmarkStart w:id="368" w:name="pg12880_153486"/>
    </w:p>
    <w:p>
      <w:pPr>
        <w:pStyle w:val="BookText"/>
        <w:rPr/>
      </w:pPr>
      <w:bookmarkEnd w:id="368"/>
      <w:r>
        <w:rPr>
          <w:rFonts w:ascii="Amiri" w:hAnsi="Amiri" w:eastAsia="Amiri" w:cs="Amiri"/>
          <w:color w:val="111111"/>
          <w:sz w:val="28"/>
          <w:sz w:val="28"/>
          <w:szCs w:val="28"/>
          <w:rtl w:val="true"/>
          <w:lang w:bidi="ar-SA"/>
        </w:rPr>
        <w:t>مقدّمتین</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2986563_3224264995"/>
      <w:bookmarkStart w:id="370" w:name="_Toc140"/>
      <w:bookmarkEnd w:id="369"/>
      <w:r>
        <w:rPr>
          <w:rtl w:val="true"/>
        </w:rPr>
        <w:t>[ [</w:t>
      </w:r>
      <w:r>
        <w:rPr>
          <w:rtl w:val="true"/>
        </w:rPr>
        <w:t>المقدّمة</w:t>
      </w:r>
      <w:r>
        <w:rPr>
          <w:rtl w:val="true"/>
        </w:rPr>
        <w:t xml:space="preserve">] </w:t>
      </w:r>
      <w:r>
        <w:rPr>
          <w:rtl w:val="true"/>
        </w:rPr>
        <w:t>الاولی</w:t>
      </w:r>
      <w:r>
        <w:rPr>
          <w:rtl w:val="true"/>
        </w:rPr>
        <w:t xml:space="preserve">: </w:t>
      </w:r>
      <w:r>
        <w:rPr>
          <w:rtl w:val="true"/>
        </w:rPr>
        <w:t>فی تحریر محلّ النزاع و هو من جهات</w:t>
      </w:r>
      <w:r>
        <w:rPr>
          <w:rtl w:val="true"/>
        </w:rPr>
        <w:t>.]</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إنّما هو بعد الفراغ عن حجیّة کلّ من الکتاب و الخبر علی الإطلاق و تساویهما فی تنافی الدلالتین فی بادی النظر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الإحراز من طرف الخبر الحجیّة و کونها علی وجه الإطلاق، لا علی وجه التقیید بعدم منافاته للکتاب، و من طرف الکتاب وضع لفظ للعموم و حجیّة عمومات الکتاب و عدم تخصیص ذلک العامّ بمجمل و لا بمبین علی وجه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بعدم حجیّة العامّ المخصّص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بعدم وضع صیغة للعامّ تخصّه، أو علی عدم حجیّة الکتاب، أو علی تخصیصه بمجمل أو بمبیّن علی الوجه المذکور فلا نزاع فی طرح العموم و 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علی تقدیر عدم حجیّة الخبر، أو علی تقدیر حجّیته المقیّدة بعدم معارضة الکتاب لا نزاع فی طرح الخبر و العمل بالعموم، إلّا إذا فرض استفادة الظنّ منه، فإنّ الظنّ المستفاد منه و إن فرض عدم حجّیته، إلّا أنّه موهن بعموم العام و حجیته لو بنینا علی حجیّته من باب الظن الشخصی أو السببیة المقیّدة، و وهن الخبر اعتبار العموم علی ذلک و إن لم یکن تخصیصا اصطلاحیا له، إلّا أنّه فی حکم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لتحریر محلّ النزاع أنّ الخبر بالنسبة إلی عامّ الکتاب قد یکون من قبیل الوارد علیه، أو من قبیل الحاکم علیه، أو من قبیل المعارض له علی وجه العموم و الخصوص المطلق، أو من وجه، أو التباین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الوارد علیه فلا إشکال فی خروجه عن محلّ النزاع، ضرورة أنّه لا مجال </w:t>
      </w:r>
    </w:p>
    <w:p>
      <w:pPr>
        <w:pStyle w:val="BookText"/>
        <w:rPr/>
      </w:pPr>
      <w:r>
        <w:rPr>
          <w:rFonts w:ascii="Amiri" w:hAnsi="Amiri" w:eastAsia="Amiri" w:cs="Amiri"/>
          <w:color w:val="111111"/>
          <w:sz w:val="28"/>
          <w:sz w:val="28"/>
          <w:szCs w:val="28"/>
          <w:rtl w:val="true"/>
          <w:lang w:bidi="ar-SA"/>
        </w:rPr>
        <w:t>لإنکار العمل بأخبار الآحاد الواردة علی الاصول المقرّرة فی الکتاب من البراءة الثابتة بنصّ لا یُکَلِّفُ اللَّهُ نَفْساً إِلَّا ما آتاها</w:t>
      </w:r>
      <w:r>
        <w:rPr>
          <w:rStyle w:val="FootnoteAnchor"/>
          <w:rtl w:val="true"/>
        </w:rPr>
        <w:footnoteReference w:id="563"/>
      </w:r>
      <w:r>
        <w:rPr>
          <w:rFonts w:ascii="IRNazanin" w:hAnsi="IRNazanin" w:eastAsia="IRNazanin"/>
          <w:color w:val="111111"/>
          <w:sz w:val="28"/>
          <w:sz w:val="28"/>
          <w:szCs w:val="28"/>
          <w:rtl w:val="true"/>
          <w:lang w:bidi="fa-IR"/>
        </w:rPr>
        <w:t>مضافا إلی تصریح غیر واحد منهم بخروجه، فتوهّم أنّ ورود الوارد علی عموم الکتاب داخل فی محلّ النزاع ما لم یقم إجماع أو تواتر علی وروده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القوانین</w:t>
      </w:r>
      <w:r>
        <w:rPr>
          <w:rStyle w:val="FootnoteAnchor"/>
          <w:rtl w:val="true"/>
        </w:rPr>
        <w:footnoteReference w:id="564"/>
      </w:r>
      <w:r>
        <w:rPr>
          <w:rFonts w:ascii="IRNazanin" w:hAnsi="IRNazanin" w:eastAsia="IRNazanin"/>
          <w:color w:val="111111"/>
          <w:sz w:val="28"/>
          <w:sz w:val="28"/>
          <w:szCs w:val="28"/>
          <w:rtl w:val="true"/>
          <w:lang w:bidi="fa-IR"/>
        </w:rPr>
        <w:t>و الإشارات</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الظاهر المصرّح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الحاکم ففی دخوله فی محلّ النزاع و خروجه وجهان، من رجوعه إلی التخصیص فی المعنی، بل و اندراجه فی التخصیص فی عبائر السلف من قدیم الأیّام إلی زمان مشایخ أساتیدنا الأعلام، و من أنّ الفرق بینه و بین التخصیص کون التخصیص بیانا للعامّ بحکم العقل الحاکم بعدم جواز إرادة العموم مع القرینة الصارفة، و الحاکم بیان بلفظه و مفسّر للمراد من العامّ بمدلوله اللفظی، فهو تخصیص فی المعنی بعبارة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المعارض له علی وجه الخصوص المطلق فلا إشکال فی اندراجه فی محلّ النزاع إن لم ینحصر المحلّ فیه، و أمّا العامّ من وجه ففی إلحاقه بالخاصّ المطلق لیتأتی النزاع فی تقدیمه علی عامّ الکتاب بشی‌ء من المرجّحات الخارجیة علی القول بجواز تخصیص الکتاب بخبر الواحد، و طرحه بالمرّة علی القول بالعدم، أو إلحاقه بالمتباین فیها للمتباین من الخروج عن محلّ النزاع وجهان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المتباین فالأصل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الغضّ عن أخبار طرح ما خالف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الخروج عن محلّ النزاع أیضا، أمّا علی ترجیح السندی فلطرح الخبر، و أمّا علی تساقطهما و الرجوع إلی الاصول الفوقانیة من اللفظیة إن وجدت و العملیة إن لم </w:t>
      </w:r>
      <w:bookmarkStart w:id="371" w:name="pg12880_153488"/>
    </w:p>
    <w:p>
      <w:pPr>
        <w:pStyle w:val="BookText"/>
        <w:rPr/>
      </w:pPr>
      <w:bookmarkEnd w:id="371"/>
      <w:r>
        <w:rPr>
          <w:rFonts w:ascii="IRNazanin" w:hAnsi="IRNazanin" w:eastAsia="IRNazanin"/>
          <w:color w:val="111111"/>
          <w:sz w:val="28"/>
          <w:sz w:val="28"/>
          <w:szCs w:val="28"/>
          <w:rtl w:val="true"/>
          <w:lang w:bidi="fa-IR"/>
        </w:rPr>
        <w:t>توجد، فلطرح کلّ من عامّ الکتاب و الخبر، فلم یبق موضوع للنزاع فی تخصیص الکتاب و عدمه، و أمّا علی التخییر بینهما فلعدم کون التخییر فی الشی‌ء تخصیصا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 هذا النزاع و النزاع الآتی فی حمل العامّ علی الخاصّ من قبیل الفرق بین النزاع فی حکم الشی‌ء و بین النزاع فی موضوعه، فالنزاع فی هذا الأصل إنّما هو فی اعتبار مخصّصیة الخبر المخصّص فی قبال الکتاب و عدمه، و فی الأصل الآتی إنّما هو فی أصل وجود المخصّص للعموم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فالنزاع فیما نحن فیه یشبه النزاع فی اعتبار تخصیص الراوی عموم ما یرویه و عدمه، و النزاع الآتی یشبه النزاع فی أصل تحقّق التخصیص للعموم بتطرّق المعارض علیه، و شتّان ما بینهما من التباین و الفرق، فلا مسرح للتوهم المحکیّ عن الفاضل التونی قدّس سرّه بأنّ هذا الأصل من جزئیات الأصل الآتی</w:t>
      </w:r>
      <w:r>
        <w:rPr>
          <w:rFonts w:eastAsia="IRNazanin" w:cs="IRNazanin"/>
          <w:color w:val="111111"/>
          <w:sz w:val="28"/>
          <w:szCs w:val="28"/>
          <w:rtl w:val="true"/>
          <w:lang w:bidi="fa-IR"/>
        </w:rPr>
        <w:t>.</w:t>
      </w:r>
    </w:p>
    <w:p>
      <w:pPr>
        <w:pStyle w:val="Heading4"/>
        <w:numPr>
          <w:ilvl w:val="3"/>
          <w:numId w:val="1"/>
        </w:numPr>
        <w:rPr/>
      </w:pPr>
      <w:bookmarkStart w:id="372" w:name="__RefHeading___Toc2986565_3224264995"/>
      <w:bookmarkStart w:id="373" w:name="_Toc141"/>
      <w:bookmarkEnd w:id="372"/>
      <w:r>
        <w:rPr>
          <w:rtl w:val="true"/>
        </w:rPr>
        <w:t>[</w:t>
      </w:r>
      <w:r>
        <w:rPr>
          <w:rtl w:val="true"/>
        </w:rPr>
        <w:t>المقدمة الثانیة</w:t>
      </w:r>
      <w:r>
        <w:rPr>
          <w:rtl w:val="true"/>
        </w:rPr>
        <w:t xml:space="preserve">: </w:t>
      </w:r>
      <w:r>
        <w:rPr>
          <w:rtl w:val="true"/>
        </w:rPr>
        <w:t>فی تأسیس الأصل فی المسألة،</w:t>
      </w:r>
      <w:r>
        <w:rPr>
          <w:rtl w:val="true"/>
        </w:rPr>
        <w:t>]</w:t>
      </w:r>
      <w:bookmarkEnd w:id="373"/>
    </w:p>
    <w:p>
      <w:pPr>
        <w:pStyle w:val="BookText"/>
        <w:rPr/>
      </w:pPr>
      <w:r>
        <w:rPr>
          <w:rFonts w:ascii="IRNazanin" w:hAnsi="IRNazanin" w:eastAsia="IRNazanin"/>
          <w:color w:val="111111"/>
          <w:sz w:val="28"/>
          <w:sz w:val="28"/>
          <w:szCs w:val="28"/>
          <w:rtl w:val="true"/>
          <w:lang w:bidi="fa-IR"/>
        </w:rPr>
        <w:t>أمّا من حیث المعارضة بین نفس الخبر الخاص و عموم الکتاب فلا إشکال فی کون الأصل اللفظی المتبادر من فهم العرف هو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المعارضة بین دلیلی حجیّة کلّ من الخبر و الکتاب فإن فرض کون الدلیلین لفظیین فلا أصل فی البین، لدوران الأمر بین تخصیص دلیل حجیّة الکتاب بصورة معارضة الخبر و بین العکس، و لا ترجیح، و إن کانا لبیّین معا فکذلک، و إن کان أحدهما لفظیا و الآخر لبّیّا فلا ریب فی حکومة اللفظی علی اللبّی کما لا یخفی</w:t>
      </w:r>
      <w:r>
        <w:rPr>
          <w:rFonts w:eastAsia="IRNazanin" w:cs="IRNazanin"/>
          <w:color w:val="111111"/>
          <w:sz w:val="28"/>
          <w:szCs w:val="28"/>
          <w:rtl w:val="true"/>
          <w:lang w:bidi="fa-IR"/>
        </w:rPr>
        <w:t>.</w:t>
      </w:r>
    </w:p>
    <w:p>
      <w:pPr>
        <w:pStyle w:val="Heading4"/>
        <w:numPr>
          <w:ilvl w:val="3"/>
          <w:numId w:val="1"/>
        </w:numPr>
        <w:rPr/>
      </w:pPr>
      <w:bookmarkStart w:id="374" w:name="__RefHeading___Toc2986567_3224264995"/>
      <w:bookmarkStart w:id="375" w:name="_Toc142"/>
      <w:bookmarkEnd w:id="374"/>
      <w:r>
        <w:rPr>
          <w:rtl w:val="true"/>
        </w:rPr>
        <w:t>[</w:t>
      </w:r>
      <w:r>
        <w:rPr>
          <w:rtl w:val="true"/>
        </w:rPr>
        <w:t>أدلة جواز تخصیص</w:t>
      </w:r>
      <w:r>
        <w:rPr>
          <w:rtl w:val="true"/>
        </w:rPr>
        <w:t>]</w:t>
      </w:r>
      <w:bookmarkEnd w:id="37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تمهّدت المقدّمات فالحقّ جواز تخصیص الکتاب بخبر الواحد وفاقا للمشهور المنصور الذی کاد یکون إجماعا لوجوه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الظاهرة من العلماء سلفا عن خلف کما یظهر بالتصفّح فی مظانّه کحکمهم بحرمة کثیر من المطاعم من الحیوانات و غیرها بأخبار الآحاد، مع دلالة 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فِی ما أُوحِیَ إِلَیَّ مُحَرَّماً عَلی طاعِمٍ</w:t>
      </w:r>
      <w:r>
        <w:rPr>
          <w:rStyle w:val="FootnoteAnchor"/>
          <w:rtl w:val="true"/>
        </w:rPr>
        <w:footnoteReference w:id="566"/>
      </w:r>
      <w:r>
        <w:rPr>
          <w:rFonts w:ascii="Amiri" w:hAnsi="Amiri" w:eastAsia="Amiri" w:cs="Amiri"/>
          <w:color w:val="111111"/>
          <w:sz w:val="28"/>
          <w:sz w:val="28"/>
          <w:szCs w:val="28"/>
          <w:rtl w:val="true"/>
          <w:lang w:bidi="ar-SA"/>
        </w:rPr>
        <w:t>الآیة علی حلّیّة الجمیع و إن عمّم محلّ البحث إلی العموم الحکمی، فقد حکموا بحرمة کثیر من أنواع الانتفاع بأخبار الآحاد مع دلالة 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لَکُمْ ما فِی الْأَرْضِ جَمِیعاً</w:t>
      </w:r>
      <w:r>
        <w:rPr>
          <w:rStyle w:val="FootnoteAnchor"/>
          <w:rtl w:val="true"/>
        </w:rPr>
        <w:footnoteReference w:id="567"/>
      </w:r>
      <w:r>
        <w:rPr>
          <w:rFonts w:ascii="IRNazanin" w:hAnsi="IRNazanin" w:eastAsia="IRNazanin"/>
          <w:color w:val="111111"/>
          <w:sz w:val="28"/>
          <w:sz w:val="28"/>
          <w:szCs w:val="28"/>
          <w:rtl w:val="true"/>
          <w:lang w:bidi="fa-IR"/>
        </w:rPr>
        <w:t>علی إباحتها، و علی هذا القیاس حکمهم ببطلان کثیر من العقود أو عدم لزومها و لو لاختلال بعض الشرائط الثابتة بأخبار الآحاد مع دلالة عموم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Style w:val="FootnoteAnchor"/>
          <w:rtl w:val="true"/>
        </w:rPr>
        <w:footnoteReference w:id="568"/>
      </w:r>
      <w:r>
        <w:rPr>
          <w:rFonts w:ascii="IRNazanin" w:hAnsi="IRNazanin" w:eastAsia="IRNazanin"/>
          <w:color w:val="111111"/>
          <w:sz w:val="28"/>
          <w:sz w:val="28"/>
          <w:szCs w:val="28"/>
          <w:rtl w:val="true"/>
          <w:lang w:bidi="fa-IR"/>
        </w:rPr>
        <w:t>علی لزومها، إلی غیر ذلک ممّا یعرف بالتتبع فی کتب الفقه و أبوابها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وقع فی القوانین</w:t>
      </w:r>
      <w:r>
        <w:rPr>
          <w:rStyle w:val="FootnoteAnchor"/>
          <w:rtl w:val="true"/>
        </w:rPr>
        <w:footnoteReference w:id="569"/>
      </w:r>
      <w:r>
        <w:rPr>
          <w:rFonts w:ascii="IRNazanin" w:hAnsi="IRNazanin" w:eastAsia="IRNazanin"/>
          <w:color w:val="111111"/>
          <w:sz w:val="28"/>
          <w:sz w:val="28"/>
          <w:szCs w:val="28"/>
          <w:rtl w:val="true"/>
          <w:lang w:bidi="fa-IR"/>
        </w:rPr>
        <w:t>و الإشارات</w:t>
      </w:r>
      <w:r>
        <w:rPr>
          <w:rStyle w:val="FootnoteAnchor"/>
          <w:rtl w:val="true"/>
        </w:rPr>
        <w:footnoteReference w:id="570"/>
      </w:r>
      <w:r>
        <w:rPr>
          <w:rFonts w:ascii="IRNazanin" w:hAnsi="IRNazanin" w:eastAsia="IRNazanin"/>
          <w:color w:val="111111"/>
          <w:sz w:val="28"/>
          <w:sz w:val="28"/>
          <w:szCs w:val="28"/>
          <w:rtl w:val="true"/>
          <w:lang w:bidi="fa-IR"/>
        </w:rPr>
        <w:t>من أنّ سد باب تخصیص الکتاب بخبر الواحد یستلزم المنع من العمل بخبر الواحد، إذ قلّ ما یوجد خبر لا یکون مخالفا لعامّ من عمومات الکتاب فلا أقلّ من مخالفته لأصل البراءة الثابتة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نَفْساً إِلَّا ما آتاها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منع الملازمة و عدم اندراج الخبر الوارد علی اصول الکتاب فی محلّ الکلام و أنّ النزاع إنّما هو فی الخبر المخصّص له دون الوارد علیه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العقلاء طرّا علی عدم معذوریّة العبد المأمور بإکرام العلماء من </w:t>
      </w:r>
    </w:p>
    <w:p>
      <w:pPr>
        <w:pStyle w:val="BookText"/>
        <w:rPr/>
      </w:pPr>
      <w:r>
        <w:rPr>
          <w:rFonts w:ascii="IRNazanin" w:hAnsi="IRNazanin" w:eastAsia="IRNazanin"/>
          <w:color w:val="111111"/>
          <w:sz w:val="28"/>
          <w:sz w:val="28"/>
          <w:szCs w:val="28"/>
          <w:rtl w:val="true"/>
          <w:lang w:bidi="fa-IR"/>
        </w:rPr>
        <w:t>قبل المولی و بعدم إکرام أحدهم من قبل من أمره المولی إطاعته إذا طرح قول من أمره المولی إطاعته و اقتصر علی عموم أمر المولی، فإنّه یعدّ عاصیا عند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أولویّة الجمع بین الدلیلین من الطرح بضمیمة عدم القول بالفصل بین أولویّة الجمع فیما نحن فیه و بین لزومه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أیضا فی القوانین</w:t>
      </w:r>
      <w:r>
        <w:rPr>
          <w:rStyle w:val="FootnoteAnchor"/>
          <w:rtl w:val="true"/>
        </w:rPr>
        <w:footnoteReference w:id="572"/>
      </w:r>
      <w:r>
        <w:rPr>
          <w:rFonts w:ascii="IRNazanin" w:hAnsi="IRNazanin" w:eastAsia="IRNazanin"/>
          <w:color w:val="111111"/>
          <w:sz w:val="28"/>
          <w:sz w:val="28"/>
          <w:szCs w:val="28"/>
          <w:rtl w:val="true"/>
          <w:lang w:bidi="fa-IR"/>
        </w:rPr>
        <w:t>و الضوابط</w:t>
      </w:r>
      <w:r>
        <w:rPr>
          <w:rStyle w:val="FootnoteAnchor"/>
          <w:rtl w:val="true"/>
        </w:rPr>
        <w:footnoteReference w:id="573"/>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اورد علی الاحتجاج به لتخصیص العام بمفهوم المخالفة من أنّ مجرّد کونه طریق جمع لا یعیّن التخصیص، لعدم انحصار وجوه الجمع فیه، إذ کما یمکن الجمع بإلغاء العموم کذلک یمکن بإلغاء الخصوص بإضمار أو تقدیر أو نسخ أو غیر ذلک من أنواع المجاز، فلا بدّ له من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تخصیص العامّ لیس جمعا بین الدلیلین، بل هو إلغاء لأحدهما، إذ المعارضة إنّما هو بین ما دلّ علیه العامّ من أفراد الخاصّ و نفس الخاصّ و هو ملغی بأجمعه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 الأوّل أنّ عدم احتمال ما عدا الطرح و التخصیص من سائر أنواع المجاز فی هذه المسألة مفروغ عنه، بخلاف مسألة تخصیص العامّ بمفهوم المخالفة، و مسألة حمل العام علی الخاص، و مسألة حمل المطلق علی المقیّد، فإنّ احتمال ما عدا التخصیص من سائر أنواع المجاز لمّا لم یکن مفروغا عنه فیها لم یتم الاحتجاج علیها بمجرّد أولویة الجمع من الطرح، و قد مرّ توضیح الفرق بین المسألتین فی الجهة الثالثة لتحریر محلّ النزاع فراجعه</w:t>
      </w:r>
      <w:r>
        <w:rPr>
          <w:rFonts w:eastAsia="IRNazanin" w:cs="IRNazanin"/>
          <w:color w:val="111111"/>
          <w:sz w:val="28"/>
          <w:szCs w:val="28"/>
          <w:rtl w:val="true"/>
          <w:lang w:bidi="fa-IR"/>
        </w:rPr>
        <w:t xml:space="preserve">. </w:t>
      </w:r>
      <w:bookmarkStart w:id="376" w:name="pg12880_153491"/>
    </w:p>
    <w:p>
      <w:pPr>
        <w:pStyle w:val="BookText"/>
        <w:rPr/>
      </w:pPr>
      <w:bookmarkEnd w:id="376"/>
      <w:r>
        <w:rPr>
          <w:rFonts w:ascii="IRNazanin" w:hAnsi="IRNazanin" w:eastAsia="IRNazanin"/>
          <w:color w:val="111111"/>
          <w:sz w:val="28"/>
          <w:sz w:val="28"/>
          <w:szCs w:val="28"/>
          <w:rtl w:val="true"/>
          <w:lang w:bidi="fa-IR"/>
        </w:rPr>
        <w:t>و أمّا ما أجاب به فی المناهج</w:t>
      </w:r>
      <w:r>
        <w:rPr>
          <w:rStyle w:val="FootnoteAnchor"/>
          <w:rtl w:val="true"/>
        </w:rPr>
        <w:footnoteReference w:id="574"/>
      </w:r>
      <w:r>
        <w:rPr>
          <w:rFonts w:ascii="IRNazanin" w:hAnsi="IRNazanin" w:eastAsia="IRNazanin"/>
          <w:color w:val="111111"/>
          <w:sz w:val="28"/>
          <w:sz w:val="28"/>
          <w:szCs w:val="28"/>
          <w:rtl w:val="true"/>
          <w:lang w:bidi="fa-IR"/>
        </w:rPr>
        <w:t>عن ذلک الإیراد من أنّ عدم تخصیص الکتاب بالخبر مستلزم لطرح کلا الدلیلین معا، أمّا طرح الخاصّ فظاهر، و أمّا طرح العامّ فلأنّ معارضة الخاصّ له موهن لعمومه، فالعمل بالعموم بعد وهنه و طرح الخاصّ المعارض له کأنّه عمل بأمر ثالث خارج عن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 بأنّ الملازمة المذکورة مبنیّة علی اعتبار العمومات و الظواهر من باب الظنّ الشخصی أو السببیة المقیّدة، و أمّا علی القول باعتبارها من باب الظنّ النوعی و السببیّة المطلقة کما هو الأظهر فلا ملازمة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بأنّ ما ذکر من کون التخصیص إلغاء للعموم لا جمع بین الدلیلین مبنیّ علی اعتبار العموم و الظواهر من باب الموضوعیة و صرف التعبّد، و أمّا علی اعتبارها من باب الکاشفیّة و الظنّ بالمراد کما هو الحقّ فلیس التخصیص إلغاء البتّة، و لیس مناصا عن هذا النحو من الإلغاء فی کلّ جمع</w:t>
      </w:r>
      <w:r>
        <w:rPr>
          <w:rFonts w:eastAsia="IRNazanin" w:cs="IRNazanin"/>
          <w:color w:val="111111"/>
          <w:sz w:val="28"/>
          <w:szCs w:val="28"/>
          <w:rtl w:val="true"/>
          <w:lang w:bidi="fa-IR"/>
        </w:rPr>
        <w:t>.</w:t>
      </w:r>
    </w:p>
    <w:p>
      <w:pPr>
        <w:pStyle w:val="Heading4"/>
        <w:numPr>
          <w:ilvl w:val="3"/>
          <w:numId w:val="1"/>
        </w:numPr>
        <w:rPr/>
      </w:pPr>
      <w:bookmarkStart w:id="377" w:name="__RefHeading___Toc2986569_3224264995"/>
      <w:bookmarkStart w:id="378" w:name="_Toc143"/>
      <w:bookmarkEnd w:id="377"/>
      <w:r>
        <w:rPr>
          <w:rtl w:val="true"/>
        </w:rPr>
        <w:t>[</w:t>
      </w:r>
      <w:r>
        <w:rPr>
          <w:rtl w:val="true"/>
        </w:rPr>
        <w:t>حجّة الخصم وجوه</w:t>
      </w:r>
      <w:r>
        <w:rPr>
          <w:rtl w:val="true"/>
        </w:rPr>
        <w:t>:]</w:t>
      </w:r>
      <w:bookmarkEnd w:id="37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الکتاب قطعی و خبر الواحد ظنّی، و القطعی لا یعارض بالظنیّ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المراد إن کان قطعیّة دلالة الکتاب فباطل، و إن کان قطعیّة صدوره فمسلّم، لکن یعارضها قطعیّة دلالة الخاصّ بالإضافة إلی العامّ، بمعنی أنّها أقوی، فیتساویان حینئذ من تلک الجهة أو یکون الخاص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عن الشیخ</w:t>
      </w:r>
      <w:r>
        <w:rPr>
          <w:rStyle w:val="FootnoteAnchor"/>
          <w:rtl w:val="true"/>
        </w:rPr>
        <w:footnoteReference w:id="575"/>
      </w:r>
      <w:r>
        <w:rPr>
          <w:rFonts w:ascii="IRNazanin" w:hAnsi="IRNazanin" w:eastAsia="IRNazanin"/>
          <w:color w:val="111111"/>
          <w:sz w:val="28"/>
          <w:sz w:val="28"/>
          <w:szCs w:val="28"/>
          <w:rtl w:val="true"/>
          <w:lang w:bidi="fa-IR"/>
        </w:rPr>
        <w:t>رحمه اللّه من الاعتماد علی عموم أخبار طرح ما خالف الکتاب و ما لا یوافق الکتاب، فإنّ عمومها و إطلاقها یتناول المقام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عنها أنّ العمل بتلک الأخبار مستلزم لتخصیص عموم أدلّة حجیّة </w:t>
      </w:r>
    </w:p>
    <w:p>
      <w:pPr>
        <w:pStyle w:val="BookText"/>
        <w:rPr/>
      </w:pPr>
      <w:r>
        <w:rPr>
          <w:rFonts w:ascii="IRNazanin" w:hAnsi="IRNazanin" w:eastAsia="IRNazanin"/>
          <w:color w:val="111111"/>
          <w:sz w:val="28"/>
          <w:sz w:val="28"/>
          <w:szCs w:val="28"/>
          <w:rtl w:val="true"/>
          <w:lang w:bidi="fa-IR"/>
        </w:rPr>
        <w:t>خبر الواحد بغیر الخبر المخالف للکتاب، فالعمل بها یلازم طرحها، لأنّها مخالفة للکتاب، فیلزم من العمل بها عدم العمل بها، و ما یلزم من صحته فساده فهو فاسد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الملازمة نقضا بأنّ جواز تخصیص الکتاب بخبر الواحد أیضا یستلزم تخصیص آیات حجیّة خبر الواحد بأخبار الطرح، فیلزم من جواز تخصیص الکتاب بخبر الواحد عدم جواز تخصیص الکتاب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حلّا بأنّ منع الملازمة الواردة علینا بعدم انصراف أخبار طرح ما خالف الکتاب إلی مخالفة نفسها له قیاسا علی عدم انصراف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الیوم کاذب،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أولی و أقیس من منع الملازمة الواردة علیک بتخصیص آیات حجیّة خبر الواحد بغیر أخبار الطرح، دون تخصیصها بأخبار الطرح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أولویّة منعک من منعنا الملازمة ممنوعة، بل معکوسة، أمّا وجه عدم أولویة منعک الملازمة من منعنا بمقایسة أخبار طرح ما خالف الکتاب علی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الیوم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الانصراف إلی نفسه فلوجود الفارق بین المقیس و المقیس علیه من وجهین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أخبار الطرح عمومات، فلا یقاس علی الإطلاق فی الانصراف الذی من خصائصه،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تعلیق الطرح فی المقیس علی وصف المخالفة مضافا إلی تنقیح المناط مشعر بالعلّیّة، فیعمّ حتی نفسه، بخلاف الحکم فی المقیس علیه، إذ لیس فیه إشعار فضلا عن التنقیح</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وجه أولویّة منعنا الملازمة من منعک فلأنّ قاعدة الجمع و إن قضت بتحکیم عموم أخبار طرح ما خالف الکتاب علی عموم أدلّة حجیة أخبار الآحاد دون العکس، إلّا أنّ العکس لمعاضدته بالعمل کان بالترجیح أجدر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فتعیّن حینئذ طرح تلک الأخبار بالمرّة، أو حملها علی سائر وجوه الجمع تبرّعا، کحملها علی المخالفة الکلّیّة التی تحصل بالمناقضة و التباین الکلّی بدعوی انصراف مخالفتنا إلیه، أو علی صورة تعارض الخبرین، کما ارتضاهما صاحب القوانین</w:t>
      </w:r>
      <w:r>
        <w:rPr>
          <w:rStyle w:val="FootnoteAnchor"/>
          <w:rtl w:val="true"/>
        </w:rPr>
        <w:footnoteReference w:id="576"/>
      </w:r>
      <w:r>
        <w:rPr>
          <w:rFonts w:ascii="IRNazanin" w:hAnsi="IRNazanin" w:eastAsia="IRNazanin"/>
          <w:color w:val="111111"/>
          <w:sz w:val="28"/>
          <w:sz w:val="28"/>
          <w:szCs w:val="28"/>
          <w:rtl w:val="true"/>
          <w:lang w:bidi="fa-IR"/>
        </w:rPr>
        <w:t>و الإشارات</w:t>
      </w:r>
      <w:r>
        <w:rPr>
          <w:rStyle w:val="FootnoteAnchor"/>
          <w:rtl w:val="true"/>
        </w:rPr>
        <w:footnoteReference w:id="577"/>
      </w:r>
      <w:r>
        <w:rPr>
          <w:rFonts w:ascii="IRNazanin" w:hAnsi="IRNazanin" w:eastAsia="IRNazanin"/>
          <w:color w:val="111111"/>
          <w:sz w:val="28"/>
          <w:sz w:val="28"/>
          <w:szCs w:val="28"/>
          <w:rtl w:val="true"/>
          <w:lang w:bidi="fa-IR"/>
        </w:rPr>
        <w:t>و الضوابط</w:t>
      </w:r>
      <w:r>
        <w:rPr>
          <w:rStyle w:val="FootnoteAnchor"/>
          <w:rtl w:val="true"/>
        </w:rPr>
        <w:footnoteReference w:id="578"/>
      </w:r>
      <w:r>
        <w:rPr>
          <w:rFonts w:ascii="IRNazanin" w:hAnsi="IRNazanin" w:eastAsia="IRNazanin"/>
          <w:color w:val="111111"/>
          <w:sz w:val="28"/>
          <w:sz w:val="28"/>
          <w:szCs w:val="28"/>
          <w:rtl w:val="true"/>
          <w:lang w:bidi="fa-IR"/>
        </w:rPr>
        <w:t>، أو علی الأخبار الواردة فی اصول الدین مثل مسائل الجبر و التفویض و الغلوّ، أو علی أخبار غیر الثقة، کما ارتضاهما استاد أساتیدنا الأعلام فی رسالة حجیّة أخبار الآحاد، أو علی الأخبار الغیر المنجبرة بشاهد من شواهد الصواب، کموافقة السنّة أو الکتاب، أو موافقة عمل الاصحاب، أو غیر ذلک من مبعّدات الشک و الارتیاب کما استفید من استادنا العلّامة فی معرض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تلک الأخبار علی ذلک هو وجوب الأخذ بالأخبار المنجبرة بشی‌ء من شواهد الصدق و لو کانت ضعیفة، و طرح الأخبار الغیر المنجبرة بشی‌ء من ذلک و لو کانت صحیحة أعلائیة، فیرجع مفاد هذا المحمل إلی بیان اعتبار ظواهر أخبار الآحاد من باب الظنّ بالمراد و الطریقیة إلیه و الکاشفیة عنه، لا من باب صرف التعبّد و الموضوعیة کما هو دأب الأخباریة و بعض من تبعهم فی جواز العمل بالعامّ قبل الفحص عن المخصّص و بالدلیل قبل البحث عن المعارض</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یمکن الإیراد علی المحمل الأوّل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موضوع للانصراف فی کثیر من أخبار الباب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مردود إلی کتاب اللّه و السنّة، و کلّ حدیث لا یوافق کتاب اللّه فهو زخرف</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xml:space="preserve">، إذ لا مسرح للانصراف فی العمومات، </w:t>
      </w:r>
    </w:p>
    <w:p>
      <w:pPr>
        <w:pStyle w:val="BookText"/>
        <w:rPr/>
      </w:pPr>
      <w:r>
        <w:rPr>
          <w:rFonts w:ascii="IRNazanin" w:hAnsi="IRNazanin" w:eastAsia="IRNazanin"/>
          <w:color w:val="111111"/>
          <w:sz w:val="28"/>
          <w:sz w:val="28"/>
          <w:szCs w:val="28"/>
          <w:rtl w:val="true"/>
          <w:lang w:bidi="fa-IR"/>
        </w:rPr>
        <w:t>و إنّما هو من خصائص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المقتضی للانصراف، لعدم وجود شی‌ء من 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المانع منه، ضرورة أنّ الخبر المباین للکتاب بالکلیّة فرد نادر، بل معدوم، و شدّة اهتمام تلک الأخبار بطرح ما یخالف الکتاب آب من حملها مع تواترها معنی علی ذلک المحمل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بالمنع من اختصاص مورد جمیع تلک الأخبار بصورة التعارض، بل المختصّ منها بمورد التعارض أقلّ قلیل کما لا یخفی علی من راجع مظانّ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 بالمنع من تخصیص أخبار الطرح بأخبار الواردة فی الجبر و التفویض، لوجود المانع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تخصیصها بالأکثر، حیث إنّ أخبار الجبر و التفویض أقلّ قلیل من سائر الأخبار و إن لم یکن نادرا فی نفسه، و الاخری إباء اهتمام تلک الأخبار المتواترة معنی علی محمل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الرابع بأنّ تخصیصها بخبر غیر الثقة ینافی نصوص التعمیم فی قوله علیه السّلام لمحمّد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جاءک من روایة من برّ أو فاجر یخالف کتاب اللّه فلا تأخذ به</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 مضافا إلی أنّ معلومیّة طرح خبر غیر الثقة بمنطوق آیة النبأ لا یناسبه الاهتمام الشدید علی طرحه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السادس بأنّ تعمیم الجابر مطلق ما یقرب الظن بالصواب خلاف ظاهر اقتصاره فی الأخبار علی موافقة الکتاب و السنّة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یدفعه أنّ الظاهر من اقتصار الأخبار علیهما لیس إرادة الحصر </w:t>
      </w:r>
    </w:p>
    <w:p>
      <w:pPr>
        <w:pStyle w:val="BookText"/>
        <w:rPr/>
      </w:pPr>
      <w:r>
        <w:rPr>
          <w:rFonts w:ascii="IRNazanin" w:hAnsi="IRNazanin" w:eastAsia="IRNazanin"/>
          <w:color w:val="111111"/>
          <w:sz w:val="28"/>
          <w:sz w:val="28"/>
          <w:szCs w:val="28"/>
          <w:rtl w:val="true"/>
          <w:lang w:bidi="fa-IR"/>
        </w:rPr>
        <w:t>الحقیقی، بل الظاهر إرادة الحصر الإضافی بالنسبة إلی القیاس و الاستحسان و سائر المصالح المرسلة التی لیس من مذهبنا الجبران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أقرب محامل أخبار الطرح هو المحمل السادس، و دونه فی القرب المحمل الثالث، و دونه الأوّل، و دونه الثانی، و دونه الرابع کما لا یخفی ممّا مرّ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سائر حجج المانعین و المفصّلین فلتطلب من الکتب المألوفة، إذ لا مزید لنا علی تفصیلها</w:t>
      </w:r>
      <w:r>
        <w:rPr>
          <w:rFonts w:eastAsia="IRNazanin" w:cs="IRNazanin"/>
          <w:color w:val="111111"/>
          <w:sz w:val="28"/>
          <w:szCs w:val="28"/>
          <w:rtl w:val="true"/>
          <w:lang w:bidi="fa-IR"/>
        </w:rPr>
        <w:t xml:space="preserve">. </w:t>
      </w:r>
      <w:bookmarkStart w:id="379" w:name="pg12880_153496"/>
    </w:p>
    <w:p>
      <w:pPr>
        <w:pStyle w:val="Heading3"/>
        <w:numPr>
          <w:ilvl w:val="2"/>
          <w:numId w:val="1"/>
        </w:numPr>
        <w:rPr/>
      </w:pPr>
      <w:bookmarkStart w:id="380" w:name="__RefHeading___Toc2986571_3224264995"/>
      <w:bookmarkStart w:id="381" w:name="_Toc144"/>
      <w:bookmarkEnd w:id="379"/>
      <w:bookmarkEnd w:id="380"/>
      <w:r>
        <w:rPr>
          <w:rtl w:val="true"/>
        </w:rPr>
        <w:t>خاتمة فی کیفیة بناء العامّ علی الخاصّ</w:t>
      </w:r>
      <w:bookmarkEnd w:id="381"/>
    </w:p>
    <w:p>
      <w:pPr>
        <w:pStyle w:val="Heading4"/>
        <w:numPr>
          <w:ilvl w:val="3"/>
          <w:numId w:val="1"/>
        </w:numPr>
        <w:rPr/>
      </w:pPr>
      <w:bookmarkStart w:id="382" w:name="__RefHeading___Toc2986573_3224264995"/>
      <w:bookmarkStart w:id="383" w:name="_Toc145"/>
      <w:bookmarkEnd w:id="382"/>
      <w:r>
        <w:rPr>
          <w:rtl w:val="true"/>
        </w:rPr>
        <w:t>اشارة</w:t>
      </w:r>
      <w:bookmarkEnd w:id="383"/>
    </w:p>
    <w:p>
      <w:pPr>
        <w:pStyle w:val="BookText"/>
        <w:rPr/>
      </w:pPr>
      <w:r>
        <w:rPr>
          <w:rFonts w:ascii="IRNazanin" w:hAnsi="IRNazanin" w:eastAsia="IRNazanin"/>
          <w:color w:val="111111"/>
          <w:sz w:val="28"/>
          <w:sz w:val="28"/>
          <w:szCs w:val="28"/>
          <w:rtl w:val="true"/>
          <w:lang w:bidi="fa-IR"/>
        </w:rPr>
        <w:t>إذا ورد عامّ و خاصّ متنافیا الظاهر ففی أیّ الصور نسخ، و فی أیّ الصور تخصیص،</w:t>
      </w:r>
    </w:p>
    <w:p>
      <w:pPr>
        <w:pStyle w:val="Heading4"/>
        <w:numPr>
          <w:ilvl w:val="3"/>
          <w:numId w:val="1"/>
        </w:numPr>
        <w:rPr/>
      </w:pPr>
      <w:bookmarkStart w:id="384" w:name="__RefHeading___Toc2986575_3224264995"/>
      <w:bookmarkStart w:id="385" w:name="_Toc146"/>
      <w:bookmarkEnd w:id="384"/>
      <w:r>
        <w:rPr>
          <w:rtl w:val="true"/>
        </w:rPr>
        <w:t>[</w:t>
      </w:r>
      <w:r>
        <w:rPr>
          <w:rtl w:val="true"/>
        </w:rPr>
        <w:t>و لا بدّ أوّلا من تحریر محلّ الکلام</w:t>
      </w:r>
      <w:r>
        <w:rPr>
          <w:rtl w:val="true"/>
        </w:rPr>
        <w:t>]</w:t>
      </w:r>
      <w:bookmarkEnd w:id="385"/>
    </w:p>
    <w:p>
      <w:pPr>
        <w:pStyle w:val="BookText"/>
        <w:rPr/>
      </w:pPr>
      <w:r>
        <w:rPr>
          <w:rFonts w:ascii="IRNazanin" w:hAnsi="IRNazanin" w:eastAsia="IRNazanin"/>
          <w:color w:val="111111"/>
          <w:sz w:val="28"/>
          <w:sz w:val="28"/>
          <w:szCs w:val="28"/>
          <w:rtl w:val="true"/>
          <w:lang w:bidi="fa-IR"/>
        </w:rPr>
        <w:t>و هو من 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الخاصّ أعمّ من الخاص الحقیقی کزید من بین العلماء، و من الخاص الإضافی کأهل الذمة من بین المشرکین، و هذا مراد صاحب المعالم حیث قال فی حاشیته</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الخاص قد یکون خالیا من جهة العموم، و قد یکون فیه عموم من جهة اخری، فمراده من عموم الخاصّ من جهة عمومه بالإضافة، لا عمومه من وجه لما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الخاصّ الخاصّ المطلق، لا الخاص من وجه، کما یشهد علیه ظاهر العناوین طرا و تصریح المحقّقین جلّا، بل المتأخّرین اتّفاقا، مضافا إلی عدم انطباق شی‌ء من أدلّة البناء علی الخاصّ من فهم العرف و کونه أقوی، بل و لا أصل بناء العامّ علی الخاصّ علی العامّ و الخاصّ من وجه، ضرورة أنّه لو بنی کلّ منهما علی الآخر لزم التساقط، و لو بنی أحدهما دون الآخر لزم الترجیح بلا مرجّح، فحکمه حکم تنافی النصّین و الظاهرین علی وجه التناقض و التباین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استشهد به الفاضل الشیروانی</w:t>
      </w:r>
      <w:r>
        <w:rPr>
          <w:rStyle w:val="FootnoteAnchor"/>
          <w:rtl w:val="true"/>
        </w:rPr>
        <w:footnoteReference w:id="582"/>
      </w:r>
      <w:r>
        <w:rPr>
          <w:rFonts w:ascii="IRNazanin" w:hAnsi="IRNazanin" w:eastAsia="IRNazanin"/>
          <w:color w:val="111111"/>
          <w:sz w:val="28"/>
          <w:sz w:val="28"/>
          <w:szCs w:val="28"/>
          <w:rtl w:val="true"/>
          <w:lang w:bidi="fa-IR"/>
        </w:rPr>
        <w:t>تبعا للمحکی عن التفتازانی</w:t>
      </w:r>
      <w:r>
        <w:rPr>
          <w:rStyle w:val="FootnoteAnchor"/>
          <w:rtl w:val="true"/>
        </w:rPr>
        <w:footnoteReference w:id="583"/>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تعمیم المبحث للخاصّ من وجه من المعالم فی حاشیته بأنّ الخاصّ قد یکون عامّا من جهة، و من استدلال الآمدی</w:t>
      </w:r>
      <w:r>
        <w:rPr>
          <w:rStyle w:val="FootnoteAnchor"/>
          <w:rtl w:val="true"/>
        </w:rPr>
        <w:footnoteReference w:id="584"/>
      </w:r>
      <w:r>
        <w:rPr>
          <w:rFonts w:ascii="IRNazanin" w:hAnsi="IRNazanin" w:eastAsia="IRNazanin"/>
          <w:color w:val="111111"/>
          <w:sz w:val="28"/>
          <w:sz w:val="28"/>
          <w:szCs w:val="28"/>
          <w:rtl w:val="true"/>
          <w:lang w:bidi="fa-IR"/>
        </w:rPr>
        <w:t>و بعض من تبعه علی تخصیص الکتاب بالکتاب ردّا علی الظاهریة بآیتی عدّة الحمل و المتوفّی عنها زوجها، حیث إنّ بینهما عموم من وجه فلا شهادة فیهما، و علی تقدیر الشهادة لیست بحجّة علی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الحجیّة فلعدم تکافؤ الشواهد المذکورة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الشهادة فلأنّ مراد المعالم من العموم من جهة بقرینة صدره و ذیله هو العامّ الإضافی بالنسبة إلی ما تحته، لا العامّ من وجه علی حسبما أشار إلی قرینیّتهما فی القوانین، و لا أقلّ من الاحتمال المبطل للاستدلال، و مراد الآمدی إثبات مجرّد تخصیص الکتاب بمثله و لو بمعونة مرجّح خارجی ممّا رجّحوا العامّة به عموم آیة اولات الأحمال من اقترانها بحکمة تشریع العدّة لعدم اختلاط 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الخاص فی محلّ البحث ما کان قابلا لشأنیة التخصیص و النسخ معا دون ما لا یقبلهما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ینقدح من ذلک إشکال خروج أخبارنا الوصویّة عن محلّ البحث، لعدم قابلیّتها للنسخ بضرورة الإجماع علی انقطاع الوحی بعد النبی صلّی اللّه علیه و آله، و لا للتخصیص، للزوم تأخیر البیان عن وقت الحاجة و العمل فیها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دفع هذا الإشکال بما ارتضاه صاحب القوانین</w:t>
      </w:r>
      <w:r>
        <w:rPr>
          <w:rStyle w:val="FootnoteAnchor"/>
          <w:rtl w:val="true"/>
        </w:rPr>
        <w:footnoteReference w:id="585"/>
      </w:r>
      <w:r>
        <w:rPr>
          <w:rFonts w:ascii="IRNazanin" w:hAnsi="IRNazanin" w:eastAsia="IRNazanin"/>
          <w:color w:val="111111"/>
          <w:sz w:val="28"/>
          <w:sz w:val="28"/>
          <w:szCs w:val="28"/>
          <w:rtl w:val="true"/>
          <w:lang w:bidi="fa-IR"/>
        </w:rPr>
        <w:t xml:space="preserve">و غیره من إمکان أن یکون النبی صلّی اللّه علیه و آله علّم وصیّه کلّ ما انزل إلیه من الناسخ و المنسوخ </w:t>
      </w:r>
    </w:p>
    <w:p>
      <w:pPr>
        <w:pStyle w:val="BookText"/>
        <w:rPr/>
      </w:pPr>
      <w:r>
        <w:rPr>
          <w:rFonts w:ascii="IRNazanin" w:hAnsi="IRNazanin" w:eastAsia="IRNazanin"/>
          <w:color w:val="111111"/>
          <w:sz w:val="28"/>
          <w:sz w:val="28"/>
          <w:szCs w:val="28"/>
          <w:rtl w:val="true"/>
          <w:lang w:bidi="fa-IR"/>
        </w:rPr>
        <w:t>و غیرهما، فکما أنّهما یوجدان فی أخبار النبی صریحا، کذلک یوجدان فی أخبار خلفائه، لکن لا من حیث إنّ أخبارهم لیرد أنّ النسخ لا یعقل بعد انقطاع الوحی، بل من حیث إنّ أخبارهم فی الحقیقة أخباره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یبتنی ما حکی عن المناهج</w:t>
      </w:r>
      <w:r>
        <w:rPr>
          <w:rStyle w:val="FootnoteAnchor"/>
          <w:rtl w:val="true"/>
        </w:rPr>
        <w:footnoteReference w:id="586"/>
      </w:r>
      <w:r>
        <w:rPr>
          <w:rFonts w:ascii="IRNazanin" w:hAnsi="IRNazanin" w:eastAsia="IRNazanin"/>
          <w:color w:val="111111"/>
          <w:sz w:val="28"/>
          <w:sz w:val="28"/>
          <w:szCs w:val="28"/>
          <w:rtl w:val="true"/>
          <w:lang w:bidi="fa-IR"/>
        </w:rPr>
        <w:t>من ترجیح المتعارضین بالأحدث فالأحدث حتی فی أخبار الوصویّة، و الّا فالترجیح بذلک من خصائص الکتاب و أخبار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دفع الإشکال بمنع استلزام التخصیص بأخبار الوصویة لتأخیر البیان عن وقت الحاجة فی الأعصار المتقدّمة علی زمان الصادقین، لعدم ابتلائهم، و إمّا بدعوی ظهور التخصیص فی الأعصار المتقدّمة بالنصوص أو الضرورة أو الإجماع أو غیرهما ممّا اختفی علینا و لم یصل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بمنع بطلان اللازم بإمکان أن یکون التأخیر لأجل التقیة أو مصلحة اخری من المصالح العقلائیّة المانعة من بیان الأحکام دفعة و بغتة و الموجبة لبیانها شیئا فشیئا کما کان فی أوائل البعثة، بل هو دیدن جمیع العقلاء و الامراء فی تمشیة الأحکام و السیاسات فی أوائل حکومتهم و توطین الرعایا فی أوائل سلطنتهم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النسخ و هذا التخصیص أنّ النسخ مبیّن لانقلاب مصلحة المنسوخ، و هذا التخصیص مبیّن لارتفاع المانع من مصلحة التخصیص</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أوجه وجوه دفع الإشکال المذکور هو الوجه الأخیر، بل الأوجه منه هو أن یکون تأخیر البیان لأجل التقیّة و المصلحة فی برهة من الزمان و عدم الحاجة فی برهة اخری، و عدم الخفاء بضرورة أو نحوها فی برهه اخری، و ذلک لأنّ الوجه الأوّل و إن أمکن عقلا، إلّا أنّ مثله لم یتحقّق، بل استظهر </w:t>
      </w:r>
    </w:p>
    <w:p>
      <w:pPr>
        <w:pStyle w:val="BookText"/>
        <w:rPr/>
      </w:pPr>
      <w:r>
        <w:rPr>
          <w:rFonts w:ascii="IRNazanin" w:hAnsi="IRNazanin" w:eastAsia="IRNazanin"/>
          <w:color w:val="111111"/>
          <w:sz w:val="28"/>
          <w:sz w:val="28"/>
          <w:szCs w:val="28"/>
          <w:rtl w:val="true"/>
          <w:lang w:bidi="fa-IR"/>
        </w:rPr>
        <w:t>استادنا العلّامة و غیره الإجماع علی نفیه علی حسب ما استقرب تحصیله فی الإشارات</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الوجه الثانی و الثالث فبعیدان جدّا، فتعیّن الأوجهیّة فی أحد الوجهین الأخیرین و أنّه علی ما عدا الوجه الأوّل من سائر الوجوه الخمسة تخرج الأخبار الوصویّة عن محلّ الکلام، لعدم احتمال النسخ فیها، فمحلّ الکلام فی بناء العامّ علی الخاصّ ینحصر فی الکتاب و الأخبار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الأقسام التی لها مدخلیّة فی العنوان،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أقصی ما یرتقی إلیه امّهات الأقسام التی لها مدخلیّة فی العنوان لا تزید علی ثمانیة أقسام محصّلة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 و الخاص إمّا مجهولا التاریخ و لو بجهل أحدهما، أو معلوما التاریخ باقترانهما حقیقة أو عرفا، أو بتقدیم العامّ علی الخاص، أو بالعکس، و علی الأخیرین إمّا أن یعلم صدور المتأخّر قبل حضور وقت العمل بالمتقدّم أو بعده أو یجهل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 بعض الأواخر من إبلاغ الأقسام المذکورة بازدیاد کونها إمّا من الکتاب أو السنّة، أو علی الاختلاف، و علی کلّ من التقادیر إمّا أن یکونا قطعیین أو ظنّیین أو مختلفین، و علی کلّ منهما إمّا أن یکون القطعیّة و الظنیّة بحسب المتن فیها أو السند کذلک، أو بالاختلاف، و علی کلّ منهما فالتنافی إمّا بین منطوقیهما أو مفهومیهما، أو بالاختلاف إلی ألف و سبعمائة و اثنین و تسعین قسما، أو إلی ما یقرب من خمسة آلاف بضمیمة ما فی الضوابط من الأقسام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فمطروح بواسطة أنّ الکلام فی هذا العنوان إنّما هو فی بناء العامّ علی الخاصّ من حیث التقدیم و التأخیر، لا من حیث القطعیّة و الظنیّة، و لا من </w:t>
      </w:r>
    </w:p>
    <w:p>
      <w:pPr>
        <w:pStyle w:val="BookText"/>
        <w:rPr/>
      </w:pPr>
      <w:r>
        <w:rPr>
          <w:rFonts w:ascii="IRNazanin" w:hAnsi="IRNazanin" w:eastAsia="IRNazanin"/>
          <w:color w:val="111111"/>
          <w:sz w:val="28"/>
          <w:sz w:val="28"/>
          <w:szCs w:val="28"/>
          <w:rtl w:val="true"/>
          <w:lang w:bidi="fa-IR"/>
        </w:rPr>
        <w:t>حیث المنطوقیّة، و المفهومیّة، و لا من سائر الحیثیات حتی یرتقی ما له دخل فی العنوان علی ما فوق الأقسام الثمانیة کما توهّمه بعض الآخر، إلّا أن یکون بنائه علی الخروج من هذا العنوان و جمع عنوانات عدیدة فی عنوان واحد، و لکن لا حسن فیه، بل لا وجه له بعد أن کان بعضها فرضی لا تحقّق له سوی تشویش الذهن و تعسّر الضبط، و لهذا استقرّت الآراء و دیدن العلماء سلفا عن خلف علی الاقتصار فی التقسیم إلی التربیع المنحلّ بعد التفصیل إلی التثمین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یظهر من القدماء من کون محلّ الکلام فی بناء العامّ علی الخاصّ من حیث التقدیم و التأخیر یشعر بالفراغ عمّا عدا احتمال النسخ و التخصیص من سائر احتمالات الإضمار و التقدیر و غیرهما فی هذا العنوان و هو کذلک و إن ظهر من بعض الأواخر احتمال ما عداهما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تأسیس الأصل فی المسألة و تعیینه،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الأصل اللفظی من الغلبة و الظهور فهو مع التخصیص فی جمیع أقسام العنوان مع الغضّ عن الموانع و القرائن الخارجیة من حضور وقت العمل و عدمه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الاصل العملی و هو استصحاب حکم العموم فی المخصّص إلی وقت حضور العمل فمع النسخ، فیستصحب حکم أکرم العلماء علی زید المشکوک خروجه عن تحت العموم من أوّل الأمر، أو بعد زمان حضور العمل إلی ما بعد حضور العمل إبقاء لما کان علی ما کان، سواء تقدّم العامّ أو تأخّر، و لکن لا یخفی أنّ مرجع هذا الأصل إلی اللفظ و هو تحکیم العموم علی إجمال المخصّص قدرا، و عدّ الغلبة من الاصول اللفظیة دونه لعلّه من جهة کونه فی طوله لا فی عرضه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تحکیم العموم علی اجمال المخصّص قدرا قد تقدّم الکلام فیه فی محلّه، و إذ قد عرفت تحریر محلّ الکلام و تشخیصه من الجهات الستّ فلنرجع إلی تشخیص الحکم فی کلّ من الأقسام المذکورة للمبحث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حکم صورة العلم بتقارنهما فهو التخصیص مطلقا، سواء کانت المقارنة حقیقیّة کما فی الفعلین و الفعل و القول کإکرام العلماء بجارحة مقارن إهانة فسّاقهم بجارحة اخری، دون القولین، إذ لا یتعقّل المقارنة الحقیقیة بین القولین إلّا من ذی لسانین، أو عرفیّة کما فی القولین و الفعلین و المختلفین، فإنّ المقارنة العرفیّة أعمّ من التقارن و التعاقب علی وجه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التخصیص فی المتقارنین بجمیع أقسامه فهم العرف و رجحان التخصیص بالغلبة و الشیوع علی النسخ بالغایة و النهایة، ضرورة أنّ النسخ فی شرعنا المنیر لم یبلغ معشار التخصیص، بل و لا عشر معشاره، و هذا ممّا لا خلاف فیه، إلّا ما عن بعض الحنفیّة من اتّحادهم بین المقارنة الحقیقیة و الجهل بالتاریخ فی ثبوت حکم التعارض فی قدر ما یتناولانه، و الرجوع إلی المرجّحات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علی تقدیر تسلیم دعوی الاتّحاد و عدم حجیّة غلبة التخصیص فلا أقلّ من مرجحیّته و موهنیّته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یظهر من القوانین</w:t>
      </w:r>
      <w:r>
        <w:rPr>
          <w:rStyle w:val="FootnoteAnchor"/>
          <w:rtl w:val="true"/>
        </w:rPr>
        <w:footnoteReference w:id="588"/>
      </w:r>
      <w:r>
        <w:rPr>
          <w:rFonts w:ascii="IRNazanin" w:hAnsi="IRNazanin" w:eastAsia="IRNazanin"/>
          <w:color w:val="111111"/>
          <w:sz w:val="28"/>
          <w:sz w:val="28"/>
          <w:szCs w:val="28"/>
          <w:rtl w:val="true"/>
          <w:lang w:bidi="fa-IR"/>
        </w:rPr>
        <w:t>فی المقام من أنّ الترجیح الخاص علی العام إنّما هو من حیث العموم و الخصوص مع الغضّ عن المرجّحات الخارجیّة کموافقة العموم للکتاب و مخالفته العامّة الموهم لترجیح العموم بالنظر إلی موافقة الکتاب و مخالفته العامّة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فمدفوع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باستلزامه طرح أکثر المخصّصات، إذ قلّ ما ینفک عامّ عن </w:t>
      </w:r>
    </w:p>
    <w:p>
      <w:pPr>
        <w:pStyle w:val="BookText"/>
        <w:rPr/>
      </w:pPr>
      <w:r>
        <w:rPr>
          <w:rFonts w:ascii="IRNazanin" w:hAnsi="IRNazanin" w:eastAsia="IRNazanin"/>
          <w:color w:val="111111"/>
          <w:sz w:val="28"/>
          <w:sz w:val="28"/>
          <w:szCs w:val="28"/>
          <w:rtl w:val="true"/>
          <w:lang w:bidi="fa-IR"/>
        </w:rPr>
        <w:t>موافقة الکتاب، 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دلالة أخبار الطرح علی ترجیح الموافق کما عرفت المنع تفصیلا حتی من نفس صاحب القوانین، مضافا إلی أنّه لا مسرح للنظر إلی المرجّحات الخارجیة للعموم علی فرض وجودها مع وجود المرجّحات الدلالتیة للتخصیص علی ما اعترف بها هو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ترجیح العموم بالشهرة الموهنة للتخصیص و نحوها من المرجّحات الخارجیة بناء علی اعتبار ظواهر الألفاظ من باب الظنّ الشخصی أو السببیة المقیّدة، و أمّا علی اعتبارها من باب السببیّة المطلقة فلا یمکن الترجیح بالشهرة إلّا علی حجیّة الشهرة أو بلوغها مبلغ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تقدیم العامّ علی الخاصّ الصادر بعد حضور وقت العمل أو قبله أو مشکوک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فی کلّ من صوره الثلاثة باختلاف المذاهب الستّة من جواز کلّ من تأخیر البیان عن وقت الخطاب و العمل و تقدیم النسخ علی حضور وقت العمل، و من عدم جواز شی‌ء من الامور الثلاثة، و من جواز الأولین دون الثالث، و من جواز الثالث دون الاولیین، و من جواز الأوّل دون الأخیرین الذی هو المشهور المنصور من بینها، و من جواز الأوّل و الثالث دون الثانی، و أمّا جواز الثانی و الثالث دون الأوّل، و جواز الثانی دون الأوّل و الثالث فغیر معقولین فضلا عن کونهما مقولین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هذا الاختلاف أنّ الخاصّ المتأخّر إن کان صادرا بعد حضور وقت العمل فعلی المذهب الأوّل و الثالث یترجّح التخصیص علی النسخ، لکونه أغلب و أشیع منه بالغایة و النهایة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المذهب الثانی و الرابع و الخامس و السادس یتعیّن النسخ، لعدم احتمال التخصیص بعد أن کان المفروض فی کلها عدم جواز تأخیر البیان عن </w:t>
      </w:r>
    </w:p>
    <w:p>
      <w:pPr>
        <w:pStyle w:val="BookText"/>
        <w:rPr/>
      </w:pPr>
      <w:r>
        <w:rPr>
          <w:rFonts w:ascii="Amiri" w:hAnsi="Amiri" w:eastAsia="Amiri" w:cs="Amiri"/>
          <w:color w:val="111111"/>
          <w:sz w:val="28"/>
          <w:sz w:val="28"/>
          <w:szCs w:val="28"/>
          <w:rtl w:val="true"/>
          <w:lang w:bidi="ar-SA"/>
        </w:rPr>
        <w:t>وقت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الخاص المتأخّر صادرا قبل حضور وقت العمل فعلی الاول و السادس یترجّح التخصیص علی النسخ، لکونه أغلب و أشیع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لا یتعقّل التخصیص، لتضمّنه عدم جواز تأخیر البیان عن وقت الخطاب، و لا النسخ، لتضمّنه عدم جوازه قبل حضور وقت العمل، فلا بدّ و أن یکون صدور الخاص المتأخّر قبل حضور وقت العمل دلیلا علی بطلان هذا المذهب، أو راجعا إلی ما عدا النسخ و التخصیص من سائر المجازات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 و الخامس یتعیّن التخصیص، لعدم احتمال النسخ بعد فرض عدم جوازه قبل حضور وقت العمل، کما أنّه علی الرابع یتعیّن النسخ، لعدم احتمال التخصیص بعد فرض عدم جواز تأخیر البیان عن وقت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الخاص المتأخّر مشکوک بین الصدور قبل العمل و بعده فعلی الأوّل و الثالث یترجّح التخصیص علی النسخ، لکونه أغلب و أشیع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و الرابع یتعیّن النسخ، لتضمّنه عدم جواز تأخیر البیان عن وقت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الخامس و السادس یترجّح التخصیص أیضا علی النسخ، لأغلبیّته منه،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اغلبیّته منه إنّما هی عند إمکانه بالإمکان الوقوعی کما فی الصور المتقدّمة، و أمّا فی تلک الصورتین فإمکان التخصیص إمکان احتمالی دائر بین امتناعه علی تقدیر صدور الخاص بعد العمل و وجوبه علی تقدیر صدوره قبله، و لا مسرح للغلبة علی کلّ من التقدیرین، و إنّما الغلبة فرع الإمکان الوقوعی لا الاحتمالی، إلّا أن یدّعی أنّ أغلبیة التخصیص الممکن بالإمکان الوقوعی بمثابة فی الکثرة و الشدّة توجب الظنّ بالتخصیص حتی عند احتمال امتناعه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أبیت و توقّفت فالمرجع للمتوقّف إلی الأصل الذی اسّسناه عند الدوران </w:t>
      </w:r>
    </w:p>
    <w:p>
      <w:pPr>
        <w:pStyle w:val="BookText"/>
        <w:rPr/>
      </w:pPr>
      <w:r>
        <w:rPr>
          <w:rFonts w:ascii="IRNazanin" w:hAnsi="IRNazanin" w:eastAsia="IRNazanin"/>
          <w:color w:val="111111"/>
          <w:sz w:val="28"/>
          <w:sz w:val="28"/>
          <w:szCs w:val="28"/>
          <w:rtl w:val="true"/>
          <w:lang w:bidi="fa-IR"/>
        </w:rPr>
        <w:t>بین التخصیص و النسخ من کونه مع النسخ، لکن لا لأصالة تأخیر الحادث 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تأخیر صدور الخاصّ عن وقت العمل المعیّن للنسخ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أصل مثبت، بل لما اختاره الاستاد فی محلّه من تحکیم العموم علی إجمال المخصّص 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الاجمال الناشئ عن الشک فی صدور الخاص قبل العمل أو بعده ملحق بالإجمال الشخصیّ الحاکم علی العموم، فالمرجع إلی الاصول العملیّة المختلفة باختلاف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ففی الحکم علی المذهبین الأخیرین یکون الخاصّ المتأخّر المشکوک صدوره قبل العمل و بعده مخصّص بالغلبة، أو ناسخا بأصالة تأخیر الحادث، أو بتحکیم العموم علی الإجمال، أو التوقّف و الرجوع إلی الاصول العملیّة المختلفة باختلاف المقامات وجوه و إشکال، و للتأمّل فیها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فی تفصیل ما قیل من کون المسألة ذات مذاهب ستّة، و لکنّ التحقیق أنّ الخلاف فی جواز تأخیر البیان مبنیّ علی عدم عذر فی تأخیر البیان من التقیّة أو المصلحة فی تدریج الأحکام شیئا فشیئا، و أمّا علی انفتاح باب العذر فی التأخیر فلا مجال لإنکار جواز تأخیر البیان، و علی احتمال الکشف عن سبق المبیّن لا تحقّق للتأخیر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فیرجع المذاهب الستّة إلی جواز تقدیم النسخ علی العمل و عدمه، و أحکام الصور الثلاثة إلی التخصیص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القول بعدم جواز تقدیم النسخ و عدم تأخیر الخاص عن وقت العمل فلتعیین التخصیص</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القول بجواز تقدیمه أو تأخیر الخاصّ عن وقت العمل، فلأرجحیّة التخصیص علی النسخ بواسطة الأغلبیة و الشیوع و إن استلزم تأخیر البیان عن وقت </w:t>
      </w:r>
    </w:p>
    <w:p>
      <w:pPr>
        <w:pStyle w:val="BookText"/>
        <w:rPr/>
      </w:pPr>
      <w:r>
        <w:rPr>
          <w:rFonts w:ascii="IRNazanin" w:hAnsi="IRNazanin" w:eastAsia="IRNazanin"/>
          <w:color w:val="111111"/>
          <w:sz w:val="28"/>
          <w:sz w:val="28"/>
          <w:szCs w:val="28"/>
          <w:rtl w:val="true"/>
          <w:lang w:bidi="fa-IR"/>
        </w:rPr>
        <w:t>الحاجة فی بعض المذاهب الستّة إذا لم یحتمل کاشفیّته عن سبق المبیّن کما فی الخاصّ المتلقّی عن النبی صلّی اللّه علیه و آله بالمشافهة لا الراویة، إذ قد عرفت اغتفار هذا اللازم مع العذر العقلائی من التقیّة أو مصلحة التدریج و أنّ التخصیص مع وجود هذا العذر المبیح لهذا اللازم أغلب من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ذلک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العذر من بیان الأحکام و إبلاغها دفعة و بغتة هو عدم استعداد المکلّفین لامتثالها و عدم قابلیّتهم لقبولها، و هو من الأعذار المسبوقة بالوجود، فالأصل بقائه، لا المسبوقة بالعدم حتّی یکون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احتمال التخصیص مع استلزامه علی بعض المذاهب و الفروض تأخیر البیان عن وقت الحاجة بسبب ذلک العذر أغلب من احتمال النسخ فی جمیع الصور الثمانیة عشر الحاصلة من ضرب المذاهب الستّة فی الصور الثلاثة التی لتأخیر الخاص عن العامّ من صدوره بعد حضور وقت العمل أو قبله أو الشکّ فی محلّ 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التخصیص بعد انفتاح باب العذر أو الکشف عن سبق المبیّن یندرج فی بقعة الإمکان الوقوعی فی جمیع تلک الصور، و لم یبق مسرح لاندراج صورة منها فی بقعة الإمکان الاحتمالی الدائر بین الوجوب و الامتناع حتّی یمنع نهوض الغلبة إلیه خصوصا فی الخاصّ المتلقّی عن النبی صلّی اللّه علیه و آله بالروایات لا المشافهة، حیث إنّ احتمال کاشفیة الروایات عن سبق المبیّن یقوی احتمال التخصیص بالغایة و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تحقّق المبیّن سابقا خلاف الأصل، فعند الشکّ یحکم بعدمه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الأحکام الثابتة أیضا خلاف الأصل فتعارضا و بقی الغلبة </w:t>
      </w:r>
    </w:p>
    <w:p>
      <w:pPr>
        <w:pStyle w:val="BookText"/>
        <w:rPr/>
      </w:pPr>
      <w:r>
        <w:rPr>
          <w:rFonts w:ascii="IRNazanin" w:hAnsi="IRNazanin" w:eastAsia="IRNazanin"/>
          <w:color w:val="111111"/>
          <w:sz w:val="28"/>
          <w:sz w:val="28"/>
          <w:szCs w:val="28"/>
          <w:rtl w:val="true"/>
          <w:lang w:bidi="fa-IR"/>
        </w:rPr>
        <w:t>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أخبارنا الوصویّة فقد عرفت خروجها عن محلّ الکلام، لعدم احتمال ما عدا التخصیص فیها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تقدیم الخاص علی العامّ فقیل هو النسخ، لفهم العرف، و لأنّ التخصیص بیان فکیف یتقدّم، و لما حکی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نأخذ بالأحدث فالأحدث من کلام النبی صلّی اللّه علیه و آله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الجواب عن الأوّل بمنع فهم العرف من تأخیر العام النسخ سیّما فی خطابات الشارع المستحیل علیه البداء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التقارن العرفی، حیث حکموا فیها ببناء العامّ علی الخاصّ تقدّم أو تأخّر من دون خلاف إلّا من بعض الحنفیّة حسبما مرّ، 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المتقدّم هو ذات المبیّن، و أمّا وصف البیان فمتأخّر، ضرورة أنّ وصف التخصیص إنّما یعرض له بعد ورود العام، فوصف البیان متأخّر عمّا یحتاج إلی البیان طبعا و إن تقدّم علیه وضعا من حیث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النقل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حجیّته، لأنّه خبر عامی مرسل موقوف علی مقالة ابن عباس و فعله، إلّا أن یدّعی استشعاره بتقریر النبی صلّی اللّه علیه و آله إیّاه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یعمّ صورة تعارض العامّ و الخاصّ، و إلّا لعمّ حتی صورة تقدّم العامّ علی الخاصّ و حتی صورة التقارن العرفی، بل هو خاصّ بالصور التی لا یحتمل التخصیص، أو بصورة التعارض علی وجه التنافی الکلّی و المناقضة، أو علی وجه العموم من 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التخصیص، لکونه أغلب من النسخ، و لکون الخاص أقوی دلالة من العامّ، و لکون الخاصّ قطعی الدلالة بالإضافة إلی العامّ، و لأولویّة الجمع من الطرح مهما أمکن، و لأنّ التخصیص دفع للأمر الغیر الثابت و النسخ رفع للأمر الثابت فیرجّح احتماله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الرابع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طریق الجمع لا ینحصر فی التخصیص، بل النسخ أیضا جمع،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الجمع أولویّة و تبرّع لا دلیل علی لزومه مهما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الخامس بأنّه إن کان الاعتبار بالظاهر فکلّ من التخصیص و النسخ دفع للأمر الثابت فی الظاهر من عموم الحکم للأفراد کما فی التخصّص، و للأزمان کما فی النسخ، و إن کان بالواقع فظاهر أنّ کلیهما رفع للأمر الغیر الثابت فیه من التناول لجمیع الأفراد أو الازمان، و إلّا لزم البداء المحال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بالتوقّف، نظرا إلی أنّ بین أکرم زیدا الفاسق، و لا تکرم الفسّاق عموم من وجه، لتصادقهما علی زید بعد صدور العامّ و تفارق الأوّل فی زید قبل صدور العامّ، و الثانی فیما عدا زید من أفراد العام، فعموم الخاصّ المتقدّم من حیث الزمان و عموم العامّ المتأخر من حیث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لا یعدّ من تعارض العامّ من وجه الراجع إلی المرجّحات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حکمه حکم العامّ و الخاصّ المطلق، لا المتباینین کما لا یخفی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أنّ حکم صور تقدیم الخاصّ عن العام هو حکم صور تأخیره عنه فی اختلافه باختلاف المذاهب الستّة المتقدّمة تفصیلها، و فی أنّ انفتاح باب </w:t>
      </w:r>
    </w:p>
    <w:p>
      <w:pPr>
        <w:pStyle w:val="BookText"/>
        <w:rPr/>
      </w:pPr>
      <w:r>
        <w:rPr>
          <w:rFonts w:ascii="IRNazanin" w:hAnsi="IRNazanin" w:eastAsia="IRNazanin"/>
          <w:color w:val="111111"/>
          <w:sz w:val="28"/>
          <w:sz w:val="28"/>
          <w:szCs w:val="28"/>
          <w:rtl w:val="true"/>
          <w:lang w:bidi="fa-IR"/>
        </w:rPr>
        <w:t>العذر و الکاشفیّة عن سبق المبیّن فی الأخبار النبویّة سیّما الوصویّة یقتضی التخصیص فی بعضها بالتعیین و فی بعضها بالترجیح علی حسب ما مرّ التفصیل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صورة الجهل بالتاریخ فیتصوّر علی أربعة أقسام، لأنّ الخاصّ فیه إمّا محتمل لکلّ من التقارن و التقدّم و التأخّر، أو محتمل للتقارن و التقدّم دون التأخّر، أو للتقارن و التأخّر دون التقدّم، او للتقدّم و التأخّر دون التقارن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حکم القسم الأوّل فهو التخصیص أیضا، لکن لا لما قیل من أغلبیة التخصیص، فإنّ أغلبیّته إنّما هو فی مقام إمکانه بالإمکان الوقوعی، لا بالإمکان الاحتمالی الدائر بین الوجوب و الامتناع علی المذهب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لما قیل من أنّ أصالة عدم تأخّر الخاصّ عن العامّ و أصالة عدم تقدّمه علیه یعیّن صورة اقترانه المحکوم علیه بالتخصیص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الاقتران أثر عادی لا شرعی، حتی یکون حجّة أو فرض نادر لا یتعلّق به الظن المنوط به حجیة ظواهر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الأصل عدم تحقّق شرط النسخ و هو حضور وقت العمل، فینفی المشروط فیبقی التخصیص، حتی یقال بأنّه معارض بأصالة عدم تحقّق شرط التخصیص أیضا، فإنّ تحقّقه فی نفس الأمر أیضا مشروط بورود الخاصّ قبل حضور وقت العمل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إنّما هو لعدم خروج هذا القسم عن أحد الأقسام السابقة، و قد عرفت رجحان التخصیص فی کلّها بعد انفتاح باب العذر فی تأخیر البیان أو احتمال الکاشفیة عن سبق المبیّن، نعم لو لم نقل بانفتاح شی‌ء من البابین فی الأخبار کان حکم هذا القسم من الجهل فی التاریخ حکم الجهل بتأخّر الخاص عن وقت العمل </w:t>
      </w:r>
    </w:p>
    <w:p>
      <w:pPr>
        <w:pStyle w:val="BookText"/>
        <w:rPr/>
      </w:pPr>
      <w:r>
        <w:rPr>
          <w:rFonts w:ascii="IRNazanin" w:hAnsi="IRNazanin" w:eastAsia="IRNazanin"/>
          <w:color w:val="111111"/>
          <w:sz w:val="28"/>
          <w:sz w:val="28"/>
          <w:szCs w:val="28"/>
          <w:rtl w:val="true"/>
          <w:lang w:bidi="fa-IR"/>
        </w:rPr>
        <w:t>و تقدّمه علیه فی اختلافه باختلاف المذاهب الستّة المتقدّمة، نظرا إلی أنّ احتمال التقارن فیه احتمال نادر فیلحق بالعدم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سائر أقسام الجهل بالتاریخ فتجری مجری هذا القسم فی رجحان التخصیص بالوجه المقبول، لا الوجه المنقول بعد انفتاح باب العذر فی تأخیر البیان أو احتمال الکاشفیة عن سبق المبیّن، و فی الاختلاف باختلاف المذاهب الستّة المتقدّمة لو لم نقل بانفتاح شی‌ء من هذین البابین فی الأخبار النبویّة</w:t>
      </w:r>
      <w:r>
        <w:rPr>
          <w:rFonts w:eastAsia="IRNazanin" w:cs="IRNazanin"/>
          <w:color w:val="111111"/>
          <w:sz w:val="28"/>
          <w:szCs w:val="28"/>
          <w:rtl w:val="true"/>
          <w:lang w:bidi="fa-IR"/>
        </w:rPr>
        <w:t xml:space="preserve">. </w:t>
      </w:r>
      <w:bookmarkStart w:id="386" w:name="pg12880_153510"/>
    </w:p>
    <w:p>
      <w:pPr>
        <w:pStyle w:val="BookText"/>
        <w:rPr/>
      </w:pPr>
      <w:bookmarkEnd w:id="386"/>
      <w:r>
        <w:rPr>
          <w:rFonts w:ascii="IRNazanin" w:hAnsi="IRNazanin" w:eastAsia="IRNazanin"/>
          <w:color w:val="111111"/>
          <w:sz w:val="28"/>
          <w:sz w:val="28"/>
          <w:szCs w:val="28"/>
          <w:rtl w:val="true"/>
          <w:lang w:bidi="fa-IR"/>
        </w:rPr>
        <w:t>فصل</w:t>
      </w:r>
    </w:p>
    <w:p>
      <w:pPr>
        <w:pStyle w:val="Heading2"/>
        <w:numPr>
          <w:ilvl w:val="1"/>
          <w:numId w:val="1"/>
        </w:numPr>
        <w:rPr/>
      </w:pPr>
      <w:bookmarkStart w:id="387" w:name="__RefHeading___Toc2986577_3224264995"/>
      <w:bookmarkStart w:id="388" w:name="_Toc147"/>
      <w:bookmarkEnd w:id="387"/>
      <w:r>
        <w:rPr>
          <w:rtl w:val="true"/>
        </w:rPr>
        <w:t>[</w:t>
      </w:r>
      <w:r>
        <w:rPr>
          <w:rtl w:val="true"/>
        </w:rPr>
        <w:t>فی المطلق و المقیّد</w:t>
      </w:r>
      <w:r>
        <w:rPr>
          <w:rtl w:val="true"/>
        </w:rPr>
        <w:t>]</w:t>
      </w:r>
      <w:bookmarkEnd w:id="388"/>
    </w:p>
    <w:p>
      <w:pPr>
        <w:pStyle w:val="Heading3"/>
        <w:numPr>
          <w:ilvl w:val="2"/>
          <w:numId w:val="1"/>
        </w:numPr>
        <w:rPr/>
      </w:pPr>
      <w:bookmarkStart w:id="389" w:name="__RefHeading___Toc2986579_3224264995"/>
      <w:bookmarkStart w:id="390" w:name="_Toc148"/>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علی ما یظهر من جماعة کالشهید الثانی فی تمهید القواعد</w:t>
      </w:r>
      <w:r>
        <w:rPr>
          <w:rStyle w:val="FootnoteAnchor"/>
          <w:rtl w:val="true"/>
        </w:rPr>
        <w:footnoteReference w:id="590"/>
      </w:r>
      <w:r>
        <w:rPr>
          <w:rFonts w:ascii="IRNazanin" w:hAnsi="IRNazanin" w:eastAsia="IRNazanin"/>
          <w:color w:val="111111"/>
          <w:sz w:val="28"/>
          <w:sz w:val="28"/>
          <w:szCs w:val="28"/>
          <w:rtl w:val="true"/>
          <w:lang w:bidi="fa-IR"/>
        </w:rPr>
        <w:t>و غیره هو الماهیّة لا بشرط شی‌ء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الوحدة و لا بشرط الکثرة،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الماهیة المعرّاة حتی عن قید التعریة، فیشتمل الجنس و اسم الجنس و علم الجنس دون النکرة و العهد الذهنی، و علی ما عرّفه الأکثر هو ما دل علی شائع فی جنسه المفسّر بحصة محتملة الصدق علی حصص کثیرة مندرجة تحت جنس ذلک الحصّة، و هو المفهوم الکلّی الذی یصدق علی هذه الحصّة و علی غیرها من الحصص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الماهیّة المقیّدة بقید الوحدة و هو الفرد المنتشر و فرد ما، فیشمل النکرة و العهد الذهنی دون الجنس و اسم الجنس و علم الجنس، فالتعریفان متباینان، و ینتقض طرد الأوّل بالنکرة و المعهود الذهنی، کما ینتقض طرد الثانی بالجنس و اسم الجنس و علم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فالاکتفاء بکلّ من التعریفین تعریف للأعمّ بالاخصّ، فلا بد و أن یؤخذ کلاهما فی التعریف حتی یساوی المعرّف المعرّف فی اصطلاح القوم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 اتّفاق الفقهاء و الاصولیین علی التعبیر علی کلّ من اسم الجنس و النکرة بالمطلق و علی التمثیل له بأعتق رقبة، و لهذا عمّم غیر واحد من المحقّقین العنوان لهما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هو الدالّ علی الماهیة أو علی شائع فی جنسه، فتحدید </w:t>
      </w:r>
    </w:p>
    <w:p>
      <w:pPr>
        <w:pStyle w:val="BookText"/>
        <w:rPr/>
      </w:pPr>
      <w:r>
        <w:rPr>
          <w:rFonts w:ascii="IRNazanin" w:hAnsi="IRNazanin" w:eastAsia="IRNazanin"/>
          <w:color w:val="111111"/>
          <w:sz w:val="28"/>
          <w:sz w:val="28"/>
          <w:szCs w:val="28"/>
          <w:rtl w:val="true"/>
          <w:lang w:bidi="fa-IR"/>
        </w:rPr>
        <w:t xml:space="preserve">المطلق بأحدهما لا یخلو من تسامح، لأنّه تعریف للأعمّ بالأخصّ لا بالمساوی و إن أمکن الاعتذار عمّن اقتصر علی التعریف الأوّل بأنّ مراده من الماهیة لا بشرط شی‌ء لا بشرط غیر الوحدة من سائر الأشیاء، لا من الوحدة و غیر الوحدة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تمثیلهم بأعتق رقبة مطلقا بالنسبة إلی عدم اعتبار غیر الوحدة الغیر المعیّنة من سائر قیود الإیمان و الکفر و الصحّة و المرض و الصغر و الکبر و البیاض و السواد، و نکرة باعتبار ملاحظة الوحدة الغیر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عمّن اقتصر علی التعریف الثانی بأنّ نظره إلی غلبة استعمال تنوین المطلق فی التنکیر و أنّ استعماله فی التمکّن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قانون بحث النکرة فی سیاق النفی من توجیه التعریف الأوّل و الإعراض عن الثانی بتفسیر الرقبة من تمثیلهم للمطلق بأعتق رقبة بمثل ما 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علیّ و فی الحروب 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وجیه، لمخالفته تصریح غیر واحد منهم بدخول النکرة، و لمخالفته ظهور تنوین الرقبة من تمثیلهم فی التنکیر لا التمکّن، و لاستلزامه تخصیص المطلق بفرد نادر لندور استعمال تنوینه فی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تصحیحه التعریفین باعتبار الحیثیة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أعتق رقبة مطلق بالنسبة إلی عدم اعتبار غیر الوحدة الغیر المعیّنة، و نکرة باعتبار ملاحظة الوحدة الغیر المعیّنة، ففیه أنّ غایة ما یجدیه اعتبار الحیثیة هو تعمیم التعریف الأوّل و تطبیقه علی مؤدّی الثانی، و هو التمثیل بالنکرة، دون تعمیم التعریف الثانی و تطبیقه علی مؤدّی الأوّل و هو اسم الجنس و علم الجنس</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تصحیحهما بأنّ الأوّل مبنیّ علی تعلّق الأحکام بالطبائع، و الثانی مبنی علی تعلّقها بالأفراد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ففیه أنّ الکلام فی مدلول لفظ المطلق بنفسه مع قطع النظر عن القرائن الخارجیة و الموانع العارضیّة کما هو دیدن جمیع العقلاء و العلماء فی سائر المباحث، حیث استقرّ دیدنهم فی البحث عن کلّ شی‌ء علی الغضّ من الموانع الخارجیة عنه، هذا کلّه فی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المقیّد فعرّفوه بما دلّ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شائع فی جنسه، و فیه أنّه و إن کان جامعا للأفراد و مانعا لبعض الأغیار و هی المهملات، إلّا أنّه لیس مانعا لبعض الأغیار الأخر و هی الأعلام الشخصیة، فالتعریف الجامع و المانع هو تعریفهم الشائع بما اخرج من شیاع، و علیه فالمطلق ما لم یخرج عن هذا الشیاع، فیحصل للمطلق حدود ثلاثة و للمقیّد حدّان، و یحصل من نسبة کلّ واحد من الحدود الخمسة إلی ما عداه من سائر الحدود الأربعة عشرون نسبة، و اذا أسقطت المکررات بقی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بیانها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تحدید المطلق بالماهیّة المعرّاة فنسبته مع الحصّة الشائعة تباین کلّی، و مع ما لم یخرج عن شیاع أیضا تباین کلّی، إذ المراد منه السلب بانتفاء المحمول لا السلب بانتفاء الموضوع حتّی یعمّ الماهیة، و إلّا لعمّ الأعلام الشخصیة أیضا، و مع ما دلّ لا علی شائع عموم مطلق و العموم من طرف المقیّد، لشموله الأعلام الشخصیة دونه، و مع ما اخرج من شیاع تباین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تحدید المطلق بالحصّة الشائعة فنسبته مع ما لم یخرج عن شیاع عموم مطلق و العموم من طرف الحصّة الشائعة، و مع ما دلّ لا علی شائع تباین کلّی، و مع ما اخرج من شیاع عموم من وجه، لتصادقهما علی رقبة مؤمنة و تفارق الأوّل عن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عن الأوّل فی هذا الرجل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تحدید المطلق بما لم یخرج عن شیاع فنسبته مع ما دلّ لا علی شایع تباین کلّی، و مع ما اخرج من شیاع تباین، و أمّا تحدید المفید بما دلّ لا علی شایع </w:t>
      </w:r>
    </w:p>
    <w:p>
      <w:pPr>
        <w:pStyle w:val="BookText"/>
        <w:rPr/>
      </w:pPr>
      <w:r>
        <w:rPr>
          <w:rFonts w:ascii="IRNazanin" w:hAnsi="IRNazanin" w:eastAsia="IRNazanin"/>
          <w:color w:val="111111"/>
          <w:sz w:val="28"/>
          <w:sz w:val="28"/>
          <w:szCs w:val="28"/>
          <w:rtl w:val="true"/>
          <w:lang w:bidi="fa-IR"/>
        </w:rPr>
        <w:t>فنسبته مع ما اخرج من شیاع عموم من وجه لتصادقهما علی هذا الرجل و تفارق الأوّل عن الثانی فی الأعلام الشخصیة و الثانی عن الأوّل فی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تقابل المطلق و المقیّد لیس من قبیل تقابل التضادّ کالبیاض و السواد، لعدم کونهما و صفین وجودیین، و لا من قبیل تقابل التضایف کالابوّة و البنوّة، لعدم کونهما من الامور المضایفة المتقارنة فی الوجود و المتفارقة بالوجوه، و لا من قبیل تقابل التناقض و الإیجاب و السلب کالصدق و الکذب و الوجود و العدم، لوجود الواسطة بینهما بالأعلام الشخصیة، بل هو من قبیل تقابل العدم و الملکة کالعمی و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تقابل العامّ و الخاصّ أیضا من هذا القبیل، ضرورة أنّ الإطلاق هو عدم الخروج عن الشیاع، لکن لا مطلقا، بل ممّا شأنه الخروج عنه، کما أنّ الخصوص هو عدم استیعاب الأفراد لا مطلقا، بل ممّا شأنه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تفسیر الألفاظ المأخوذة فی تعریف المطلق بحصّة محتملة الصدق علی حصص کثیرة مندرجة تحت جنس ذلک الحصّة، و هو المفهوم الکلّی الذی یصدق علی هذه الحصّة و علی غیرها من الحصص</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الصادق علی الکثیرین باعتبار ارتسامه فی خزانة الذهن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مذهب القائلین بعدم وجود الکلّی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بالتبع و الانتزاع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مذهب القائلین بوجوده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کلیا، و باعتبار تحقّقه فی الخارج فی ضمن شی‌ء من المشخّصات الخارجیة یسمی حصّة، و ذلک المشخّص یسمّی فردا، و المجموع المرکّب من الحصّة و الفرد باعتبار کونه فی الخارج یسمّی مصداقا، و فی الذهن یسمّی مفهوما، ثمّ إنّ الفرق بین الفرد المنتشر و الحصّة الشائعة، هو أنّ تغایر الحصص إضافی و تغایر الأفراد ذاتی</w:t>
      </w:r>
      <w:r>
        <w:rPr>
          <w:rFonts w:eastAsia="IRNazanin" w:cs="IRNazanin"/>
          <w:color w:val="111111"/>
          <w:sz w:val="28"/>
          <w:szCs w:val="28"/>
          <w:rtl w:val="true"/>
          <w:lang w:bidi="fa-IR"/>
        </w:rPr>
        <w:t xml:space="preserve">. </w:t>
      </w:r>
      <w:bookmarkStart w:id="391" w:name="pg12880_153514"/>
    </w:p>
    <w:p>
      <w:pPr>
        <w:pStyle w:val="Heading3"/>
        <w:numPr>
          <w:ilvl w:val="2"/>
          <w:numId w:val="1"/>
        </w:numPr>
        <w:rPr/>
      </w:pPr>
      <w:bookmarkStart w:id="392" w:name="__RefHeading___Toc2986581_3224264995"/>
      <w:bookmarkStart w:id="393" w:name="_Toc149"/>
      <w:bookmarkEnd w:id="391"/>
      <w:bookmarkEnd w:id="392"/>
      <w:r>
        <w:rPr>
          <w:rtl w:val="true"/>
        </w:rPr>
        <w:t>[</w:t>
      </w:r>
      <w:r>
        <w:rPr>
          <w:rtl w:val="true"/>
        </w:rPr>
        <w:t>أصل تقیید المطلق هل هو مجاز کما علیه المشهور، أم حقیقة</w:t>
      </w:r>
      <w:r>
        <w:rPr>
          <w:rtl w:val="true"/>
        </w:rPr>
        <w:t>]</w:t>
      </w:r>
      <w:bookmarkEnd w:id="393"/>
    </w:p>
    <w:p>
      <w:pPr>
        <w:pStyle w:val="BookText"/>
        <w:rPr/>
      </w:pPr>
      <w:r>
        <w:rPr>
          <w:rFonts w:ascii="IRNazanin" w:hAnsi="IRNazanin" w:eastAsia="IRNazanin"/>
          <w:color w:val="111111"/>
          <w:sz w:val="28"/>
          <w:sz w:val="28"/>
          <w:szCs w:val="28"/>
          <w:rtl w:val="true"/>
          <w:lang w:bidi="fa-IR"/>
        </w:rPr>
        <w:t>کما تفرّد به السلطان</w:t>
      </w:r>
      <w:r>
        <w:rPr>
          <w:rStyle w:val="FootnoteAnchor"/>
          <w:rtl w:val="true"/>
        </w:rPr>
        <w:footnoteReference w:id="591"/>
      </w:r>
      <w:r>
        <w:rPr>
          <w:rFonts w:ascii="IRNazanin" w:hAnsi="IRNazanin" w:eastAsia="IRNazanin"/>
          <w:color w:val="111111"/>
          <w:sz w:val="28"/>
          <w:sz w:val="28"/>
          <w:szCs w:val="28"/>
          <w:rtl w:val="true"/>
          <w:lang w:bidi="fa-IR"/>
        </w:rPr>
        <w:t>و بعض من تبعه کصاحب الفصول</w:t>
      </w:r>
      <w:r>
        <w:rPr>
          <w:rStyle w:val="FootnoteAnchor"/>
          <w:rtl w:val="true"/>
        </w:rPr>
        <w:footnoteReference w:id="592"/>
      </w:r>
      <w:r>
        <w:rPr>
          <w:rFonts w:ascii="IRNazanin" w:hAnsi="IRNazanin" w:eastAsia="IRNazanin"/>
          <w:color w:val="111111"/>
          <w:sz w:val="28"/>
          <w:sz w:val="28"/>
          <w:szCs w:val="28"/>
          <w:rtl w:val="true"/>
          <w:lang w:bidi="fa-IR"/>
        </w:rPr>
        <w:t>، أم التفصیل بین کون التقیید بالقرینة المتّصلة فحقیقة، و بالمنفصلة فمجاز کما تفرّد به صاحب الضوابط</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محلّ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أنّ معنی المطلق هو الطبیعة المعراة حتی عن قید التعریة مطلقا، أو بالنسبة إلی ما عدا الوحدة من سائر القیود، و لا فی حقیقة إطلاق المطلق علی الفرد إذا لم تقصد الفردیّة منه و إن استفیدت من الخارج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إنسان و استفید من الخارج مصادفته زیدا، و لا فی مجازیّته إذا قصدت من نفس المطلق، سواء استعمل المطلق فی المرکّب من الطبیعة و قید الخصوصیة أو من الطبیعة و التقیّد بها، لکون المفروض عدم وضع اللفظ بإزاء المرکّب، بل بإزاء جزئه، فاستعماله فیه استعمال له فی غیر ما وضع له بعلاقة الجزئیة و الکلیّة، فیکون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الخلاف إنّما هو فی الصغری و تشخیص أنّ المتفاهم من تقیید المطلق عرفا استعماله علی أیّ نحو من الشقین، یعنی أنّ المتبادر من الرقبة فی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أعتق رقبة مؤمنة هل هو رقبة مقیّدة بالإیمان أو مؤمن من ماهیّة الرقبة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فی أنّ تقیید المطلق هل یفید عرفا تصغیره </w:t>
      </w:r>
    </w:p>
    <w:p>
      <w:pPr>
        <w:pStyle w:val="BookText"/>
        <w:rPr/>
      </w:pPr>
      <w:r>
        <w:rPr>
          <w:rFonts w:ascii="IRNazanin" w:hAnsi="IRNazanin" w:eastAsia="IRNazanin"/>
          <w:color w:val="111111"/>
          <w:sz w:val="28"/>
          <w:sz w:val="28"/>
          <w:szCs w:val="28"/>
          <w:rtl w:val="true"/>
          <w:lang w:bidi="fa-IR"/>
        </w:rPr>
        <w:t>کتخصیص العامّ، أو یفید تصغّره کتخصص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یفید تقییده إحداث القصر فی طوله کما هو حقیقة معنی باب التفعیل، أو یفید إیجاده علی وجه القصر من قبیل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فم الرکیّة، یعنی أحدثه ضیّقا، لا أحدث فیه الضیق بعد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رقبة مؤمنة من قبیل الدالّین أحدهما لفظ الرقبة و الآخر الهیئة العارضة الحاصل بین الموصوف و الصفة، و المدلولین أحدهما نفس ماهیّة الرقبة المدلولة للدالّ الأوّل و الآخر خصوص الرقبة المؤمنة المدلولة للدال الثانی،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رجلا یده فی بدل البعض من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قبیل الدال الواحد و هو لفظ الرقبة و مدلول واحد و هو خصوص الرقبة المؤمنة المدلولة للفظ الرقبة بمعونة کاشفیة قید المؤمنة عن الدلالة و قرینیّته علیه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یرمی، فی الوصف و الموصوف، حیث إنّ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الأسد دلالة تبعیة طفیلیة توطئیة کاشفیة، بخلاف المقصود من بدل البعض بالنسبة إلی مبدله، فإنّه بالعکس، إذ المقصود بالذات الإسناد إلی البدل و إسناده إلی المبدّل صورة توطئة و آلة لملاحظة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تشخیص محلّ النزاع فالأظهر من فهم العرف مع المشهور من مجازیة المطلق بالتقیید مطلقا، و الأقرب إلی الاعتبار و الحکمة مع السلطان، ضرورة أقربیّة وضع اللفظ علی وجه صالح قابل لطروّ الأوصاف و الإضافات علیه من الوضع علی وجه غیر الصلوح له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فی فهم العرف من تقیید المطلق تصغیره و إحداث القصر فی طوله، لا تصغّره و إیجاده علی وجه القصر لیس لدعوی وضع الواضع المطلق بشرط الإطلاق حتی یدفع باستبعاده و أصالة عدمه، بل لدعوی وضعه فی حال الإطلاق لا بشرط </w:t>
      </w:r>
    </w:p>
    <w:p>
      <w:pPr>
        <w:pStyle w:val="BookText"/>
        <w:rPr/>
      </w:pP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جواز التعدّی عن الحالة التی صدر الوضع فیها لیس لأجل مخالفته الموضوع له صریحا، بل إنّما هو لأجل أنّ الأوضاع لمّا کانت توقیفیة لا یجوز التعدّی و التخطّی عن القدر المتیقّن کان المسکوت عنه فی حکم المحذور عنه صریحا، فلا یجوز التعدّی إلیه بتلک الرخصة الشخصیة الأوّلیة الحقیقیة، بل إنّما یحتاج الی الرخصة النوعیة الثانویة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أوضاع الألفاظ توقیفیة و تعدیتها إلی غیر الموضوع له مستند إلی الرخصة الثانویة النوعیة المجازیة لا إلی الرخصة الأوّلیة الشخصیة الحقیقیة، کذلک کیفیات استعمالها أیضا توقیفیة، بحیث یکون التعدّی عن القدر المتیقّن من کیفیات حال الوضع إلی غیره من الکیفیات مستند إلی الرخصة الثانویة لا الأوّلیة، و من المعلوم أنّ القدر المتیقّن من کیفیات حال وضع المطلق هو حالة التعریة عن القید، فتجاوزه عن حال التعریة إلی حال التقیّد مستند إلی الرخصة الثانویة المجازیة، لا إلی الرخصة الأوّلیة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فی مرجوحیة مذهب السلطان فلأنّه إن کان مبنیّا علی أقربیّة وضع اللفظ علی وجه الصلوح و القابلیة لطروّ الأوصاف و الإضافات علیه بحسب الاعتبار و الحکمة من الوضع علی وجه غیر الصلوح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الأقرب إلی مسلکه فی کثیر من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 مجرد الأقربیة العقلیة غیر محصّلة للظن المنوط به ثبوت الأوضاع التوقیفیة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مبنیّا علی دعوی أنّ المتبادر من المطلق معنی عامّ صالح لتطرّق التقییدات علیه بحیث لا یوجب التقیید إحداث قصر فیه بحسب متفاهم العرف فمن الظاهر علی من له أدنی خبرة بمتفاهم العرف خلافه، و لا أقلّ من الشک القاضی </w:t>
      </w:r>
    </w:p>
    <w:p>
      <w:pPr>
        <w:pStyle w:val="BookText"/>
        <w:rPr/>
      </w:pPr>
      <w:r>
        <w:rPr>
          <w:rFonts w:ascii="IRNazanin" w:hAnsi="IRNazanin" w:eastAsia="IRNazanin"/>
          <w:color w:val="111111"/>
          <w:sz w:val="28"/>
          <w:sz w:val="28"/>
          <w:szCs w:val="28"/>
          <w:rtl w:val="true"/>
          <w:lang w:bidi="fa-IR"/>
        </w:rPr>
        <w:t>للأخذ بالمتیقّن و نفی الزائد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مبنیّا علی دعوی وضع الهیئة الحاصلة للمطلق من التقیید للمقیّد وراء وضعه الأفرادی للمطلق، فقدّم فی محلّه عدم الوضع للمرکّبات وراء الأوضاع الأفرادیة، بل لا أظنّ أن یلتزم به إنسان فضلا عن السلطان، إذ لا أقلّ من الشک القاضی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مبنیّا علی دعوی أنّ تقیید الرقبة بالمؤمنة مثلا إخراج للکافرة عن حکم المطلق، لا عن نفس المطلق، فهو و إن کان أحد وجوه القول بأنّ العامّ المخصّص حقیقة فی الباقی، إلّا أنّه ممّا لم یحتمله أحد وجها للقول بأنّ المطلق حقیقة فی المقید، ضرورة أنّ المتبادر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مؤمنة تقیید الرقبة بالإیمان، لا تقیید العتق به 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المتبادر من المطلق هو الماهیّة علی وجه الدوران و الصلوح و القابلیة لطروّ الأوصاف و الإضافات علیه لم یکن لإطلاق المطلق و عمومه عند عدم التقیید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الحکم بإطلاق أعتق رقبة و عمومه و شموله لا ینحصر فی أخذ الواضع الصلوح و الدوران فی موضوع المطلق، بل یحصل الإطلاق و العموم بواسطة سریان الماهیّة و الطبیعة إلی الأفراد، أو بواسطة اقتضاء الحکمة العموم و الإطلاق</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تقریره أنّ إرادة الطبیعة من حیث هی و عدم إرادة شی‌ء من أفراده، مستلزم للغویة، و إرادة فرد واحد معیّن عند المرید دون المراد منه و إن کان مخرجا عن اللغویة، إلّا أنّه مستلزم للإغراء بالجهل، فلا مناص عن أحد المحذورین إلّا إلی إرادة الإطلاق و العموم فیتعیّن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إطلاق المطلق و عمومه عند عدم التقیید من جهة سریان الطبیعة إلی الأفراد لاستلزم شموله حتی للأفراد الأندرة فضلا عن النادرة، ضرورة عدم انفکاک الطبیعة عنها، و لو کان من جهة الحکمة المقرّرة لاستلزم استعماله فی غیر ما وضع له، ضرورة أنّ إرادة جمیع الأفراد بدلیل الحکمة غیر الماهیّة المطلقة التی وضع لفظ المطلق بإزائها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الملازمة الاولی بأنّ الأفراد و إن لم تکن مطلوبة بالذات، إلّا أنّ مطلوبیتها و لو من باب المقدّمة لامتثال الطبیعة یکفی فی الانصراف إلی الأفراد الشائعة، غایة الفرق أنّه علی تقدیر استناد عمومه إلی دلیل الحکمة یکون عدم شموله الأفراد النادرة من باب عدم المقتضی، و علی تقدیر استناد عمومه إلی السریان یکون عدم شموله لها من باب 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نمنع الملازمة الثانیة بأنّ دلیل الحکمة المقرّرة لیس کاشفا عن إرادة الإطلاق و العموم من نفس المطلق حتی یستلزم المجازیة و استعماله فی غیر ما وضع له، بل هو مقتضی لإرادة الإطلاق و العموم من نفسه، لا من المطلق، فإطلاق المطلق بدلیل الحکمة من قبیل الدالّین و المدلولین، لا من قبیل الدالّ و المدلول الواحد، فمعنی المطلق فی أَحَلَّ اللَّهُ الْبَیْعَ مثلا بعد ضمیمة مقتضی الحکمة إلیه هو جمیع الأفراد من ماهیة البیع، لا الماهیّة المقیّدة بجمیع الأفراد حتّی یکون الحکمة کاشفا لا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المتبادر من المطلق الماهیّة علی وجه الصلوح و القابلیة لطروّ التقییدات و الإضافات علیه لاستلزم عدم صدق المطلق علی المقیّد و عدم حمله علیه، و اللازم باطل فالملزوم مثله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أجبنا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بالنقض بصدق الإنسان الکلّی و حمله علی زید الجزئی مع عدم </w:t>
      </w:r>
    </w:p>
    <w:p>
      <w:pPr>
        <w:pStyle w:val="BookText"/>
        <w:rPr/>
      </w:pPr>
      <w:r>
        <w:rPr>
          <w:rFonts w:ascii="IRNazanin" w:hAnsi="IRNazanin" w:eastAsia="IRNazanin"/>
          <w:color w:val="111111"/>
          <w:sz w:val="28"/>
          <w:sz w:val="28"/>
          <w:szCs w:val="28"/>
          <w:rtl w:val="true"/>
          <w:lang w:bidi="fa-IR"/>
        </w:rPr>
        <w:t>أخذ الصلوح و القابلیة فی وضع الکلیات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بأنّه إن ارید من صدق المطلق علی المقیّد صدقه علیه حقیقة بوصف الإطلاق، و من حمله علیه الحمل المتواطی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هو هو فالملازمة مسلّمة، لکن بطلان اللازم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 صدقه علیه صدقه المجازی لا بوصف الإطلاق، و من حمله علیه حمله المتعارف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ذو هو لا هو هو فبطلان اللازم مسلّم، لکنّ الملازمة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المطلق فی الماهیّة القابلة و الصالحة لطروّ الإضافات و القیودات علیها لکان مجازا فی ضمن النکرة و التثنیة و الجمع و المحلّی بلام الاستغراق و العهد بجمیع 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منع الملازمة المذکورة بأنّ المراد من النکرة فرد ما من الماهیة، لا ماهیة مقیّدة فرد ما، و من التثنیة و الجمع فردان أو افراد من الماهیة، لا ماهیة مقیدة بفردین أو أفراد، و من المعهود فرد من المعهود، لا ماهیة مقیّدة بالعهد حتی یکون المطلق فی ضمنها مجازا، بل لا أقلّ من الشک، و هو کاف فی إلحاق المشکوک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أنّک تلتزم بأنّ المراد من النکرة فرد من الماهیّة دون الماهیّة المقیّدة بالفرد، کذلک نحن نلتزم بأنّ المراد من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مؤمن من ماهیة الرقبة، لا رقبة مقیّدة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إباء فهم العرف عمّا التزمت به لم نأبی منه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فهم العرف آب عما التزمته أنا، فلیکن آب عما التزمت به أنت أیضا من کون المطلق حقیقة فی ضمن النکرة و المحلّی باللام و غیرهما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إباء العرف عمّا التزمنا به من کون المطلق حقیقة فی ضمن النکرة و المحلّی باللام لا نأبی من عدم الالتزام به و إلحاق التنکیر و العهد و التثنیة و الجمع بالتقیید فی الالتزام بمجازیّة المطلق فی ضمنها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المطلق مجازا فی المقیّد لکان مجازا فی جمیع الإطلاقات، لعدم انفکاکها عن المقید فی شی‌ء منها، و اللازم و هو المجاز بلا حقیقة باطل، لعدم وقوعه أو ندور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ممنوعة، ضرورة أنّ إطلاق المطلق علی المقیّد تارة بطریق الحمل المتعارفی، و تارة بطریق الحمل المتواطی، و تارة بطریق الاخبار الذی یصادفه استفادة الفرد من الخارج أو من خبر آخر، و تارة بطریق الإنشاء الوارد مورد حکم آخر المستفاد تقییده بذلک المورد من سیاقه أو انشاء أو إخبار آخر، و تارة بطریق الانصراف إلی الأفراد الشائعة، و تارة بطریق التقیید المتصل به أو المنفصل عنه من إجماع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التقیید بالطریق الأوّل فلا ریب فی عدم مزاحمته استعمال المطلق فی حقیقته بوفاق منّا، و کذا بالطریق الثانی، لأنّ التجوّز فیه إنّما هو فی الإسناد، لا فی المسند، و کذا بالطریق الثالث، لأنّ الظاهر من الإخبارات المطلقة طرّا أو جلّا تعلّق الغرض فیها بالإخبار عن نفس الماهیة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رجل، أو أکلت طعاما ظاهر فی إرادة اصل الطبیعة بالأصالة أعنی طبیعة الرجولیة المقابلة للانوثیة و الطعامیة المقابلة للترابیة، و إرادة الفرد إنّما هو بالعرض و التبعیة من غیر تعلّق الغرض به أصالة من غیر خلاف</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الخلاف فی التقیید بسائر الطرق حیث قاسها السلطان علی التقیید بطریق </w:t>
      </w:r>
    </w:p>
    <w:p>
      <w:pPr>
        <w:pStyle w:val="BookText"/>
        <w:rPr/>
      </w:pPr>
      <w:r>
        <w:rPr>
          <w:rFonts w:ascii="IRNazanin" w:hAnsi="IRNazanin" w:eastAsia="IRNazanin"/>
          <w:color w:val="111111"/>
          <w:sz w:val="28"/>
          <w:sz w:val="28"/>
          <w:szCs w:val="28"/>
          <w:rtl w:val="true"/>
          <w:lang w:bidi="fa-IR"/>
        </w:rPr>
        <w:t>الإخبار</w:t>
      </w:r>
      <w:r>
        <w:rPr>
          <w:rStyle w:val="FootnoteAnchor"/>
          <w:rtl w:val="true"/>
        </w:rPr>
        <w:footnoteReference w:id="594"/>
      </w:r>
      <w:r>
        <w:rPr>
          <w:rFonts w:ascii="IRNazanin" w:hAnsi="IRNazanin" w:eastAsia="IRNazanin"/>
          <w:color w:val="111111"/>
          <w:sz w:val="28"/>
          <w:sz w:val="28"/>
          <w:szCs w:val="28"/>
          <w:rtl w:val="true"/>
          <w:lang w:bidi="fa-IR"/>
        </w:rPr>
        <w:t>و منعه المشهور بوجود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بینه و بین التقیید بطریق الاتّصال أو الانفصال، فلأنّ الفارق هو ما عرفت من فهم العرف و دلیل التوقیف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بینه و بین التقیید بطریق الانصراف، فلأنّ الفارق هو الطبع السلیم حیث یری أنّ شیوع الأفراد مانع من تجاوز المطلق عنها إلی الأفراد النادرة لا مقتض لعدم تجاوز المطلق عنها بالاستقلال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بینه و بین التقیید بإیراد المطلق مورد حکم آخر، فلأنّ الفارق العقل، ضرورة أنّه بعد تعلّق الغرض بإیراد المطلق مورد حکم آخر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التعیین لا أیّ فرد یکون منه لا یتعقّل کون المعیّن لذلک دلیلا مستقلا بنفسه کما یتعقّل فی مثل جاءَ رَجُلٌ مِنْ أَقْصَی الْمَدِینَةِ</w:t>
      </w:r>
      <w:r>
        <w:rPr>
          <w:rStyle w:val="FootnoteAnchor"/>
          <w:rtl w:val="true"/>
        </w:rPr>
        <w:footnoteReference w:id="595"/>
      </w:r>
      <w:r>
        <w:rPr>
          <w:rFonts w:ascii="IRNazanin" w:hAnsi="IRNazanin" w:eastAsia="IRNazanin"/>
          <w:color w:val="111111"/>
          <w:sz w:val="28"/>
          <w:sz w:val="28"/>
          <w:szCs w:val="28"/>
          <w:rtl w:val="true"/>
          <w:lang w:bidi="fa-IR"/>
        </w:rPr>
        <w:t>و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برجل ممّا ارید منه أیّ فرد یکون، لا فرد معیّن، بل لا بدّ أن یکون کاشفا عنه، سواء قارنه ذکر التعیین أم فارقه، بل و سواء کان فی صورة الإخبار ک أَحَلَّ اللَّهُ الْبَیْعَ أو فی صورة الإنشاء أمرا کان أو نهیا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المطلق مجازا فی المقیّد لکان الأمر بنصب السلّم للصعود موجبا للتجوّز فی الصعود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المقصود من الأمر بنصب السلّم مجرّد الإرشاد إلی الصعود من غیر مدخلیته فی المطلوب لا شرطا و لا شطرا، فالملازمة ممنوعة، و إن کان المقصود مدخلیّته فی المطلوب بحیث یکون الصعود من وجه آخر غیر مطلوب له فبطلان اللازم ممنوع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المطلق مجازا فی المقیّد لکان اتّصاف زید و تقییده بالعالم أو الفاضل و العادل و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للتجوّز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ممنوعة، و الفرق بین الأعلام الجزئیة و المفاهیم الکلیّة واضح بدیهی، ضرورة أنّ مفهوم الجزئی بعد فرض جزئیّته لمّا لم یتعقّل تطرّق القصر علیه انصرفت القیود المتطرّقة علیه عن التقیید إلی مجرّد التوضیح، بخلاف مفهوم الکلّی و المطلق، فإنّه لا مانع من تطرّق القصر علیه حتی یلتزم بانصراف القیود المتطرّقة علیه عن التقیید إلی مجرّد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المطلق مجازا فی المقیّد لکان التفصّی عن محذوری الاشتراک اللفظی و الحقیقة و المجاز بوضع هیئة الأمر للقدر المشترک بین الوجوب و الندب کرّا علی ما فرّ، لأنّ المجاز بتقدیر وضعه للقدر المشترک لازم أیضا، لأنّ استعماله فی کلّ من خصوصیة الوجوب و الندب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بوضع الهیئة و سائر الحروف و المبهمات من قبیل الوضع العامّ و الموضوع له العامّ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بوضعه من قبیل الوضع العامّ و الموضوع له الخاصّ فلأنّ استعماله إنّما یکون حقیقة فی خصوصیات الطلب، و أمّا فی الخصوصیّات الزائدة علی خصوصیّة الطلب کالوجوب و الندب فهو مجاز، نظیر استعمال اسم الإشارة علی هذا القول فی الخصوصیة الزائدة علی خصوصیة المشار إلیه، کخصوصیة العلم و الفضل فی زید المشار إلیه، حیث إنّها زائدة علی حیث المشار إلیه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الملازمة ممنوعة علی القول بأنّ وضع هیئات الأفعال من قبیل الوضع العامّ و الموضوع له الخاصّ، ضرورة أنّ خصوصیة الوجوب و الندب لیست زائدة علی خصوصیة الطلب من الشدّة و الضعف، و تنظیره باستعمال اسم الاشارة فیما ذکر </w:t>
      </w:r>
      <w:bookmarkStart w:id="394" w:name="pg12880_153523"/>
    </w:p>
    <w:p>
      <w:pPr>
        <w:pStyle w:val="BookText"/>
        <w:rPr/>
      </w:pPr>
      <w:bookmarkEnd w:id="394"/>
      <w:r>
        <w:rPr>
          <w:rFonts w:ascii="IRNazanin" w:hAnsi="IRNazanin" w:eastAsia="IRNazanin"/>
          <w:color w:val="111111"/>
          <w:sz w:val="28"/>
          <w:sz w:val="28"/>
          <w:szCs w:val="28"/>
          <w:rtl w:val="true"/>
          <w:lang w:bidi="fa-IR"/>
        </w:rPr>
        <w:t>تنظیر بغیر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علی مذهب القدماء القائلین بأنّ وضعها من قبیل الوضع العامّ و الموضوع له العامّ إن ارید من لزوم التجوّز علی تقدیر الاشتراک لزوم وقوعه، إذ لا دلیل علی وقوع استعمال الطلب المطلق علی تقدیر أنّه هو الموضوع له فی کلّ من المعنیین بخصوصه، بل قد یکون استعماله فیهما من حیث حصول الکلّی فی ضمنهما و اتّحاده بهما، فیکون استفادة الخصوصیة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یستلزم القول بالاشتراک ما یستلزمه القول بالحقیقة و المجاز من وقوع التجوّز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 لزوم التجوّز علی تقدیر الاشتراک لزوم إمکانه المجرّد عن الوقوع، فمحذوریّة اللازم ممنوع، إذ لیس فی مجرّد إمکان التجوّز اللازم للاشتراک ما فی وقوعه اللازم للحقیقة و المجاز من المحذوریة المخالفة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علی ما عرّف فی محلّه هو الماهیة اللابشرط، و قد اشتهر فی الألسنة أنّ اللابشرط یجتمع مع ألف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الاجتماع إمکانه، لا وقوعه، أو المراد من الماهیة وجودها لا ملاحظتها حین الوضع حتی ینافیه کون الاجتماع موجبا للتجوّز فیه</w:t>
      </w:r>
      <w:r>
        <w:rPr>
          <w:rFonts w:eastAsia="IRNazanin" w:cs="IRNazanin"/>
          <w:color w:val="111111"/>
          <w:sz w:val="28"/>
          <w:szCs w:val="28"/>
          <w:rtl w:val="true"/>
          <w:lang w:bidi="fa-IR"/>
        </w:rPr>
        <w:t>.</w:t>
      </w:r>
    </w:p>
    <w:p>
      <w:pPr>
        <w:pStyle w:val="Heading3"/>
        <w:numPr>
          <w:ilvl w:val="2"/>
          <w:numId w:val="1"/>
        </w:numPr>
        <w:rPr/>
      </w:pPr>
      <w:bookmarkStart w:id="395" w:name="__RefHeading___Toc2986583_3224264995"/>
      <w:bookmarkStart w:id="396" w:name="_Toc150"/>
      <w:bookmarkEnd w:id="395"/>
      <w:r>
        <w:rPr>
          <w:rtl w:val="true"/>
        </w:rPr>
        <w:t>[</w:t>
      </w:r>
      <w:r>
        <w:rPr>
          <w:rtl w:val="true"/>
        </w:rPr>
        <w:t>أصل العموم المستفاد من المطلق</w:t>
      </w:r>
      <w:r>
        <w:rPr>
          <w:rtl w:val="true"/>
        </w:rPr>
        <w:t>]</w:t>
      </w:r>
      <w:bookmarkEnd w:id="39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بدلیا کان أو استغراقیا إمّا إفرادی کالعموم المستفاد من لفظ الرقبة مثلا بالنسبة إلی أفرادها من المؤمنة و الکافرة و الأبیض و الأسود، و من لفظ العتق بالنسبة إلی أفراده و صیغه، و إمّا ترکیبی کالعموم المستفاد </w:t>
      </w:r>
    </w:p>
    <w:p>
      <w:pPr>
        <w:pStyle w:val="BookText"/>
        <w:rPr/>
      </w:pPr>
      <w:r>
        <w:rPr>
          <w:rFonts w:ascii="IRNazanin" w:hAnsi="IRNazanin" w:eastAsia="IRNazanin"/>
          <w:color w:val="111111"/>
          <w:sz w:val="28"/>
          <w:sz w:val="28"/>
          <w:szCs w:val="28"/>
          <w:rtl w:val="true"/>
          <w:lang w:bidi="fa-IR"/>
        </w:rPr>
        <w:t>من الهیئة الترکیبیة بالنسبة إلی الزمان و المکان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لحمل المطلق مطلقا علی العموم شرائط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ورود إطلاقه مورد حکم آخر،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سوقه و عدم کون المقصود منه بیان شی‌ء آخر کإطلاق الأحکام المتعلّقة بالذوات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أَمْسَکْنَ عَلَیْکُمْ</w:t>
      </w:r>
      <w:r>
        <w:rPr>
          <w:rStyle w:val="FootnoteAnchor"/>
          <w:rtl w:val="true"/>
        </w:rPr>
        <w:footnoteReference w:id="596"/>
      </w:r>
      <w:r>
        <w:rPr>
          <w:rFonts w:ascii="Amiri" w:hAnsi="Amiri" w:eastAsia="Amiri" w:cs="Amiri"/>
          <w:color w:val="111111"/>
          <w:sz w:val="28"/>
          <w:sz w:val="28"/>
          <w:szCs w:val="28"/>
          <w:rtl w:val="true"/>
          <w:lang w:bidi="ar-SA"/>
        </w:rPr>
        <w:t>أُحِلَّ لَکُمْ صَیْدُ الْبَحْرِ</w:t>
      </w:r>
      <w:r>
        <w:rPr>
          <w:rStyle w:val="FootnoteAnchor"/>
          <w:rtl w:val="true"/>
        </w:rPr>
        <w:footnoteReference w:id="597"/>
      </w:r>
      <w:r>
        <w:rPr>
          <w:rFonts w:ascii="IRNazanin" w:hAnsi="IRNazanin" w:eastAsia="IRNazanin"/>
          <w:color w:val="111111"/>
          <w:sz w:val="28"/>
          <w:sz w:val="28"/>
          <w:szCs w:val="28"/>
          <w:rtl w:val="true"/>
          <w:lang w:bidi="fa-IR"/>
        </w:rPr>
        <w:t>و نحوهما ممّا یکون إطلاق الحکم فیه مسوقا لبیان حکم الذات من حیث هو، فلا یتعدّی إطلاقه عن تلک الحیثیة إلی الحیثیات العارضة للذات من الطهارة و النجاسة و الملکیة و الغصبیة و غیر ذلک من الحالات العارضة للذات، فیستفاد من سیاق الآیة عرفا توجیه الإطلاق إلی الحلّیّة من حیث إمساک الکلب المعلّم، فیعمّ جواز أکل کلّ عضو من کلّ حیوان حتی موضع عضّ الکلب، لا إلی الحلیّة من حیث الطهارة و النجاسة أو من حیث الملکیّة و الغصبیّة حتی یعمّهما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إطلاق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بکی أو أبکی علی الحسین علیه السّلام و جبت له الجنّة</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و إطلاقات ثواب الزیارة، و إطلاقات ثواب محبّة علی علیه السّلام</w:t>
      </w:r>
      <w:r>
        <w:rPr>
          <w:rStyle w:val="FootnoteAnchor"/>
          <w:rtl w:val="true"/>
        </w:rPr>
        <w:footnoteReference w:id="599"/>
      </w:r>
      <w:r>
        <w:rPr>
          <w:rFonts w:ascii="IRNazanin" w:hAnsi="IRNazanin" w:eastAsia="IRNazanin"/>
          <w:color w:val="111111"/>
          <w:sz w:val="28"/>
          <w:sz w:val="28"/>
          <w:szCs w:val="28"/>
          <w:rtl w:val="true"/>
          <w:lang w:bidi="fa-IR"/>
        </w:rPr>
        <w:t>و نظائر ذلک ممّا یکون الإطلاق فیه منساقا عرفا إلی حیثیة ذات البکاء و التباکی و الزیارة و المحبّة، لا إلی حیثیة الحالات العارضة لتلک الذوات من الریاء و الغناء و الکذب و سائر الکیفیات المحرمة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فرض عدم انفکاک الذات عن بعض الحیثیات دائما أو غالبا رجع الإطلاق إلی تلک الحیثیة صونا عن إسقاط الإطلاق رأسا أو غالبا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جملة الإطلاقات الواردة مورد حکم آخر إطلاق الأحکام بالنسبة إلی ما ذکر توطئة و مقدّمة لمتعلّقها کإطلاق أحکام صلوات الجماعة بالنسبة إلی الصلاة المذکورة توطئة لذکر الجماعة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الجماعة کذا و کذا حکمه، فإنّ المستفاد عرفا من سیاق هذا الکلام و نظائره هو توجیه الإطلاق إلی المذکور بالذات أصالة، لا إلی المذکور بالتبع مقدّمة و توطئة، نعم لو فرض عدم انفکاکهما رأسا أو غالبا رجع الإطلاق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 ما ذکرنا إنّما هو فیما لو علم من سیاق الکلام عرفا أو من الخارج توجیه الإطلاق إلی حیث الذات دون سائر الحیثیات، و إلی ما هو المذکور أصالة دون ما هو المذکور توطئة و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إذا لم یعلم من السیاق ذلک فالمرجع فی تسرّی الإطلاق علی مذهب السلطان</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المطلق حقیقة فی الطبیعة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إلی الاقتصار علی القدر المتیقّن من الإطلاق، لأنّ القضیة المهملة فی قوّة الجزئیة، و علی مذهب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الطبیعة اللابشرط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یسری الإطلاق إلی الجمیع بدلیل الحکمة او السریان علی الخلاف الذی مرّ تحقیقه فی التنبیه الأوّل من تنبیهات عموم المفرد المحلّی باللام بما لا مزید علیه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شروط حمل المطلق علی العموم تواطؤه بالنسبة إلی أفراده أو تشکیکه بالتشکیک البدوی الراجع إلی التواطؤ، و إلّا انصراف الاطلاق إلی الفرد الشائع و الظاهر علی المشهور، و من ثمّ حملنا المطلقات الأمر بغسل الثوب و الوجه و غیرهما علی الغسل بالماء المطلق و إن کان الغسل أعمّ لغة و عرفا من الغسل بالمطلق و المضاف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تفصیل الکلام یقع فی مراحل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شرطیّة ذلک و عدمه، حیث ذهب المشهور إلی شرطیته، و عن السیّد عدمه، و الأظهر اشتراطه، للشهرة العظیمة نقلا و تحصیلا، فإنّ المسألة من الموضوعات المستنبطة، و یکفی فی ثبوتها الشهرة و الظنّ اتّفاقا، سیّما علی القول بحجّیة مطلق الظنّ، و سیّما مثل ذلک الظن الحاصل من الشهرة العظیمة بین الفقهاء و الاصولیین فی حمل المطلق علی الأفراد الشائعة التی کادت تکون إجماعا، بل هو 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نسب إلی السیّد</w:t>
      </w:r>
      <w:r>
        <w:rPr>
          <w:rStyle w:val="FootnoteAnchor"/>
          <w:rtl w:val="true"/>
        </w:rPr>
        <w:footnoteReference w:id="601"/>
      </w:r>
      <w:r>
        <w:rPr>
          <w:rFonts w:ascii="IRNazanin" w:hAnsi="IRNazanin" w:eastAsia="IRNazanin"/>
          <w:color w:val="111111"/>
          <w:sz w:val="28"/>
          <w:sz w:val="28"/>
          <w:szCs w:val="28"/>
          <w:rtl w:val="true"/>
          <w:lang w:bidi="fa-IR"/>
        </w:rPr>
        <w:t>من تجویزه تطهیر المتنجّس بماء المضاف تمسّکا بإطلاق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قائلا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الأمر بالغسل ینصرف إلی ما یغسل به فی العادة و لا یعرف فی العادة إلّا الغسل بالماء دون غیره، لأنّه لو کان الأمر علی ما قالوه لوجب أن لا یجوز الغسل بماء الکبریت و النفط ممّا لم یجری العادة بالغسل به، فلمّا جاز ذلک علم أنّ المراد من الغسل فی الخبر ما یتناوله اللفظ مطلقا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النسبة المذکورة إلی السیّد، لعدم صراحة کلامه المذکور علیه، إذ کما یحتمل تمسّکه بإطلاق الغسل علی الغسل بالمضاف لإرادته إنکار مانعیة الانصراف من الإطلاق، کذلک یحتمل لإرادته إنکار أصل الانصراف بتقریب أنّ إلحاق بعض الأفراد النادرة کماء النفط و الکبریت بالفرد الشائع دلیل کون انصرافه بدویا، أو دلیل إرادة سائر الأفراد النادرة منه، نظرا إلی أنّه بعد عدم إرادة الفرد الشائع یکون إرادة جمیع الأفراد أقرب إلی الطبع و الفهم من إرادة الفرد الشائع </w:t>
      </w:r>
    </w:p>
    <w:p>
      <w:pPr>
        <w:pStyle w:val="BookText"/>
        <w:rPr/>
      </w:pPr>
      <w:r>
        <w:rPr>
          <w:rFonts w:ascii="Amiri" w:hAnsi="Amiri" w:eastAsia="Amiri" w:cs="Amiri"/>
          <w:color w:val="111111"/>
          <w:sz w:val="28"/>
          <w:sz w:val="28"/>
          <w:szCs w:val="28"/>
          <w:rtl w:val="true"/>
          <w:lang w:bidi="ar-SA"/>
        </w:rPr>
        <w:t>و بعض الأفراد النادرة دون بعض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الأقربیّة عدم الجامع الملفّق للفرد الشائع و بعض الأفراد النادرة سوی الطبیعة الساریة فی الجمیع، أو ندور ذلک الجامع، أو عدم القرینة المعیّنة له بعد قیام القرینة الصارفة عن الفرد الشائع، فیسری الحکم إلی الجمیع، بل و یعیّن إرادة السیّد إنکار أصل الانصراف دون حکمه ما نسب إلیه الفقهاء، من أنّه لا یعدّ من المفطرات أکل الحصاة و نحوه ممّا یندر أکله تمسّکا بانصراف الأکل المفطر إلی أکل الأشیاء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إرادة السیّد إنکار حکم الانصراف، لکن یتوجّه المنع علی مراده بأنّه بعد تسلیم أصل انصراف المطلق إلی الفرد الشائع لم یبق عقلا و لا نقلا دلیل علی إلحاق الفرد النادر بالشائع سوی القیاس و الاستحسان الذین لیسا من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نقضه بإلحاق ماء النفط و الکبریت بالماء المطلق مدفوع بأنّه من مقتضی الدلیل الخارج و هو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کاشفیته عن بقاء الاطلاق و اندراجه فیه مدفوع بأنّ القدر المتیقّن من الدلیل الخارج هو الحاق الفرد النادر بحکم المطلق لا بمدلوله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استند إلحاق الفرد النادر إلی إطلاق المطلق استکشف منه إرادة الطبیعة المطلقة الساریة فی جمیع الأفراد النادرة، لما مرّ من عدم الجامع الملفّق للفرد الشائع مع بعض الأفراد النادرة سوی الطبیعة الساریة فی جمیع الأفراد النادرة، أو ندور ذلک الجامع، أو عدم القرینة المعیّنة له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فاضبط ذلک، فإنّ تشخیص کون الانصراف بدویّا أو غیر بدوی، و تشخیص أنّ بعض الأفراد النادرة ملحقة بحکم المطلق لئلّا یتعدّی من إلحاقه إلی إلحاق سائر </w:t>
      </w:r>
    </w:p>
    <w:p>
      <w:pPr>
        <w:pStyle w:val="BookText"/>
        <w:rPr/>
      </w:pPr>
      <w:r>
        <w:rPr>
          <w:rFonts w:ascii="IRNazanin" w:hAnsi="IRNazanin" w:eastAsia="IRNazanin"/>
          <w:color w:val="111111"/>
          <w:sz w:val="28"/>
          <w:sz w:val="28"/>
          <w:szCs w:val="28"/>
          <w:rtl w:val="true"/>
          <w:lang w:bidi="fa-IR"/>
        </w:rPr>
        <w:t>الأفراد النادرة، أو ملحقة بمدلول المطلق لیستکشف منه إرادة سائر الأفراد النادرة من مزالّ أقدام فحول المستنبطین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المشخّص لکون الانصراف بدویّا أو غیر بدویّ هو صرافة الذهن و تجرّده عن عوالم الخارج، و المشخّص لکون الفرد النادر ملحق بحکم المطلق أو بمدلوله هو ملاحظة مستند الفقهاء فی الإلحاق، فإن استندوا الإلحاق إلی الأدلّة الخارجیة من إجماع و نحوه علم کون الإلحاق حکمیّا، فلا یتعدّی عن الملحق، و إن استندوه إلی الإطلاق علم کونه اسمیا، فیتعدّی منه إلی سائر الأفراد النادرة بأحد الوجوه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تشخیص سبب الانصراف و منشائه هل هو نقل اللفظ إلی الفرد الشائع بکثرة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صاحب الشوارق</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لازمه فی صورة وقوع مطلق مشکّک فی کلام الشارع تعارض العرف و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صیرورة اللفظ مجازا مشهورا فی الفرد الشائع لیکون لازمه الرجوع إلی الأقوال الثلاثة فی المجاز المشهور من تقدیمه أو تقدیم الحقیقة المرجوحة أو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هو الأخذ بالقدر المتیقّن من مدلول المطلق، لیکون لازمه العمل بالشائع فقاهة لا اجتهادا و لازم الفقاهة البناء علی أصالة الاشتغال أو استصحاب الحال أو البراءة الأصلیة علی حسب ما تقتضیه الاحوال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هو غلبة الوجود أو الاستعمال لتفارق النقل فی عدم هجر المعنی الکلّی الشامل للنادر، فلو استعمل المطلق فیه لکان حقیقة و تفارق المجاز المشهور فی فرض أحد الغلبتین قرینة صارفة مفهمة لإرادة الفرد الشائع بخلاف الشهرة، </w:t>
      </w:r>
    </w:p>
    <w:p>
      <w:pPr>
        <w:pStyle w:val="BookText"/>
        <w:rPr/>
      </w:pPr>
      <w:r>
        <w:rPr>
          <w:rFonts w:ascii="IRNazanin" w:hAnsi="IRNazanin" w:eastAsia="IRNazanin"/>
          <w:color w:val="111111"/>
          <w:sz w:val="28"/>
          <w:sz w:val="28"/>
          <w:szCs w:val="28"/>
          <w:rtl w:val="true"/>
          <w:lang w:bidi="fa-IR"/>
        </w:rPr>
        <w:t>و تفارق الأخذ من باب القدر المتیقّن فی کون الحمل علی الفرد الشائع من باب الاجتهاد، لا من باب الأصل و الفقاهة، أو هو العهد الخارجی او الذهنی 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أقربها أحد الغلبتین لا النقل العرفی، لأصالة عدم النقل و لعدم صحّة السلب عن النادر، و لأنّ سبب انصراف المطلق لو کان هو النقل لم یشمل الفرد النادر بعد إدخال أداة العموم علیه، مع أنّه یشمله حینئذ، مضافا إلی أنّ لازم النقل عدم الإجمال، و ذلک لا یتمّ فی المشکّک بالتشکیک الإجمالی و لا البدوی، لظهور کلّ فرد بعد التأمّل، و إلی أنّه إنّما یتمّ فیما کان التشکیک مسبّبا عن غلبة الاستعمال دون غلبة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المجاز المشهور، لأنّ لازمه نهوض الخلاف فی المجاز المشهور إلیه، و الحال أنّهم مطبقون هنا علی الحمل علی الفرد الشائع عدا ما عن المرتضی قدّس سرّه و عدم شمول النادر عند إدخال أداة العموم علی المطلق کما لا یشمل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کلّ أسد یرمی للحیوان المفترس، مضافا إلی أنّ المجاز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الأخذ بالقدر المتیقّن، لأنّه لا یتمّ فی التشکیک البدوی و لا فی المبیّن العدم، لعدم الإجمال فیهما، إذ لا شک فی دخول النادر فی الأوّل و خروجه فی الثانی، مضافا إلی أنّ لازمه البناء تارة علی قاعدة الاشتغال، و تارة علی استصحاب الحال و تارة علی البراءة الأصلیّة، و لم یعهد ذلک من العلماء فی مقام استنباط الأحکام من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العهد الخارجی، لأنّه إنّما یتمّ فی مثل الرجل المشتمل علی أداة العهد، لا فی النکرات العاریة عنها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الشیاع و الشهرة بمنزلة الأداة قرینة صارفة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المطلق هی الطبیعة المهملة و شهرة بعض الأفراد غیر معاندة لأصل الطبیعة حتی تکون صارفة عنها، بل هی موافقة لها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العهد الذهنی، لاختصاصه بالمعرّف، و محلّ الکلام أعمّ منه و من النکرات، فتعیّن انحصار سبب الانصراف فی إحدی غلبتی الوجود و الاستعمال، و عند تعارضهما یتوقّف و یرجع إلی المرجّحات الخارجیّة، کما هو المختار فی تعارض المجاز المشهور للحقیقة عندنا معاشر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مجرّد غلبة الوجود سببا لانصراف المطلق من غیر أن ینضمّ إلیه غلبة الاستعمال لاستلزم انصراف جلّ المطلقات بل کلّها عن الأفراد النادرة، إذ قل ما ینفکّ المطلق عن التشکیک فی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الملازمة بأنّ إلحاق أکثر الأفراد النادرة للمطلق بأفراده الغالبة إلحاق حکمی أو إلحاق اسمیّ من باب أنّ إلحاق أحد الأفراد النادرة کماء النفط و الکبریت بالفرد الشائع قرینة إرادة سائر الأفراد بالتوجیه المتقدّم فی کلام السیّد قدّس سرّه أو بأنّ تشکیک أکثر المطلقات تشکیک بدوی لا تشکیک استمراری حتی یوجب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یکون عموم المطلق عموما حکمیا لا داعی من انفکاک حکم الطبیعة عن الأفراد النادرة سوی احتمال أن یکون خصوصیّة الفرد مانعة عن السرایة، و هو لا یصلح للمانعیة، لأنّ الأصل عدم مانعیّتها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أصالة عدم مانعیّة نوع خصوصیّة الفرد فهو من الاصول المثبتة الغیر الثابت الحجّیة عندنا، و إن ارید أصالة عدم مانعیّة شخص خصوصیّة الفرد فلیس لشخص الخصوصیة حالة سابقة حتی یستصحب</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هل یلحق بإحدی الغلبتین الأکملیة و الأشدّیة و الأوّلیة و الأولویّة فی </w:t>
      </w:r>
    </w:p>
    <w:p>
      <w:pPr>
        <w:pStyle w:val="BookText"/>
        <w:rPr/>
      </w:pPr>
      <w:r>
        <w:rPr>
          <w:rFonts w:ascii="IRNazanin" w:hAnsi="IRNazanin" w:eastAsia="IRNazanin"/>
          <w:color w:val="111111"/>
          <w:sz w:val="28"/>
          <w:sz w:val="28"/>
          <w:szCs w:val="28"/>
          <w:rtl w:val="true"/>
          <w:lang w:bidi="fa-IR"/>
        </w:rPr>
        <w:t>سببیّتها للانصراف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الأکملیّة و نحوها موجبة لانصرافات البدویّة العقلیّة لا اللفظیة العرفیة، خلافا لصاحب الهدایة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یورد علاوة علی ما أوردنا علی سببیّة النقل للانصراف بأنّه لو کان انصراف المطلق إلی الأفراد الشائعة من باب الحقیقة العرفیة لما کان الحکم بانصراف المطلق إلیها اتّفاقیا، بل کان حکمه حکم تعارض العرف و اللغة فی الاختلاف، لکونه من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أنّ النزاع فی تقدیم العرف علی اللغة فی باب التعارض نزاع صغروی راجع إلی النزاع فی تحقّق الحقیقة العرفیة فی زمان صدور الخطاب لیحمل علیها الخطاب، و عدم تحقّقه بعد لیحمل علی الحقیقة العرفیة، و فی مسألة المطلق المنصرف إلی الفرد الشائع کبروی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تشخیص حمله علی الفرد الشائع و عدمه، بعد تسلیم أنّ زمان تحقّق الشیوع کان قبل زمان الشرع، و قد أسلفنا تفصیل ذلک و وجهه فی التنبیه الثانی من تنبیهات مسألة تعارض العرف و اللغة بما لا مزید علیه، و من شاء فلیراجع، فلا نطیل بالإعادة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تأسیس الأصل عند الشکّ فی وجوه الانصراف و عدمه و فی کونه استمراریا أو بدویّا،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تطرّق انصراف الإطلاق عن فرد و بقائه علیه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مع الانصراف و عدم الإطلاق علی ما ذهب إلیه السلطان من کونه حقیقة فی الأمر الدائر الصالح للتقیید و عدمه، نظرا إلی إجمال اللفظ حینئذ و الشکّ فی المقتضی لإرادة العموم و الإطلاق، و الأصل عدمه أخذا بالمتیقّن و اقتصارا علی أقلّ ما یقتضیه الحکمة من رفع اللغویة، فیرجع فی حکم المشکوک إلی الاصول العملیّة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 العموم و عدم الانصراف علی ما ذهب إلیه المشهور من کون المطلق هو الطبیعة المعرّاة بتقریب رجوع الشک حینئذ إلی الشکّ فی تطرّق المانع و القرینة الصارفة، 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تقریب العموم و الإطلاق علی مذهب المشهور بذلک التقریب مبنیّ علی أن یکون قید التعریة عندهم مأخوذا فی وضع المطلق، و دونه خرط القتاد، بل لم ینسب إلیهم ذلک المعنی أحد، و إلّا فکما یکون الأصل مع الانصراف و عدم الإطلاق علی مذهب السلطان أخذا بالمتیقّن و اقتصارا علی أقلّ ما یقتضیه الحکمة من رفع اللغویة، کذلک علی مذهب المشهور، فإنّ الماهیّة المعرّاة حتی عن قید التعریة لا یقتضی شیئا من الأفراد إلّا بواسطة السرایة و الحکمة، و قد عرفت أنّ المتیقّن هو الأفراد الشائعة اقتصارا علی أقل ما یقتضیه حکمة رفع اللغویة، بعد ما علم من الخارج عدم إرادة الإجمال من المطلق و أنّه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أغلب أفراد المطلق شائع و داخل تحت الإطلاق، و الظنّ یلحق الفرد المشکوک ندوره و خروجه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فالأصل فی هذه المسألة لیس کالأصل فی المسألة السابقة فی اختلافه باختلاف المذهبین، لأنّ الشک فی المسألة السابقة فی أصل الإطلاق و الإجمال بالمرّة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ورود الإطلاق مقام البیان أو مقام الإجمال المعبّر عنه بالورود مورد حکم آخر، فلهذا یکون الأصل مع الإطلاق علی مذهب المشهور، و مع الإجمال علی مذهب السلطان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الشکّ فی هذه المسألة، فإنّه لیس فی أصل الإطلاق فی الجملة و الإجمال بالمرّة، کما هو موضوع المسألة السابقة، و لا فی أصل الانصراف إلی الأفراد الشائعة و عدمه، کما هو موضوع المرحلة الاولی من هذه المسألة، بل </w:t>
      </w:r>
      <w:bookmarkStart w:id="397" w:name="pg12880_153533"/>
    </w:p>
    <w:p>
      <w:pPr>
        <w:pStyle w:val="BookText"/>
        <w:rPr/>
      </w:pPr>
      <w:bookmarkEnd w:id="397"/>
      <w:r>
        <w:rPr>
          <w:rFonts w:ascii="IRNazanin" w:hAnsi="IRNazanin" w:eastAsia="IRNazanin"/>
          <w:color w:val="111111"/>
          <w:sz w:val="28"/>
          <w:sz w:val="28"/>
          <w:szCs w:val="28"/>
          <w:rtl w:val="true"/>
          <w:lang w:bidi="fa-IR"/>
        </w:rPr>
        <w:t>المفروض إحراز الإطلاق فی الجملة لکون المقام مقام البیان، لا مقام الاجمال و الورود مورد حکم آخر و إحراز انصراف الإطلاق إلی الأفراد الشائعة دون النادرة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الشکّ فی کونه الفرن الکذائی من الأفراد الشائعة لیندرج تحت حکم الإطلاق، أو من الأفراد النادرة لیخرج عن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إن تمّ أغلبیة الأفراد الشائعة و إلحاق الظنّ الفرد المشکوک بالأعمّ الأغلب کان الأصل مع الإطلاق و الاندراج علی کلا المذهبین، و إلّا فلا أصل مع الإطلاق و الاندراج علی کلا المذهبین، و إنّما یقتصر علی القدر المتیقن من الأفراد الشائعة أخذا بالمتیقن من حکمة رفع اللغویة التی هی الباعثة علی انسحاب الطبیعة إلی الأفراد علی کلّ من المذهبین، بعد إحراز کون المقام مقام البیان و الإطلاق، لا مقام الإجمال و ورود الإطلاق مورد حکم آخر، فیرجع الفرد المشکوک إلی الاصول العملیّة علی کلا المذهبین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ذلک أنّ توهم اختلاف الأصل فی هذه المرحلة باختلاف المذهبین ناشئ عن خبط هذه المرحلة بالمسألة السابقة أو بالمرحلة الاولی من هذه المسألة، فاضبط ذلک و لا تغفل، فإنّه من مزالّ الأقدام الذی لم ینبّه علیه أحد من الأعلام سوی الاستاد الهمام شکر اللّه تعالی سعیه فی الأعلام و أدام إفاداته علی الأنام من الخواصّ و العوام</w:t>
      </w:r>
      <w:r>
        <w:rPr>
          <w:rFonts w:eastAsia="IRNazanin" w:cs="IRNazanin"/>
          <w:color w:val="111111"/>
          <w:sz w:val="28"/>
          <w:szCs w:val="28"/>
          <w:rtl w:val="true"/>
          <w:lang w:bidi="fa-IR"/>
        </w:rPr>
        <w:t>.</w:t>
      </w:r>
    </w:p>
    <w:p>
      <w:pPr>
        <w:pStyle w:val="Heading3"/>
        <w:numPr>
          <w:ilvl w:val="2"/>
          <w:numId w:val="1"/>
        </w:numPr>
        <w:rPr/>
      </w:pPr>
      <w:bookmarkStart w:id="398" w:name="__RefHeading___Toc2986585_3224264995"/>
      <w:bookmarkStart w:id="399" w:name="_Toc151"/>
      <w:bookmarkEnd w:id="398"/>
      <w:r>
        <w:rPr>
          <w:rtl w:val="true"/>
        </w:rPr>
        <w:t>[</w:t>
      </w:r>
      <w:r>
        <w:rPr>
          <w:rtl w:val="true"/>
        </w:rPr>
        <w:t>أصل إذا ورد مطلق و مقیّد</w:t>
      </w:r>
      <w:r>
        <w:rPr>
          <w:rtl w:val="true"/>
        </w:rPr>
        <w:t>]</w:t>
      </w:r>
      <w:bookmarkEnd w:id="399"/>
    </w:p>
    <w:p>
      <w:pPr>
        <w:pStyle w:val="Heading4"/>
        <w:numPr>
          <w:ilvl w:val="3"/>
          <w:numId w:val="1"/>
        </w:numPr>
        <w:rPr/>
      </w:pPr>
      <w:bookmarkStart w:id="400" w:name="__RefHeading___Toc2986587_3224264995"/>
      <w:bookmarkStart w:id="401" w:name="_Toc152"/>
      <w:bookmarkEnd w:id="400"/>
      <w:r>
        <w:rPr>
          <w:rtl w:val="true"/>
        </w:rPr>
        <w:t>اشارة</w:t>
      </w:r>
      <w:bookmarkEnd w:id="40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فإمّا أن یتّحد متعلّق الحکم فیهما، کأعتق رقبة و أعتق رقبة مؤمنة، أو یختلف، کأعتق رقبة و اخلع رقبة هاشمیة، و علی التقدیرین إمّا أن </w:t>
      </w:r>
    </w:p>
    <w:p>
      <w:pPr>
        <w:pStyle w:val="BookText"/>
        <w:rPr/>
      </w:pPr>
      <w:r>
        <w:rPr>
          <w:rFonts w:ascii="IRNazanin" w:hAnsi="IRNazanin" w:eastAsia="IRNazanin"/>
          <w:color w:val="111111"/>
          <w:sz w:val="28"/>
          <w:sz w:val="28"/>
          <w:szCs w:val="28"/>
          <w:rtl w:val="true"/>
          <w:lang w:bidi="fa-IR"/>
        </w:rPr>
        <w:t>یتّحد الموجب للحکم فیهما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ظاهرت فاعتق رقبة، و إن ظاهرت فاعتق رقبة مؤمنة، أو یختلف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اقتدیت بزید صحّت صلاتک، و إن اقتدیت بعمرو صحت صلاة جمعتک، و علی التقادیر الأربعة إمّا هما مثبتان أو منفیّان أو مختلفان، و إذا ضربت هذه الأربعة فی الأربعة السابقة صار المجتمع ستّة عشر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الکلام فی حکمها یحتاج إلی تمهید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تعدّد لفظتان فی خطاب فإمّا أن یعلم المخاطب أنّ المراد من أحدهما غیر المراد من الآخر، أو عین المراد من الآخر، أو لا یعلم شیئا من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القسم الأوّل فلا إشکال فی عدم تجویز العقل حمل أحدها علی الآخر و إن اتّحد اللفظان مدلولا، فضلا عمّا نحن فیه ممّا اختلفا إطلاقا و تقییدا، کما لا إشکال فی إیجاب العقل فی القسم الثانی حمل أحدهما علی الآخر، و أمّا ترجیح کون المحمول أیّهما فیتوقّف علی فهم العرف و تشخیص کون الشهرة و الغلبة مع ایّهما، و لا ریب أنّ الأغلب عرفا إرادة المقیّد من المطلق دون العکس، فالترجیح العرفی إذن مع حمل المطلق علی المقیّد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القسم الثالث فلا مسرح للعقل، بل المرجع فیه إلی فهم العرف فلا ریب أنّ الظاهر من تعدّد اللفظین فی الخطاب عرفا هو تعدّد حکم المکلّف به دون اتّحاده الموجب للحمل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 قد عرفت هذه المقدّمة المرکّبة من حکمین عقلیین و من حکمین عرفیین فاعلم أنّ حکم ما اختلف فیه متعلّق حکم المطلق و المقیّد بأقسامه الثمانیة و ما اختلف فیه الموجب بأقسامه الأربعة هو عدم الحمل، لاندراج جمیع تلک الأقسام الاثنی عشر فی القسم الثالث من أقسام المقدّمة، فلا مقتضی فیها للحمل و الخروج عن ظاهر التعدّد عندنا معاشر الإمامیّة لا عقلا و لا عرفا خلافا لما عن أکثر </w:t>
      </w:r>
    </w:p>
    <w:p>
      <w:pPr>
        <w:pStyle w:val="BookText"/>
        <w:rPr/>
      </w:pPr>
      <w:r>
        <w:rPr>
          <w:rFonts w:ascii="IRNazanin" w:hAnsi="IRNazanin" w:eastAsia="IRNazanin"/>
          <w:color w:val="111111"/>
          <w:sz w:val="28"/>
          <w:sz w:val="28"/>
          <w:szCs w:val="28"/>
          <w:rtl w:val="true"/>
          <w:lang w:bidi="fa-IR"/>
        </w:rPr>
        <w:t>الشافعیة من الحمل عند اتّحاد الموجب بالقیاس المخصوص بمذهبهم، فحملوا الید فی آیة التیمّم علی الید فی آیة الوضوء فقیّدوها بالانتهاء إلی المرفق لاتّحاد الموجب و هو الحدث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مضافا إلی منع القیاس عندنا منع العلّیّة، فإنّ علّة الوضوء مجرّد الحدث، و علّة التیمّم هو الحدث مع فقد الماء،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فَتَیَمَّمُوا</w:t>
      </w:r>
      <w:r>
        <w:rPr>
          <w:rFonts w:eastAsia="Amiri" w:cs="Amiri" w:ascii="Amiri" w:hAnsi="Amiri"/>
          <w:color w:val="111111"/>
          <w:sz w:val="28"/>
          <w:szCs w:val="28"/>
          <w:rtl w:val="true"/>
          <w:lang w:bidi="ar-SA"/>
        </w:rPr>
        <w:t>*</w:t>
      </w:r>
      <w:r>
        <w:rPr>
          <w:rStyle w:val="FootnoteAnchor"/>
          <w:rtl w:val="true"/>
        </w:rPr>
        <w:footnoteReference w:id="604"/>
      </w:r>
      <w:r>
        <w:rPr>
          <w:rFonts w:ascii="IRNazanin" w:hAnsi="IRNazanin" w:eastAsia="IRNazanin"/>
          <w:color w:val="111111"/>
          <w:sz w:val="28"/>
          <w:sz w:val="28"/>
          <w:szCs w:val="28"/>
          <w:rtl w:val="true"/>
          <w:lang w:bidi="fa-IR"/>
        </w:rPr>
        <w:t>و أمّا حکم قسمی ما اتّحد فیه الموجب و کان المطلق و المقیّد فیه مختلفین فهو الحمل کاعتق رقبة و لا تعتق رقبة کافرة، و أعتق رقبة مؤمنة و لا تعتق رقبة، فیفهم الحمل عرفا من هذین المثالین دفعا للتناقض عن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ما اتّحد فیه موجب المطلق و المقیّد المثبتین فإن لم یستفد من الخارج وحدة التکلیف المتعلّق بکلّ من المطلق و المقیّد کما هو الغالب فی الأحکام الندبیة و الوضعیة، فهو عدم الحمل، لعدم التنافی و التناقض</w:t>
      </w:r>
      <w:r>
        <w:rPr>
          <w:rStyle w:val="FootnoteAnchor"/>
          <w:rtl w:val="true"/>
        </w:rPr>
        <w:footnoteReference w:id="605"/>
      </w:r>
      <w:r>
        <w:rPr>
          <w:rFonts w:ascii="IRNazanin" w:hAnsi="IRNazanin" w:eastAsia="IRNazanin"/>
          <w:color w:val="111111"/>
          <w:sz w:val="28"/>
          <w:sz w:val="28"/>
          <w:szCs w:val="28"/>
          <w:rtl w:val="true"/>
          <w:lang w:bidi="fa-IR"/>
        </w:rPr>
        <w:t>له فیکون المکلّف به هو کلّ من المطلق و المقیّد علی حدة فیکون الإتیان</w:t>
      </w:r>
      <w:r>
        <w:rPr>
          <w:rStyle w:val="FootnoteAnchor"/>
          <w:rtl w:val="true"/>
        </w:rPr>
        <w:footnoteReference w:id="606"/>
      </w:r>
      <w:r>
        <w:rPr>
          <w:rFonts w:ascii="IRNazanin" w:hAnsi="IRNazanin" w:eastAsia="IRNazanin"/>
          <w:color w:val="111111"/>
          <w:sz w:val="28"/>
          <w:sz w:val="28"/>
          <w:szCs w:val="28"/>
          <w:rtl w:val="true"/>
          <w:lang w:bidi="fa-IR"/>
        </w:rPr>
        <w:t>المقیّد امتثالا لنفس المقیّد لا مسقطا للتکلیف بالمطلق الکلی و إن استفید وحدة التکلیف بهما من الخارج کإجماع أو ضرورة کما هو الغالب فی الأحکام الوجوبیة فهو حمل المطلق علی المقیّد من باب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أصل الحمل فلما مرّ فی المقدّمة من أنّه مقتضی العقل الرافع للتناقض و التنافی عن کلام الحکیم اللازم من فرض اتّحاد التکلیف</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وجه کون الحمل علی وجه تقیید المطلق دون تطلیق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إلی الاتّفاق ممّن عدا الکرمانی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نظیر ما مرّ فی بناء العامّ علی الخاصّ من </w:t>
      </w:r>
      <w:bookmarkStart w:id="402" w:name="pg12880_153536"/>
    </w:p>
    <w:p>
      <w:pPr>
        <w:pStyle w:val="BookText"/>
        <w:rPr/>
      </w:pPr>
      <w:bookmarkEnd w:id="402"/>
      <w:r>
        <w:rPr>
          <w:rFonts w:ascii="IRNazanin" w:hAnsi="IRNazanin" w:eastAsia="IRNazanin"/>
          <w:color w:val="111111"/>
          <w:sz w:val="28"/>
          <w:sz w:val="28"/>
          <w:szCs w:val="28"/>
          <w:rtl w:val="true"/>
          <w:lang w:bidi="fa-IR"/>
        </w:rPr>
        <w:t>أغلبیّة التقیید و أشهریته و أرجحیته عرفا من تطلیق المقیّد، و من حمله علی أفضل الأفراد، و من حمل الوجوب علی الوجوب التخییری بینه و بین المطلق، فإنّ التقیید نوع من التخصیص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کون الحمل من باب البیان لا النسخ سواء تقدّم المطلق أو تأخّر و سواء حضر وقت العمل أو لم یحضر فهو نظیر ما مرّ فی بناء العامّ علی الخاص من کونه من باب البیان لا النسخ، فلا نطیل بالإعادة و من شاء فلیراجع</w:t>
      </w:r>
      <w:r>
        <w:rPr>
          <w:rFonts w:eastAsia="IRNazanin" w:cs="IRNazanin"/>
          <w:color w:val="111111"/>
          <w:sz w:val="28"/>
          <w:szCs w:val="28"/>
          <w:rtl w:val="true"/>
          <w:lang w:bidi="fa-IR"/>
        </w:rPr>
        <w:t>.</w:t>
      </w:r>
    </w:p>
    <w:p>
      <w:pPr>
        <w:pStyle w:val="Heading4"/>
        <w:numPr>
          <w:ilvl w:val="3"/>
          <w:numId w:val="1"/>
        </w:numPr>
        <w:rPr/>
      </w:pPr>
      <w:bookmarkStart w:id="403" w:name="__RefHeading___Toc2986589_3224264995"/>
      <w:bookmarkStart w:id="404" w:name="_Toc153"/>
      <w:bookmarkEnd w:id="403"/>
      <w:r>
        <w:rPr>
          <w:rtl w:val="true"/>
        </w:rPr>
        <w:t>تنبیهات</w:t>
      </w:r>
      <w:r>
        <w:rPr>
          <w:rtl w:val="true"/>
        </w:rPr>
        <w:t>:</w:t>
      </w:r>
      <w:bookmarkEnd w:id="40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الفصول</w:t>
      </w:r>
      <w:r>
        <w:rPr>
          <w:rStyle w:val="FootnoteAnchor"/>
          <w:rtl w:val="true"/>
        </w:rPr>
        <w:footnoteReference w:id="607"/>
      </w:r>
      <w:r>
        <w:rPr>
          <w:rFonts w:ascii="IRNazanin" w:hAnsi="IRNazanin" w:eastAsia="IRNazanin"/>
          <w:color w:val="111111"/>
          <w:sz w:val="28"/>
          <w:sz w:val="28"/>
          <w:szCs w:val="28"/>
          <w:rtl w:val="true"/>
          <w:lang w:bidi="fa-IR"/>
        </w:rPr>
        <w:t>اشتراط العمیدی فی الحمل إحراز وحدة التکلیف بهما من الخارج،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إلیه، لأنّ الکلام فیما یقتضیه المطلق و المقیّد بالنظر إلی ذاتهما، و لا ریب أنّ الظاهر منها بحسب العرف بعد اتّحاد المورد و الموجب هو وحدة التکلیف، نعم لو قام دلیل فی مقام علی تعدّد التکلیف فلا حمل، إذ لا موجب له کما لو تعدّد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الاشتراط إلی العمیدی مشعر باختصاصه له و الحال أنّه المشهور</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فهم العرف من نفس المطلق و المقیّد بعد اتّحاد المورد و الموجب وحدة التکلیف ممنوع بأنّه لو کانت الوحدة مستندة إلی نفس المطلق و المقیّد دون الخارج لوجب الحمل حتی فی المستحبّات و الأحکام الوضعیة، و الحال أنّه شاع و ذاع اختصاص الحمل بالواجبات دون المستحبّات و الأحکام الوضعیة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استظهار صاحب الضوابط</w:t>
      </w:r>
      <w:r>
        <w:rPr>
          <w:rStyle w:val="FootnoteAnchor"/>
          <w:rtl w:val="true"/>
        </w:rPr>
        <w:footnoteReference w:id="608"/>
      </w:r>
      <w:r>
        <w:rPr>
          <w:rFonts w:ascii="IRNazanin" w:hAnsi="IRNazanin" w:eastAsia="IRNazanin"/>
          <w:color w:val="111111"/>
          <w:sz w:val="28"/>
          <w:sz w:val="28"/>
          <w:szCs w:val="28"/>
          <w:rtl w:val="true"/>
          <w:lang w:bidi="fa-IR"/>
        </w:rPr>
        <w:t>الفرق من فهم العرف دون الخارج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أنّ الحکم الاستحبابی من حیث هو لیس حال حاله الوجوبی فی کون الإتیان بفرد واحد مسقطا للتکلیف بالکلّی، بل یفهم من الاستحباب عرفا سریانه فی أفراد الماهیة أجمع و عدم سقوط الاستحبابی بالنسبة بإتیان فرد واحد غیر ظاهر علی أساتیدنا الأعلام فهو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استناد فهم الفرق إلی عدم التعارض بین المطلق و المقیّد فی المندوبات مدفوع بأنّ التعارض یتحقّق بعد اجتماع شرائط الحمل من وحدة </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و المحکوم به و السبب و عدم ظهور خروج الأمرین من الوجوب إلی الندب أو الوجوب التخییری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أنّ استفادة وحدة</w:t>
      </w:r>
      <w:r>
        <w:rPr>
          <w:rStyle w:val="FootnoteAnchor"/>
          <w:rtl w:val="true"/>
        </w:rPr>
        <w:footnoteReference w:id="610"/>
      </w:r>
      <w:r>
        <w:rPr>
          <w:rFonts w:ascii="IRNazanin" w:hAnsi="IRNazanin" w:eastAsia="IRNazanin"/>
          <w:color w:val="111111"/>
          <w:sz w:val="28"/>
          <w:sz w:val="28"/>
          <w:szCs w:val="28"/>
          <w:rtl w:val="true"/>
          <w:lang w:bidi="fa-IR"/>
        </w:rPr>
        <w:t>للحمل من أغلب الواجبات دون أغلب المندوبات مستند إلی الخارج من إجماع و نحوه، لا إلی شی‌ء ممّا ذکر و لکن منشأ</w:t>
      </w:r>
      <w:r>
        <w:rPr>
          <w:rStyle w:val="FootnoteAnchor"/>
          <w:rtl w:val="true"/>
        </w:rPr>
        <w:footnoteReference w:id="611"/>
      </w:r>
      <w:r>
        <w:rPr>
          <w:rFonts w:ascii="IRNazanin" w:hAnsi="IRNazanin" w:eastAsia="IRNazanin"/>
          <w:color w:val="111111"/>
          <w:sz w:val="28"/>
          <w:sz w:val="28"/>
          <w:szCs w:val="28"/>
          <w:rtl w:val="true"/>
          <w:lang w:bidi="fa-IR"/>
        </w:rPr>
        <w:t>الفرق الخارجی بین الواجبات و المندوبات لیس محض الاتّفاقیات الخارجیة، لبعده جدا، بل الظاهر أنّ منشائه إمّا التسامح فی أدلّة السنن نظرا إلی کفایة مطلق الاحتمال فی السنن، و إمّا تیسّر تحصیل الإجماع بوحدة التکلیف فی أغلب الواجبات و تعسّره فی أغلب المندوبات، نظرا إلی أنّ حصر الواجبات سهل الحصول من استقراء کلماتهم غالبا، بخلاف المندوبات، فإنّ دیدنهم لیس حصره کما هو ظاهر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هاهنا تنبیهات مهمّة أهملنا رسمها فی المقام تعویلا علی ما رسمناه فی المباحث السابقة و علی ما رسمه القوم فی الکتب المألوفة بما فیه الکفایة و الغنیة، و من شاء فلیراجع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آخر المجلّد الأوّل من تقریرات استادنا العلّامة فی المباحث اللفظیة المتعلّقة بالأدلّة من المبادی اللفظیة و الأمر و النهی و المفهوم و المنطوق و العام و الخاص و المطلق و المقیّد یتلوه المجلّد الثانی فی سائر الأدلّة الشرعیة من الإجماع و غیره إن شاء اللّه تعالی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المجلّد الأوّل علی ید مقرّره و مؤلّفه الأقل عبد الحسین بن عبد اللّه الموسوی العربی الأصل، و النجفیّ المسکن فی شهر محرم الحرام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2880_153540"/>
      <w:bookmarkStart w:id="406" w:name="pg12880_153540"/>
      <w:bookmarkEnd w:id="406"/>
    </w:p>
    <w:p>
      <w:pPr>
        <w:pStyle w:val="Heading4"/>
        <w:numPr>
          <w:ilvl w:val="3"/>
          <w:numId w:val="1"/>
        </w:numPr>
        <w:rPr/>
      </w:pPr>
      <w:bookmarkStart w:id="407" w:name="pg12880_153540"/>
      <w:bookmarkStart w:id="408" w:name="__RefHeading___Toc2986591_3224264995"/>
      <w:bookmarkStart w:id="409" w:name="_Toc154"/>
      <w:bookmarkEnd w:id="407"/>
      <w:bookmarkEnd w:id="408"/>
      <w:r>
        <w:rPr>
          <w:rtl w:val="true"/>
        </w:rPr>
        <w:t>تنویه</w:t>
      </w:r>
      <w:r>
        <w:rPr>
          <w:rtl w:val="true"/>
        </w:rPr>
        <w:t>:</w:t>
      </w:r>
      <w:bookmarkEnd w:id="409"/>
    </w:p>
    <w:p>
      <w:pPr>
        <w:pStyle w:val="BookText"/>
        <w:rPr/>
      </w:pPr>
      <w:r>
        <w:rPr>
          <w:rFonts w:ascii="IRNazanin" w:hAnsi="IRNazanin" w:eastAsia="IRNazanin"/>
          <w:color w:val="111111"/>
          <w:sz w:val="28"/>
          <w:sz w:val="28"/>
          <w:szCs w:val="28"/>
          <w:rtl w:val="true"/>
          <w:lang w:bidi="fa-IR"/>
        </w:rPr>
        <w:t xml:space="preserve">جاءت هذه المجموعة المتضمّنة لمباحث الاجماع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المجلّد الأوّل من تعلیقته رحمه اللّه علی فرائد الاصول فی نهایة المباحث المتعلّقة بدلیل الانسداد حسبما فی النسخة الخطّیّة المعتمدة لدینا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موضوعاتها لا تتناسب مع ترتیب البحث فی التعلیقة علی فرائد الاصول، و لا هی علی منوالها، و یحتمل أن ما کتبه السیّد رحمه اللّه قد جمع و وضع مع التعلیقة علی الفرائد من بعده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السیّد رحمه اللّه صرّح فی بدایة هذه المباحث انّها الجزء الثانی لتقریرات استاذه، لذا فقد أوردناها هنا فی نهایة تقریرات إفادات استاذه رحمهما اللّه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اللجنة العلمیّة للمؤتمر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12880_153542"/>
      <w:bookmarkStart w:id="411" w:name="pg12880_153542"/>
      <w:bookmarkEnd w:id="411"/>
    </w:p>
    <w:p>
      <w:pPr>
        <w:pStyle w:val="Heading2"/>
        <w:numPr>
          <w:ilvl w:val="1"/>
          <w:numId w:val="1"/>
        </w:numPr>
        <w:rPr/>
      </w:pPr>
      <w:bookmarkStart w:id="412" w:name="pg12880_153542"/>
      <w:bookmarkStart w:id="413" w:name="__RefHeading___Toc2986593_3224264995"/>
      <w:bookmarkStart w:id="414" w:name="_Toc155"/>
      <w:bookmarkEnd w:id="412"/>
      <w:bookmarkEnd w:id="413"/>
      <w:r>
        <w:rPr>
          <w:rtl w:val="true"/>
        </w:rPr>
        <w:t>[</w:t>
      </w:r>
      <w:r>
        <w:rPr>
          <w:rtl w:val="true"/>
        </w:rPr>
        <w:t>فی احوال سائر الادلة الشرعیة</w:t>
      </w:r>
      <w:r>
        <w:rPr>
          <w:rtl w:val="true"/>
        </w:rPr>
        <w:t>]</w:t>
      </w:r>
      <w:bookmarkEnd w:id="414"/>
    </w:p>
    <w:p>
      <w:pPr>
        <w:pStyle w:val="Heading3"/>
        <w:numPr>
          <w:ilvl w:val="2"/>
          <w:numId w:val="1"/>
        </w:numPr>
        <w:rPr/>
      </w:pPr>
      <w:bookmarkStart w:id="415" w:name="__RefHeading___Toc2986595_3224264995"/>
      <w:bookmarkStart w:id="416" w:name="_Toc156"/>
      <w:bookmarkEnd w:id="415"/>
      <w:r>
        <w:rPr>
          <w:rtl w:val="true"/>
        </w:rPr>
        <w:t>[</w:t>
      </w:r>
      <w:r>
        <w:rPr>
          <w:rtl w:val="true"/>
        </w:rPr>
        <w:t>الإجماع</w:t>
      </w:r>
      <w:r>
        <w:rPr>
          <w:rtl w:val="true"/>
        </w:rPr>
        <w:t>]</w:t>
      </w:r>
      <w:bookmarkEnd w:id="416"/>
    </w:p>
    <w:p>
      <w:pPr>
        <w:pStyle w:val="Heading4"/>
        <w:numPr>
          <w:ilvl w:val="3"/>
          <w:numId w:val="1"/>
        </w:numPr>
        <w:rPr/>
      </w:pPr>
      <w:bookmarkStart w:id="417" w:name="__RefHeading___Toc2986597_3224264995"/>
      <w:bookmarkStart w:id="418" w:name="_Toc157"/>
      <w:bookmarkEnd w:id="417"/>
      <w:r>
        <w:rPr>
          <w:rtl w:val="true"/>
        </w:rPr>
        <w:t>اشارة</w:t>
      </w:r>
      <w:bookmarkEnd w:id="418"/>
    </w:p>
    <w:p>
      <w:pPr>
        <w:pStyle w:val="BookText"/>
        <w:rPr/>
      </w:pPr>
      <w:r>
        <w:rPr>
          <w:rFonts w:ascii="IRNazanin" w:hAnsi="IRNazanin" w:eastAsia="IRNazanin"/>
          <w:color w:val="111111"/>
          <w:sz w:val="28"/>
          <w:sz w:val="28"/>
          <w:szCs w:val="28"/>
          <w:rtl w:val="true"/>
          <w:lang w:bidi="fa-IR"/>
        </w:rPr>
        <w:t>بِسْمِ اللَّهِ الرَّحْمنِ الرَّحِیمِ و الحمد للّه ربّ العالمین و صلّی اللّه علی محمد و آله الطاهرین، أمّا بعد؛ فیقول العبد الفقیر عبد الحسین بن عبد اللّه الموسوی الدزفولی الساکن فی أرض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ساعدنی سواعد التوفیقات الالهیة علی اختتام المجلّد الأول مما اقتبسناه و استفدناه من استاذنا الربانی و أبینا الروحانی جعلنی اللّه فداه فی المباحث اللفظیة المتعلقة بالکتاب و السنّة شرعت فی ارتسام المجلّد الثانی مما اقتبسه و استفیده منه دام ظلّه فی أحوال سائر الأدلّة الشرعیة التی من جملتها الإجماع، و الکلام فیه یقع فی مراحل</w:t>
      </w:r>
      <w:r>
        <w:rPr>
          <w:rFonts w:eastAsia="IRNazanin" w:cs="IRNazanin"/>
          <w:color w:val="111111"/>
          <w:sz w:val="28"/>
          <w:szCs w:val="28"/>
          <w:rtl w:val="true"/>
          <w:lang w:bidi="fa-IR"/>
        </w:rPr>
        <w:t>:</w:t>
      </w:r>
    </w:p>
    <w:p>
      <w:pPr>
        <w:pStyle w:val="Heading4"/>
        <w:numPr>
          <w:ilvl w:val="3"/>
          <w:numId w:val="1"/>
        </w:numPr>
        <w:rPr/>
      </w:pPr>
      <w:bookmarkStart w:id="419" w:name="__RefHeading___Toc2986599_3224264995"/>
      <w:bookmarkStart w:id="420" w:name="_Toc158"/>
      <w:bookmarkEnd w:id="419"/>
      <w:r>
        <w:rPr>
          <w:rtl w:val="true"/>
        </w:rPr>
        <w:t>[ [</w:t>
      </w:r>
      <w:r>
        <w:rPr>
          <w:rtl w:val="true"/>
        </w:rPr>
        <w:t>المرحلة</w:t>
      </w:r>
      <w:r>
        <w:rPr>
          <w:rtl w:val="true"/>
        </w:rPr>
        <w:t xml:space="preserve">] </w:t>
      </w:r>
      <w:r>
        <w:rPr>
          <w:rtl w:val="true"/>
        </w:rPr>
        <w:t>الاولی</w:t>
      </w:r>
      <w:r>
        <w:rPr>
          <w:rtl w:val="true"/>
        </w:rPr>
        <w:t xml:space="preserve">: </w:t>
      </w:r>
      <w:r>
        <w:rPr>
          <w:rtl w:val="true"/>
        </w:rPr>
        <w:t>فی تشخیص موضوع الإجماع و معناه</w:t>
      </w:r>
      <w:r>
        <w:rPr>
          <w:rtl w:val="true"/>
        </w:rPr>
        <w:t>.]</w:t>
      </w:r>
      <w:bookmarkEnd w:id="42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اللغة</w:t>
      </w:r>
      <w:r>
        <w:rPr>
          <w:rStyle w:val="FootnoteAnchor"/>
          <w:rtl w:val="true"/>
        </w:rPr>
        <w:footnoteReference w:id="612"/>
      </w: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کما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أجمع علیه أصحابک و اترک الشاذّ النادر</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 xml:space="preserve">و العزم،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صیام لمن لم یجمع الصیام من اللیل</w:t>
      </w:r>
      <w:r>
        <w:rPr>
          <w:rFonts w:eastAsia="IRNazanin" w:cs="IRNazanin"/>
          <w:color w:val="111111"/>
          <w:sz w:val="28"/>
          <w:szCs w:val="28"/>
          <w:rtl w:val="true"/>
          <w:lang w:bidi="fa-IR"/>
        </w:rPr>
        <w:t>»</w:t>
      </w:r>
      <w:r>
        <w:rPr>
          <w:rStyle w:val="FootnoteAnchor"/>
          <w:rtl w:val="true"/>
        </w:rPr>
        <w:footnoteReference w:id="614"/>
      </w:r>
      <w:r>
        <w:rPr>
          <w:rFonts w:ascii="Amiri" w:hAnsi="Amiri" w:eastAsia="Amiri" w:cs="Amiri"/>
          <w:color w:val="111111"/>
          <w:sz w:val="28"/>
          <w:sz w:val="28"/>
          <w:szCs w:val="28"/>
          <w:rtl w:val="true"/>
          <w:lang w:bidi="ar-SA"/>
        </w:rPr>
        <w:t>و فَأَجْمِعُوا أَمْرَکُمْ وَ شُرَکاءَکُمْ</w:t>
      </w:r>
      <w:r>
        <w:rPr>
          <w:rStyle w:val="FootnoteAnchor"/>
          <w:rtl w:val="true"/>
        </w:rPr>
        <w:footnoteReference w:id="615"/>
      </w:r>
      <w:r>
        <w:rPr>
          <w:rFonts w:ascii="Amiri" w:hAnsi="Amiri" w:eastAsia="Amiri" w:cs="Amiri"/>
          <w:color w:val="111111"/>
          <w:sz w:val="28"/>
          <w:sz w:val="28"/>
          <w:szCs w:val="28"/>
          <w:rtl w:val="true"/>
          <w:lang w:bidi="ar-SA"/>
        </w:rPr>
        <w:t>و أَجْمَعُوا أَنْ یَجْعَلُوهُ فِی غَیابَتِ الْجُبِ</w:t>
      </w:r>
      <w:r>
        <w:rPr>
          <w:rStyle w:val="FootnoteAnchor"/>
          <w:rtl w:val="true"/>
        </w:rPr>
        <w:footnoteReference w:id="616"/>
      </w:r>
      <w:r>
        <w:rPr>
          <w:rFonts w:ascii="IRNazanin" w:hAnsi="IRNazanin" w:eastAsia="IRNazanin"/>
          <w:color w:val="111111"/>
          <w:sz w:val="28"/>
          <w:sz w:val="28"/>
          <w:szCs w:val="28"/>
          <w:rtl w:val="true"/>
          <w:lang w:bidi="fa-IR"/>
        </w:rPr>
        <w:t>و لا کلام فی أصل استعماله فی کلّ من الاتفاق و العزم فی الکتاب و السنّة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إنّما الکلام فی کیفیة الاستعمال هل هو علی وجه الاشتراک المعنوی، أو اللفظی، أو الحقیقة و المجاز حیث إنّ فیه 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حیث الاصول فهو التوقّف، لتوقیفیة اللغات و أعمّیة الاستعمال، و أمّا من حیث الأدلّة الاجتهادیة فهو الاشتراک اللفظی دون المعنوی، لعدم الجامع القریب بینهما علی وجه غیر انتزاع أحد الأمرین، و دون الحقیقة و المجاز لعدم شی‌ء من العلائق المعتبرة بینهما علی وجه المؤانسة القریبة عرفا فتعیّن 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العرف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لأصالة اتحاد العرف و اللغة و عدم النقل و الاختلاف و إن استظهر الضوابط</w:t>
      </w:r>
      <w:r>
        <w:rPr>
          <w:rStyle w:val="FootnoteAnchor"/>
          <w:rtl w:val="true"/>
        </w:rPr>
        <w:footnoteReference w:id="617"/>
      </w:r>
      <w:r>
        <w:rPr>
          <w:rFonts w:ascii="IRNazanin" w:hAnsi="IRNazanin" w:eastAsia="IRNazanin"/>
          <w:color w:val="111111"/>
          <w:sz w:val="28"/>
          <w:sz w:val="28"/>
          <w:szCs w:val="28"/>
          <w:rtl w:val="true"/>
          <w:lang w:bidi="fa-IR"/>
        </w:rPr>
        <w:t>منه معنی الاتفاق عرفا دون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الاصطلاح فقد نقل عن الاتفاق إلی اتفاق خاصّ و خصوصیته عند الخاصّة، بل العامّة الذین هم الأصل و هو الأصل لهم،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جمیع العلماء فی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ینادی به تعریفات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الرازی</w:t>
      </w:r>
      <w:r>
        <w:rPr>
          <w:rStyle w:val="FootnoteAnchor"/>
          <w:rtl w:val="true"/>
        </w:rPr>
        <w:footnoteReference w:id="618"/>
      </w:r>
      <w:r>
        <w:rPr>
          <w:rFonts w:ascii="IRNazanin" w:hAnsi="IRNazanin" w:eastAsia="IRNazanin"/>
          <w:color w:val="111111"/>
          <w:sz w:val="28"/>
          <w:sz w:val="28"/>
          <w:szCs w:val="28"/>
          <w:rtl w:val="true"/>
          <w:lang w:bidi="fa-IR"/>
        </w:rPr>
        <w:t>و التهذیب</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اتفاق أهل الحلّ و العقد من أمّة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الغزالی</w:t>
      </w:r>
      <w:r>
        <w:rPr>
          <w:rStyle w:val="FootnoteAnchor"/>
          <w:rtl w:val="true"/>
        </w:rPr>
        <w:footnoteReference w:id="620"/>
      </w:r>
      <w:r>
        <w:rPr>
          <w:rFonts w:ascii="IRNazanin" w:hAnsi="IRNazanin" w:eastAsia="IRNazanin"/>
          <w:color w:val="111111"/>
          <w:sz w:val="28"/>
          <w:sz w:val="28"/>
          <w:szCs w:val="28"/>
          <w:rtl w:val="true"/>
          <w:lang w:bidi="fa-IR"/>
        </w:rPr>
        <w:t>و شارح المبادئ هو اتفاق أمّة محمد صلّی اللّه علیه و آله علی أمر من الامور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الحاجبی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هو اتفاق المجتهدین من هذه الامّة فی عصر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تعاریفهم الظاهرة فی اعتبار اتفاق جمیع العلماء فی معنی الإجماع، دون اتفاق البعض و من العبارات المصرّحة بذلک اعتذارهم کثیرا عن وجود المخالف بانقراض عصره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لما کان وجه حجّیة الإجماع عند الإمامیة اشتماله علی قول الإمام علیه السّلام کان الحجّة دائرة مدار وجوده علیه السّلام فی کلّ جماعة هو أحدهم، و لذا قال السید المرتضی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علّة کون الإجماع حجّة کون الإمام فیهم فکلّ جماعة کثرت أو قلّت کان قول الإمام فی أقوالها فإجماعها حجة</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و إن خالف الواحد و الاثنین إذا کان الإمام أحدهما قطعا أو تجویزا یقتضی عدم الاعتداد بقول الباقین و إن کثر، و أنّ الإجماع بعد الخلاف کالمبتدإ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المحقّق فی المعتبر بعد إناطته حجّیة الإجماع بدخول قول الإمام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خلا المائة من فقهائنا من قوله لم یکن قولهم حجّة، و لو حصل فی اثنین کان قولهما حجّة</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جماعة قلّت أو کثرت کان قول الإمام فی جملة أقوالها فإجماعها حجّة لأجله، لا لأجل الإجماع</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اشتهر بین الخاصّة عدم قدح الإجماع بخروج معلوم النسب واحد أو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اعتذارهم عن وجود المخالف بمعلومیة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عبائرهم المذکورة الموهمة لانقلاب اصطلاح الخاصّة عما وافق العامّة إلی ما یعمّ اتفاق طائفة من الإمامیة، و ممن زعم انقلاب الاصطلاح و تعدّده الفاضل النراقی فی عوائده</w:t>
      </w:r>
      <w:r>
        <w:rPr>
          <w:rStyle w:val="FootnoteAnchor"/>
          <w:rtl w:val="true"/>
        </w:rPr>
        <w:footnoteReference w:id="624"/>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یبعّد هذا الوهم أصالة عدم انقلاب الاصطلاح و عدم تعدّده، و علی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فالأقرب إلی الاصول و القواعد أن یکون إطلاقهم الإجماع علی اتفاق الجماعة الشاملة علی المعصوم أو الکاشفة عن رأی المعصوم دون اتفاق الکلّ ناشئا عن التسامح، الراجع إلی إلحاق اتفاق تلک الجماعة باتفاق الجمیع فی الحکم، أعنی فی الحجّیة نظرا إلی حجّیة قول الإمام علیه السّلام، أو فی الاسم أعنی فی التسمیة نظرا إلی تنزیل وجود المخالف منزلة العدم فی عدم تأثیره شیئا بعد وجود مناط الحجّیة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فیرتفع تعجّب صاحب المعالم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العجب من غفلة جمع من الأصحاب عن هذا الأصل و تساهلهم فی دعوی الإجماع عند احتیاجهم إلیه للمسائل الفقهیة حتی جعلوه عبارة عن اتفاق جماعة من الأصحاب، فعدلوا به عن معناه الذی جری علیه الاصطلاح من دون نصب قرینة جلیة، و لا دلیل لهم علی الحجّیة یعتدّ به</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ارتفاع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تساهلهم و تسامحهم فی محلّه بعد ما کان مناط حجّیة الإجماع الاصطلاحی موجودا فی اتفاق جماعة من الأصحاب، و عدم تعبیرهم عن هذا الاتفاق بغیر لفظ الإجماع لأجل التحفّظ علی عناوین الأدلّة المعروفة بین الفریقین، و عدم نصبهم القرینة فی إطلاقهم لفظ الإجماع علیه لا ضیر فیه؛ لأنّ العبرة فی الاستدلال بحصول العلم من الدلیل للمستدلّ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نقل الإجماع المصطلح حجّة عند الکلّ کان إخفاء القرینة فی الکلام الذی هو مرجع للغیر تدلیسا، أمّا لو لم یکن نقل الإجماع حجّة، أو کان نقل مطلق الدلیل القطعی حجّة لم یلزم تدلیس أصلا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ما ذکرنا من ابتنائهم علی المسامحة فی إطلاق الإجماع علی طائفة </w:t>
      </w:r>
    </w:p>
    <w:p>
      <w:pPr>
        <w:pStyle w:val="BookText"/>
        <w:rPr/>
      </w:pPr>
      <w:r>
        <w:rPr>
          <w:rFonts w:ascii="IRNazanin" w:hAnsi="IRNazanin" w:eastAsia="IRNazanin"/>
          <w:color w:val="111111"/>
          <w:sz w:val="28"/>
          <w:sz w:val="28"/>
          <w:szCs w:val="28"/>
          <w:rtl w:val="true"/>
          <w:lang w:bidi="fa-IR"/>
        </w:rPr>
        <w:t>من الإمامیة لم یبق حاجة إلی اعتذار الشهید</w:t>
      </w:r>
      <w:r>
        <w:rPr>
          <w:rStyle w:val="FootnoteAnchor"/>
          <w:rtl w:val="true"/>
        </w:rPr>
        <w:footnoteReference w:id="626"/>
      </w:r>
      <w:r>
        <w:rPr>
          <w:rFonts w:ascii="IRNazanin" w:hAnsi="IRNazanin" w:eastAsia="IRNazanin"/>
          <w:color w:val="111111"/>
          <w:sz w:val="28"/>
          <w:sz w:val="28"/>
          <w:szCs w:val="28"/>
          <w:rtl w:val="true"/>
          <w:lang w:bidi="fa-IR"/>
        </w:rPr>
        <w:t>عنهم بتسمیتهم المشهور إجماعا، أو بعدم الظفر حین دعوی الإجماع بالمخالف، أو إرادتهم الإجماع علی روایته، أو غیر ذلک، مضافا إلی أنّ الاعتذار بشی‌ء من ذلک لا یرفع العتاب عنهم کما لا یخفی، بل الاعتراف بالخطإ أخفّ من هذا الاعتذار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اتفاق اللغویین و نحوهم من أرباب الفنون کالصرف و المنطق و البیان و الحکمة و الکلام و الطب و الاصول علی ما یتعلق بفنّهم من الامور الغیر الدینیة هل یسمّی بالإجماع الاصطلاحی، أم لا؟ وجهان من تقیید غیر واحد من تعاریفه بالامور الدینیة، و من إطلاق سائر التعاریف إطلاق استدلالهم علی حجّیة الإجماع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امتی علی الخطأ</w:t>
      </w:r>
      <w:r>
        <w:rPr>
          <w:rFonts w:eastAsia="IRNazanin" w:cs="IRNazanin"/>
          <w:color w:val="111111"/>
          <w:sz w:val="28"/>
          <w:szCs w:val="28"/>
          <w:rtl w:val="true"/>
          <w:lang w:bidi="fa-IR"/>
        </w:rPr>
        <w:t>»</w:t>
      </w:r>
      <w:r>
        <w:rPr>
          <w:rStyle w:val="FootnoteAnchor"/>
          <w:rtl w:val="true"/>
        </w:rPr>
        <w:footnoteReference w:id="627"/>
      </w:r>
      <w:r>
        <w:rPr>
          <w:rFonts w:ascii="Amiri" w:hAnsi="Amiri" w:eastAsia="Amiri" w:cs="Amiri"/>
          <w:color w:val="111111"/>
          <w:sz w:val="28"/>
          <w:sz w:val="28"/>
          <w:szCs w:val="28"/>
          <w:rtl w:val="true"/>
          <w:lang w:bidi="ar-SA"/>
        </w:rPr>
        <w:t xml:space="preserve">و بآیة وَ مَنْ یُشاقِقِ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یَتَّبِعْ غَیْرَ سَبِیلِ الْمُؤْمِنِینَ</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اتفاق الامم السالفة کالیهود و النصاری علی أمر من الامور الدینیة هل یسمّی بالإجماع الاصطلاحی، أم یندرج فی اللغوی وجهان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تقیید أکثر التعاریف الاتفاق بأمّة محمد صلّی اللّه علیه و آله، و تقیید دلیل العامّة علی الحجّیة بأمّته صلّی اللّه علیه و آله، و من إطلاق سائر التعاریف و إطلاق دلیل الخاصّة علی الحجّیة بدخول المعصوم أو الکشف عن رضا المعصوم، فإن أنبیاء الأمم السالفة أیضا معصومون طرّا عندنا فاتفاق أحد الامم السالفة فی عصر إذا کشف عن رضا معصومهم أو دخوله فیهم و إن لم یشمله أکثر تعاریف العامّة و لا أدلّتهم علی الحجّیة إلّا أنّه یشمله أکثر تعاریف الخاصّة و أدلّتهم علی الحجّیة</w:t>
      </w:r>
      <w:r>
        <w:rPr>
          <w:rFonts w:eastAsia="IRNazanin" w:cs="IRNazanin"/>
          <w:color w:val="111111"/>
          <w:sz w:val="28"/>
          <w:szCs w:val="28"/>
          <w:rtl w:val="true"/>
          <w:lang w:bidi="fa-IR"/>
        </w:rPr>
        <w:t xml:space="preserve">. </w:t>
      </w:r>
      <w:bookmarkStart w:id="421" w:name="pg12880_153547"/>
    </w:p>
    <w:p>
      <w:pPr>
        <w:pStyle w:val="BookText"/>
        <w:rPr/>
      </w:pPr>
      <w:bookmarkEnd w:id="421"/>
      <w:r>
        <w:rPr>
          <w:rFonts w:ascii="IRNazanin" w:hAnsi="IRNazanin" w:eastAsia="IRNazanin"/>
          <w:color w:val="111111"/>
          <w:sz w:val="28"/>
          <w:sz w:val="28"/>
          <w:szCs w:val="28"/>
          <w:rtl w:val="true"/>
          <w:lang w:bidi="fa-IR"/>
        </w:rPr>
        <w:t>و أمّا السیرة کاتفاقهم علی فعل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سمّی إجماعا من حیث اتفاقهم علی کونها عبادة إلّا أنّه من حیث کونه اتفاقا علی فعلها لا یسمّی إجماعا، فلا بدّ فی إخراجه عن حدّ الإجماع من اعتبار قید الحیثیة فیه بأن یراد من تعریف الإجماع باتفاقهم علی أمر دینیّ من حیث کونه أمرا دینیا</w:t>
      </w:r>
      <w:r>
        <w:rPr>
          <w:rFonts w:eastAsia="IRNazanin" w:cs="IRNazanin"/>
          <w:color w:val="111111"/>
          <w:sz w:val="28"/>
          <w:szCs w:val="28"/>
          <w:rtl w:val="true"/>
          <w:lang w:bidi="fa-IR"/>
        </w:rPr>
        <w:t>.</w:t>
      </w:r>
    </w:p>
    <w:p>
      <w:pPr>
        <w:pStyle w:val="Heading4"/>
        <w:numPr>
          <w:ilvl w:val="3"/>
          <w:numId w:val="1"/>
        </w:numPr>
        <w:rPr/>
      </w:pPr>
      <w:bookmarkStart w:id="422" w:name="__RefHeading___Toc2986601_3224264995"/>
      <w:bookmarkStart w:id="423" w:name="_Toc159"/>
      <w:bookmarkEnd w:id="422"/>
      <w:r>
        <w:rPr>
          <w:rtl w:val="true"/>
        </w:rPr>
        <w:t>[</w:t>
      </w:r>
      <w:r>
        <w:rPr>
          <w:rtl w:val="true"/>
        </w:rPr>
        <w:t>المرحلة الثانیة</w:t>
      </w:r>
      <w:r>
        <w:rPr>
          <w:rtl w:val="true"/>
        </w:rPr>
        <w:t xml:space="preserve">: </w:t>
      </w:r>
      <w:r>
        <w:rPr>
          <w:rtl w:val="true"/>
        </w:rPr>
        <w:t>فی تشخیص إمکان تحقّق الإجماع و وجوده</w:t>
      </w:r>
      <w:r>
        <w:rPr>
          <w:rtl w:val="true"/>
        </w:rPr>
        <w:t>]</w:t>
      </w:r>
      <w:bookmarkEnd w:id="423"/>
    </w:p>
    <w:p>
      <w:pPr>
        <w:pStyle w:val="BookText"/>
        <w:rPr/>
      </w:pPr>
      <w:r>
        <w:rPr>
          <w:rFonts w:ascii="IRNazanin" w:hAnsi="IRNazanin" w:eastAsia="IRNazanin"/>
          <w:color w:val="111111"/>
          <w:sz w:val="28"/>
          <w:sz w:val="28"/>
          <w:szCs w:val="28"/>
          <w:rtl w:val="true"/>
          <w:lang w:bidi="fa-IR"/>
        </w:rPr>
        <w:t>ردّا علی من توهم امتناع تحقّقه عادة بواسطة شدّة اختلاف أنظار الناس و أفکارهم و آرائهم بحیث لم یتفق اتفاقهم علی أکل شی‌ء أو شرب شی‌ء فی عصر واحد فضلا عن جمیع الأعصار، و لا فی قطر واحد فضلا عن جمیع الأقطار، و لا فی مصر واحد فضلا عن جمیع الأمصار، بل و لا اتفاق عشیرة فضلا عن العشائر، بل و لا اتفاق جماعة فضلا عن الجمائع، بل و لا اتفاق فرقة فضلا عن جمیع الفرق، بل و لا اتفاق طائفة فضلا عن الطوائف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هذا التوهم الناشئ عن هذا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شبهة فی مقابل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تری بالعیان من أنّ لکلّ أهل فنّ من الفنون کالنحو و الصرف و المنطق و البیان و اللغة و الکلام و الحکمة و الطب و الاصول و غیرها من أهل الفنون و الحرف ضروریات، فضلا عن الإجماعیات، أ لا تری أنّ رفع الفاعل و نصب المفعول مثلا من ضروریات النحو، و أنّ اشتقاق المزید من المجرّد من ضروریات الصرف، و أنّ اعتبار إیجاب الصغری و فعلیتها مع کلّیة الکبری فی انتاج الشکل الأول من ضروریات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حلّا فبأنّ اختلاف الآراء فی المآکل و المشارب و المسالک و نحوها إنّما هو فی مقامات اختلاف دواعی النفس و مقتضیاتها، و إلّا ففی مقام اتحاد الدواعی و المقتضیات ینعکس استحالة الإجماع باستحالة عدم الإجماع فیه </w:t>
      </w:r>
      <w:bookmarkStart w:id="424" w:name="pg12880_153548"/>
    </w:p>
    <w:p>
      <w:pPr>
        <w:pStyle w:val="BookText"/>
        <w:rPr/>
      </w:pPr>
      <w:bookmarkEnd w:id="424"/>
      <w:r>
        <w:rPr>
          <w:rFonts w:ascii="IRNazanin" w:hAnsi="IRNazanin" w:eastAsia="IRNazanin"/>
          <w:color w:val="111111"/>
          <w:sz w:val="28"/>
          <w:sz w:val="28"/>
          <w:szCs w:val="28"/>
          <w:rtl w:val="true"/>
          <w:lang w:bidi="fa-IR"/>
        </w:rPr>
        <w:t>عادة، أ لا تری اتفاقهم فی الشتاء علی تحسین الأشیاء الحارّة فی الأکل و الشرب و اللبس، و فی الصیف بالعکس</w:t>
      </w:r>
      <w:r>
        <w:rPr>
          <w:rFonts w:eastAsia="IRNazanin" w:cs="IRNazanin"/>
          <w:color w:val="111111"/>
          <w:sz w:val="28"/>
          <w:szCs w:val="28"/>
          <w:rtl w:val="true"/>
          <w:lang w:bidi="fa-IR"/>
        </w:rPr>
        <w:t>.</w:t>
      </w:r>
    </w:p>
    <w:p>
      <w:pPr>
        <w:pStyle w:val="Heading4"/>
        <w:numPr>
          <w:ilvl w:val="3"/>
          <w:numId w:val="1"/>
        </w:numPr>
        <w:rPr/>
      </w:pPr>
      <w:bookmarkStart w:id="425" w:name="__RefHeading___Toc2986603_3224264995"/>
      <w:bookmarkStart w:id="426" w:name="_Toc160"/>
      <w:bookmarkEnd w:id="425"/>
      <w:r>
        <w:rPr>
          <w:rtl w:val="true"/>
        </w:rPr>
        <w:t>[</w:t>
      </w:r>
      <w:r>
        <w:rPr>
          <w:rtl w:val="true"/>
        </w:rPr>
        <w:t>المرحلة الثالثة</w:t>
      </w:r>
      <w:r>
        <w:rPr>
          <w:rtl w:val="true"/>
        </w:rPr>
        <w:t xml:space="preserve">: </w:t>
      </w:r>
      <w:r>
        <w:rPr>
          <w:rtl w:val="true"/>
        </w:rPr>
        <w:t>فی تشخیص إمکان العلم و الاطلاع بالإجماع و امتناعه،</w:t>
      </w:r>
      <w:r>
        <w:rPr>
          <w:rtl w:val="true"/>
        </w:rPr>
        <w:t>]</w:t>
      </w:r>
      <w:bookmarkEnd w:id="426"/>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إمکان العلم به فی زمن الصحابة و ما ضاهاه فلا خلاف فیه، لقلّة المسلمین فی ذلک الزمان فکأن الاحاطة بهم و بآرائهم متیسّرة بطریق التتبّع، کما لا خلاف فی إمکان العلم به فی کلّ زمان من جهة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الخلاف فی إمکان العلم به فی زماننا هذا و ما ضاهاه، من غیر جهة النقل حیث استصوب امتناعه المعالم</w:t>
      </w:r>
      <w:r>
        <w:rPr>
          <w:rStyle w:val="FootnoteAnchor"/>
          <w:rtl w:val="true"/>
        </w:rPr>
        <w:footnoteReference w:id="629"/>
      </w:r>
      <w:r>
        <w:rPr>
          <w:rFonts w:ascii="Amiri" w:hAnsi="Amiri" w:eastAsia="Amiri" w:cs="Amiri"/>
          <w:color w:val="111111"/>
          <w:sz w:val="28"/>
          <w:sz w:val="28"/>
          <w:szCs w:val="28"/>
          <w:rtl w:val="true"/>
          <w:lang w:bidi="ar-SA"/>
        </w:rPr>
        <w:t>و بعض العامّة</w:t>
      </w:r>
      <w:r>
        <w:rPr>
          <w:rStyle w:val="FootnoteAnchor"/>
          <w:rtl w:val="true"/>
        </w:rPr>
        <w:footnoteReference w:id="630"/>
      </w:r>
      <w:r>
        <w:rPr>
          <w:rFonts w:ascii="IRNazanin" w:hAnsi="IRNazanin" w:eastAsia="IRNazanin"/>
          <w:color w:val="111111"/>
          <w:sz w:val="28"/>
          <w:sz w:val="28"/>
          <w:szCs w:val="28"/>
          <w:rtl w:val="true"/>
          <w:lang w:bidi="fa-IR"/>
        </w:rPr>
        <w:t>، نظرا إلی انتشار العلماء فی أقطار الأرض، و عدم إمکان الإحاطة بهم و الوقوف علی آرائهم من غیر جهة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انتشار العلماء إن تمّ و صلح دلیلا علی منع إمکان الاطلاع علی أقوال العلماء بغیر طریق النقل لصلح دلیلا علی منع إمکان الاطلاع علیهما بطریق نقل الآحاد أیضا، فضلا عن النقل المتظافر، إذ لیس إحاطة الناقل بالأقوال أولی من إحاطتنا بها لا عقلا و لا عادة، فالمنع من إمکان الثانی فی مرتبة المنع من إمکان الأول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و الاطلاع بالإجماع من غیر جهة النقل لا یخلو إمّا أن یکون حاصلا من الحسّ الناشئ من استقصاء أقوال جمیع العلماء بالتتبّع التامّ تفصیلا، و إمّا أن یکون حاصلا من الحسّ الناشئ عن الوصول إلی خدمة الإمام و تابعیه الأعلام فی الیقظة أو المنام و استفادة الأحکام، و إمّا أن یکون حاصلا من الوقوف علی أقوال المعروفین و لو بطریق النقل و علی أقوال الباقین و لو بطریق </w:t>
      </w:r>
    </w:p>
    <w:p>
      <w:pPr>
        <w:pStyle w:val="BookText"/>
        <w:rPr/>
      </w:pPr>
      <w:r>
        <w:rPr>
          <w:rFonts w:ascii="IRNazanin" w:hAnsi="IRNazanin" w:eastAsia="IRNazanin"/>
          <w:color w:val="111111"/>
          <w:sz w:val="28"/>
          <w:sz w:val="28"/>
          <w:szCs w:val="28"/>
          <w:rtl w:val="true"/>
          <w:lang w:bidi="fa-IR"/>
        </w:rPr>
        <w:t>الحدس، من حیث وضوح المدرک و ظهور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الاطّلاع بالطریق الأول فهو و إن امتنع فی زماننا و ما ضاهاه دون ما یقرب من زمن الصحابة إلّا أنّه لا یترتّب علی إمکانه فی زمن الصحابة فائدة، بعد ندور وقوعه جدّا بحیث لم نظنّ بوجوده حتی فی إجماعات القدماء المقاربة لزمن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الاطّلاع علیه بالطریق الثانی فهو و ان ندر جدّا بحیث لم نظن بوجوده فی اجماعات مدّعی الإجماع بل قد أمرنا بتکذیب من یدّعی الوصول فی الیقظة إلی خدمة الإمام بعد الغیبة الکبری إلّا أنّه مع ذلک لا یمتنع لبعض الأوحدین من الصلحاء الوصول إلی خدمة الإمام فی أمثال زماننا لتحصیل بعض الأحکام، ثمّ نسبة الحکم المحصّل من هذا الطریق إلی الإجماع صونا لنفسه عن التکذیب، و تحفّظا علی ما جرت علیه سیرة أهل الفنّ من إرجاع کلّ دلیل إلی أحد الأدلّة الأربعة، فنسبة ذلک التوریة إلّا أنّ إبراز الحقّ من المصالح المجوّزة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الاطّلاع علی الإجماع بالطریق الثالث فلم یتفاوت إمکانه و تیسّره بین زماننا و زمن الصحابة أصلا و أبدا، بل الظاهر أنّ مدار تحصیل الإجماع و الاطّلاع علیه حتی من المقاربین زمن الصحابة إنّما هو علی هذا الوجه الحدسی لا الحسیّ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استصوبه صاحب المعالم</w:t>
      </w:r>
      <w:r>
        <w:rPr>
          <w:rStyle w:val="FootnoteAnchor"/>
          <w:rtl w:val="true"/>
        </w:rPr>
        <w:footnoteReference w:id="631"/>
      </w:r>
      <w:r>
        <w:rPr>
          <w:rFonts w:ascii="IRNazanin" w:hAnsi="IRNazanin" w:eastAsia="IRNazanin"/>
          <w:color w:val="111111"/>
          <w:sz w:val="28"/>
          <w:sz w:val="28"/>
          <w:szCs w:val="28"/>
          <w:rtl w:val="true"/>
          <w:lang w:bidi="fa-IR"/>
        </w:rPr>
        <w:t>من امتناع الاطلاع علی الإجماع فی زماننا إن أراد منه امتناع الاطلاع الحسیّ علیه بأحد الوجهین الأولین، فهو ممّا لم یترتّب علی امتناعه فی زماننا فائدة، بعد أن کان المفروض ندور وقوعه فی زمن الصحابة الذی هو محلّ إمکانه</w:t>
      </w:r>
      <w:r>
        <w:rPr>
          <w:rFonts w:eastAsia="IRNazanin" w:cs="IRNazanin"/>
          <w:color w:val="111111"/>
          <w:sz w:val="28"/>
          <w:szCs w:val="28"/>
          <w:rtl w:val="true"/>
          <w:lang w:bidi="fa-IR"/>
        </w:rPr>
        <w:t xml:space="preserve">. </w:t>
      </w:r>
      <w:bookmarkStart w:id="427" w:name="pg12880_153550"/>
    </w:p>
    <w:p>
      <w:pPr>
        <w:pStyle w:val="BookText"/>
        <w:rPr/>
      </w:pPr>
      <w:bookmarkEnd w:id="427"/>
      <w:r>
        <w:rPr>
          <w:rFonts w:ascii="IRNazanin" w:hAnsi="IRNazanin" w:eastAsia="IRNazanin"/>
          <w:color w:val="111111"/>
          <w:sz w:val="28"/>
          <w:sz w:val="28"/>
          <w:szCs w:val="28"/>
          <w:rtl w:val="true"/>
          <w:lang w:bidi="fa-IR"/>
        </w:rPr>
        <w:t>و إن أراد امتناع الاطلاع الحدسی علیه فی زماننا بالوجه الثالث فهو ممنوع، ضرورة أنّ انتشار العلماء و کثرتهم فی زماننا هذا و ما ضاهاه لا یوجب انسداد باب الحدس باتفاقهم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الفرق أنّ مقدار التتبع فی أقوال العلماء المحصّل للحدس باتفاقهم فی زمان قلّتهم أقلّ من التتبع فی زمان کثرتهم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یدّعی أنّ الفارق هو کون الحدس الناشئ من التتبع فی زمان قلّة العلماء منصرف إلی الإجماع أولا و فی زمان کثرتهم منصرف إلی العلم بالواقع ثمّ إنّ من العلم بالواقع ینصرف إلی الإجماع فتسمیة هذا القسم من الإجماع لیس إجماع القدماء، إذ العلم بالواقع لیس فی طول الإجماع بل هو فی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الدعوی إنّما تتمّ لو اعتبرنا التتبع الموجب للحدس بالإجماع فی زمان کثرتهم بمقدار التتبع الموجب للحدس به فی زمان قلّتهم، و أمّا مع اعتبار تفاوت مقدار التتبع المحصّل للحدس بإجماعهم فی زمان کثرتهم لمقدار التتبع فی زمان قلّتهم فلا یبقی لتفاوت الحدسین فی الانصراف إلی الإجماع أولا و بالذات فارق</w:t>
      </w:r>
      <w:r>
        <w:rPr>
          <w:rFonts w:eastAsia="IRNazanin" w:cs="IRNazanin"/>
          <w:color w:val="111111"/>
          <w:sz w:val="28"/>
          <w:szCs w:val="28"/>
          <w:rtl w:val="true"/>
          <w:lang w:bidi="fa-IR"/>
        </w:rPr>
        <w:t>.</w:t>
      </w:r>
    </w:p>
    <w:p>
      <w:pPr>
        <w:pStyle w:val="Heading4"/>
        <w:numPr>
          <w:ilvl w:val="3"/>
          <w:numId w:val="1"/>
        </w:numPr>
        <w:rPr/>
      </w:pPr>
      <w:bookmarkStart w:id="428" w:name="__RefHeading___Toc2986605_3224264995"/>
      <w:bookmarkStart w:id="429" w:name="_Toc161"/>
      <w:bookmarkEnd w:id="428"/>
      <w:r>
        <w:rPr>
          <w:rtl w:val="true"/>
        </w:rPr>
        <w:t>[</w:t>
      </w:r>
      <w:r>
        <w:rPr>
          <w:rtl w:val="true"/>
        </w:rPr>
        <w:t>المرحلة الرابعة</w:t>
      </w:r>
      <w:r>
        <w:rPr>
          <w:rtl w:val="true"/>
        </w:rPr>
        <w:t xml:space="preserve">: </w:t>
      </w:r>
      <w:r>
        <w:rPr>
          <w:rtl w:val="true"/>
        </w:rPr>
        <w:t>فی تشخیص أصل حجّیة الإجماع فی الجملة</w:t>
      </w:r>
      <w:r>
        <w:rPr>
          <w:rtl w:val="true"/>
        </w:rPr>
        <w:t>]</w:t>
      </w:r>
      <w:bookmarkEnd w:id="429"/>
    </w:p>
    <w:p>
      <w:pPr>
        <w:pStyle w:val="BookText"/>
        <w:rPr/>
      </w:pPr>
      <w:r>
        <w:rPr>
          <w:rFonts w:ascii="IRNazanin" w:hAnsi="IRNazanin" w:eastAsia="IRNazanin"/>
          <w:color w:val="111111"/>
          <w:sz w:val="28"/>
          <w:sz w:val="28"/>
          <w:szCs w:val="28"/>
          <w:rtl w:val="true"/>
          <w:lang w:bidi="fa-IR"/>
        </w:rPr>
        <w:t>فی قبال القول بعدم حجّیته أصلا، أی لا من باب الکشف الذی هو طریقة الخاصّة، و لا من باب التعبّد الذی هو طریقة العامّة کالأخباریین من الخاصّة و شرذمة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موهمهم علی عدم حجّیة الإجماع إمّا عدم تحقّقه کموهمهم علی عدم حجّیة دلیل العقل عدم إدراکه رضا اللّه و سخطه نظیر الأشاعرة المنکرین إدراک الحسن و القبح العقلیین، و إمّا عدم حجّیة القطع الحاصل من الإجماع کموهمهم علی عدم حجّیة القطع الحاصل من العقل و الرؤیا عدم وجوب إطاعتهما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 الموهم الأول أعنی عدم حجّیة الإجماع بواسطة عدم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430" w:name="pg12880_153551"/>
    </w:p>
    <w:p>
      <w:pPr>
        <w:pStyle w:val="BookText"/>
        <w:rPr/>
      </w:pPr>
      <w:bookmarkEnd w:id="430"/>
      <w:r>
        <w:rPr>
          <w:rFonts w:ascii="IRNazanin" w:hAnsi="IRNazanin" w:eastAsia="IRNazanin"/>
          <w:color w:val="111111"/>
          <w:sz w:val="28"/>
          <w:sz w:val="28"/>
          <w:szCs w:val="28"/>
          <w:rtl w:val="true"/>
          <w:lang w:bidi="fa-IR"/>
        </w:rPr>
        <w:t>مرّ فی المرحلة السابقة من منع إنکار تحقّقه نقضا و حلّا بما لا مزید علیه، کما یندفع إنکار إدراک العقل رضا اللّه تعالی و سخطه فی الأدلّة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الموهم الثانی أعنی عدم حجّیة القطع الحاصل من الإجماع بعدم وجوب إطاعة القطع الحاصل من العقل و نحوه بأنه غیر معقول؛ لأنّ امتثال الأمر اللفظی لا یجب إلّا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للخصم موهمات أخر أهملنا رسمها تعویلا علی ما تصدّی القوم لرسمها فی الکتب المألوفة کالقوانین</w:t>
      </w:r>
      <w:r>
        <w:rPr>
          <w:rStyle w:val="FootnoteAnchor"/>
          <w:rtl w:val="true"/>
        </w:rPr>
        <w:footnoteReference w:id="632"/>
      </w:r>
      <w:r>
        <w:rPr>
          <w:rFonts w:ascii="IRNazanin" w:hAnsi="IRNazanin" w:eastAsia="IRNazanin"/>
          <w:color w:val="111111"/>
          <w:sz w:val="28"/>
          <w:sz w:val="28"/>
          <w:szCs w:val="28"/>
          <w:rtl w:val="true"/>
          <w:lang w:bidi="fa-IR"/>
        </w:rPr>
        <w:t>و غیره فلیراجع</w:t>
      </w:r>
      <w:r>
        <w:rPr>
          <w:rFonts w:eastAsia="IRNazanin" w:cs="IRNazanin"/>
          <w:color w:val="111111"/>
          <w:sz w:val="28"/>
          <w:szCs w:val="28"/>
          <w:rtl w:val="true"/>
          <w:lang w:bidi="fa-IR"/>
        </w:rPr>
        <w:t>.</w:t>
      </w:r>
    </w:p>
    <w:p>
      <w:pPr>
        <w:pStyle w:val="Heading4"/>
        <w:numPr>
          <w:ilvl w:val="3"/>
          <w:numId w:val="1"/>
        </w:numPr>
        <w:rPr/>
      </w:pPr>
      <w:bookmarkStart w:id="431" w:name="__RefHeading___Toc2986607_3224264995"/>
      <w:bookmarkStart w:id="432" w:name="_Toc162"/>
      <w:bookmarkEnd w:id="431"/>
      <w:r>
        <w:rPr>
          <w:rtl w:val="true"/>
        </w:rPr>
        <w:t>[</w:t>
      </w:r>
      <w:r>
        <w:rPr>
          <w:rtl w:val="true"/>
        </w:rPr>
        <w:t>المرحلة الخامسة</w:t>
      </w:r>
      <w:r>
        <w:rPr>
          <w:rtl w:val="true"/>
        </w:rPr>
        <w:t xml:space="preserve">: </w:t>
      </w:r>
      <w:r>
        <w:rPr>
          <w:rtl w:val="true"/>
        </w:rPr>
        <w:t>فی تشخیص حجّیة الإجماع</w:t>
      </w:r>
      <w:r>
        <w:rPr>
          <w:rtl w:val="true"/>
        </w:rPr>
        <w:t>]</w:t>
      </w:r>
      <w:bookmarkEnd w:id="43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باب الکشف بالمعنی الأعمّ بأن یکشف عمّا علیه المعصوم من نفس الاتفاق، أو من ضمیمة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طریقة الخاصّة فی قبال طریقة العامّة القائلین بحجّیته من باب صرف التعبّد و إن حصل الظنّ بخلافه، کحجّیة الأسباب الشرعیة من الید و الفراش و قول العادل، حیث استدلوا علیه بالعقل و الآیات</w:t>
      </w:r>
      <w:r>
        <w:rPr>
          <w:rStyle w:val="FootnoteAnchor"/>
          <w:rtl w:val="true"/>
        </w:rPr>
        <w:footnoteReference w:id="633"/>
      </w:r>
      <w:r>
        <w:rPr>
          <w:rFonts w:ascii="IRNazanin" w:hAnsi="IRNazanin" w:eastAsia="IRNazanin"/>
          <w:color w:val="111111"/>
          <w:sz w:val="28"/>
          <w:sz w:val="28"/>
          <w:szCs w:val="28"/>
          <w:rtl w:val="true"/>
          <w:lang w:bidi="fa-IR"/>
        </w:rPr>
        <w:t>القاصرة عن الدلالة علی أصل الحجّیة فضلا عن الحجّیة من باب التعبد، و أخبار کذلک، مضافا إلی قصور سندها و أقوی ما استدلّوا به من الأخبار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أمّتی علی الخطأ</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اللّه لیجمع امتی علی الخطأ</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الجماعة</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علی الجماعة</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اجیب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صحّتها و الطعن فی سندها، و دعوی الغزالی</w:t>
      </w:r>
      <w:r>
        <w:rPr>
          <w:rStyle w:val="FootnoteAnchor"/>
          <w:rtl w:val="true"/>
        </w:rPr>
        <w:footnoteReference w:id="638"/>
      </w:r>
      <w:r>
        <w:rPr>
          <w:rFonts w:ascii="IRNazanin" w:hAnsi="IRNazanin" w:eastAsia="IRNazanin"/>
          <w:color w:val="111111"/>
          <w:sz w:val="28"/>
          <w:sz w:val="28"/>
          <w:szCs w:val="28"/>
          <w:rtl w:val="true"/>
          <w:lang w:bidi="fa-IR"/>
        </w:rPr>
        <w:t>تواترها معنی و إن کانت آحادا لفظا مباهتة و عناد؛ لأنّ من شرائط التواتر بلوغ المخبرین عددا یمتنع اجتماعهم علی الکذب عادة لکثرتهم، و انتفائه فی المقام أوضح شی‌ء، حتی اعترف به جماعة من أهل الخلاف کالحاجبی</w:t>
      </w:r>
      <w:r>
        <w:rPr>
          <w:rStyle w:val="FootnoteAnchor"/>
          <w:rtl w:val="true"/>
        </w:rPr>
        <w:footnoteReference w:id="639"/>
      </w:r>
      <w:r>
        <w:rPr>
          <w:rFonts w:ascii="IRNazanin" w:hAnsi="IRNazanin" w:eastAsia="IRNazanin"/>
          <w:color w:val="111111"/>
          <w:sz w:val="28"/>
          <w:sz w:val="28"/>
          <w:szCs w:val="28"/>
          <w:rtl w:val="true"/>
          <w:lang w:bidi="fa-IR"/>
        </w:rPr>
        <w:t>و العضدی</w:t>
      </w:r>
      <w:r>
        <w:rPr>
          <w:rStyle w:val="FootnoteAnchor"/>
          <w:rtl w:val="true"/>
        </w:rPr>
        <w:footnoteReference w:id="640"/>
      </w:r>
      <w:r>
        <w:rPr>
          <w:rFonts w:ascii="IRNazanin" w:hAnsi="IRNazanin" w:eastAsia="IRNazanin"/>
          <w:color w:val="111111"/>
          <w:sz w:val="28"/>
          <w:sz w:val="28"/>
          <w:szCs w:val="28"/>
          <w:rtl w:val="true"/>
          <w:lang w:bidi="fa-IR"/>
        </w:rPr>
        <w:t>و ردّ به علی الغزالی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من شرائطه توافقها فی المعنی المدّعی تواترها فیه و انتفائه فی المقام جلی أیضا، ضرورة عدم دلالتها علی القدر المشترک علی سبیل القطع بحیث یفید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تری ما البعد بین دعوی تواتر هذه الأخبار، و بین القول بأنّه بلغنی خمسمائة حدیث مسند فی حکایة نصب الخلافة یوم الغدیر، و لم یحصل لی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دلالتها علی حجّیة الإجماع؛ و ذلک لأنّ معنی الامّة فی اللغة</w:t>
      </w:r>
      <w:r>
        <w:rPr>
          <w:rStyle w:val="FootnoteAnchor"/>
          <w:rtl w:val="true"/>
        </w:rPr>
        <w:footnoteReference w:id="641"/>
      </w:r>
      <w:r>
        <w:rPr>
          <w:rFonts w:ascii="IRNazanin" w:hAnsi="IRNazanin" w:eastAsia="IRNazanin"/>
          <w:color w:val="111111"/>
          <w:sz w:val="28"/>
          <w:sz w:val="28"/>
          <w:szCs w:val="28"/>
          <w:rtl w:val="true"/>
          <w:lang w:bidi="fa-IR"/>
        </w:rPr>
        <w:t>الجماعة، و قد تطلق علی الرجل و المرأة، بل و علی الواحد أیضا کما فی قوله تعالی فی حقّ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قانِتاً</w:t>
      </w:r>
      <w:r>
        <w:rPr>
          <w:rStyle w:val="FootnoteAnchor"/>
          <w:rtl w:val="true"/>
        </w:rPr>
        <w:footnoteReference w:id="642"/>
      </w:r>
      <w:r>
        <w:rPr>
          <w:rFonts w:ascii="IRNazanin" w:hAnsi="IRNazanin" w:eastAsia="IRNazanin"/>
          <w:color w:val="111111"/>
          <w:sz w:val="28"/>
          <w:sz w:val="28"/>
          <w:szCs w:val="28"/>
          <w:rtl w:val="true"/>
          <w:lang w:bidi="fa-IR"/>
        </w:rPr>
        <w:t>و علی ذلک فالمصداق المتیقّن من امّته، علیّ و عترته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لأنّ المراد من الخطأ المنفی هو کفرهم و ارتدادهم الثابت مثله فی الامم السالفة بواسطة اجتماعهم علی دینهم المنسوخ بعد نسخه، و من المعلوم أنّ نفی اجتماعهم علی الکفر لا یستلزم اجتماعهم علی الصواب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لأنّ المراد من الخطأ إمّا جنسه؛ کأن یخطأ أحد فی أمر و الآخر فی آخر و هکذا، لیصدق علی الکلّ اشتراکهم فی جنس الخطأ و إن کان خطأ کلّ مغایرا لخطأ الآخر کما هو حقیقة المفرد المحلّی باللام، و إمّا شخص الخطأ کأن یخطأ الکلّ فی أمر واحد بناء علی تقیید الجنس بالوحدة، أو إرادة العهد الذهنی منه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نفی اجتماعهم علی جنس الخطأ فیستلزم ما لم یلتزم به المستدلّ من عصمتهم أو عصمة بعضهم، لاعترافه بخطإ الأنبیاء فضلا عن الامّة، العیاذ باللّه، و أمّا نفی اجتماعهم علی شخص الخطأ فیستحیل بعد اجتماعهم علی جنسه، ضرورة أنّ عدم اجتماعهم علی شخص الخطأ إن کان قهریا فیستلزم عصمتهم أو عصمة بعضهم و لا یلتزم به المستدلّ و إن کان اختیاریا من جهة تورّعهم عن الخطأ فیستلزم عدم اجتماعهم علی جنسه و تورّعهم عنه بالطریق الأولی، و المفروض عدمه مضافا إلی استلزامه مزیة الفرع علی الأصل حیث إنّ الآحاد یخطئون فی فعلهم و علمهم فإذا بلغ الآحاد حدّ الإجماع علی ذلک العمل کیف ینقلب الخطأ حقّا؟ علی أنّ المستدلّ إن کان من المصوّبة فما ظنّه المجتهد هو المجعول له و لمقلّده، فالاستدلال بالإجماع لیس أقوی من ظنّهم، فالمعنی الدالّ علی حجّیة الإجماع لم یلتزم به المستدلّ و الذی یلتزم به غیر الدالّ علی الحجّیة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دلالتها لکن إنّما تدلّ علی حجّیة الإجماع من باب الکشف الذی هو طریقة الخاصّة لا من باب التعبّد الذی هو طریقة العامّة؛ و ذلک لأنّ الامّة اسم جمع مضاف یفید العموم، و وقوعه فی حیّز النفی کوقوع کلّ إنسان فی حیّزه فی إفادة سلب العموم لا عموم السلب، فکما لا یستفاد من لم یقم کلّ إنسان إلّا </w:t>
      </w:r>
    </w:p>
    <w:p>
      <w:pPr>
        <w:pStyle w:val="BookText"/>
        <w:rPr/>
      </w:pPr>
      <w:r>
        <w:rPr>
          <w:rFonts w:ascii="IRNazanin" w:hAnsi="IRNazanin" w:eastAsia="IRNazanin"/>
          <w:color w:val="111111"/>
          <w:sz w:val="28"/>
          <w:sz w:val="28"/>
          <w:szCs w:val="28"/>
          <w:rtl w:val="true"/>
          <w:lang w:bidi="fa-IR"/>
        </w:rPr>
        <w:t xml:space="preserve">رفع الإیجاب الکلّی کذلک لا یستفاد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الخطأ</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نفی اجتماع مجموع الامّة من حیث هی من باب عدم خلوّ المجموع فی عصر من الأعصار من معصوم حافظ للشریعة، الذی هو طریقة الخاصّة، و لا یدلّ علی نفی اجتماع العامّة علی الخطأ من باب التعبّد الذی هو طریقة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 إجماعهم المنفی علی الخطأ اجتماعهم الإرادیّ علیه، دون اجتماعهم الاتفاقی الحاصل من الموافقة الاتفاقیة بلا قصد، کما وقع فی مسائل الفقه، و دون اجتماعهم القهری الحاصل من الجبر و القهر، کما وقع فی إحضار الأمیر و سائر الصحابة فی المسجد للبیعة و الاجتماع علی الخلافة غصبا، فلم یثبت بذلک حجّیة جمیع الإجماعات، و تتمیمه بالإجماع المرکّب أو عدم القول بالفصل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الأجوبة التی ارتضاها صاحب القوانین</w:t>
      </w:r>
      <w:r>
        <w:rPr>
          <w:rStyle w:val="FootnoteAnchor"/>
          <w:rtl w:val="true"/>
        </w:rPr>
        <w:footnoteReference w:id="644"/>
      </w:r>
      <w:r>
        <w:rPr>
          <w:rFonts w:ascii="IRNazanin" w:hAnsi="IRNazanin" w:eastAsia="IRNazanin"/>
          <w:color w:val="111111"/>
          <w:sz w:val="28"/>
          <w:sz w:val="28"/>
          <w:szCs w:val="28"/>
          <w:rtl w:val="true"/>
          <w:lang w:bidi="fa-IR"/>
        </w:rPr>
        <w:t>و الفصول</w:t>
      </w:r>
      <w:r>
        <w:rPr>
          <w:rStyle w:val="FootnoteAnchor"/>
          <w:rtl w:val="true"/>
        </w:rPr>
        <w:footnoteReference w:id="645"/>
      </w:r>
      <w:r>
        <w:rPr>
          <w:rFonts w:ascii="IRNazanin" w:hAnsi="IRNazanin" w:eastAsia="IRNazanin"/>
          <w:color w:val="111111"/>
          <w:sz w:val="28"/>
          <w:sz w:val="28"/>
          <w:szCs w:val="28"/>
          <w:rtl w:val="true"/>
          <w:lang w:bidi="fa-IR"/>
        </w:rPr>
        <w:t>و غیرهما، إلّا أنّه یمکن الخدشة فیه بمنع مدخلیة قصد العنوان فی صدق العنوان و إلّا لکان ذلک وجها فی جواز ارتکاب أطراف الشبهة المحصورة علی وجه التدریج، ضرورة أنّ المرتکب کلّ واحد من أطراف النجس المشتبه غیر قاصد عنوان النجس فی ارتکابه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خدشة صاحب الضوابط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الاجتماع الإرادی إنّما یتبادر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الإثبات، و أمّا فی النفی فالمتبادر نفی الاجتماع مطلقا سواء کان إرادیا أو اتفاقیا، و الاجتماع فی الروایة إنّما هو فی حیّز النفی لا الإثبات</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التسلط علی المعنی المراد من الإثبات، و معنی عموم النکرة فی سیاق النفی کعموم سائر أدوات العموم هو شمول أفراد معنی واحد، لا أفراد معنی غیر واحد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 الروایة هو نفی اجتماع الامّة علی ما هو خطأ عندهم، لا نفی اجتماعهم علی ما هو خطأ فی الواقع فأقصی مفاد الروایة حینئذ هو حقّیة ما أجمعوا علیه بالنسبة إلیهم، لا بالنسبة إلی الواقع حتی یجب متابعة الغیر للمجمعین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الألفاظ أسامی للمعانی النفس الأمریة دون المعلومة، و إلّا لکان ذلک وجها آخر فی جواز ارتکاب أطراف الشبهة المحصورة تدریجا حیث إنّ المرتکب لکلّ من المشتبهین بالحرام لم یعلم الحرمة بعینه حین ارتکابه، و قد مرّ فی أوائل المجلد الأول تحقیق وضع الألفاظ للمعانی النفس الأمریة بما لا مزید علیه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فالصواب فی الجواب عن الروایة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بالطعن فی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دلالتها علی حجّیة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بقصور دلالتها علی الحجّیة من باب التعبّد، فإنّه علی تقدیر دلالتها إنّما تدلّ علی حجّیة الإجماع و نفی الخطأ عن المجمعین من باب الکشف عما علیه المعصوم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نفی الخطأ عن اجتماع هذه الامّة بواسطة وجود المعصوم فیهم یقتضی اشتراک الأمم السالفة معهم ضرورة عدم اجتماع الامم السالفة مع من فیهم من النّبی المعصوم علی الخطأ أیضا، و هو خلاف ظاهر سیاق نفی الخطأ عن اجتماع هذه الامّة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اشترکت هذه الامّة مع الامم السالفة فی عصمة اجتماعهم علی الخطأ مع وجود المعصوم فیهم فی الجملة إلّا أنّها تفارقهم بواسطة استمرار وجود </w:t>
      </w:r>
    </w:p>
    <w:p>
      <w:pPr>
        <w:pStyle w:val="BookText"/>
        <w:rPr/>
      </w:pPr>
      <w:r>
        <w:rPr>
          <w:rFonts w:ascii="IRNazanin" w:hAnsi="IRNazanin" w:eastAsia="IRNazanin"/>
          <w:color w:val="111111"/>
          <w:sz w:val="28"/>
          <w:sz w:val="28"/>
          <w:szCs w:val="28"/>
          <w:rtl w:val="true"/>
          <w:lang w:bidi="fa-IR"/>
        </w:rPr>
        <w:t>المعصوم، العاصم لاجتماع هذه الامّة علی الخطأ فی کلّ عصر من حین نشؤها إلی قیام الساعة، و عدم استمرار وجود مثله فی الامم السالفة، و ظاهر سیاق الروایة لا تدلّ علی أکثر من هذه التفرقة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أخبارهم المرویة فی حجّیة الإجماع من حیث هو 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طائفة من امّتی علی الحقّ حتی تقوم الساعة</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الطائفة المعصوم و إن کان واحدا، کما عن ابن عباس</w:t>
      </w:r>
      <w:r>
        <w:rPr>
          <w:rStyle w:val="FootnoteAnchor"/>
          <w:rtl w:val="true"/>
        </w:rPr>
        <w:footnoteReference w:id="648"/>
      </w:r>
      <w:r>
        <w:rPr>
          <w:rFonts w:ascii="IRNazanin" w:hAnsi="IRNazanin" w:eastAsia="IRNazanin"/>
          <w:color w:val="111111"/>
          <w:sz w:val="28"/>
          <w:sz w:val="28"/>
          <w:szCs w:val="28"/>
          <w:rtl w:val="true"/>
          <w:lang w:bidi="fa-IR"/>
        </w:rPr>
        <w:t>تفسیر الطائفة بالواحد فما فوق، و فی کتب اللغة</w:t>
      </w:r>
      <w:r>
        <w:rPr>
          <w:rStyle w:val="FootnoteAnchor"/>
          <w:rtl w:val="true"/>
        </w:rPr>
        <w:footnoteReference w:id="649"/>
      </w:r>
      <w:r>
        <w:rPr>
          <w:rFonts w:ascii="IRNazanin" w:hAnsi="IRNazanin" w:eastAsia="IRNazanin"/>
          <w:color w:val="111111"/>
          <w:sz w:val="28"/>
          <w:sz w:val="28"/>
          <w:szCs w:val="28"/>
          <w:rtl w:val="true"/>
          <w:lang w:bidi="fa-IR"/>
        </w:rPr>
        <w:t>جواز أن یقال للواحد طائفة، و الطائفة من الشی‌ء قطعة منه فیکون معنی الروایة نظیر معنی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طائفة من بنی فلان علی السلطنة، فی صدقه علی بقاء واحد منهم علی السلطنة، و إن فرض انقراض ما عداه عن العالم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أبیت من حمل الطائفة علی الواحد فلنا أن نحمله علی مجموع أئمتنا الاثنی و إن کان بقاء جمیعهم أبد الدهر ببقاء بعضهم، أو علی الاشخاص المعیّنة، أعنی الإمامیة مثلا سواء فرض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نفس الطائفة، أو إلی ضمیر الشأن و القصة، لیکون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القصة و الشأن دائما هو أنّ طائفة من امّتی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المعنیین أنّه علی تقدیر فاعلیة الطائفة یستلزم استدامة الطائفة علی الحقّ، و علی تقدیر فاعلیة ضمیر الشأن یستلزم استدامة الحقّ بطائفة، و هو أعمّ من استدامة الطائفة علیه، و من تبادلها و تعاکسها بأن کان طائفة علی الحقّ فی زمان ثمّ صدر عنهم الخطأ و عوّض عنهم طائفة اخری، و هکذا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غیر ذلک من مدارک العامّة الموهمة حجّیة الإجماع من باب التعبد من الأخبار و الآیات و العقل التی أهملنا الجواب عنها تعویلا علی ما تصدّی الأصحاب شکر اللّه سعیهم للجواب عنها فی الکتب المألوفة کالقوانین</w:t>
      </w:r>
      <w:r>
        <w:rPr>
          <w:rStyle w:val="FootnoteAnchor"/>
          <w:rtl w:val="true"/>
        </w:rPr>
        <w:footnoteReference w:id="650"/>
      </w:r>
      <w:r>
        <w:rPr>
          <w:rFonts w:ascii="IRNazanin" w:hAnsi="IRNazanin" w:eastAsia="IRNazanin"/>
          <w:color w:val="111111"/>
          <w:sz w:val="28"/>
          <w:sz w:val="28"/>
          <w:szCs w:val="28"/>
          <w:rtl w:val="true"/>
          <w:lang w:bidi="fa-IR"/>
        </w:rPr>
        <w:t>و الفصول</w:t>
      </w:r>
      <w:r>
        <w:rPr>
          <w:rStyle w:val="FootnoteAnchor"/>
          <w:rtl w:val="true"/>
        </w:rPr>
        <w:footnoteReference w:id="651"/>
      </w:r>
      <w:r>
        <w:rPr>
          <w:rFonts w:ascii="IRNazanin" w:hAnsi="IRNazanin" w:eastAsia="IRNazanin"/>
          <w:color w:val="111111"/>
          <w:sz w:val="28"/>
          <w:sz w:val="28"/>
          <w:szCs w:val="28"/>
          <w:rtl w:val="true"/>
          <w:lang w:bidi="fa-IR"/>
        </w:rPr>
        <w:t>و الضوابط</w:t>
      </w:r>
      <w:r>
        <w:rPr>
          <w:rStyle w:val="FootnoteAnchor"/>
          <w:rtl w:val="true"/>
        </w:rPr>
        <w:footnoteReference w:id="652"/>
      </w:r>
      <w:r>
        <w:rPr>
          <w:rFonts w:ascii="IRNazanin" w:hAnsi="IRNazanin" w:eastAsia="IRNazanin"/>
          <w:color w:val="111111"/>
          <w:sz w:val="28"/>
          <w:sz w:val="28"/>
          <w:szCs w:val="28"/>
          <w:rtl w:val="true"/>
          <w:lang w:bidi="fa-IR"/>
        </w:rPr>
        <w:t>بما فیه الکفایة، بل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عندنا معاشر الخاصّة فلیس لحجّیة الإجماع مدرک و لا وجه سوی اشتماله علی المعصوم بالتضمّن، أو کشفه عن رضا المعصوم بالالتزام، و هذا مما لا خلاف لهم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خلافهم فی طریق استکشاف الإجماع عن شموله المعصوم بأحد الوجهین، هل هو بحکم الملازمة العادیة بین آراء التابعین لرأی متبوعهم، أو بضمیمة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التقریر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ارتضاه المشهور من أنّ استکشاف الإجماع عن تضمن المعصوم، أو استلزام رضائه لا یحصل إلّا بحکم العادة باستحالة تخلّف التابعین فی الرأی عن متبوعهم و المرءوسین عن رئیسهم، و الکلام فی الاستکشاف بهذه الطریقة یقع فی مطالب</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القدماء و المتأخّرین من المشهور یشترکان فی القول بعدم حصول الاستکشاف إلّا بهذه الطریقة و افتراقهم إنّما هو فی الاصطلاح، حیث عبّر المتأخرون بالإجماع عن نفس الاتفاق الکاشف و القدماء عن مجموع الکاشف و المکشوف عنه، فدلالة الاتفاق علی قول المعصوم عند القدماء بالتضمن، فیکون المعصوم فی عرض المجمعین، و عند المتأخرین بالالتزام، فیکون المعصوم فی </w:t>
      </w:r>
    </w:p>
    <w:p>
      <w:pPr>
        <w:pStyle w:val="BookText"/>
        <w:rPr/>
      </w:pPr>
      <w:r>
        <w:rPr>
          <w:rFonts w:ascii="IRNazanin" w:hAnsi="IRNazanin" w:eastAsia="IRNazanin"/>
          <w:color w:val="111111"/>
          <w:sz w:val="28"/>
          <w:sz w:val="28"/>
          <w:szCs w:val="28"/>
          <w:rtl w:val="true"/>
          <w:lang w:bidi="fa-IR"/>
        </w:rPr>
        <w:t>طولهم، فالإجماع عند المتأخرین عبارة عن الاتفاق الکاشف عن رضا المعصوم و عند القدماء عبارة عن الاتفاق المتضمن للمعصوم، فبین الاصطلاحین تباین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طریق الاستکشاف بینهم فمنحصر فی حکم العقل و العادة بالملازمة المذکورة لا بضمّ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المطلب واضح علی من له خبرة و تدرّب بمصطلحهم، و الغرض من بیانه رفع عثرات بعض القاصرین حیث اقتصروا علی ما فی الضوابط</w:t>
      </w:r>
      <w:r>
        <w:rPr>
          <w:rStyle w:val="FootnoteAnchor"/>
          <w:rtl w:val="true"/>
        </w:rPr>
        <w:footnoteReference w:id="653"/>
      </w:r>
      <w:r>
        <w:rPr>
          <w:rFonts w:ascii="IRNazanin" w:hAnsi="IRNazanin" w:eastAsia="IRNazanin"/>
          <w:color w:val="111111"/>
          <w:sz w:val="28"/>
          <w:sz w:val="28"/>
          <w:szCs w:val="28"/>
          <w:rtl w:val="true"/>
          <w:lang w:bidi="fa-IR"/>
        </w:rPr>
        <w:t>من زعم العموم بین طریقة القدماء و المتأخرین و إن أمکن توجیه تعمیم طریقة القدماء من طریقة المتأخرین بمنع رجوع الفرق بینهما إلی اعتبار المعتبر بحیث لو اعتبر دخول المعصوم بعد استکشافه بالحدس فی مفهوم الإجماع علی وجه التضمن اختصّ بطریقة القدماء، و إن اعتبر دخوله فیه علی وجه الالتزام اختصّ بطریقة المتأخرین حتی یحصل التباین بینهما، و دعوی رجوعه إلی أمر خارج عن اعتبار المعتبر علی أن یکون إجماع القدماء هو الاتفاق المتضمن للمعصوم علی وجه کون المعصوم فی عرض المجمعین، لا فی طولهم من غیر اعتبار المعتبر، و ذلک کما لو سمع الحکم من الإمام حسّا فی جملة جماعة لا یعرفهم بأعیانهم أو علم بحکم الإمام حدسا من تظافر أو تسالم، أو سائر الشواهد الأخر علی وجه یتعلّق بقول الإمام فی عرض تعلّقه بسائر المجمعین لا بعد تعلّقه علی وجه الترتّب لیشارک طریقة المتأخرین فی ما اعتبار المعتبر دخوله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ذلک فطریق القدماء أعمّ من طریق المتأخرین، من جهة استلزامه اختصاص طریق المتأخرین بالحدس إلی قول الإمام علی وجه الملازمة و الترتب </w:t>
      </w:r>
    </w:p>
    <w:p>
      <w:pPr>
        <w:pStyle w:val="BookText"/>
        <w:rPr/>
      </w:pPr>
      <w:r>
        <w:rPr>
          <w:rFonts w:ascii="IRNazanin" w:hAnsi="IRNazanin" w:eastAsia="IRNazanin"/>
          <w:color w:val="111111"/>
          <w:sz w:val="28"/>
          <w:sz w:val="28"/>
          <w:szCs w:val="28"/>
          <w:rtl w:val="true"/>
          <w:lang w:bidi="fa-IR"/>
        </w:rPr>
        <w:t>لا علی وجه التضمن فی عرض واحد، دون اختصاص طریق القدماء بالحدس، بل قد یحصل من الحسّ فضلا عن اختصاصه بالحدس علی وجه الخاصّ، إلّا أنّه لما لم نظن فی تحصیل القدماء الإجماع من الحسّ، و لا من الحدس علی الوجه المفارق لتحصیل المتأخرین کان التعمیم من تلک الجهة تعمیم فرضیّ لا وقوع له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تشخیص طریقیة الاستکشاف بهذه الطریقة و عدمه،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الاستکشاف بتلک الطریقة طریق مألوف معروف علیه مدار العقلاء و دیدنهم فی الاستکشاف عن رأی کلّ رئیس و متبوع و مدرّس بالتتبّع فی آراء رعیّته و تابعیه و تلامذته، و حملة أقواله و مریدیه بمقدار ما یستلزم القطع بموافقته و یستحیل العادة تخلّفهم عن مقالته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طریقیة هذا الطریق و حجّیة القطع الحاصل من الملازمة العادیة بوفاقهم له و الاستحالة العادیة بتخلّفهم عنه، بل إطلاق الطریقة و الحجّة علیه لا یخلو من تسامح حیث إنّه بنفسه طریق إلی الواقع و لو بواسطة کشفه عن قول المعصوم، و لیس طریقیته قابلة لجعل الشارع</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تشخیص تیسّر الاستکشاف عن قول المعصوم بتلک الطریقة فی أمثال زماننا و عدمه،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أنّ العلم باتفاق بعض التابعین کرواة الاصول الأربعمائة و أصحاب الإجماع، أو تابع التابعین کالفقهاء المعروفین کالشیخین و الفاضلین و المحققین و الشهیدین و أمثالهم بطریق التتبّع و باتفاق الباقین بطریق النقل أو الحدس، خصوصا إذا انضمّ إلیه بعض القرائن المتظافرة و الشواهد المتوافرة من الوثوق التامّ بضبط التابعین و عدالتهم و علوّ شأنهم فی العلوم العربیة و الدرایة، و من أنّ دیدنهم الانقطاع إلی أئمتهم فی الأحکام و عدم الانحراف عن جادتهم بالرأی و مستحسنات الأوهام، أو من وضوح مدرک </w:t>
      </w:r>
    </w:p>
    <w:p>
      <w:pPr>
        <w:pStyle w:val="BookText"/>
        <w:rPr/>
      </w:pPr>
      <w:r>
        <w:rPr>
          <w:rFonts w:ascii="IRNazanin" w:hAnsi="IRNazanin" w:eastAsia="IRNazanin"/>
          <w:color w:val="111111"/>
          <w:sz w:val="28"/>
          <w:sz w:val="28"/>
          <w:szCs w:val="28"/>
          <w:rtl w:val="true"/>
          <w:lang w:bidi="fa-IR"/>
        </w:rPr>
        <w:t>المسألة و غیره من قرائن المقام یستلزم العلم العادی من غیر تعذّر و لا تعسّر عند اولی الحدس الصائب و النظر الثاقب بأن ذلک قول أئمّتهم و مذهب رؤسائهم و أنه مأخوذ منهم بتنصیص، أو تقریر بحیث یعدّ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لسهولة تحصیل الإجماع بتلک الطریقة فی مثل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مکابرا أو ملحقا بالسوداویة فی خروج وهمه عن الاعتدال کما أشیر إلی توضیح الحال فی القوانین</w:t>
      </w:r>
      <w:r>
        <w:rPr>
          <w:rStyle w:val="FootnoteAnchor"/>
          <w:rtl w:val="true"/>
        </w:rPr>
        <w:footnoteReference w:id="654"/>
      </w:r>
      <w:r>
        <w:rPr>
          <w:rFonts w:ascii="IRNazanin" w:hAnsi="IRNazanin" w:eastAsia="IRNazanin"/>
          <w:color w:val="111111"/>
          <w:sz w:val="28"/>
          <w:sz w:val="28"/>
          <w:szCs w:val="28"/>
          <w:rtl w:val="true"/>
          <w:lang w:bidi="fa-IR"/>
        </w:rPr>
        <w:t>و الفصول</w:t>
      </w:r>
      <w:r>
        <w:rPr>
          <w:rStyle w:val="FootnoteAnchor"/>
          <w:rtl w:val="true"/>
        </w:rPr>
        <w:footnoteReference w:id="655"/>
      </w:r>
      <w:r>
        <w:rPr>
          <w:rFonts w:ascii="IRNazanin" w:hAnsi="IRNazanin" w:eastAsia="IRNazanin"/>
          <w:color w:val="111111"/>
          <w:sz w:val="28"/>
          <w:sz w:val="28"/>
          <w:szCs w:val="28"/>
          <w:rtl w:val="true"/>
          <w:lang w:bidi="fa-IR"/>
        </w:rPr>
        <w:t>علی وجه الإکمال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 اندفاع ما توهم من تعذر تحصیل الإجماع بتلک الطریقة فی مثل زماننا مطلقا کما فی المعالم</w:t>
      </w:r>
      <w:r>
        <w:rPr>
          <w:rStyle w:val="FootnoteAnchor"/>
          <w:rtl w:val="true"/>
        </w:rPr>
        <w:footnoteReference w:id="656"/>
      </w:r>
      <w:r>
        <w:rPr>
          <w:rFonts w:ascii="IRNazanin" w:hAnsi="IRNazanin" w:eastAsia="IRNazanin"/>
          <w:color w:val="111111"/>
          <w:sz w:val="28"/>
          <w:sz w:val="28"/>
          <w:szCs w:val="28"/>
          <w:rtl w:val="true"/>
          <w:lang w:bidi="fa-IR"/>
        </w:rPr>
        <w:t>، أو مفصلا بین القول بتعذر إجماع القدماء بتلک الطریقة فی زماننا و تیسّر إجماع المتأخرین به کما فی القوانین</w:t>
      </w:r>
      <w:r>
        <w:rPr>
          <w:rStyle w:val="FootnoteAnchor"/>
          <w:rtl w:val="true"/>
        </w:rPr>
        <w:footnoteReference w:id="657"/>
      </w:r>
      <w:r>
        <w:rPr>
          <w:rFonts w:ascii="IRNazanin" w:hAnsi="IRNazanin" w:eastAsia="IRNazanin"/>
          <w:color w:val="111111"/>
          <w:sz w:val="28"/>
          <w:sz w:val="28"/>
          <w:szCs w:val="28"/>
          <w:rtl w:val="true"/>
          <w:lang w:bidi="fa-IR"/>
        </w:rPr>
        <w:t>، بل لا یخفی أنّ تحصیل إجماع القدماء بتلک الطریقة أسهل من تحصیل إجماع المتأخرین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بتحصیله بطریق اللطف دون الملازمة العادیة بین التابعین فی الرأی لمتبوعهم لاتجه التفصیل المذکور فی القوانین، و لعلّه ناشئ عن الخلط بین الطریقین و إن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یختلف الحال بین إجماع القدماء و المتأخرین فی طریقیة تلک الطریقة و لا فی تیسّرها فی زماننا و لا فی حجّیة الإجماع المحصّل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یتوهم الفرق من المناقشة علی إجماع القدماء</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إمکان تحصیله بتلک الطریقة فی مثل زماننا من غیر جهة النقل </w:t>
      </w:r>
    </w:p>
    <w:p>
      <w:pPr>
        <w:pStyle w:val="BookText"/>
        <w:rPr/>
      </w:pPr>
      <w:r>
        <w:rPr>
          <w:rFonts w:ascii="IRNazanin" w:hAnsi="IRNazanin" w:eastAsia="IRNazanin"/>
          <w:color w:val="111111"/>
          <w:sz w:val="28"/>
          <w:sz w:val="28"/>
          <w:szCs w:val="28"/>
          <w:rtl w:val="true"/>
          <w:lang w:bidi="fa-IR"/>
        </w:rPr>
        <w:t>نظرا إلی غیبة المعصوم عن أنظارنا و انتشار العلماء فی أقطار الأرض و أقصی بلادها فلا یمکن الإحاطة بأقوالهم من غیر جهة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طریقیة تلک الطریقة إلی إجماع القدماء، أعنی عدم صلوحها للإیصال إلی قول المعصوم نظرا إلی أنّ العلم بأقوال الجمیع یتوقّف علی العلم بأقوال الآحاد التی من جملتها قول المعصوم، فیتوقّف علی العلم بقوله أیضا فلو توقف العلم بقوله علی العلم بقول الجمیع کان 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حجّیة إجماع القدماء المحصّل من تلک الطریقة نظرا إلی أنّ الحجّة هو قول المعصوم المعلوم فی ضمن الاتفاق و ما عداه لیس بحجّة، فلا وجه لعدّ الإجماع، حجّة؛ لأنّ المرکّب من الداخل و الخارج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انتشار العلماء إن تمّ و صلح دلیلا علی منع إمکان الاطّلاع علی أقوال العلماء بغیر طریق النقل لصلح دلیلا علی منع إمکانه بطریق نقل الآحاد أیضا، فضلا عن النقل المتضافر؛ إذ لیس إحاطة الناقل بالأقوال أولی من إحاطتنا بها لا عقلا و لا عادة، إلّا إذا ارید من الناقل من تقدّم زمانه علی زماننا، أو من المنقول ما إذا استکشف الناقل قول المعصوم من المجمعین ثمّ ضمّ الکاشف إلی المستکشف عنه ثمّ وصف المجموع بالإجماع ثمّ نقله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تحصیل الإجماع إمّا بطریق الحسّ فهو و إن امتنع فی زماننا دون زمن الصحابة إلّا أنّه لا یترتّب علی إمکانه فی زمن الصحابة فائدة بعد ندور وقوعه جدّا بحیث لم نظنّ بوجوده حتی فی إجماعات القدماء المقاربة لزمن الصحابة، و إمّا بطریق الحدس الذی علیه مدار تحصیل الإجماع حتی من المقاربین زمن الصحابة فلم یتفاوت إمکانه و تیسّره بین زماننا و زمن الصحابة و لا بین إجماع القدماء و المتأخرین، بل قد عرفت أنّ تحصیل إجماع القدماء بطریق </w:t>
      </w:r>
    </w:p>
    <w:p>
      <w:pPr>
        <w:pStyle w:val="BookText"/>
        <w:rPr/>
      </w:pPr>
      <w:r>
        <w:rPr>
          <w:rFonts w:ascii="IRNazanin" w:hAnsi="IRNazanin" w:eastAsia="IRNazanin"/>
          <w:color w:val="111111"/>
          <w:sz w:val="28"/>
          <w:sz w:val="28"/>
          <w:szCs w:val="28"/>
          <w:rtl w:val="true"/>
          <w:lang w:bidi="fa-IR"/>
        </w:rPr>
        <w:t>الملازمة العادیة الثابتة بین التابعیة و المتبوعیة أسهل من تحصیل إجماع المتأخرین بها، و أنّ صعوبة تحصیل إجماع القدماء فی زماننا إن تمّت فإنّما هی علی طریقة اللطف، دون الطریقة المشهورة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ارید من العلم بقول الإمام فی طرف الموقوف علیه العلم التفصیلی به علی وجه التعیین فتوقّف العلم بقول الامّة علیه ممنوع، و إن ارید منه العلم الإجمالی به فی ضمن العلم بقول الامّة فالتوقف مسلّم، لکن الموقوف و الموقوف علیه متغایران؛ لأنّ العلم بقول الإمام فی طرف الموقوف تفصیلی و فی طرف الموقوف علیه إجمالی کالعلم بالمطلوب فی کبری الشکل الأول، فإن العلم بجسمیة الإنسان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حیوان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إجمالی لا تفصیلی، فلا یتوقف علیه التصدیق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حیوان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یندفع إیراد المتصوّفة علی أهل النظر بأن الشکل الأول دوریّ، و بقیة الإشکال راجعة إلیه فیبطل النظر و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ارید من عدم حجّیة إجماع القدماء عدم حجّیته مطلقا حتی من حیث تضمّنه لقول الحجّة فهو ممنوع جدّا؛ لأنّ إنکار حجّیته من حیث تضمنه للحجّة إنکار للفرض و هو تضمنه الحجّة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منه عدم حجّیته من حیث نفسه لیصلح عدّه فی عداد سائر الأدلّة الثابتة الحجّیة من حیث أنفسها فهو مسلّم، إلّا أنّ ذکره فی عداد سائر الأدلّة إنّما نشأ من المخالفین لا من عندنا، فإنّا لسنا بادئین بالحکم بحجّیة الإجماع حتی یرد کونه لغوا و إنّما بدأ بذلک المخالفون و عرضوه علینا فلم نجد بدّا من موافقتهم علیه، لعدم تحقّق الإجماع الذی هو حجّة عندهم فی کلّ عصر إلا بدخول الإمام فی المجمعین، سواء اعتبر إجماع الامّة أو المؤمنین أو العلماء، فوافقناهم فی أصل الحکم لکونه حقّا فی نفسه و إن خالفناهم فی علّته و دلیله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و قد أجاب الفصول</w:t>
      </w:r>
      <w:r>
        <w:rPr>
          <w:rStyle w:val="FootnoteAnchor"/>
          <w:rtl w:val="true"/>
        </w:rPr>
        <w:footnoteReference w:id="658"/>
      </w:r>
      <w:r>
        <w:rPr>
          <w:rFonts w:ascii="IRNazanin" w:hAnsi="IRNazanin" w:eastAsia="IRNazanin"/>
          <w:color w:val="111111"/>
          <w:sz w:val="28"/>
          <w:sz w:val="28"/>
          <w:szCs w:val="28"/>
          <w:rtl w:val="true"/>
          <w:lang w:bidi="fa-IR"/>
        </w:rPr>
        <w:t>عن الاعتراض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المحصّل لإجماع الامّة المتضمن للإمام إمّا أن یعرف الإمام فیهم بشخصه و قوله، أو بشخصه دون قوله، أو بقوله دون شخصه، أو لا یعرفه بشخصه و لا بشخص قوله المعلوم دخوله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 المحصّل منه اختصاص رفع اعتراض عدم حجّیة الإجماع عن الصورة الأخیرة فقط، و تسلیم وروده علی سائر الصور المسبوقة بمعرفة الإمام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الحجّة فی تلک الصور إنّما هو قول الإمام؛ إذ لا مدخل لقول الآخرین فی الکشف عنه أصلا، بل مضافا إلی انتفاء حجّیة الإجماع المسبوق بمعرفة الإمام ینتفی تسمیته و ماهیته أیضا، لأن الإجماع عند الفریقین معدود من أدلّة الأحکام و لیس فی مثل هذا الاتفاق علی طریقتنا دلالة علی الحکم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محصّل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بدلالة جمیع الأدلّة المسبوقة بالعلم بمدلولها، فإنّ مقتضی ما ذکره من خروج الإجماع المسبوق بمعرفة الإمام عن تحت الحجّیة بل و عن تحت التسمیة هو خروج جمیع الأدلّة المسبوقة بالعلم بمدلولها عن تحت الحجّیة، بل و عن تحت التسمیة، إذ کما ینتفی فائدة الإجماع علی زعمه عند سبق المعرفة بالإمام کذلک ینتفی فائدة سائر الأدلّة عند سبق المعرفة بمدلولها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 بأنّ الدلیل علی ما اعترف به هو أیضا فی آخر کلامه هو ما یمکن التوصّل بصحیح النظر فیه إلی المطلوب، لا ما یوصل إلی المطلوب فعلا، و من المعلوم أنّ کلّ إجماع استلزم دخول المعصوم فی المجمعین هو بحیث لو اغمض عن سبق العلم بمعرفة المعصوم کان یمکن التوصّل بصحیح النظر فیه إلی دخول المعصوم أیضا، فسبق المعرفة بالإمام لا یخرج الإجماع المفروض عن </w:t>
      </w:r>
    </w:p>
    <w:p>
      <w:pPr>
        <w:pStyle w:val="BookText"/>
        <w:rPr/>
      </w:pPr>
      <w:r>
        <w:rPr>
          <w:rFonts w:ascii="IRNazanin" w:hAnsi="IRNazanin" w:eastAsia="IRNazanin"/>
          <w:color w:val="111111"/>
          <w:sz w:val="28"/>
          <w:sz w:val="28"/>
          <w:szCs w:val="28"/>
          <w:rtl w:val="true"/>
          <w:lang w:bidi="fa-IR"/>
        </w:rPr>
        <w:t>شأنیة الإیصال المنوط بها الحجّیة و التسمیة و إنّما یخرجها عن فعلیة الإیصال الغیر المنوط بها الحجّیة و لا التسمیة فی شی‌ء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قرّرنا یتّضح عدم الاحتیاج إلی ما اعتبروه فی إجماع القدماء من دخول شخص مجهول النسب فی المجمعین، لکن لا لأجل أنّه مع اتّحاد شخصه یرتفع الجهالة و یوجب العلم بأنّه المعصوم فینتفی حجّیة الإجماع، بل و تسمیته حتی یؤوّل کلامهم باعتبار عدم العلم بأجمعهم تفصیلا لیجامع العلم الإجمالی بدخول المعصوم، بل إنّما هو لأجل ما عرفت من بقاء مسمی الإجماع و حجّیته مع العلم بهم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 طریقیة ما ارتضاه المشهور لتحصیل الإجماع و سهولة تحصیل الإجماع بها، و حجّیة الإجماع المحصّل منها من غیر فرق بین زماننا، و بین ما یقرب من زمن الصحابة، و لا بین إجماع المتأخرین و إجماع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فی المنظومة المنسوبة إلی المحقّق الکاظمینی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أری وجود مجهول النسب‌شرطا بل المناط قطع یکتسب</w:t>
      </w:r>
    </w:p>
    <w:p>
      <w:pPr>
        <w:pStyle w:val="BookText"/>
        <w:rPr/>
      </w:pPr>
      <w:r>
        <w:rPr>
          <w:rFonts w:ascii="IRNazanin" w:hAnsi="IRNazanin" w:eastAsia="IRNazanin"/>
          <w:color w:val="111111"/>
          <w:sz w:val="28"/>
          <w:sz w:val="28"/>
          <w:szCs w:val="28"/>
          <w:rtl w:val="true"/>
          <w:lang w:bidi="fa-IR"/>
        </w:rPr>
        <w:t>من کثرة الظنون و الحدس‌و من فی مثل عصرنا ادّعاه لا یهن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الطریقة الثانیة لاستکشاف الإجماع عن قول المعصوم علیه السّلام هی طریقة اللطف، الذی أوجبه الشیخ</w:t>
      </w:r>
      <w:r>
        <w:rPr>
          <w:rStyle w:val="FootnoteAnchor"/>
          <w:rtl w:val="true"/>
        </w:rPr>
        <w:footnoteReference w:id="659"/>
      </w:r>
      <w:r>
        <w:rPr>
          <w:rFonts w:ascii="IRNazanin" w:hAnsi="IRNazanin" w:eastAsia="IRNazanin"/>
          <w:color w:val="111111"/>
          <w:sz w:val="28"/>
          <w:sz w:val="28"/>
          <w:szCs w:val="28"/>
          <w:rtl w:val="true"/>
          <w:lang w:bidi="fa-IR"/>
        </w:rPr>
        <w:t xml:space="preserve">قدّس سرّه علی الحکیم فی ما إذا اتفقت الإمامیة، بل المعظم بل الواحد منهم علی قول لم یکن فی الکتاب و السنّة المقطوع بها ما یدلّ علی خلافه، حیث قطع بحجّیة کلّ واحد من الأقوال الثلاثة و الاستکشاف عن رضا المعصوم فی کلّ واحد منها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فی الکتاب و السنّة </w:t>
      </w:r>
    </w:p>
    <w:p>
      <w:pPr>
        <w:pStyle w:val="BookText"/>
        <w:rPr/>
      </w:pPr>
      <w:r>
        <w:rPr>
          <w:rFonts w:ascii="IRNazanin" w:hAnsi="IRNazanin" w:eastAsia="IRNazanin"/>
          <w:color w:val="111111"/>
          <w:sz w:val="28"/>
          <w:sz w:val="28"/>
          <w:szCs w:val="28"/>
          <w:rtl w:val="true"/>
          <w:lang w:bidi="fa-IR"/>
        </w:rPr>
        <w:t xml:space="preserve">المقطوع بها ما یکتفی به فی باب إزاحة التکلیف بتبلیغ الحقّ و إظهاره الواجب علی الإمام من باب اللطف، بل و فی ما إذا اختلفت الإمامیة علی قولین لم یکن علی أحدهما من الکتاب و السنّة المقطوع بها مرجّح و کانت المسألة مما یجری فیه التخییر الواقعی کالظهر و الجمعة، حیث قطع أیضا بأنّ مقتضی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لیس إلّا الحکم بالتخییر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بالتخییر الواقعی بالنسبة إلی الطائفة الثالثة یستلزم خلاف اللطف بالنسبة إلی کلّ من الطائفتین السابقتین الذاهب کلّ منهما إلی التعیین فیلزم عدم ظهور الحقّ بالنسبة إلی کلّ واحد منهما، و هو عین خلاف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له أن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المخالفة الالتزامیة فی حقّ السابقین لا یلزم خلاف اللطف بعد أن کان عمل کلّ منهما لا محالة مطبقا علی أحد طرفی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استاذنا العلّامة من انتقاض وجوب لطفه فی الفرض الذی حکم فیه بالتخییر إذا کانت المسألة مما لا یجری فیه التخییر الواقعی، کالوجوب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له أن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تمامیتها مانعة من تحقّق مثل ذلک الفرض، أعنی تحقّق فرض اختلاف الإمامیة علی قولین فی مسألة لا یجری فیه التخییر الواقعی و لم یکن فی الکتاب و السنّة المقطوع بها مرجّح لأحدهما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النسبة بین الإجماع المحصّل من طریقة اللطف و بین المحصّل من طریق الملازمة التابعیة و المتبوعیة علی تقدیر تمامیة کلّ منهما عموم من وجه، لتصادق مجراهما علی المورد الأول من الموارد الأربعة المذکورة، و هو مورد </w:t>
      </w:r>
    </w:p>
    <w:p>
      <w:pPr>
        <w:pStyle w:val="BookText"/>
        <w:rPr/>
      </w:pPr>
      <w:r>
        <w:rPr>
          <w:rFonts w:ascii="IRNazanin" w:hAnsi="IRNazanin" w:eastAsia="IRNazanin"/>
          <w:color w:val="111111"/>
          <w:sz w:val="28"/>
          <w:sz w:val="28"/>
          <w:szCs w:val="28"/>
          <w:rtl w:val="true"/>
          <w:lang w:bidi="fa-IR"/>
        </w:rPr>
        <w:t>اتفاق الإمامیة علی قول لم یکن فی الکتاب و السنّة المقطوع بها ما یدلّ علی خلافه سواء بلغ حدّ الضرورة أم لم یبلغ، و سواء کان إجماعا قدمائیا أم متأخریا و إن لم یظهر فائدة طریق اللطف عند سبق العلم بالکشف من طریق الملازمة، و افتراق مجری طرق اللطف فی سائر الموارد الثلاثة المذکورة، و افتراق مجری طریق الملازمة فی مورد اتفاق الإمامیة علی ما کان فی السنّة المقطوع بها ما یدلّ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الشیخ علی طریقیة اللطف و حصول الاستکشاف به عن قول المعصوم هو أنّ تبلیغ الأحکام الواقعیة من الإمام لطف، و کلّ لطف واجب، فلو لم یکن الحکم فی کلّ من الموارد الأربعة المذکورة حکم واقعی یرضی به الإمام من حیث إنّه الحکم الواقعی لوجب علیه تبلیغ الحقّ و إظهاره و لو بواسطة غیره مع معجزة تدلّ علی صدقه، أمّا الصغری فلانحصار فائدة نصب الإمام و وجوده المفروض أنّه لطف فی تبلیغه الأحکام الواقعیة و تصرّفه علی الوجه المذکور، و أمّا کلّیة الکبری و هو وجوب کلّ لطف فبالعقل و الأخبار المتواترة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الحسن، عن إسحاق بن عمّار عن أبی عبد اللّه علیه 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الأرض لا تخلو إلّا و فیها إمام، کیما إن زاد المؤمنون شیئا ردّهم، و إن نقصوا شیئا أتمّه لهم</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کما فی الصحیح عنه علیه 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فینا أهل البیت فی کلّ خلف عدولا ینفون تحریف الغالین و انتحال المبطلین و تأویل الجاهلین</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الصحیح عن معاویة بن وهب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 کلّ بدعة تکون من بعدی، یکاد بها الإیمان ولیّا من أهل بیتی موکّلا به یذبّ </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عنه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زالت الأرض إلّا و للّه فیها الحجّة، یعرّف الحلال و الحرام و یدعو الناس إلی سبیل اللّه</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 الصحیح عن أبی بصیر عن أحدهما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یدع الأرض بغیر إمام عالم و لو لا ذلک لم یعرف الحقّ من الباطل</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أبی حمزة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ترک اللّه أرضا منذ قبض اللّه آدم إلّا و فیها إمام یهتدی به إلی اللّه</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انّه لا بدّ فی أرضک من حجّة لک علی خلقک یهدیهم إلی دینک، و یعلّمهم علمک، لئلّا تبطل حجّتک، و لا یضلّ تبع أولیائک بعد إذ هدیتهم به، إمّا ظاهر لیس بالمطاع أو مکتتم أو مترقب، إن غاب عن الناس شخصه فی حال هدنتهم، فإنّ علمه و آدابه فی قلوب المؤمنین مثبتة، فهم بها عاملون</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جاء فی عدّة أخبار فی الکافی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لِکُلِّ قَوْمٍ هادٍ بأنّ المنذر رسول اللّه صلّی اللّه علیه و آله، و فی کلّ زمان إمام منّا یهدیهم إلی ما جاء به النبی صلّی اللّه علیه و آله</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توجیه احتجاج الشیخ علی طریقیة اللطف</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مقصوده من اللطف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ظهر من احتجاجه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مجرّد إظهار الحقّ و لو لم یظهر حقّیة الحقّ حتی یجاب عنه بما عن الخوانساری من أنّه </w:t>
      </w:r>
    </w:p>
    <w:p>
      <w:pPr>
        <w:pStyle w:val="BookText"/>
        <w:rPr/>
      </w:pPr>
      <w:r>
        <w:rPr>
          <w:rFonts w:ascii="IRNazanin" w:hAnsi="IRNazanin" w:eastAsia="IRNazanin"/>
          <w:color w:val="111111"/>
          <w:sz w:val="28"/>
          <w:sz w:val="28"/>
          <w:szCs w:val="28"/>
          <w:rtl w:val="true"/>
          <w:lang w:bidi="fa-IR"/>
        </w:rPr>
        <w:t>یکفی فی إظهاره الحقّ المفروض لطفا بالقائه الخلاف بین الخلق و لو من فقیه واحد معلوم النسب، أو إلقائه روایة بین روایاتهم دالّة علی خلاف ما أجمعوا علیه و لو کانت روایة شاذّة 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إلزام الخلق بالحقّ حتی یجاب عنه بما عثرنا به عن بعض سادة أساتیذ عصرنا من استلزامه الجبر علی الطاعة و ارتفاع الاختیار عن الخلق و الثواب عمن عمل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مقصوده من اللطف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إظهاره حقّیة الحقّ علی الخلق، لِیَهْلِکَ مَنْ هَلَکَ عَنْ بَیِّنَةٍ وَ یَحْیی مَنْ حَیَّ عَنْ بَیِّنَةٍ</w:t>
      </w:r>
      <w:r>
        <w:rPr>
          <w:rStyle w:val="FootnoteAnchor"/>
          <w:rtl w:val="true"/>
        </w:rPr>
        <w:footnoteReference w:id="668"/>
      </w:r>
      <w:r>
        <w:rPr>
          <w:rFonts w:ascii="IRNazanin" w:hAnsi="IRNazanin" w:eastAsia="IRNazanin"/>
          <w:color w:val="111111"/>
          <w:sz w:val="28"/>
          <w:sz w:val="28"/>
          <w:szCs w:val="28"/>
          <w:rtl w:val="true"/>
          <w:lang w:bidi="fa-IR"/>
        </w:rPr>
        <w:t>، و هذا لا یحصل بمجرد إلقائه الخلاف الضعیف أو الروایة الشاذّة بعد ما کان المعهود من طریقتهم طرح الروایة الشاذّة و القول النادر، بل إنّما ینحصر فی إظهاره الحقّ علی الوجه القاطع للعذر ممّن خالفه، ففی ما لم یحصل ذلک الإظهار منه یعلم أنّه راض علی ما اقتحموا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تبیّن لک أنّ مقصود الشیخ من الاحتجاج کون ذلک لطفا و کلّ لطف واجب فالصواب فی جوابه الإجمالی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یلزم من طریقیة اللطف عدم طریقیته و ما یلزم من وجوده عدمه فهو باطل، أمّا الکبری فظاهر، و أمّا الصغری فلما عرفت من أنّ من موارد مجری اللطف هو ما إذا ذهب المعظم إلی قول لم یکن فی الکتاب و السنّة المقطوع بها ما یدلّ علی خلافه، و من المعلوم أنّ جلّ القدماء من مشایخ الشیخ و غیرهم إن لم یکن کلّهم، و جلّ المتأخرین إن لم یکن کلّهم ذاهبین إلی عدم طریقیة اللطف و عدم حصول الاستکشاف منه، و الحال أنّه لیس فی الکتاب و السنّة المقطوع بها </w:t>
      </w:r>
    </w:p>
    <w:p>
      <w:pPr>
        <w:pStyle w:val="BookText"/>
        <w:rPr/>
      </w:pPr>
      <w:r>
        <w:rPr>
          <w:rFonts w:ascii="IRNazanin" w:hAnsi="IRNazanin" w:eastAsia="IRNazanin"/>
          <w:color w:val="111111"/>
          <w:sz w:val="28"/>
          <w:sz w:val="28"/>
          <w:szCs w:val="28"/>
          <w:rtl w:val="true"/>
          <w:lang w:bidi="fa-IR"/>
        </w:rPr>
        <w:t>ما یدلّ علی خلافهم، ضرورة أنّ دلالة ما تمسّک به الشیخ قدّس سرّه من الأخبار المتواترة معنی لو کانت من المقطوع بها لکان عدالة هؤلاء الأجلّة ممن سبقه و لحقه مانعة من اقتحامهم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بنقض الکبری بأنّ ظهور الإمام و إجراءه الحدود و الأحکام من الأمر بالمعروف و النهی عن المنکر و رفع التقیة أیضا لطف، و من العیان تعطیلها بواسطة غیبته، بل لو سلّم وجوب کلّ لطف علی الحکیم لوجب علیه أن ینصب لکلّ دیرة بل لکلّ قریة بل لکلّ فرقة بل لکلّ طائفة بل لکلّ مکلّف نبیّا و وصیّا و کتابا علی حدة، بل لوجب علیه أیضا إراءة ما یترتّب علی الإطاعة من الثواب و علی المعصیة من العقاب برأی العین فی الیقظة أو المنام علاوة علی النقل و البرهان، ضرورة أنّ ذلک أبلغ فی قطع العذر و إتمام الحجّة و اللطف، فبما یجیب عن عدم وجوب هذه الألطاف یجاب به عن عدم وجوب لطفه فی إظهار حقّیة الحقّ و بطلان الباطل بعد وجود المانع من ظهوره من قبلنا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المانع من ظهوره المخالفین و ما تقصیر التابعین فی الحرمان عن اللطف الذی تسبّب لمنعه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یقتضی العقل من الفرق بین المسبب للحرمان و غیره هو عدم معذوریة المسبّب و معذوریة غیره و مأجوریته علی الحرمان، لا وجوب عدم حرمانه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المانع من ظهور الإمام و إجرائه الحدود و الأحکام معلوم، و من إظهاره حقّیة الحقّ غیر معلوم فیندفع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حالة سابقة لعدم المانع فی إمام الزمان حیث إنّه من حین ما نشأ ستر علیه و اخفی أمره علی الأعداء خوفا من ظلم الظالمین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المانع من اللطف علی تقدیر تسلیمه أعمّ من وجود </w:t>
      </w:r>
    </w:p>
    <w:p>
      <w:pPr>
        <w:pStyle w:val="BookText"/>
        <w:rPr/>
      </w:pPr>
      <w:r>
        <w:rPr>
          <w:rFonts w:ascii="IRNazanin" w:hAnsi="IRNazanin" w:eastAsia="IRNazanin"/>
          <w:color w:val="111111"/>
          <w:sz w:val="28"/>
          <w:sz w:val="28"/>
          <w:szCs w:val="28"/>
          <w:rtl w:val="true"/>
          <w:lang w:bidi="fa-IR"/>
        </w:rPr>
        <w:t>المقتضی له و عدمه، فإنّ عدم المانع من الشی‌ء أعمّ من وجود المصلحة الملزمة له و عدمه، و علی فرض ثبوت الملازمة بینهما من الخارج فالمترتّب علی أصالة عدم المانع هو ثبوت المقتضی و المصلحة الملزمة له، لا ثبوت حکمه الشرعی، و هو الوجوب، إلّا علی القول باعتبار الاصول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اعتبار الأصل إمّا من باب التعبّد، أو الظنّ و علی أیّ من التقدیرین لا یکون الإجماع المحصّل من اجرائه دلیلا قطعیا کاشفا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عدم المانع من اللطف و الإرشاد دلیل حیث لا دلیل، و أیّ دلیل أقوی مما نراه بالعیان و الوجدان من الأحکام الواقعة للتقیّة؟ و بلوغ الخلاف من العلماء فی المسائل و الأحکام إلی الغایة، و من استمرار أهل القری و البوادی فی جهل أحکام الحلال و الحرام إلی غیر النهایة، و من تعطیل إجراء الحدود و الأمر بالمعروف و النهی عن المنکر، و غیر ذلک مما هو خلاف مقتضی وجوب اللطف و الإرشاد بالوجدان و العیان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أجبت عن أهل القری و البوادی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استناد جهلهم إلی قصور اللطف و الإرشاد عنهم، و دعوی استناده إلی تقصیر أنفسهم فی ترک الاسترشاد و الاستظهار من أهل البلدان و الأمصار کما یرشد إلیه تعلیل أنّهم أهل النار فی بعض الأخبار و الآثار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استناد الجهل إلی تقصیر أنفسهم إنّما هو بالنسبة إلی الملتفت المتمکن من المهاجرة إلی الأمصار لأجل الاسترشاد و الاستبصار، و أمّا بالنسبة إلی غیر الملتفت بجهله و لا بوجوب الاسترشاد علیه کالکفّار النائین عن بلاد الإسلام، لا سیما المخدّرات المقصورة منهم فی الخیام ممن لم یتطرق إلی سمعه صیت الإسلام، و لا خطر فی وهمه وجوب الفحص عن حلال و حرام، أو الملتفت الغیر المتمکّن من المهاجرة إلی بلاد الإسلام، فلا مناص من استناد جهله إلی عدم </w:t>
      </w:r>
    </w:p>
    <w:p>
      <w:pPr>
        <w:pStyle w:val="BookText"/>
        <w:rPr/>
      </w:pPr>
      <w:r>
        <w:rPr>
          <w:rFonts w:ascii="IRNazanin" w:hAnsi="IRNazanin" w:eastAsia="IRNazanin"/>
          <w:color w:val="111111"/>
          <w:sz w:val="28"/>
          <w:sz w:val="28"/>
          <w:szCs w:val="28"/>
          <w:rtl w:val="true"/>
          <w:lang w:bidi="fa-IR"/>
        </w:rPr>
        <w:t>إرشاده و تبلیغه الکاشف عن عدم وجوبه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استناد مخالفة العلماء المتنازعین فی أکثر أحکام الحلال و الحرام إلی تقصیر أنفسهم دون قصور الإرشاد و التبلیغ أمر محال، بعد ما بذلوا مجهودهم فی تحصیل الأحکام و بالغوا فی تهذیب مدارکها و تنقیح مسالکها، مع خلوص قصدهم فی الإفتاء عن الأغراض النفسانیة و الدواعی الشهوانیة، فیتعیّن استناد خلافاتهم إلی عدم إظهار الحقّ و تحقّق الإرشاد الکاشف عن عدم وجوب کلّ 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أجاب عن وجود اختلاف العلماء فی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الأئمة أوقعوا الخلاف و بیّنوا علاجه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الخلاف و إن کان منهم لقولهم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ألقینا الخلاف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إلّا أنّ غالب الخلافات لمّا لم یمکن العلاج فیها ظاهرا و لا حقّیة کلّ من طرفی النقیض فیها واقعا عند غیر أهل التصویب تعیّن استناده إلی عدم إظهار الحقّ و الإرشاد إلیه بالتمام، الکاشف عن عدم وجوب کلّ لطف علی الإمام و لو تسبّب لغیبته بعض الأنام علیه الصلاة و السّلام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فالمحصّل من إجمال النقوض الواردة علی الشیخ من وجود الخلاف فی أکثر الأحکام و استمرار الجهل فی أکثر الأنام و تعطیل الحدود و غیبة الإمام و عدم رفع التقیّة عن دین الإسلام ینحلّ بعد بطلان التصویب فی کلّ من طرفی النقیض و الخلاف إمّا إلی منع صغراه أعنی منع موضوع اللطف فی إظهار الحقّ الواقعی مطلقا بواسطة انتقاضه بما ذکر من الأحکام الواقعة للتقیة، و وجود الاختلافات الکثیرة، فیتعیّن کون اللطف عبارة عن إظهار ما یقتضی المصلحة، </w:t>
      </w:r>
    </w:p>
    <w:p>
      <w:pPr>
        <w:pStyle w:val="BookText"/>
        <w:rPr/>
      </w:pPr>
      <w:r>
        <w:rPr>
          <w:rFonts w:ascii="IRNazanin" w:hAnsi="IRNazanin" w:eastAsia="IRNazanin"/>
          <w:color w:val="111111"/>
          <w:sz w:val="28"/>
          <w:sz w:val="28"/>
          <w:szCs w:val="28"/>
          <w:rtl w:val="true"/>
          <w:lang w:bidi="fa-IR"/>
        </w:rPr>
        <w:t>سواء طابق الواقع أم لا، دون إظهار الحقّ الواقعی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إلی منع الکبری أعنی منع وجوب اللطف مطلقا بل هو إمّا واجب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اللطف الذی لا یؤثّر فیه منع المانع بل ارتکب لدفع المانع کبعث الأنبیاء، فإنّ بعثهم لطف و إنّما هو لدفع الموانع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جرجیس علیه السّلام قتل مرّات و بعث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اللطف المشروط تحقّقه فی الخارج بفقد الموانع، کظهور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مندوب، و هو إظهار ما یستقلّ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انقسم اللطف إلی إظهار ما یستقلّ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ما لا یستقلّ به العقل المنقسم إلی واجب مطلق و مشروط فلا یتمّ کبری الخصم بکلّیة؛ و ذلک لأنّ ما یساعد علیه العقل و الواقع أنّ اللطف الواجب علی الحکیم مطلقا إنّما هو التبلیغ فی الجملة بإرسال الرسل و نصب الحجج، و أمّا تبلیغ الکلّ بإبقاء المکلّفین إلی أن یحصل التبلیغ فی حقّهم و تمکین المبلّغین من التبلیغ التامّ و الإرشاد العامّ فمشروط بعدم المانع من مکائد الطواغیت و الأمن من شرورهم، ضرورة أنّهم لما خلقوا بشرا کلّفوا بما یلیق به البشر من أمر التبلیغ و غیره، فلیس علیهم أن یدفعوا عن أنفسهم الأعداء بالقوّة الربّانیة، و لا أن یعاملوا الناس بما یطّلعون علیه بالعلوم الغیبیة، و لا أن یذهبوا بطریق الخفاء و طیّ الأرض إلی من یحتاج إلیهم فی المسائل الدینیة و إن کان یصدر منهم ذلک فی بعض الموارد لحکمة خاصّة، و لا أقلّ من الاحتمال فی اشتراط التبلیغ علی وجه الإکمال بعدم مانعیة أهل الضلال المبطل للاستدلال</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یتوهم من أنّ الأصل فی الواجبات أن تکون مطلقة فیندفع احتمال اشتراطها بالأصل، مدفوع بأنّ أصالة الإطلاق إنّما هو فی ما ثبت وجوبه لفظا، و وجوب اللطف إنّما ثبت عقلا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النقوض الوارد علی إطلاق وجوب اللطف کما عیّنت تقییده بعدم المانع کذلک تعیّن إطلاق</w:t>
      </w:r>
      <w:r>
        <w:rPr>
          <w:rStyle w:val="FootnoteAnchor"/>
          <w:rtl w:val="true"/>
        </w:rPr>
        <w:footnoteReference w:id="670"/>
      </w:r>
      <w:r>
        <w:rPr>
          <w:rFonts w:ascii="IRNazanin" w:hAnsi="IRNazanin" w:eastAsia="IRNazanin"/>
          <w:color w:val="111111"/>
          <w:sz w:val="28"/>
          <w:sz w:val="28"/>
          <w:szCs w:val="28"/>
          <w:rtl w:val="true"/>
          <w:lang w:bidi="fa-IR"/>
        </w:rPr>
        <w:t>الأخبار الدالّة علی إطلاق وجوبه بصورة تمکّن الإمام من ردّ ما زاده المؤمنون و إتمام ما نقصوه تمکّنا عادیا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تبلیغ الإمام و تصرّفه التامّ بعدم المانع یستلزم احتمال تقیید وجوده بعدم المانع المحتمل وجوده أیضا، فیقوی ما زعمه العامّة من جواز خلوّ الزمان عن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عزّة ربّی قد ثبت الفرق فی محلّه بالأدلّة العقلیة و النقلیة علی أنّ وجود الحجّة فی کلّ زمان کبعث الأنبیاء من الألطاف الواجبة علی الإطلاق التی لا یؤثّر فیها منع المانعین لا من الألطاف المشروطة بفقد المانع کظهوره و تصرّفه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فائدة فی وجوده بعد وجود المانع من ظهوره و تصرفه؟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أیضا فی محلّه بالأدلّة العقلیة و النقلیة أنّ قوام نظام العالم و أساس عیش بنی آدم دائر مدار وجوده الشریف بین الأمم، و أنّ مثله مثل الشمس تحت الغمام المترتّب علیه ضوء العالم و نموّ الأشجار و الریاحین و النباتات و استعداد المعادن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مضافا إلی ما یلزم علی طریقیة اللطف لتحصیل الإجماع من اللوازم البعیدة التی لم یلتزم بها أحد علی تقدیر الالتزام بأصل الطریق</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قال بعض الأصحاب بقول لمستند اجتهادی و تحقّقت هناک الشرائط المعتبرة فی اللطف ثمّ انکشف له فساد المستند المذکور لزمه وجوب البناء علی الحکم السابق، و القطع به بحسب الواقع و إن لم یکن مفاد الدلیل </w:t>
      </w:r>
    </w:p>
    <w:p>
      <w:pPr>
        <w:pStyle w:val="BookText"/>
        <w:rPr/>
      </w:pPr>
      <w:r>
        <w:rPr>
          <w:rFonts w:ascii="IRNazanin" w:hAnsi="IRNazanin" w:eastAsia="IRNazanin"/>
          <w:color w:val="111111"/>
          <w:sz w:val="28"/>
          <w:sz w:val="28"/>
          <w:szCs w:val="28"/>
          <w:rtl w:val="true"/>
          <w:lang w:bidi="fa-IR"/>
        </w:rPr>
        <w:t>السابق إلّا الظنّ به أو مجرّد ثبوته فی الظاهر؛ إذ فساد الدلیل لا یوجب فساد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حفظ أقوال علماء العصر و حصرها و ضبطها کحفظ الأخبار، صونا للدلیل القطعی عن الاضمحلال و الانعدام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الحکم و الفتوی عند إمکان البحث و الاطّلاع علی آراء علماء العصر إلّا بعد البحث و الاطلاع، لئلّا یخالف الدلیل القطعی، أو یعدل مع التمکّن منه إلی الظّنّی، و لأنّ ذلک من جملة الأدلّة، فلا بدّ من الفحص عنه کما یجب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الاجتهاد الذی عبارة عن الأخذ بمقتضی الأدلّة الاجتهادیة لواجدها و الرجوع إلی مقتضی الأدلّة الفقاهتیة و الاصول العملیة المقررة لفاقدها إن کان أمرا ممنوعا نهض المنع إلی جمیع الموارد و انسدّ باب الاجتهاد رأسا، و تبدّل بانفتاح باب اللطف فی جمیع الموارد، و إن کان أمرا مقبولا تأتّی فی جمیع الموارد حتی فی الموارد الأربعة المدّعی فیها اللطف و انسدّ باب اللطف رأسا؛ إلّا أنّ مرجع ذلک إلی بطلان أصل طریقة اللطف لا بطلان ما یلزمه وراء بطلان أصل طریقیته، کما هو حال سائر اللوازم المتقدّمة کما لا یخفی علی المتأمل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الطریقة الثالثة لاستکشاف الإجماع عن قول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التقریر الذی أوجبه السیّد صدر الدین علی الإمام و لو من باب الأمر بالمعروف و النهی عن المنکر، فی ما إذا اتفقت الامّة علی حکم لم یکن فی الکتاب و السنّة المقطوع بها ما یدّل علی خلافه، حیث قطع بحجّیة ذلک الحکم و کشفه عن تقریر المعصوم إیّاهم بواسطة أنّه لو لم یرض به من حیث إنّه الحکم الواقعی لوجب علیه ردعهم و لو من باب الأمر بالمعروف و النهی عن المنکر بعد علمه باقتحامهم علیه و تمکّنه من ردعهم عنه، و حیث ثبت عدم ردعهم بالفرض و تمکّنه من الردع بظهوره، أو </w:t>
      </w:r>
    </w:p>
    <w:p>
      <w:pPr>
        <w:pStyle w:val="BookText"/>
        <w:rPr/>
      </w:pPr>
      <w:r>
        <w:rPr>
          <w:rFonts w:ascii="IRNazanin" w:hAnsi="IRNazanin" w:eastAsia="IRNazanin"/>
          <w:color w:val="111111"/>
          <w:sz w:val="28"/>
          <w:sz w:val="28"/>
          <w:szCs w:val="28"/>
          <w:rtl w:val="true"/>
          <w:lang w:bidi="fa-IR"/>
        </w:rPr>
        <w:t>إلقاء الخلاف بینهم و لو بالقاء روایة شاذّة فی روایاتهم أو قول نادر فی أقوالهم بالقطع و علمه باقتحامهم علی ذلک الحکم بالأخبار الدالّة علی أنّ علمهم بالأشیاء حضوری، أو بأخبار عرض أعمال الخلق علیهم فی کلّ یوم، کشف ثبوت هذه المقدّمات عن ثبوت تقریره کشفا قطعیا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حکی عن السیّد صدر الدین فی طریق استکشاف الإجماع عن قول المعصوم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طریقیة هذه الطریقة و إن کانت أقرب من طریقیة اللطف من حیث اختصاصها بما إذا اتفق جمیع من عدا الإمام من الإمامیة، و شمول طریقة اللطف لما إذا لم یعلم الخلاف بل و ما إذا علمه و کان المعظم علی خلافه أو کانت المسألة مما یجری فیه التخییر الواقعی، إلّا أنّه مبنیّ علی ثبوت کلّ من العلم و التمکّن للإمام علی الوجه العادی دون الوجه الغیر العادی، و إثباتهما للإمام علی الوجه العادی مطّردا فی جمیع الموارد لم یثبت فی زمان الحضور فضلا عن زمان الغیبة، ضرورة أنّ العلم الحاصل له من أخبار عرض الأعمال علیه أو الأخبار الأخر علی تقدیر شمولها لما نحن فیه لا یعدّ فی حقّ من خلق بشرا بنصّ القرآن من العلوم العادیة المکلّف بمعاملة الناس علی طبقها، و لأنّ لتمکّنه من الردع بظهوره مانعا و من الردع بغیره لیس عادیا</w:t>
      </w:r>
      <w:r>
        <w:rPr>
          <w:rFonts w:eastAsia="IRNazanin" w:cs="IRNazanin"/>
          <w:color w:val="111111"/>
          <w:sz w:val="28"/>
          <w:szCs w:val="28"/>
          <w:rtl w:val="true"/>
          <w:lang w:bidi="fa-IR"/>
        </w:rPr>
        <w:t xml:space="preserve">. </w:t>
      </w:r>
      <w:bookmarkStart w:id="433" w:name="pg12880_153576"/>
    </w:p>
    <w:p>
      <w:pPr>
        <w:pStyle w:val="Heading4"/>
        <w:numPr>
          <w:ilvl w:val="3"/>
          <w:numId w:val="1"/>
        </w:numPr>
        <w:rPr/>
      </w:pPr>
      <w:bookmarkStart w:id="434" w:name="__RefHeading___Toc2986609_3224264995"/>
      <w:bookmarkStart w:id="435" w:name="_Toc163"/>
      <w:bookmarkEnd w:id="433"/>
      <w:bookmarkEnd w:id="434"/>
      <w:r>
        <w:rPr>
          <w:rtl w:val="true"/>
        </w:rPr>
        <w:t>خاتمة</w:t>
      </w:r>
      <w:r>
        <w:rPr>
          <w:rtl w:val="true"/>
        </w:rPr>
        <w:t xml:space="preserve">: </w:t>
      </w:r>
      <w:r>
        <w:rPr>
          <w:rtl w:val="true"/>
        </w:rPr>
        <w:t>فی بیان الفروق و النسب</w:t>
      </w:r>
      <w:bookmarkEnd w:id="435"/>
    </w:p>
    <w:p>
      <w:pPr>
        <w:pStyle w:val="BookText"/>
        <w:rPr/>
      </w:pPr>
      <w:r>
        <w:rPr>
          <w:rFonts w:ascii="IRNazanin" w:hAnsi="IRNazanin" w:eastAsia="IRNazanin"/>
          <w:color w:val="111111"/>
          <w:sz w:val="28"/>
          <w:sz w:val="28"/>
          <w:szCs w:val="28"/>
          <w:rtl w:val="true"/>
          <w:lang w:bidi="fa-IR"/>
        </w:rPr>
        <w:t>قد تبیّن مما ذکر أنّ النسبة بین إجماع العامّة و الخاصّة هو التساوی، إذ هو عند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اتفاق الکلّ، و أنّ إطلاق الخاصّة الإجماع علی اتفاق البعض الکاشف عن تضمّن المعصوم أو عن استلزام رضائه ناشئ عن التسامح و تنزیله منزلة الکلّ بعد وجود مناط الحجّیة فیه، لا عن تعدّد الاصطلاح، لأصالة عدم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الضوابط</w:t>
      </w:r>
      <w:r>
        <w:rPr>
          <w:rStyle w:val="FootnoteAnchor"/>
          <w:rtl w:val="true"/>
        </w:rPr>
        <w:footnoteReference w:id="671"/>
      </w:r>
      <w:r>
        <w:rPr>
          <w:rFonts w:ascii="IRNazanin" w:hAnsi="IRNazanin" w:eastAsia="IRNazanin"/>
          <w:color w:val="111111"/>
          <w:sz w:val="28"/>
          <w:sz w:val="28"/>
          <w:szCs w:val="28"/>
          <w:rtl w:val="true"/>
          <w:lang w:bidi="fa-IR"/>
        </w:rPr>
        <w:t>من أنّ بینهما عموم من وجه یتصادقان علی الإجماع الضروری کوجوب الصلاة و نحوه، و یفترق إجماع الخاصّة عن العامّة فی الإجماع القائم علی حلّیة المتعة، و یفترق إجماع العامّة عن الخاصّة فی الإجماع القائم علی إجماع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واضح، و لو سلّمنا فالعموم إنّما هو من طرف اصطلاح الخاصّة فقط، ضرورة أنّ إطلاق الإجماع علی إجماع السقیفة ناشئ عن اشتباههم فی الموضوع الخارجی، لا عن اختلافهم فی الاصطلاح، فإدخال النزاع الموضوعی فی النزاع الاصطلاحی خارج عن الاصطلاح، و أنّ النسبة بین إجماع القدماء و المتأخّرین هو التباین، ضرورة اعتبار دخول المعصوم فی المجمعین عند القدماء، و خروجه عنهم عند المتأخرین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الضوابط</w:t>
      </w:r>
      <w:r>
        <w:rPr>
          <w:rStyle w:val="FootnoteAnchor"/>
          <w:rtl w:val="true"/>
        </w:rPr>
        <w:footnoteReference w:id="672"/>
      </w:r>
      <w:r>
        <w:rPr>
          <w:rFonts w:ascii="IRNazanin" w:hAnsi="IRNazanin" w:eastAsia="IRNazanin"/>
          <w:color w:val="111111"/>
          <w:sz w:val="28"/>
          <w:sz w:val="28"/>
          <w:szCs w:val="28"/>
          <w:rtl w:val="true"/>
          <w:lang w:bidi="fa-IR"/>
        </w:rPr>
        <w:t xml:space="preserve">من تعمیمه اصطلاح القدماء لما إذا تضمّن الإجماع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المعصوم أو قوله، و لما إذا احتمل صدور القول تقیة و غیر تقیة، و تخصیصه اصطلاح المتأخرین بالکشف عن قول المعصوم کشفا قطعیا بحیث لم یحتمل صدوره تقیة فلم نقف له علی أثر فی کلماتهم، بل الظاهر من کلماتهم عدم الفرق بین الاصطلاحین من تلک الجهة، و أنّ النسبة بین طریقی حجّیة الإجماع عند الخاصّة و العامّة هو التباین لکونه من باب التعبّد الصرف عند العامّة، و من باب صرف الکشف عند الخاصّة، و أنّ النسبة بین طرق الاستکشاف الثلاثة عموم مطلق، فطریق التقریر أعمّ من طریق الملازمة، کما أنّ طریق اللطف أعمّ من طریق التقریر، حسبما عرفت تفصیلا</w:t>
      </w:r>
      <w:r>
        <w:rPr>
          <w:rFonts w:eastAsia="IRNazanin" w:cs="IRNazanin"/>
          <w:color w:val="111111"/>
          <w:sz w:val="28"/>
          <w:szCs w:val="28"/>
          <w:rtl w:val="true"/>
          <w:lang w:bidi="fa-IR"/>
        </w:rPr>
        <w:t xml:space="preserve">. </w:t>
      </w:r>
      <w:bookmarkStart w:id="436" w:name="pg12880_153578"/>
    </w:p>
    <w:p>
      <w:pPr>
        <w:pStyle w:val="Heading3"/>
        <w:numPr>
          <w:ilvl w:val="2"/>
          <w:numId w:val="1"/>
        </w:numPr>
        <w:rPr/>
      </w:pPr>
      <w:bookmarkStart w:id="437" w:name="__RefHeading___Toc2986611_3224264995"/>
      <w:bookmarkStart w:id="438" w:name="_Toc164"/>
      <w:bookmarkEnd w:id="436"/>
      <w:bookmarkEnd w:id="437"/>
      <w:r>
        <w:rPr>
          <w:rtl w:val="true"/>
        </w:rPr>
        <w:t>أصل فی حجّیة الشهرة و عدمها</w:t>
      </w:r>
      <w:bookmarkEnd w:id="438"/>
    </w:p>
    <w:p>
      <w:pPr>
        <w:pStyle w:val="Heading4"/>
        <w:numPr>
          <w:ilvl w:val="3"/>
          <w:numId w:val="1"/>
        </w:numPr>
        <w:rPr/>
      </w:pPr>
      <w:bookmarkStart w:id="439" w:name="__RefHeading___Toc2986613_3224264995"/>
      <w:bookmarkStart w:id="440" w:name="_Toc165"/>
      <w:bookmarkEnd w:id="439"/>
      <w:r>
        <w:rPr>
          <w:rtl w:val="true"/>
        </w:rPr>
        <w:t>اشارة</w:t>
      </w:r>
      <w:bookmarkEnd w:id="440"/>
    </w:p>
    <w:p>
      <w:pPr>
        <w:pStyle w:val="BookText"/>
        <w:rPr/>
      </w:pPr>
      <w:r>
        <w:rPr>
          <w:rFonts w:ascii="IRNazanin" w:hAnsi="IRNazanin" w:eastAsia="IRNazanin"/>
          <w:color w:val="111111"/>
          <w:sz w:val="28"/>
          <w:sz w:val="28"/>
          <w:szCs w:val="28"/>
          <w:rtl w:val="true"/>
          <w:lang w:bidi="fa-IR"/>
        </w:rPr>
        <w:t>و الکلام تارة فی نفس الشهرة المعبّر عنها بالشهرة الفتوائیة، و تارة فی الشهرة المنضمّة إلی روایة ضعیفة، ثمّ الشهرة المجرّدة إمّا کاشفة کشفا قطعیا أو ظنّیا، و علی کلّ من التقدیرین إمّا أن یکون الکشف عن نفس الواقع، أو عن وجود دلیل قطعی أو ظنّی ناظر إلی الواقع، و یعبّر عن هذا القسم من الشهرة بالظنّ الطریقی، فالکلام إذن فی مقامات عدیدة علی حسب تعداد أقسام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الشهرة المجرّدة الکاشفة بالکشف القطعی عن نفس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خلاف فی حجّیته عند القائلین بحجّیة الإجماع، بل و لا فی اندراجه فی مسمّی الإجماع أیضا عند الخاصّة بناء علی المسامحة، و کذا الکاشفة بالکشف القطعی عن مدرک قطعی الدلالة و السند أو ظنّیهما أو مختلفهما، ضرورة أنّ الدلالة الظنّیة بعد ثبوت حجّیتها بالخصوص بمنزلة الأدلّة القطعیة، فالکشف عنها کالکشف عن نفس الواقع فی وجوب الاتباع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الشهرة الکاشفة کشفا ظنیا عن نفس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فاختلفوا فی حجّیته و عدمه علی أقوال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بحجّیته حتی عند انفتاح باب العلم من باب الظنّ الخاصّ، و هو خیرة صاحب الریاض</w:t>
      </w:r>
      <w:r>
        <w:rPr>
          <w:rStyle w:val="FootnoteAnchor"/>
          <w:rtl w:val="true"/>
        </w:rPr>
        <w:footnoteReference w:id="673"/>
      </w:r>
      <w:r>
        <w:rPr>
          <w:rFonts w:ascii="IRNazanin" w:hAnsi="IRNazanin" w:eastAsia="IRNazanin"/>
          <w:color w:val="111111"/>
          <w:sz w:val="28"/>
          <w:sz w:val="28"/>
          <w:szCs w:val="28"/>
          <w:rtl w:val="true"/>
          <w:lang w:bidi="fa-IR"/>
        </w:rPr>
        <w:t>و الضوابط</w:t>
      </w:r>
      <w:r>
        <w:rPr>
          <w:rStyle w:val="FootnoteAnchor"/>
          <w:rtl w:val="true"/>
        </w:rPr>
        <w:footnoteReference w:id="674"/>
      </w:r>
      <w:r>
        <w:rPr>
          <w:rFonts w:ascii="IRNazanin" w:hAnsi="IRNazanin" w:eastAsia="IRNazanin"/>
          <w:color w:val="111111"/>
          <w:sz w:val="28"/>
          <w:sz w:val="28"/>
          <w:szCs w:val="28"/>
          <w:rtl w:val="true"/>
          <w:lang w:bidi="fa-IR"/>
        </w:rPr>
        <w:t>و الشهید فی أول الذکری</w:t>
      </w:r>
      <w:r>
        <w:rPr>
          <w:rStyle w:val="FootnoteAnchor"/>
          <w:rtl w:val="true"/>
        </w:rPr>
        <w:footnoteReference w:id="675"/>
      </w:r>
      <w:r>
        <w:rPr>
          <w:rFonts w:ascii="Amiri" w:hAnsi="Amiri" w:eastAsia="Amiri" w:cs="Amiri"/>
          <w:color w:val="111111"/>
          <w:sz w:val="28"/>
          <w:sz w:val="28"/>
          <w:szCs w:val="28"/>
          <w:rtl w:val="true"/>
          <w:lang w:bidi="ar-SA"/>
        </w:rPr>
        <w:t xml:space="preserve">، و عن العلّامة </w:t>
      </w:r>
    </w:p>
    <w:p>
      <w:pPr>
        <w:pStyle w:val="BookText"/>
        <w:rPr/>
      </w:pPr>
      <w:r>
        <w:rPr>
          <w:rFonts w:ascii="IRNazanin" w:hAnsi="IRNazanin" w:eastAsia="IRNazanin"/>
          <w:color w:val="111111"/>
          <w:sz w:val="28"/>
          <w:sz w:val="28"/>
          <w:szCs w:val="28"/>
          <w:rtl w:val="true"/>
          <w:lang w:bidi="fa-IR"/>
        </w:rPr>
        <w:t>فی المختلف</w:t>
      </w:r>
      <w:r>
        <w:rPr>
          <w:rStyle w:val="FootnoteAnchor"/>
          <w:rtl w:val="true"/>
        </w:rPr>
        <w:footnoteReference w:id="676"/>
      </w:r>
      <w:r>
        <w:rPr>
          <w:rFonts w:ascii="IRNazanin" w:hAnsi="IRNazanin" w:eastAsia="IRNazanin"/>
          <w:color w:val="111111"/>
          <w:sz w:val="28"/>
          <w:sz w:val="28"/>
          <w:szCs w:val="28"/>
          <w:rtl w:val="true"/>
          <w:lang w:bidi="fa-IR"/>
        </w:rPr>
        <w:t>و جمال الدین</w:t>
      </w:r>
      <w:r>
        <w:rPr>
          <w:rStyle w:val="FootnoteAnchor"/>
          <w:rtl w:val="true"/>
        </w:rPr>
        <w:footnoteReference w:id="677"/>
      </w:r>
      <w:r>
        <w:rPr>
          <w:rFonts w:ascii="IRNazanin" w:hAnsi="IRNazanin" w:eastAsia="IRNazanin"/>
          <w:color w:val="111111"/>
          <w:sz w:val="28"/>
          <w:sz w:val="28"/>
          <w:szCs w:val="28"/>
          <w:rtl w:val="true"/>
          <w:lang w:bidi="fa-IR"/>
        </w:rPr>
        <w:t>و والده</w:t>
      </w:r>
      <w:r>
        <w:rPr>
          <w:rStyle w:val="FootnoteAnchor"/>
          <w:rtl w:val="true"/>
        </w:rPr>
        <w:footnoteReference w:id="678"/>
      </w:r>
      <w:r>
        <w:rPr>
          <w:rFonts w:ascii="IRNazanin" w:hAnsi="IRNazanin" w:eastAsia="IRNazanin"/>
          <w:color w:val="111111"/>
          <w:sz w:val="28"/>
          <w:sz w:val="28"/>
          <w:szCs w:val="28"/>
          <w:rtl w:val="true"/>
          <w:lang w:bidi="fa-IR"/>
        </w:rPr>
        <w:t>و غیرهم، و مال إلیه استاذنا العلّامة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بحجّیته إذا انسدّ باب العلم من باب الظنّ المطلق، و هو خیرة الفرائد</w:t>
      </w:r>
      <w:r>
        <w:rPr>
          <w:rStyle w:val="FootnoteAnchor"/>
          <w:rtl w:val="true"/>
        </w:rPr>
        <w:footnoteReference w:id="679"/>
      </w:r>
      <w:r>
        <w:rPr>
          <w:rFonts w:ascii="IRNazanin" w:hAnsi="IRNazanin" w:eastAsia="IRNazanin"/>
          <w:color w:val="111111"/>
          <w:sz w:val="28"/>
          <w:sz w:val="28"/>
          <w:szCs w:val="28"/>
          <w:rtl w:val="true"/>
          <w:lang w:bidi="fa-IR"/>
        </w:rPr>
        <w:t>، و عن العلّامة فی النهایة</w:t>
      </w:r>
      <w:r>
        <w:rPr>
          <w:rStyle w:val="FootnoteAnchor"/>
          <w:rtl w:val="true"/>
        </w:rPr>
        <w:footnoteReference w:id="680"/>
      </w:r>
      <w:r>
        <w:rPr>
          <w:rFonts w:ascii="IRNazanin" w:hAnsi="IRNazanin" w:eastAsia="IRNazanin"/>
          <w:color w:val="111111"/>
          <w:sz w:val="28"/>
          <w:sz w:val="28"/>
          <w:szCs w:val="28"/>
          <w:rtl w:val="true"/>
          <w:lang w:bidi="fa-IR"/>
        </w:rPr>
        <w:t>و الحلّی فی السرائر</w:t>
      </w:r>
      <w:r>
        <w:rPr>
          <w:rStyle w:val="FootnoteAnchor"/>
          <w:rtl w:val="true"/>
        </w:rPr>
        <w:footnoteReference w:id="681"/>
      </w:r>
      <w:r>
        <w:rPr>
          <w:rFonts w:ascii="IRNazanin" w:hAnsi="IRNazanin" w:eastAsia="IRNazanin"/>
          <w:color w:val="111111"/>
          <w:sz w:val="28"/>
          <w:sz w:val="28"/>
          <w:szCs w:val="28"/>
          <w:rtl w:val="true"/>
          <w:lang w:bidi="fa-IR"/>
        </w:rPr>
        <w:t>و الأردبیلی فی شرحه الإرشاد</w:t>
      </w:r>
      <w:r>
        <w:rPr>
          <w:rStyle w:val="FootnoteAnchor"/>
          <w:rtl w:val="true"/>
        </w:rPr>
        <w:footnoteReference w:id="682"/>
      </w:r>
      <w:r>
        <w:rPr>
          <w:rFonts w:ascii="IRNazanin" w:hAnsi="IRNazanin" w:eastAsia="IRNazanin"/>
          <w:color w:val="111111"/>
          <w:sz w:val="28"/>
          <w:sz w:val="28"/>
          <w:szCs w:val="28"/>
          <w:rtl w:val="true"/>
          <w:lang w:bidi="fa-IR"/>
        </w:rPr>
        <w:t>، و بحر العلوم</w:t>
      </w:r>
      <w:r>
        <w:rPr>
          <w:rStyle w:val="FootnoteAnchor"/>
          <w:rtl w:val="true"/>
        </w:rPr>
        <w:footnoteReference w:id="683"/>
      </w:r>
      <w:r>
        <w:rPr>
          <w:rFonts w:ascii="IRNazanin" w:hAnsi="IRNazanin" w:eastAsia="IRNazanin"/>
          <w:color w:val="111111"/>
          <w:sz w:val="28"/>
          <w:sz w:val="28"/>
          <w:szCs w:val="28"/>
          <w:rtl w:val="true"/>
          <w:lang w:bidi="fa-IR"/>
        </w:rPr>
        <w:t>فی بعض رسائله و الشهید الثانی</w:t>
      </w:r>
      <w:r>
        <w:rPr>
          <w:rStyle w:val="FootnoteAnchor"/>
          <w:rtl w:val="true"/>
        </w:rPr>
        <w:footnoteReference w:id="684"/>
      </w:r>
      <w:r>
        <w:rPr>
          <w:rFonts w:ascii="IRNazanin" w:hAnsi="IRNazanin" w:eastAsia="IRNazanin"/>
          <w:color w:val="111111"/>
          <w:sz w:val="28"/>
          <w:sz w:val="28"/>
          <w:szCs w:val="28"/>
          <w:rtl w:val="true"/>
          <w:lang w:bidi="fa-IR"/>
        </w:rPr>
        <w:t>و والد البهائی</w:t>
      </w:r>
      <w:r>
        <w:rPr>
          <w:rStyle w:val="FootnoteAnchor"/>
          <w:rtl w:val="true"/>
        </w:rPr>
        <w:footnoteReference w:id="685"/>
      </w:r>
      <w:r>
        <w:rPr>
          <w:rFonts w:ascii="IRNazanin" w:hAnsi="IRNazanin" w:eastAsia="IRNazanin"/>
          <w:color w:val="111111"/>
          <w:sz w:val="28"/>
          <w:sz w:val="28"/>
          <w:szCs w:val="28"/>
          <w:rtl w:val="true"/>
          <w:lang w:bidi="fa-IR"/>
        </w:rPr>
        <w:t>، بل قد نسب إلی الشهرة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حجّیته مطلقا، لا عند انفتاح باب العلم، و لا عند انسداده، کما هو خیرة المعالم</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حجّة القول بحجّیتها من باب الظنّ الخاصّ حتی عند انفتاح باب العلم فیمکن أن یکون کلّ من الأدلّة الأربعة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الکتاب فیکفی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جاءَکُمْ فاسِقٌ بِنَبَإٍ فَتَبَیَّنُوا أَنْ تُصِیبُوا قَوْماً بِجَهالَةٍ فَتُصْبِحُوا عَلی ما فَعَلْتُمْ نادِمِینَ</w:t>
      </w:r>
      <w:r>
        <w:rPr>
          <w:rStyle w:val="FootnoteAnchor"/>
          <w:rtl w:val="true"/>
        </w:rPr>
        <w:footnoteReference w:id="687"/>
      </w:r>
      <w:r>
        <w:rPr>
          <w:rFonts w:ascii="IRNazanin" w:hAnsi="IRNazanin" w:eastAsia="IRNazanin"/>
          <w:color w:val="111111"/>
          <w:sz w:val="28"/>
          <w:sz w:val="28"/>
          <w:szCs w:val="28"/>
          <w:rtl w:val="true"/>
          <w:lang w:bidi="fa-IR"/>
        </w:rPr>
        <w:t xml:space="preserve">لکن الاستدلال لیس بمفهوم الوصف من الآیة حتی یمنع ثبوت مفهوم له، و لا بمفهوم شرطها و هو إن لم یجئکم فاسق بنبإ فلا تبیّنوا عن نبأه حتی یمنع دلالته علی المدّعی لکونه سلبا بانتفاء الموضوع لا المحمول، و لا بما فی الذکری من أنّ الظنّ الحاصل من </w:t>
      </w:r>
    </w:p>
    <w:p>
      <w:pPr>
        <w:pStyle w:val="BookText"/>
        <w:rPr/>
      </w:pPr>
      <w:r>
        <w:rPr>
          <w:rFonts w:ascii="IRNazanin" w:hAnsi="IRNazanin" w:eastAsia="IRNazanin"/>
          <w:color w:val="111111"/>
          <w:sz w:val="28"/>
          <w:sz w:val="28"/>
          <w:szCs w:val="28"/>
          <w:rtl w:val="true"/>
          <w:lang w:bidi="fa-IR"/>
        </w:rPr>
        <w:t>الشیاع أقوی من الحاصل من شهادة عدلین حتی یضعّف بأنّ الأولویة الظّنیة أوهن بمراتب من الشهرة فکیف یتمسک بها فی حجیتها؟ أو بمنع الاولویة من رأس بدعوی أنّ المناط و العلّة فی حجّیته الأصل لیس مجرّد إفادة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الاستدلال إنّما هو بمنطوق الآیة و مفهومه الموافقة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سیاق منطوق الآیة بالقیاس علی ما یفهم من أشباهها و نظائرها فی المحاورات العرفیة هو اشتراط قبول قول الفاسق بالتبیّن أو التثبّت، علی بعض القراءات الأعمّ من تحصیل الظنّ و العلم بصدقه علی ما فی کتب اللغة</w:t>
      </w:r>
      <w:r>
        <w:rPr>
          <w:rStyle w:val="FootnoteAnchor"/>
          <w:rtl w:val="true"/>
        </w:rPr>
        <w:footnoteReference w:id="688"/>
      </w:r>
      <w:r>
        <w:rPr>
          <w:rFonts w:ascii="IRNazanin" w:hAnsi="IRNazanin" w:eastAsia="IRNazanin"/>
          <w:color w:val="111111"/>
          <w:sz w:val="28"/>
          <w:sz w:val="28"/>
          <w:szCs w:val="28"/>
          <w:rtl w:val="true"/>
          <w:lang w:bidi="fa-IR"/>
        </w:rPr>
        <w:t>، من تفسیر التبیّن عن الشی‌ء بطلب ظهوره و وضوحه و الثبات فی الأمر بالأخذ فیه من غیر تعجیل، حذرا عن الوقوع فی الندامة، و لیس المراد التحذیر عن مطلق حصول الندامة فإنّ مجرد حصول الندامة أمر لا ینفکّ عن السالک طریقا لم یوصله إلی الواقع و لو کان طریقا قطعیا من أقوی طرق الواقع، بل المراد إنّما هو التحذیر عن الوقوع فی معرض تندیم العقلاء و استحقاقه الملامة بفعل ما من شأن الجهلاء و السفهاء</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فمفاد الآیة حینئذ نظیر مفاد ما هو المتعارف فی المحاورات العرفیة من قول التّجار لعمالهم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جاءک کتابی فلا تعجل فی الاقتحام علی ما فیه من غیر أن تستظهر واقعیته من اختتامه بالخاتم أو بغیره، من الأمارات المحصّلة للظنّ بصدقه، حذرا من إیقاع نفسک فی معرض تندیم العقلاء، فکما یفهم من هذا المثال جواز الأخذ بالکتاب بعد الأمن من کونه معرض تندیم العقلاء کذلک یفهم من الآیة جواز الأخذ بمضمون النبأ بعد الأمن من کونه معرض تندیم العقلاء، و هو بظاهرها و إن اختصّ بحجّیة الشهرة الروایتیة دون الفتوائیة، إلّا أنّ الظاهر من إطلاق التعلیل الحاکم علی ظهور المعلول هو جواز الأخذ بمطلق ما یؤمن فیه عن </w:t>
      </w:r>
    </w:p>
    <w:p>
      <w:pPr>
        <w:pStyle w:val="BookText"/>
        <w:rPr/>
      </w:pPr>
      <w:r>
        <w:rPr>
          <w:rFonts w:ascii="IRNazanin" w:hAnsi="IRNazanin" w:eastAsia="IRNazanin"/>
          <w:color w:val="111111"/>
          <w:sz w:val="28"/>
          <w:sz w:val="28"/>
          <w:szCs w:val="28"/>
          <w:rtl w:val="true"/>
          <w:lang w:bidi="fa-IR"/>
        </w:rPr>
        <w:t>تندیم العقلاء سواء کان روایة أو فتوی، ضرورة أنّ الأخذ بالمشهور مطلقا من حیث إنّه مشهور لیس ممّا یختصّ بفعل الجهلاء و السفهاء حتی یکون معرضا لتندیم العقلاء المحذور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المظنون بل المعلوم عدم مدخلیة حیثیة النبأ و أنّ المناط و العلّة فی القبول إنّما هو الأمن عن تندیم العقلاء لا غیر، فیدلّ منطوق الآیة و مفهومها الموافقة بملاحظة ما یفهم من سیاقه و تعلیله فی المحاورات العرفیة علی عدم جواز الأخذ بغیر ما یؤمن من معرضیة تندیم العقلاء و ملامتهم، و جواز الأخذ بمطلق ما یؤمن فیه عن معرضیة تندیمهم و ملامتهم سواء کان روایة أو فتوی نظیر دلالة حرمة التأفیف للأبوین بمنطوقها و مفهومها الموافقة علی حرمة مطلق الأذیة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وجاهة توجیه دلالة الآیة علی المدّعی بهذا التوجیه غیر خفیّ علی من له خبرة بسبک التعابیر و خصوصیاتها و إن لم یکن مجال لتوضیحه بأزید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الإشکال الوارد علیه هو اختصاص ظاهره بحجّیة الشهرة الروایتیة و إلحاق الشهرة الفتوائیة بها موقوف علی ضمیمة الأولویة الظنّیة بها، کما مرّ عن الشهید</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ضمیمة أخذ مفهوم مخالف للتعلیل، کما مرّ فی طیّ توجیهنا، و حجّیة کلّ من الضمیمتین أضعف بمراتب من حجّیة 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الضوابط</w:t>
      </w:r>
      <w:r>
        <w:rPr>
          <w:rStyle w:val="FootnoteAnchor"/>
          <w:rtl w:val="true"/>
        </w:rPr>
        <w:footnoteReference w:id="690"/>
      </w:r>
      <w:r>
        <w:rPr>
          <w:rFonts w:ascii="IRNazanin" w:hAnsi="IRNazanin" w:eastAsia="IRNazanin"/>
          <w:color w:val="111111"/>
          <w:sz w:val="28"/>
          <w:sz w:val="28"/>
          <w:szCs w:val="28"/>
          <w:rtl w:val="true"/>
          <w:lang w:bidi="fa-IR"/>
        </w:rPr>
        <w:t>من الإیراد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التبیّن حقیقة فی التبیّن العلمی لا الأعمّ منه و من الظنّی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 إن کان حقیقة فی الأعمّ إلّا أنّه منصرف إلی العلمی، لکون الفرد الظنّی مشکّک بالتشکیک المضرّ الإجمالی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 إن سلّمنا الأعمیّة و تواطؤ الأفراد و تمامیة الدلالة إلّا أنّها ظنیّة و المسألة 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 کتب اللغة أعمیّة التبیّن من العلمی و الظنّی سیما علی قراءة التثبّت بدل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الانصراف؛ إذ لا أقلّ من الشکّ، و الأصل و إن کان بملاحظة الاقتصار علی القدر المتیقن فی الإطلاق، و علی أقل ما یقتضیه حکمة رفع اللغویة، یقتضی الانصراف و عدم الاندراج، إلّا أنّ ما یقتضیه أغلبیة الافراد المندرجة تحت الإطلاق من الأفراد الغیر المندرجة من عدم الانصراف و إلحاق المشکوک بالأعمّ الأغلب حاکم علی الأصل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الفرق بین المسألة الاصولیة و الفرعیة فی الاکتفاء بالظنّ فیها بعد ثبوت حجّیة ذلک الظنّ و ما لا یکتفی فیه بالظنّ إنّما هی مسائل أصول الدین، لا اصول الفقه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السنّة فأقوی ما یمکن الاستدلال به علی حجّیة الشهرة الفتوائیة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تأخذنّ معالم دینک من غیر شیعتنا، فإنّک إن تعدّیتهم أخذت دینک من الخائنین، الذین خانوا اللّه و رسوله و خانوا أماناتهم</w:t>
      </w:r>
      <w:r>
        <w:rPr>
          <w:rFonts w:eastAsia="IRNazanin" w:cs="IRNazanin"/>
          <w:color w:val="111111"/>
          <w:sz w:val="28"/>
          <w:szCs w:val="28"/>
          <w:rtl w:val="true"/>
          <w:lang w:bidi="fa-IR"/>
        </w:rPr>
        <w:t>»</w:t>
      </w:r>
      <w:r>
        <w:rPr>
          <w:rStyle w:val="FootnoteAnchor"/>
          <w:rtl w:val="true"/>
        </w:rPr>
        <w:footnoteReference w:id="691"/>
      </w:r>
      <w:r>
        <w:rPr>
          <w:rFonts w:ascii="Amiri" w:hAnsi="Amiri" w:eastAsia="Amiri" w:cs="Amiri"/>
          <w:color w:val="111111"/>
          <w:sz w:val="28"/>
          <w:sz w:val="28"/>
          <w:szCs w:val="28"/>
          <w:rtl w:val="true"/>
          <w:lang w:bidi="ar-SA"/>
        </w:rPr>
        <w:t>الحدیث، فإنّ إطلاق ظاهر اختصاصه بالفتوی شامل لمعلوم الصدق کإجماعیات الشیعة، و مظنونه کمشهوراتهم إلّا أنّ الظاهر من سیاق الحدیث ورود إطلاقه مورد بیان حکم آخر کإطلاق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أَمْسَکْنَ عَلَیْکُمْ</w:t>
      </w:r>
      <w:r>
        <w:rPr>
          <w:rStyle w:val="FootnoteAnchor"/>
          <w:rtl w:val="true"/>
        </w:rPr>
        <w:footnoteReference w:id="692"/>
      </w:r>
      <w:r>
        <w:rPr>
          <w:rFonts w:ascii="Amiri" w:hAnsi="Amiri" w:eastAsia="Amiri" w:cs="Amiri"/>
          <w:color w:val="111111"/>
          <w:sz w:val="28"/>
          <w:sz w:val="28"/>
          <w:szCs w:val="28"/>
          <w:rtl w:val="true"/>
          <w:lang w:bidi="ar-SA"/>
        </w:rPr>
        <w:t>و أُحِلَّ لَکُمْ صَیْدُ الْبَحْرِ</w:t>
      </w:r>
      <w:r>
        <w:rPr>
          <w:rStyle w:val="FootnoteAnchor"/>
          <w:rtl w:val="true"/>
        </w:rPr>
        <w:footnoteReference w:id="693"/>
      </w:r>
      <w:r>
        <w:rPr>
          <w:rFonts w:ascii="IRNazanin" w:hAnsi="IRNazanin" w:eastAsia="IRNazanin"/>
          <w:color w:val="111111"/>
          <w:sz w:val="28"/>
          <w:sz w:val="28"/>
          <w:szCs w:val="28"/>
          <w:rtl w:val="true"/>
          <w:lang w:bidi="fa-IR"/>
        </w:rPr>
        <w:t xml:space="preserve">و نحوه، و إلّا لشمل إطلاق الحدیث حجّیة الفتوی و إن لم یحصل معه </w:t>
      </w:r>
    </w:p>
    <w:p>
      <w:pPr>
        <w:pStyle w:val="BookText"/>
        <w:rPr/>
      </w:pPr>
      <w:r>
        <w:rPr>
          <w:rFonts w:ascii="IRNazanin" w:hAnsi="IRNazanin" w:eastAsia="IRNazanin"/>
          <w:color w:val="111111"/>
          <w:sz w:val="28"/>
          <w:sz w:val="28"/>
          <w:szCs w:val="28"/>
          <w:rtl w:val="true"/>
          <w:lang w:bidi="fa-IR"/>
        </w:rPr>
        <w:t>الظنّ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أیضا بمرفوع زرارة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عنکم الخبران أو الحدیثان المتعارضان فبأیّهما نعمل؟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اشتهر بین أصحابک، و دع الشاذّ النادر،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هما معا مشهوران مأثوران عنکم،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یقوله أعدلهما</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الخبر بناء علی أنّ المراد بالموصول مطلق المشهور روایة کان أو فتوی، أو أنّ إناطة الحکم بالاشتهار یدلّ علی اعتبار الشهرة فی نفسه و إن لم یکن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الاستدلال بتلک الروایة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سندها حتی أنّه ردّها من لیس دأبه الخدشة فی سند الروایات کالمحدّث البحرانی</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بالموصول هی خصوص الروایة المشهورة من الروایتین دون مطلق حکم المشهور، بقرینة کون السؤال عنه، أ لا تری أنّک لو سألت عن أیّ المسجدین أحبّ إلیک؟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أکبر، لم یحسن للمخاطب أن ینسب إلیک محبوبیة کلّ کبیر، أو بقرینة أنّ الشهرة الفتوائیة مما لا یقبل أن یکون فی أحد طرفی المسألة،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إنّهما مشهوران مأثوران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شاهد علی أنّ المراد بالشهرة الروایتیة الحاصلة من اتفاق الکلّ علی روایته و تدوینه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قد یقال بأنّه إن ارید من الشهرة الفتوائیة ما یکون الظنّ معه أکثر فکما أنّه مما لا یعقل أن یکون فی طرفی المسألة من جهة استلزامه اجتماع الضدّین کذلک شهرة الروایة بمعنی ما یکون تدوینه و روایته أکثر مما لا یعقل اتّصاف الروایتین المتعارضتین به، و إلّا فکما یراد من شهرة الروایتین المتعارضتین اتّفاق الکلّ علی تدوین کلّ منهما کذلک یمکن أن یراد من شهرة الفتویین </w:t>
      </w:r>
    </w:p>
    <w:p>
      <w:pPr>
        <w:pStyle w:val="BookText"/>
        <w:rPr/>
      </w:pPr>
      <w:r>
        <w:rPr>
          <w:rFonts w:ascii="IRNazanin" w:hAnsi="IRNazanin" w:eastAsia="IRNazanin"/>
          <w:color w:val="111111"/>
          <w:sz w:val="28"/>
          <w:sz w:val="28"/>
          <w:szCs w:val="28"/>
          <w:rtl w:val="true"/>
          <w:lang w:bidi="fa-IR"/>
        </w:rPr>
        <w:t>المتضادّین تساوی المفتین بکلّ منهما عددا فی عصر واحد، أو انعقاد الشهرة فی عصر علی فتوی و فی آخر علی خلافها، کما قد یتفق بین القدماء و المتأخرین و إن کان إرادة السائل هذا المعنی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معا مشهوران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الإجماع و العقل فباتفاق جمیع العلماء و استقرار بناء العقلاء علی صحّة المراجعة فی کلّ فنّ و صنعة إلی الظنون الحاصلة من مشهور أصحاب ذلک الفنّ و الصنعة فی جمیع الأعصار و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المتیقّن من اتفاق العلماء و بناء العقلاء هو الرجوع إلی الشهرة فی مقام اجتماع شروط الشهادة فیه، أو فی مقام انسداد باب العلم فیه، أو فی مقام حصول العلم بالواقع منه، کما قد یحصل العلم بالمسألة الفقهیة من فتوی المشهور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مقامات یتسامح فیها، لعدم التکلیف الشرعی بتحصیل العلم بالواقع، أو تعلق التکلیف بحکم شرعی غیر إلزامی، أو نحو ذلک مما یتسامح فیه ما لا یتسامح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عدم اجتماع شرائط الشهادة و عدم انسداد باب العلم و عدم حصول العلم من الشهرة و عدم جریان التسامح فلم یثبت العمل بالظنّ الحاصل من الشهرة الفتوائیة، بل قد ثبت عدم العمل به عند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حجّة القول بحجّیة الشهرة الفتوائیة من باب الظنّ المطلق فهو انسداد باب العلم و الظنّ الخاصّ فی معظم الأحکام، و بقاء التکلیف و عدم إمکان الاحتیاط فی محلّ الانسداد القاضی ثبوت هذه المقدّمات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العقل المستقلّ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مطلق الظنّ، و لزوم الرجوع إلی مطلق الامتثال الظنّی و الموافقة الظنیّة للواقع</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 إن انسدّ باب العلم فی معظم الأحکام إلّا أنّ باب الظنون الخاصّة و الأمارات الشرعیة منفتح فی معظمها بحیث یکون الباقی أقلّ قلیل لا </w:t>
      </w:r>
    </w:p>
    <w:p>
      <w:pPr>
        <w:pStyle w:val="BookText"/>
        <w:rPr/>
      </w:pPr>
      <w:r>
        <w:rPr>
          <w:rFonts w:ascii="IRNazanin" w:hAnsi="IRNazanin" w:eastAsia="IRNazanin"/>
          <w:color w:val="111111"/>
          <w:sz w:val="28"/>
          <w:sz w:val="28"/>
          <w:szCs w:val="28"/>
          <w:rtl w:val="true"/>
          <w:lang w:bidi="fa-IR"/>
        </w:rPr>
        <w:t>یستلزم بقاء التکلیف فیه العسر و الحرج، القاضی حجّیة مطلق الظنّ علی حسبما تقرّر توضیحه فی منع 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حجّیة القول بعدم حجّیتها مطلقا، أما علی عدم حجّیتها عند انفتاح باب العلم فبأصالة حرمة العمل بالظنّ و الآیات الناهیة عنه، و لم یثبت خروج الشهرة الفتوائیة عن تحتها، و أمّا علی عدم حجّیتها علی تقدیر الانسداد فبأنّ المتیقن من دلیل الانسداد هو إثبات حجّیة ظاهر الکتاب و السنّة فیبقی ما عداهما تحت أصالة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حکومة نتیجة دلیل الانسداد و عمومها فلأنّ مفادها حجّیة مطلق الظنّ إلّا ما قام القاطع علی بطلانه کالقیاس، بل لا حاجة إلی إخراجه، لأنّه لیس بظنّ بعد القطع بحرمة العمل به، فخروجه خروج موضوعیّ بالتخصّص، لا خروج حکمیّ بالتخصیص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کاشفیة دلیله عن قضیة مهملة و حجّیة مقدار مجمل من الظنون فعدم الفرق فی الحجّیة بین الظنّ الحاصل من الشهرة الفتوائیة و بین الحاصل من ظاهر الکتاب أو خبر الواحد، و ذلک لعدم القول بالفصل، أو عدم المرجّح بینها، بل المرجّح إن کان فهو فی الظنّ الحاصل من الشیاع لکونه أقوی من الحاصل من خبر الواحد و قول العدلین، مضافا إلی أنّ المحتاج إلی الاستدلال علی حجّیته بدلیل الانسداد إنّما هو الظنّ الغیر المعلوم حجّیته قبل الانسداد، و من المسلّم بیننا و بین هذا المستدلّ حجّیة ظواهر الکتاب و أخبار الآحاد قبل الانسداد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إلحاق الشهرة الفتوائیة بالقیاس فی وهن العمل به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دینه من أفواه الرجال زاله الرجال، و من أخذ دینه من الکتاب و السنّة زالت الجبال و لم یزل</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 xml:space="preserve">أو لأنّ اللازم من حجّیة الشهرة الفتوائیة هو عدم حجیتها، </w:t>
      </w:r>
    </w:p>
    <w:p>
      <w:pPr>
        <w:pStyle w:val="BookText"/>
        <w:rPr/>
      </w:pPr>
      <w:r>
        <w:rPr>
          <w:rFonts w:ascii="IRNazanin" w:hAnsi="IRNazanin" w:eastAsia="IRNazanin"/>
          <w:color w:val="111111"/>
          <w:sz w:val="28"/>
          <w:sz w:val="28"/>
          <w:szCs w:val="28"/>
          <w:rtl w:val="true"/>
          <w:lang w:bidi="fa-IR"/>
        </w:rPr>
        <w:t>و ما یلزم من وجوده عدمه 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الجواب عن الروایة علی تقدیر صحّة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المحتمل من مفاد الروایة هو إرادة مردودیة الأخذ بأفواه الرجال المساوی عددهم عدد الرادّین إیّاه، لا مردودیة الأخذ بأفواه الأشهر الأکثر عددا؛ و ذلک لوضوح عدم زوال الشی‌ء إلّا بمعارض یساویه أو یفوق علیه، لا بما هو دونه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المحتمل إرادة الأخذ بالأشهر الغیر المفید للظنّ لا المفید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المحتمل إرادة الأخذ بالظنّ فی اصول الدین لا فی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الخبر المذکور کالخبر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 اللّه لا یصاب بالعقول</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 xml:space="preserve">و الخبر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 اللّه لا یعرف بالرجال بل بآیة الحقّ، فاعرف الحقّ تعرف أهله</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الحدیث کلّها مذکورة فی الوسائل فی عداد الأخبار المسوقة لردّ العامّة الآخذین بالقیاس و الرأی و مستحسنات الأوهام و المصالح المرسلة المتفوّه بها رجالهم، لا لردّ الأخذ بالشهرة الغیر المستندة إلی شی‌ء من ذلک، کما یشهد به الاعتبار أیضا؛ فإنّ الزائل من أفواه الرجال بأفواه الرجال إنّما هو المستند إلی الرأی و مستحسنات الأوهام مما لا سند بل لا نهایة له، کما هو دأب العامّة، دون المستند إلی مثل الکتاب و السنّة مما هو سند صحیح متناهی کما لا یخفی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الملازمة بمنعها، لکن لا لما یظهر من القوانین</w:t>
      </w:r>
      <w:r>
        <w:rPr>
          <w:rStyle w:val="FootnoteAnchor"/>
          <w:rtl w:val="true"/>
        </w:rPr>
        <w:footnoteReference w:id="699"/>
      </w:r>
      <w:r>
        <w:rPr>
          <w:rFonts w:ascii="Amiri" w:hAnsi="Amiri" w:eastAsia="Amiri" w:cs="Amiri"/>
          <w:color w:val="111111"/>
          <w:sz w:val="28"/>
          <w:sz w:val="28"/>
          <w:szCs w:val="28"/>
          <w:rtl w:val="true"/>
          <w:lang w:bidi="ar-SA"/>
        </w:rPr>
        <w:t xml:space="preserve">من أنّا إنّما نقول </w:t>
      </w:r>
    </w:p>
    <w:p>
      <w:pPr>
        <w:pStyle w:val="BookText"/>
        <w:rPr/>
      </w:pPr>
      <w:r>
        <w:rPr>
          <w:rFonts w:ascii="IRNazanin" w:hAnsi="IRNazanin" w:eastAsia="IRNazanin"/>
          <w:color w:val="111111"/>
          <w:sz w:val="28"/>
          <w:sz w:val="28"/>
          <w:szCs w:val="28"/>
          <w:rtl w:val="true"/>
          <w:lang w:bidi="fa-IR"/>
        </w:rPr>
        <w:t>بحجّیة الشهرة فی الفروع، و مراد المشهور من عدم حجّیتها إنّما هو فی الاصول حتی یورد علیه بعدم الفارق بعد حجّیة الشیاع المظنون منه الواقع بین تعلقه بطریق المسألة الفرعیة المعبّر عنه بالمسألة الاصولیة، و بین تعلقه بنفس ذی الطریق المعبّر عنه بالمسألة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منع الملازمة المذکورة إنّما هو لأجل احتمال أن یکون مراد المشهور من عدم حجّیة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حجّیتها علی تقدیر انفتاح باب العلم، و مراد غیر المشهور من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حجّیتها علی تقدیر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یکون مراد المشهور عدم حجّیتها من باب الأصل و مراد غیرهم حجّیتها من باب الدلیل الوارد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یکون مراد المشهور عدم حجّیتها علی تقدیر عدم إفادته الظنّ بالواقع أو الوقوف علی فساد مدرکه، و مراد غیرهم هو حجّیتها علی تقدیر حصول الظنّ منه بالواقع و عدم الوقوف علی فساد مدرکه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مراد القوانین فی منع الملازمة هو منعه بأحد هذه الوجوه الأربعة أیضا، لا بالوجه الذی أوردنا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إمکان منع الملازمة المذکورة بأنّ اللازم من قول المشهور بعدم حجّیة الشهرة المذکورة هو عدم حجّیة قولهم أیضا، و ما یلزم من وجوده عدم نفسه فهو باطل لا یصحّ 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أنّه لا یعمّ نفسه بقرینة استلزام شموله نفسه بطلان نفسه و الهذریة، و بقرینة أن مشهوریة القول بعدم حجّیة الشهرة متأخرة عن الحکم بعدم حجّیة الشهرة فلا یتعقل اندراجها فی موضوع هذا الحکم المتقدّم، کما لا یتعقل اندراج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کلامی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موضوع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کلامی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موضوع عدم حجّیة الشهرة و إن کان لفظه قاصرا عن شمول </w:t>
      </w:r>
    </w:p>
    <w:p>
      <w:pPr>
        <w:pStyle w:val="BookText"/>
        <w:rPr/>
      </w:pPr>
      <w:r>
        <w:rPr>
          <w:rFonts w:ascii="IRNazanin" w:hAnsi="IRNazanin" w:eastAsia="IRNazanin"/>
          <w:color w:val="111111"/>
          <w:sz w:val="28"/>
          <w:sz w:val="28"/>
          <w:szCs w:val="28"/>
          <w:rtl w:val="true"/>
          <w:lang w:bidi="fa-IR"/>
        </w:rPr>
        <w:t>نفسه من جهة تأخّر مشهوریة نفسه عن ثبوت الحکم للموضوع إلّا أنّ الحکم غیر قاصر عن شموله بعد تنقیح أنّ مناط الحکم بعدم حجّیة الشهرة هو عدم مأمونیّتها عن الخطأ، و لهذا لو سألنا القائلین بعدم حجّیة الشهرة بأنّه لو ثبت لنا عدم حجّیة الشهرة بالشهرة هل یجوز الاتّکال علیه؟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قابلیة اللفظ العامّ لأن یدخل فیه الموضوع الذی لا یتحقّق و لا یوجد إلّا بعد ثبوت حکم هذا العامّ لفرد آخر لا یوجب التوقّف فی الحکم، إذا علم المناط الملحوظ فی الحکم العامّ و أنّ المتکلّم لم یلاحظ موضوعا دون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من الشهرة الفتوائیة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الکاشفة بالکشف الظنّی عن وجود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 حکم القسم السابق فی الاختلاف فی حجّیته علی أقوال، و البیان البیان، و المختار المختار، سواء فرض المکشوف عنه قطعی الدلالة و السند، أو ظنّیهما، أو مختلفهما، ضرورة اتباع النتیجة لأخسّ المقدّمتین، فقطعیة سند المکشوف عنه و دلالته لا یصیّرانه مقطوعا بعد ظنّیة کاشفه، فلا فرق بین هذا القسم و القسم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الفصول</w:t>
      </w:r>
      <w:r>
        <w:rPr>
          <w:rStyle w:val="FootnoteAnchor"/>
          <w:rtl w:val="true"/>
        </w:rPr>
        <w:footnoteReference w:id="700"/>
      </w:r>
      <w:r>
        <w:rPr>
          <w:rFonts w:ascii="IRNazanin" w:hAnsi="IRNazanin" w:eastAsia="IRNazanin"/>
          <w:color w:val="111111"/>
          <w:sz w:val="28"/>
          <w:sz w:val="28"/>
          <w:szCs w:val="28"/>
          <w:rtl w:val="true"/>
          <w:lang w:bidi="fa-IR"/>
        </w:rPr>
        <w:t>و الهدایة</w:t>
      </w:r>
      <w:r>
        <w:rPr>
          <w:rStyle w:val="FootnoteAnchor"/>
          <w:rtl w:val="true"/>
        </w:rPr>
        <w:footnoteReference w:id="701"/>
      </w:r>
      <w:r>
        <w:rPr>
          <w:rFonts w:ascii="IRNazanin" w:hAnsi="IRNazanin" w:eastAsia="IRNazanin"/>
          <w:color w:val="111111"/>
          <w:sz w:val="28"/>
          <w:sz w:val="28"/>
          <w:szCs w:val="28"/>
          <w:rtl w:val="true"/>
          <w:lang w:bidi="fa-IR"/>
        </w:rPr>
        <w:t>من دعوی الفرق بین الظنّ الطریقی و الواقعی باقتضاء دلیل الانسداد حجّیة الأول دون الثانی فمدفوع بالتقریب المذکور فی فرائد</w:t>
      </w:r>
      <w:r>
        <w:rPr>
          <w:rStyle w:val="FootnoteAnchor"/>
          <w:rtl w:val="true"/>
        </w:rPr>
        <w:footnoteReference w:id="702"/>
      </w:r>
      <w:r>
        <w:rPr>
          <w:rFonts w:ascii="IRNazanin" w:hAnsi="IRNazanin" w:eastAsia="IRNazanin"/>
          <w:color w:val="111111"/>
          <w:sz w:val="28"/>
          <w:sz w:val="28"/>
          <w:szCs w:val="28"/>
          <w:rtl w:val="true"/>
          <w:lang w:bidi="fa-IR"/>
        </w:rPr>
        <w:t>استاذ أساتیذنا الأعلام بما لا مزید علیه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الشهرة المنضمّة إلی روایة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فاختلفوا فی حجّیته بالخصوص و عدم حجّیته علی قولین، و الحقّ الأول، لما مرّ من دلالة </w:t>
      </w:r>
    </w:p>
    <w:p>
      <w:pPr>
        <w:pStyle w:val="BookText"/>
        <w:rPr/>
      </w:pPr>
      <w:r>
        <w:rPr>
          <w:rFonts w:ascii="IRNazanin" w:hAnsi="IRNazanin" w:eastAsia="IRNazanin"/>
          <w:color w:val="111111"/>
          <w:sz w:val="28"/>
          <w:sz w:val="28"/>
          <w:szCs w:val="28"/>
          <w:rtl w:val="true"/>
          <w:lang w:bidi="fa-IR"/>
        </w:rPr>
        <w:t>سیاق منطوق آیة النبأ</w:t>
      </w:r>
      <w:r>
        <w:rPr>
          <w:rStyle w:val="FootnoteAnchor"/>
          <w:rtl w:val="true"/>
        </w:rPr>
        <w:footnoteReference w:id="703"/>
      </w:r>
      <w:r>
        <w:rPr>
          <w:rFonts w:ascii="Amiri" w:hAnsi="Amiri" w:eastAsia="Amiri" w:cs="Amiri"/>
          <w:color w:val="111111"/>
          <w:sz w:val="28"/>
          <w:sz w:val="28"/>
          <w:szCs w:val="28"/>
          <w:rtl w:val="true"/>
          <w:lang w:bidi="ar-SA"/>
        </w:rPr>
        <w:t>علی حجّیته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توهّم منع دلالتها علیه باستظهار الیقین من التبیّن قد عرفت ردّه بما لا مزید علیه بالأدلّة و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توهّم استلزام حجّیة الشهرة المنضمّة إلی الروایة للدور بتقریب توقّف حجّیة الشهرة علی حجّیة الروایة، و حجیة الروایة علی حجّیّة الشهرة و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بالتفکیک و أنّ حجّیّة الشهرة موقوفة علی انضمامها بالروایة لا علی حجّیة الروایة، کما أنّ حجّیة الروایة موقوفة علی انضمامها بالروایة لا علی حجّیة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 إن سلّمنا التوقّف من الطرفین، لکن الدور معیّ لا ضیر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الکلام فی أصل الحجّیة و إنّما ینبغی الکلام فی أنّ الحجّة هی الشهرة المنضمّة إلی الروایة کما علیه صاحب الریاض، أو الروایة المنجبرة بالشهرة، کما علیه المشهور، و الحقّ هو الثانی لا الأول، و ذلک لما عرفت من أنّ المندرج فی النبأ المتبیّن عنه هو الخبر المنجبر بالشهرة لا الشهرة المنضمّة الی الروایة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من قال بحجّیة الشهرة المجرّدة بأحد الوجوه الموهمة له من اعتبار الأولویة الظنّیة أو اعتبار المفهوم لتعلیل التبیّن بالتندیم لزمه القول بحجّیة الشهرة المنضمّة إلی الروایة، بالخصوص أیضا بالأولویة القطعیة، و أمّا علی القول بعدم حجّیة الشهرة المجردة فلا وجه لحجّیة الشهرة المنضمّة إلی الروایة أصلا سوی ما قد یوجّه منع ملازمة القول بحجّیة الشهرة للقول بعدم حجّیتها بمنع حجّیة الشهرة المجرّدة لا المنضمّة إلی الروایة، و لکن قد عرفت عدم توقّف منع الملازمة علی هذا التوجیه، و أنّ لمنعها وجوها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الثمرة بین القولین فی امور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العمل بمضمون الشهرة المنضمّة إلی الخبر الموقوف علی تقدیر حجّیة الشهرة المنضمّة دون تقدیر العکس، و المراد من الخبر الموقوف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الموقوف صدوره علی غیر الإمام ممن کان شأنه الأخذ من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جواز العمل بالشهرة المنضمّة إلی ذلک علی التقدیر الأول فلعدم الفرق بین الموقوف و المرفوع فی کون کلّ منهما محتمل الصدور عن المعصوم، مع أنّ اللازم علی هذا القول جعل مناط حجّیّة الشهرة هو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الضمیمة المخرجة إیّاها عن التجرّد من غیر مدخلیة الصدور عن المعصوم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جواز العمل بالشهرة علی التقدیر الثانی فلعدم تحقق مناط الحجّیة، و هو الظن الحاصل من النبأ من الخبر الموقوف المحتمل صدوره عن حدس الراوی و اجتهاده لا عن حسّه و إنبائه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العمل بجمیع فقرات الروایة الضعیفة علی تقدیر حجّیة الروایة المنجبرة بالشهرة، و عدم جواز العمل إلّا بما هو معقد الشهرة من الفقرات علی تقدیر حجّیّة الشهرة المنضمّة إلی الروایة دون العکس، و الوجه واضح فی ذلک لأنّ الشهرة و إن قامت علی بعض فقرات الروایة إلّا أنّها علی التقدیر الأول لما کانت نوعا من التبیّن المشروط به اعتبار الخبر کان مجرّد حصولها کاف فی اعتبار مجموع فقراتها بعد فرض الملازمة بینها فی الصدق من الخارج، بخلافها علی تقدیر العکس فإنّها لما لم تکن شرطا بل کانت مشروطة بضمیمة الخبر لم یبق وجه لاعتبار مجموع الفقرات و إن فرض الملازمة بینها فی الصدق؛ فإنّ الملازمة فی الصدق إنّما تجدی سرایة اعتبار البعض إلی اعتبار الکلّ لو کان اعتبار البعض من جهة الصدق، لا من جهة اعتبار الشهرة کما هو المفروض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العمل بکلّ ما طابق الشهرة من فقرات کتاب فقه الرضا علیه السّلام علی تقدیر حجّیة الشهرة المنضمّة إلی الروایة، و عدم جواز العمل بشی‌ء من </w:t>
      </w:r>
    </w:p>
    <w:p>
      <w:pPr>
        <w:pStyle w:val="BookText"/>
        <w:rPr/>
      </w:pPr>
      <w:r>
        <w:rPr>
          <w:rFonts w:ascii="IRNazanin" w:hAnsi="IRNazanin" w:eastAsia="IRNazanin"/>
          <w:color w:val="111111"/>
          <w:sz w:val="28"/>
          <w:sz w:val="28"/>
          <w:szCs w:val="28"/>
          <w:rtl w:val="true"/>
          <w:lang w:bidi="fa-IR"/>
        </w:rPr>
        <w:t>فقراته علی تقدیر العکس، ضرورة أنّ الجابر لضعف سند الروایة هی الشهرة الناشئة عن العمل بالروایة لا مجرّد الشهرة المتفق مصادفتها للروایة، و لم یعلم من المتقدّمین استناد عملهم إلی فقه الرضا الذین بعملهم یتحقّق جبران ضعف السند، لأنّ مبدأ حدوث المعرفة بفقه الرضا علیه السّلام إنّما نشأ من زمن المجلسی دون زمن من تقدّمه من العلماء و إن احتمل معرفة المتقدّمین به أیضا و صدور شهرتهم من العمل به أیضا، إلّا أنّ مجرّد احتمال عملهم به غیر کاف فی جبران ضعف سنده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الکلام فی تفصیل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الشهرة الکاشفة بالکشف الظنّی عن معقدها إمّا أن تنعقد علی الدلیل و المدلول، أعنی الروایة و الحکم، أو علی الدلیل دون المدلول، أو علی المدلول دون الدلیل، أو علی الدلالة دون طرفیها، و علی کلّ من هذه الأقسام الأربعة، إمّا أن تنطبق علی مجموع الدلیل أعنی الروایة، أو علی بعض فقرات لفظه، أو علی بعض أفراد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الشهرة فی القسمین الأولین المسمّاة بالشهرة السندیة و الروایتیة فلا إشکال فی اعتبار معقدها، لاندراج ذلک المعقد فی النبأ المتبیّن عنه، و مقتضاه اعتبار مقدار ما هو معقد للشهرة من الروایة إن مجموعا فمجموع، و إن أبعاضا فأبعاض، و إن أفرادا فأفراد، إلّا أنّ یفرض الملازمة الخارجیة بین ذلک البعض و سائر الأبعاض أو ذلک الفرد و سائر الأفراد، و کان المفروض اعتبار الشهرة من باب اعتبار الروایة المنجبرة بالشهرة لا من باب العکس، و إلّا فلا یتعدّی عن اعتبار ما هو معقد الشهرة من مقدار الروایة إلی سائر أبعاض ذلک المعقد أو افراد مضمونه و إن فرض الملازمة الخارجیة بینهما؛ فإن فرض الملازمة علی تقدیر اعتبار الشهرة المنضمّة إلی الروایة دون تقدیر العکس إنّما یجدی اعتبار اللازم من سائر الأبعاض أو الأفراد من باب الملازمة لا من باب نفس اعتبار الشهرة، کما کان یجدی اعتباره من باب نفس اعتبار الروایة علی التقدیر الآخر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إشکال فی عدم الدلیل علی اعتبار معقد الشهرة الدلالتیة فضلا عن </w:t>
      </w:r>
    </w:p>
    <w:p>
      <w:pPr>
        <w:pStyle w:val="BookText"/>
        <w:rPr/>
      </w:pPr>
      <w:r>
        <w:rPr>
          <w:rFonts w:ascii="IRNazanin" w:hAnsi="IRNazanin" w:eastAsia="IRNazanin"/>
          <w:color w:val="111111"/>
          <w:sz w:val="28"/>
          <w:sz w:val="28"/>
          <w:szCs w:val="28"/>
          <w:rtl w:val="true"/>
          <w:lang w:bidi="fa-IR"/>
        </w:rPr>
        <w:t>اعتبار غیر معقده؛ نظرا إلی أنّ اعتبار الظنّ بالمراد إنّما هو إذا حصل من عموم أو إطلاق أو نحوهما من القرائن الداخلیة لا الخارجیة حسبما تقرّر فی محلّه من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دلیل أیضا علی اعتبار معقدها فی القسم الثالث أعنی المصادقة لمضمون الروایة الضعیفة المسمّاة بالشهرة المضمونیة، لکن عدم اعتباره لیس لأجل أنّ المراد من التبیّن المنوط به اعتبار نبأ الفاسق خصوص التبیّن العلمیّ حتی یستظهر منه تعمیمه التبیّن الظنی أیضا بل إنّما هو لأجل أنّ التبیّن المنوط به اعتبار النبأ هو التبیّن عن مطابقة مضمون النبأ للواقع، من حیث إنّه نبأ صادر عن الحجّة، لا من حیث إنّه مطابق للواقع و لو لم یصدر عن الحجّة، بل کان من حیث الإنباء و الصدور عن الحجّة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المنوط به اعتبار النبأ هو التبیّن عن الحکم من حیث دلیله المفروض کونه نبأ، لا من حیث مطابقته للواقع و إن کان دلیله کذبا مجعولا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یستظهر من آیة النبأ</w:t>
      </w:r>
      <w:r>
        <w:rPr>
          <w:rStyle w:val="FootnoteAnchor"/>
          <w:rtl w:val="true"/>
        </w:rPr>
        <w:footnoteReference w:id="704"/>
      </w:r>
      <w:r>
        <w:rPr>
          <w:rFonts w:ascii="IRNazanin" w:hAnsi="IRNazanin" w:eastAsia="IRNazanin"/>
          <w:color w:val="111111"/>
          <w:sz w:val="28"/>
          <w:sz w:val="28"/>
          <w:szCs w:val="28"/>
          <w:rtl w:val="true"/>
          <w:lang w:bidi="fa-IR"/>
        </w:rPr>
        <w:t>إناطة اعتبار النبأ بأیّ واحد من قسمی التبیّن أو من الغلبة ملازمة مطابقة الحکم للواقع لمطابقة دلیله للواقع أیضا، نظرا إلی أنّ الأخبار المجعولة بالنسبة إلی الأخبار الغیر المجعولة أقلّ قلیل سیما فی أحکام الفروع، و أنّ أغلب دواعی الجعّالین إنّما هو جعل الأحکام علی خلاف الواقع، لا جعل الأدلّة علی خلافه علی وجه یوافق حکمها للواقع</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استظهار إناطة اعتبار النبأ بأیّ واحد من قسمی التبیّن من نفس الآیة و إن کان ضعیفا مبتنیا علی اعتبار الأولویة الظنّیة أو مفهوم التعلیل و اللقب إلّا أنّ استظهاره من ضمیمة الغلبة المذکورة قویّ فی النظر، و مرضیّ استاذنا العلّامة دام ظله و إن لم یرتض به بعض أساتیذنا الآخر</w:t>
      </w:r>
      <w:r>
        <w:rPr>
          <w:rFonts w:eastAsia="IRNazanin" w:cs="IRNazanin"/>
          <w:color w:val="111111"/>
          <w:sz w:val="28"/>
          <w:szCs w:val="28"/>
          <w:rtl w:val="true"/>
          <w:lang w:bidi="fa-IR"/>
        </w:rPr>
        <w:t xml:space="preserve">. </w:t>
      </w:r>
      <w:bookmarkStart w:id="441" w:name="pg12880_153593"/>
    </w:p>
    <w:p>
      <w:pPr>
        <w:pStyle w:val="Heading4"/>
        <w:numPr>
          <w:ilvl w:val="3"/>
          <w:numId w:val="1"/>
        </w:numPr>
        <w:rPr/>
      </w:pPr>
      <w:bookmarkStart w:id="442" w:name="__RefHeading___Toc2986615_3224264995"/>
      <w:bookmarkStart w:id="443" w:name="_Toc166"/>
      <w:bookmarkEnd w:id="441"/>
      <w:bookmarkEnd w:id="442"/>
      <w:r>
        <w:rPr>
          <w:rtl w:val="true"/>
        </w:rPr>
        <w:t>تنبیهان</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الشهرة کالإجماع تنقسم إلی محصّلة و منقولة، فالمحصّلة حکمها من الاعتبار و عدم الاعتبار قد عرفته تفصیلا بما لا مزید علیه، و المنقولة حکمها حکم الإجماع المنقول الآتی فی الاعتبار و عدم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اعتراض الفصول علی الشهرة المحصّلة بعدم إمکان العلم و الاطلاع علیها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مصنّف لکثیر من أصحابنا و کثیر من أصحاب التصنیف قد اضمحلت مصنّفاتهم و اندرست کتبهم، فلیس من یطلع علی قوله من الأصحاب إلّا البعض القلیل، فکیف یمکن الوقوف علی الشهرة و العلم بها مع الجهل بقول الآخرین؟ و أیضا تدوین الفتاوی لم تکن متداولة بین قدماء أصحابنا و إنّما کان طریقهم الجمود علی تدوین الأخبار غالبا، فکیف یمکن الاطلاع علی مذاهبهم؟</w:t>
      </w:r>
    </w:p>
    <w:p>
      <w:pPr>
        <w:pStyle w:val="BookText"/>
        <w:rPr/>
      </w:pPr>
      <w:r>
        <w:rPr>
          <w:rFonts w:ascii="IRNazanin" w:hAnsi="IRNazanin" w:eastAsia="IRNazanin"/>
          <w:color w:val="111111"/>
          <w:sz w:val="28"/>
          <w:sz w:val="28"/>
          <w:szCs w:val="28"/>
          <w:rtl w:val="true"/>
          <w:lang w:bidi="fa-IR"/>
        </w:rPr>
        <w:t>و علی الشهرة المنقولة بعدم حجّیتها إن أمکن الاطلاع علیها بطریق التحصیل للأصل، و لعدم حصول الاستفراغ التامّ المعتبر فی الاجتهاد حینئذ، و إلّا جاز التعویل علیها مع حصول الوثوق بنقله تعویلا علی الظاهر من نقل الثقة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فیندفع الأول منهما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العلم و الاطلاع علی الإجماعیات و الضروریات حسبما مرّ فی مبحث الإجماع بما لا مزید علیه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لأساطین الأصحاب و رؤسائهم المعروفین فی کلّ عصر من الأعصار مصنّفات معروفة و کتب مشهورة و لو کانت من قبیل الأخبار التی دوّنوها للعمل، فإنّ تدوین الأخبار بالنسبة إلی القدماء نظیر تدوین الفتاوی بالنسبة إلی </w:t>
      </w:r>
    </w:p>
    <w:p>
      <w:pPr>
        <w:pStyle w:val="BookText"/>
        <w:rPr/>
      </w:pPr>
      <w:r>
        <w:rPr>
          <w:rFonts w:ascii="IRNazanin" w:hAnsi="IRNazanin" w:eastAsia="IRNazanin"/>
          <w:color w:val="111111"/>
          <w:sz w:val="28"/>
          <w:sz w:val="28"/>
          <w:szCs w:val="28"/>
          <w:rtl w:val="true"/>
          <w:lang w:bidi="fa-IR"/>
        </w:rPr>
        <w:t>المتأخرین، و قضاء العادة و الغلبة قاض بوقوف أولئک المصنّفین علی مذهب معاصریهم و من یقرب عصرهم و تصدیهم لنقل أقوالهم و ضبطها و لو بطریق الإجمال و عدم تعیین القائل، فمع عدم نقل الخلاف إلّا عن قلیل مما یستکشف به بحکم قضاء العادة و الغلبة عن عدم مخالف یعتدّ به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أضافه الفصول قدّس سرّه علی الجواب المذکور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یبعد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الشهرة المفیدة للظنّ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یناط بها الأحکام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الشهرة بین من وقف علی قوله من أصحابنا الذین تداولت کتبهم و نقلت آرائهم، دون غیرهم ممن یتعذر الوصول إلی معرفة قوله غالبا</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فبعید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بعد الإغماض عما یقتضیه العادة و الغلبة المذکورتین من أنّ ما یتیسر لنا الوصول إلیه من الشهرة شهرة واقعیة کیف ینوط بها الأحکام المنوطة بالموضوعات و الامور الواقعیة مع احتمال کونها خلاف المشهور واقعا، اذ لم یکن دلیل آخر یدلّ علی کونها شهرة واقعیة، و لا علی تنزیلها منزلة الشهرة الواقعیة من باب التعبّد إلّا ما قد یتخیّل من أصالة عدم وجود مخالف سوی ما وجدناه و وقفنا علیه، و هو مضافا إلی أنّه من الاصول المثبتة للشهرة دون الحکم الشرعی لا مجری له إلّا بالخروج عن فرض المورد المدّعی للعلم الإجمالی بوجود غیر ما وجدنا و وصلنا إلیه من فتوی المفتین، المعارض أصالة عدم مخالفتهم بأصالة عدم موافقتهم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الجواب عن الاعتراض الأول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عن الاعتراض الثانی فمبنیّ علی التحقیق الآتی فی کیفیة اعتبار قول الثقة هل هو فی عرض اعتبار الأدلّة العلمیة کما هو المشهور، أو فی طولها کما علیه الفصول</w:t>
      </w:r>
      <w:r>
        <w:rPr>
          <w:rFonts w:eastAsia="IRNazanin" w:cs="IRNazanin"/>
          <w:color w:val="111111"/>
          <w:sz w:val="28"/>
          <w:szCs w:val="28"/>
          <w:rtl w:val="true"/>
          <w:lang w:bidi="fa-IR"/>
        </w:rPr>
        <w:t xml:space="preserve">. </w:t>
      </w:r>
      <w:bookmarkStart w:id="444" w:name="pg12880_153595"/>
    </w:p>
    <w:p>
      <w:pPr>
        <w:pStyle w:val="BookText"/>
        <w:rPr/>
      </w:pPr>
      <w:bookmarkEnd w:id="444"/>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تعارض شهرة القدماء لشهرة المتأخرین فیمکن ترجیح شهرة القدماء من حیث المنقول، لکونهم أقرب إلی زمن المعصوم، و أمکن من تحصیل القرائن الموجبة للقطع، و أطلع علی الأخبار و الآثار و حال الرجال فی الجرح و التعدیل، و ترجیح شهرة المتأخرین من حیث المعقول، لکونهم أدقّ نظرا، و أعرف بوجوه الاستنباط و مجاری الاصول و القواعد، و قد ورد فی تعلیل النهی عن تغییر الناقل اسلوب الحدیث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حامل فقه إلی من هو أفقه منه</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فی الفصول</w:t>
      </w:r>
      <w:r>
        <w:rPr>
          <w:rStyle w:val="FootnoteAnchor"/>
          <w:rtl w:val="true"/>
        </w:rPr>
        <w:footnoteReference w:id="708"/>
      </w:r>
      <w:r>
        <w:rPr>
          <w:rFonts w:ascii="IRNazanin" w:hAnsi="IRNazanin" w:eastAsia="IRNazanin"/>
          <w:color w:val="111111"/>
          <w:sz w:val="28"/>
          <w:sz w:val="28"/>
          <w:szCs w:val="28"/>
          <w:rtl w:val="true"/>
          <w:lang w:bidi="fa-IR"/>
        </w:rPr>
        <w:t>و القوانین</w:t>
      </w:r>
      <w:r>
        <w:rPr>
          <w:rStyle w:val="FootnoteAnchor"/>
          <w:rtl w:val="true"/>
        </w:rPr>
        <w:footnoteReference w:id="709"/>
      </w:r>
      <w:r>
        <w:rPr>
          <w:rFonts w:ascii="IRNazanin" w:hAnsi="IRNazanin" w:eastAsia="IRNazanin"/>
          <w:color w:val="111111"/>
          <w:sz w:val="28"/>
          <w:sz w:val="28"/>
          <w:szCs w:val="28"/>
          <w:rtl w:val="true"/>
          <w:lang w:bidi="fa-IR"/>
        </w:rPr>
        <w:t>من تقویة الرجوع إلی ما یکون الظنّ معه أقوی، المختلف باختلاف الموارد و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رب مشهور لا أصل له فی مقام و لا مناص عنه فی مقام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فتخریج للمسألة عما هو وظیفة سائر مسائل الاصول من البحث عن کلّ منها مع الغضّ عن الخصوصیات الخارجیة المختلفة باختلاف الموارد و المقامات، فوظیفة الکلام فی المسألة علی الوجه الموظّف فی سائر مسائل الاصول هو فرض التساوی بین الشهرتین من کلّ جهة إلّا التقدّم و التأخّر</w:t>
      </w:r>
      <w:r>
        <w:rPr>
          <w:rFonts w:eastAsia="IRNazanin" w:cs="IRNazanin"/>
          <w:color w:val="111111"/>
          <w:sz w:val="28"/>
          <w:szCs w:val="28"/>
          <w:rtl w:val="true"/>
          <w:lang w:bidi="fa-IR"/>
        </w:rPr>
        <w:t>.</w:t>
      </w:r>
    </w:p>
    <w:p>
      <w:pPr>
        <w:pStyle w:val="Heading3"/>
        <w:numPr>
          <w:ilvl w:val="2"/>
          <w:numId w:val="1"/>
        </w:numPr>
        <w:rPr/>
      </w:pPr>
      <w:bookmarkStart w:id="445" w:name="__RefHeading___Toc2986617_3224264995"/>
      <w:bookmarkStart w:id="446" w:name="_Toc167"/>
      <w:bookmarkEnd w:id="445"/>
      <w:r>
        <w:rPr>
          <w:rtl w:val="true"/>
        </w:rPr>
        <w:t>[</w:t>
      </w:r>
      <w:r>
        <w:rPr>
          <w:rtl w:val="true"/>
        </w:rPr>
        <w:t>أصل الکلام فی حکم مخالفة الإجماع البسیط و المرکّب</w:t>
      </w:r>
      <w:r>
        <w:rPr>
          <w:rtl w:val="true"/>
        </w:rPr>
        <w:t>]</w:t>
      </w:r>
      <w:bookmarkEnd w:id="446"/>
    </w:p>
    <w:p>
      <w:pPr>
        <w:pStyle w:val="BookText"/>
        <w:rPr/>
      </w:pPr>
      <w:r>
        <w:rPr>
          <w:rFonts w:ascii="IRNazanin" w:hAnsi="IRNazanin" w:eastAsia="IRNazanin"/>
          <w:color w:val="111111"/>
          <w:sz w:val="28"/>
          <w:sz w:val="28"/>
          <w:szCs w:val="28"/>
          <w:rtl w:val="true"/>
          <w:lang w:bidi="fa-IR"/>
        </w:rPr>
        <w:t>یقع فی مراحل</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فی تشخیص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فالإجماع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الاتفاق الکاشف </w:t>
      </w:r>
    </w:p>
    <w:p>
      <w:pPr>
        <w:pStyle w:val="BookText"/>
        <w:rPr/>
      </w:pPr>
      <w:r>
        <w:rPr>
          <w:rFonts w:ascii="IRNazanin" w:hAnsi="IRNazanin" w:eastAsia="IRNazanin"/>
          <w:color w:val="111111"/>
          <w:sz w:val="28"/>
          <w:sz w:val="28"/>
          <w:szCs w:val="28"/>
          <w:rtl w:val="true"/>
          <w:lang w:bidi="fa-IR"/>
        </w:rPr>
        <w:t>عن قول واحد، و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الاتفاق الکاشف الناشئ عن القولین فصاعدا، المنافی للقول الثالث، و توصیفه بالمرکّب من قبیل الوصف الحقیقی لا السببی، کما قد توهّم فی محفل 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اصطلاح القدماء من کون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مجموع 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المکشوف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حقیقة أحدهما أو نفی الزائد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ترکیبه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اصطلحه المتأخّرون من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نفس الکاشف فلوفاء القولین الکاشفین عن حقیقة أحدهما أو نفی الزائد فی صدق الترکیب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مخالفة کلّ من الإجماعین تارة یکون بمخالفة أصل الحکم المجمع علیه کالقول بوجوب ما أجمع علی غیر وجوبه من سائر الأحکام، و تارة یکون بمخالفة موضوع الحکم المجمع علیه من عموم أو إطلاق کالتفصیل بین ما اجمع علی إطلاق الحکم فیه و تسمّی المخالفة الاولی بخرق الإجماع، کما تسمّی المخالفة الثانیة بالقول بالفصل، و النسبة بینهما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البسیط فلتصادقهما علی مثل القول بوجوب بعض أفراد ما اجمع علی إباحة کلّها، و تفارقهما فی مثل القول بوجوب ما اجمع علی إباحته و إباحة بعض أفراد ما اجمع علی إباحة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المرکّب فلتصادقهما علی مثل القول بوجوب بعض أفراد ما اجمع علی حرمة کلّها أو إباحة کلّها، و تفارقهما فی مثل القول بوجوب ما اجمع علی حرمته و وجوب بعض أفراد ما اجمع علی وجوب کلّها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المخالفة للإجماع إمّا مخالفة عملیة کالقول بوجوب ما أجمعوا بالإجماع البسیط علی حرمته أو العکس، و کالقول بجواز ردّ الأمة الباکرة بعد </w:t>
      </w:r>
    </w:p>
    <w:p>
      <w:pPr>
        <w:pStyle w:val="BookText"/>
        <w:rPr/>
      </w:pPr>
      <w:r>
        <w:rPr>
          <w:rFonts w:ascii="IRNazanin" w:hAnsi="IRNazanin" w:eastAsia="IRNazanin"/>
          <w:color w:val="111111"/>
          <w:sz w:val="28"/>
          <w:sz w:val="28"/>
          <w:szCs w:val="28"/>
          <w:rtl w:val="true"/>
          <w:lang w:bidi="fa-IR"/>
        </w:rPr>
        <w:t>وطئها مجّانا إذا وجد فیها العیب، فی قبال الاتفاق من فرقة علی عدم جواز ردّها مطلقا، و من فرقة اخری علی جواز ردّها مع أرش البکارة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مخالفة التزامیة کالالتزام باستحباب ما اجمع بالإجماع البسیط علی إباحته أو العکس، و کالالتزام بالإباحة فی ما اجمع بالإجماع المرکّب علی وجوبه من فرقة و حرمته من فرقة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حکم المخالفة العملیة للإجماع عندنا معاشر الخاصّة القائلین بحجّیته من باب الکشف عن عمل المعصوم ففی عدم الجواز و حرمته مطلقا و لو کانت المخالفة فی ضمن القول بالفصل دون خرق الاجماع، أو مخالفة للإجماع المرکّب دون الإجماع البسیط؛ و ذلک لأنّ القول بحجّیة الإجماع و وجوب العمل بأیّ قسم من قسمیه من باب حجّیة قول المعصوم و وجوب العمل به ملازم لبطلان المخالفة و حرمة أی قسم من قسمیه إن لم یکن عینه، کما أنّ الأمر بالشی‌ء ملازم للنهی عن ضدّه العامّ و حرمته إن لم یکن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التزم منا بعدم حجّیته کالأخباریة لزمه الالتزام بجواز مخالفته و لو کان الإجماع بسیطا و المخالفة خرقا، و العهدة علیه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عند العامّة</w:t>
      </w:r>
      <w:r>
        <w:rPr>
          <w:rStyle w:val="FootnoteAnchor"/>
          <w:rtl w:val="true"/>
        </w:rPr>
        <w:footnoteReference w:id="710"/>
      </w:r>
      <w:r>
        <w:rPr>
          <w:rFonts w:ascii="IRNazanin" w:hAnsi="IRNazanin" w:eastAsia="IRNazanin"/>
          <w:color w:val="111111"/>
          <w:sz w:val="28"/>
          <w:sz w:val="28"/>
          <w:szCs w:val="28"/>
          <w:rtl w:val="true"/>
          <w:lang w:bidi="fa-IR"/>
        </w:rPr>
        <w:t>القائلین بحجّیته من باب التعبّد لا الکشف ففی حکم المخالفة عندهم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الفصل فیجوز، و الخرق فلا یجوز، و هو الأقرب إلی مقتضی أدلّتهم، و ذلک إمّا لعدم اندراج القول بالفصل فی موضوع مخالفة المجمع علیه بواسطة أنّ ما هو مجمع علیه من نفی الثالث لیس مخالفا للقول بالفصل، و ما هو مخالف للقول بالفصل من کلّ من طرفی الإجماع المرکّب لیس مجمعا علیه، و إمّا لعدم نهوض أدلّتهم علی حجّیة الإجماع و حرمة مخالفته </w:t>
      </w:r>
    </w:p>
    <w:p>
      <w:pPr>
        <w:pStyle w:val="BookText"/>
        <w:rPr/>
      </w:pPr>
      <w:r>
        <w:rPr>
          <w:rFonts w:ascii="IRNazanin" w:hAnsi="IRNazanin" w:eastAsia="IRNazanin"/>
          <w:color w:val="111111"/>
          <w:sz w:val="28"/>
          <w:sz w:val="28"/>
          <w:szCs w:val="28"/>
          <w:rtl w:val="true"/>
          <w:lang w:bidi="fa-IR"/>
        </w:rPr>
        <w:t xml:space="preserve">إلی حجّیّة الإجماع المرکّب و حرمة القول بالفصل، إذ من أدلّتهم الإجماع علی القطع بتخطئة المخالف، و هو فی المقام غیر واضح؛ لتحقق الخلاف فیه بینهم، و عدم وضوح قطع الموافق، و من أدلّتهم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أمّتی علی خطأ</w:t>
      </w:r>
      <w:r>
        <w:rPr>
          <w:rFonts w:eastAsia="IRNazanin" w:cs="IRNazanin"/>
          <w:color w:val="111111"/>
          <w:sz w:val="28"/>
          <w:szCs w:val="28"/>
          <w:rtl w:val="true"/>
          <w:lang w:bidi="fa-IR"/>
        </w:rPr>
        <w:t>»</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یتّبع غیر سبیل المؤمنین</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و غیر ذلک من الآیات و الأخبار، و هی و إن کانت عمومات بعضها تصلح للنهوض علی حرمة القول بالفصل إلّا أنّ ظهور انصرافها إلی حرمة الخرق بل خصوص خرق الإجماع البسیط مانع من النهوض إلی حرمة القول بالفصل، سیما فصل الإجماع المرکّب؛ و ذلک لأنّ اللازم لقول کلّ الامّة إنّما هو نفس اتّحاد الحکم فی کلّ الأفراد بلزوم تبعیّ غیر مقصود بالأصالة کلزوم الأمر بالشی‌ء للنهی عن ضدّه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القول باتّحاد الحکم فی کلّ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أشار إلیه فی القوانین</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یخفی أنّ کلّ ما ذکر أو یذکر فی کتب القوم فی وجه استثناء القول بالفصل عن بطلان مخالفة الإجماع و حرمتها إنّما هو مبنیّ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تنصیص المجمعین علی عدم الفصل و عدم اتحاد الطریق، و إلّا فإن نصّوا علی عدم الفصل أو اتّحد الطریق فلا وجه للفصل، کما عن العلّامة فی تهذیبه</w:t>
      </w:r>
      <w:r>
        <w:rPr>
          <w:rStyle w:val="FootnoteAnchor"/>
          <w:rtl w:val="true"/>
        </w:rPr>
        <w:footnoteReference w:id="714"/>
      </w:r>
      <w:r>
        <w:rPr>
          <w:rFonts w:ascii="IRNazanin" w:hAnsi="IRNazanin" w:eastAsia="IRNazanin"/>
          <w:color w:val="111111"/>
          <w:sz w:val="28"/>
          <w:sz w:val="28"/>
          <w:szCs w:val="28"/>
          <w:rtl w:val="true"/>
          <w:lang w:bidi="fa-IR"/>
        </w:rPr>
        <w:t>لاتّحاد هذا النوع من الفصل مع الخرق فی الحکم بل فی الموضوع</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 المجمعین الترکیب فی الحکم المجمعین علیه، و إلّا فإن فرض اعتبارهم الترکیب و اشتراطهم فی العمل بحکم المجمع علیه عدم التفکیک بین أفراد موضوع ذلک الحکم علی وجه یکون الأخذ بالحکم فی بعض </w:t>
      </w:r>
    </w:p>
    <w:p>
      <w:pPr>
        <w:pStyle w:val="BookText"/>
        <w:rPr/>
      </w:pPr>
      <w:r>
        <w:rPr>
          <w:rFonts w:ascii="IRNazanin" w:hAnsi="IRNazanin" w:eastAsia="IRNazanin"/>
          <w:color w:val="111111"/>
          <w:sz w:val="28"/>
          <w:sz w:val="28"/>
          <w:szCs w:val="28"/>
          <w:rtl w:val="true"/>
          <w:lang w:bidi="fa-IR"/>
        </w:rPr>
        <w:t>أفراد موضوعه مشروطا عند المجمعین علیه بالأخذ به فی سائر الأفراد، و عدم الأخذ به فی البعض مشروطا بعدم الأخذ به فی الکلّ، فلا وجه للفصل أیضا لما ذکر من اتحاد هذا النوع من الفصل مع الخرق فی الحکم بل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ثبوت هاتین المقدّمتین یبتنی تصحیح ردّ المانعین للقول بالفصل بأنّ عدم تفصیل المجمعین لیس قولا بعدم الفصل حتی یکون الفصل ممتنعا و المفصّل مخالفا للإجماع، فإنّ الممتنع مخالفة ما قالوا بنفیه لا ما لم یقولوا بثبوته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منع تلک المقدّمتین یبتنی تصحیح اعتراض السلطان فی حاشیة المعالم علی الردّ المذکور بأنّ من قال بالإیجاب الکلّی فی مثل مسألة العیوب یستلزم قوله بطلان السلب الجزئی الذی هو نقیضه قطعا بل بطلان التفرقة، و من قال بالسلب الکلّی یستلزم قوله بطلان الإیجاب الجزئی الذی هو نقیضه قطعا بل بطلان التفرقة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بالتفصیل مرکّب من الجزءین، فالمرکب منهما باطل علی القولین باعتبار أحد جزئیه قطعا، فإنّ تصحیح أصل الاعتراض مبتنی علی منع المقدّمة الاولی، أعنی منع عدم تنصیص المجمعین علی عدم الفصل، و تصحیح علاوة الاعتراض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بطلان التفرقة مبنیّ علی منع المقدمة الثانیة، أعنی منع عدم اعتبار المجمعین الترکیب فی الحکم، و علی ثبوت کلا المقدّمتین یبتنی دفع اعتراض السلطان بما فی القوانین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یخفی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کلمات المانعین للقول بالفصل مبتنیة علی منع إحدی المقدّمتین کما أنّ جمیع کلمات المجوّزین له مبتنیة علی ثبوت کلاهما، و هذا میزان عدل تشخّص به مقصود کلمات کلّ من الفریقین، لا یخفی علیک قدره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حکم المخالفة العملیة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حکم المخالفة الالتزامیة فبالنسبة إلی الإجماع البسیط هو حکم المخالفة العملیة فی المنع لأدائها إلی المخالفة العملیة دفعة، و أمّا بالنسبة إلی الإجماع المرکّب عند عدم المرجّح لأحد طرفی المرکّب و عدم إمکان الجمع بینهما احتیاطا ففی جوازها و البناء علی الإباحة الظاهریة، و المنع من جوازها و وجوب الالتزام بأحد طرفی المرکّب تخییرا ظاهریا، أو واقعیا أقوال، أقواها الأول، و أحوطها الأوسط، و أبعدها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 المشهور المنصور حینئذ هو الالتزام بالتخییر فی المسألة، لکن لا بالتخییر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التخییر الواقعی لا یتم إلّا بما انفرد به الشیخ</w:t>
      </w:r>
      <w:r>
        <w:rPr>
          <w:rStyle w:val="FootnoteAnchor"/>
          <w:rtl w:val="true"/>
        </w:rPr>
        <w:footnoteReference w:id="716"/>
      </w:r>
      <w:r>
        <w:rPr>
          <w:rFonts w:ascii="IRNazanin" w:hAnsi="IRNazanin" w:eastAsia="IRNazanin"/>
          <w:color w:val="111111"/>
          <w:sz w:val="28"/>
          <w:sz w:val="28"/>
          <w:szCs w:val="28"/>
          <w:rtl w:val="true"/>
          <w:lang w:bidi="fa-IR"/>
        </w:rPr>
        <w:t xml:space="preserve">من تمامیة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الاستکشاف بها عن التخییر الواقعی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فلأنّا و لو سلّمنا تمامیة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الاستکشاف بها عن التخییر الواقعی فی المسألة مخرج للمسألة عن حدّ فرضها، أعنی فرض دخول المعصوم فی إحدی الطائفتین، إذ بعض فرض ذلک یستحیل فرض الحکم خارجا عما علیه إحدی الطائفتین قطعا، و راجع إلی طرح قول الإمام رأسا، أعنی ظاهرا و واقعا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السیّد فی الذریعة التزامه بالرجوع إلی مقتضی العقل فی المسألة، و الظاهر منه إرادة الرجوع إلی ما یقتضیه العقل الداخل فی أحد طرفی الإجماع المرکّب و المنطبق المرجّح لأحدهما و هو الإباحة إذا کان الدوران بین الوجوب و غیر الحرام، و الحظر إذا کان الدوران بین الوجوب و الحرام، لا العقل الخارج عن کلا طرفی الإجماع المرکّب، أعنی الجاری بعد طرح کلا القولین و فرض الواقعة خالیة عن کلاهما الراجع إلی المخالفة الالتزامیة و یحتمل رجوعه إلیها أیضا</w:t>
      </w:r>
      <w:r>
        <w:rPr>
          <w:rFonts w:eastAsia="IRNazanin" w:cs="IRNazanin"/>
          <w:color w:val="111111"/>
          <w:sz w:val="28"/>
          <w:szCs w:val="28"/>
          <w:rtl w:val="true"/>
          <w:lang w:bidi="fa-IR"/>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بعض آخر الالتزام بالتوقّف، و لکن الظاهر رجوعه إلی أحد الالتزامات الثلاثة المتقدّمة، من الالتزام بالتخییر، أو الرجوع إلی العقل الداخل، أو العقل الخارج الراجع إلی المخالفة الالتزامیة، لأنّ احتمال إرادة الرجوع إلی الاحتیاط من التوقف بعید فی غیر الشکّ فی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الکلام فی المسألة و تفصیل وجوه الأقوال فیها موکول إلی ما سیأتی فی مسألة اعتبار العلم الإجمالی، فإنّا أشبعنا الکلام فیها فی تلک المسألة بحمد اللّه تعالی</w:t>
      </w:r>
      <w:r>
        <w:rPr>
          <w:rFonts w:eastAsia="IRNazanin" w:cs="IRNazanin"/>
          <w:color w:val="111111"/>
          <w:sz w:val="28"/>
          <w:szCs w:val="28"/>
          <w:rtl w:val="true"/>
          <w:lang w:bidi="fa-IR"/>
        </w:rPr>
        <w:t xml:space="preserve">. </w:t>
      </w:r>
      <w:bookmarkStart w:id="447" w:name="pg12880_153602"/>
    </w:p>
    <w:p>
      <w:pPr>
        <w:pStyle w:val="BookText"/>
        <w:rPr/>
      </w:pPr>
      <w:bookmarkEnd w:id="447"/>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2986619_3224264995"/>
      <w:bookmarkStart w:id="449" w:name="_Toc168"/>
      <w:bookmarkEnd w:id="448"/>
      <w:r>
        <w:rPr>
          <w:rtl w:val="true"/>
        </w:rPr>
        <w:t>الکلام فی الخبر یقع من جهات</w:t>
      </w:r>
      <w:r>
        <w:rPr>
          <w:rtl w:val="true"/>
        </w:rPr>
        <w:t>:</w:t>
      </w:r>
      <w:bookmarkEnd w:id="449"/>
    </w:p>
    <w:p>
      <w:pPr>
        <w:pStyle w:val="Heading4"/>
        <w:numPr>
          <w:ilvl w:val="3"/>
          <w:numId w:val="1"/>
        </w:numPr>
        <w:rPr/>
      </w:pPr>
      <w:bookmarkStart w:id="450" w:name="__RefHeading___Toc2986621_3224264995"/>
      <w:bookmarkStart w:id="451" w:name="_Toc169"/>
      <w:bookmarkEnd w:id="450"/>
      <w:r>
        <w:rPr>
          <w:rtl w:val="true"/>
        </w:rPr>
        <w:t>اشارة</w:t>
      </w:r>
      <w:bookmarkEnd w:id="451"/>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تشخیص الموضوع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لغة</w:t>
      </w:r>
      <w:r>
        <w:rPr>
          <w:rStyle w:val="FootnoteAnchor"/>
          <w:rtl w:val="true"/>
        </w:rPr>
        <w:footnoteReference w:id="717"/>
      </w:r>
      <w:r>
        <w:rPr>
          <w:rFonts w:ascii="IRNazanin" w:hAnsi="IRNazanin" w:eastAsia="IRNazanin"/>
          <w:color w:val="111111"/>
          <w:sz w:val="28"/>
          <w:sz w:val="28"/>
          <w:szCs w:val="28"/>
          <w:rtl w:val="true"/>
          <w:lang w:bidi="fa-IR"/>
        </w:rPr>
        <w:t>النبأ، و هو المعنی الذی ینبّأ به دون الحدث، و لهذا لا یتصرّف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اختصاصهما بالإخبار و الإنباء عن حسّ مدفوع بشهادة التبادر و الاستعمال علی خلافه، و قد کثر مجی‌ء الإنباء فی الکتاب العزیز للإخبار عن غیر حسّ نحو یُنَبِّئُکُمْ</w:t>
      </w:r>
      <w:r>
        <w:rPr>
          <w:rFonts w:eastAsia="IRNazanin" w:cs="IRNazanin"/>
          <w:color w:val="111111"/>
          <w:sz w:val="28"/>
          <w:szCs w:val="28"/>
          <w:rtl w:val="true"/>
          <w:lang w:bidi="fa-IR"/>
        </w:rPr>
        <w:t>*</w:t>
      </w:r>
      <w:r>
        <w:rPr>
          <w:rStyle w:val="FootnoteAnchor"/>
          <w:rtl w:val="true"/>
        </w:rPr>
        <w:footnoteReference w:id="718"/>
      </w:r>
      <w:r>
        <w:rPr>
          <w:rFonts w:ascii="Amiri" w:hAnsi="Amiri" w:eastAsia="Amiri" w:cs="Amiri"/>
          <w:color w:val="111111"/>
          <w:sz w:val="28"/>
          <w:sz w:val="28"/>
          <w:szCs w:val="28"/>
          <w:rtl w:val="true"/>
          <w:lang w:bidi="ar-SA"/>
        </w:rPr>
        <w:t>نَبِّئْ عِبادِی</w:t>
      </w:r>
      <w:r>
        <w:rPr>
          <w:rStyle w:val="FootnoteAnchor"/>
          <w:rtl w:val="true"/>
        </w:rPr>
        <w:footnoteReference w:id="719"/>
      </w:r>
      <w:r>
        <w:rPr>
          <w:rFonts w:ascii="Amiri" w:hAnsi="Amiri" w:eastAsia="Amiri" w:cs="Amiri"/>
          <w:color w:val="111111"/>
          <w:sz w:val="28"/>
          <w:sz w:val="28"/>
          <w:szCs w:val="28"/>
          <w:rtl w:val="true"/>
          <w:lang w:bidi="ar-SA"/>
        </w:rPr>
        <w:t>أُنَبِّئُکُمْ بِما تَأْکُلُونَ</w:t>
      </w:r>
      <w:r>
        <w:rPr>
          <w:rStyle w:val="FootnoteAnchor"/>
          <w:rtl w:val="true"/>
        </w:rPr>
        <w:footnoteReference w:id="720"/>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الاصطلاح فیطلق علی ما یقابل الإنشاء و عرّف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قول یحتمل الصدق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الصدق و الکذب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فی تشخیص معنی الصدق و الکذب بحسب اللغة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فی تشخیص ثبوت الواسطة لأیّ واحد من معانیهما المختلف فی 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ثالثة فی بیان عدد الواسطة فی ما فیه الواسطة من معانیهما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رابعة فی تشخیص کون النزاع فی کلّ من معنی الصدق و الکذب، و فی ثبوت الواسطة بینهما و عدمه لفظیا أو معنویا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تارة خامسة فی تشخیص أنّ المدار فی تحقّق الصدق و الکذب علی الظاهر أو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سادسة فی تشخیص کون الصدق و الکذب هل هما من خواصّ النسبة الخبریة، أو الأعمّ منها و من النسبة التقییدیة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سابعة فی تشخیص ثمرات کلّ من النزاعات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إذن فی معنی الصدق و الکذب یقع فی مقامات عدیدة علی حسب تعدّد الاختلافات، فلا یشتبه علیک بعضها ببعض فی مراجعة کتب القوم، فإنّ امتیاز بعضها عن بعض غیر محرّر و منقّح فی أکثرها بما هو حقّه، و لعلّ بعض الاختلافات أیضا ناشئة عن ذلک الإجمال و عدم التنقیح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فتفصیل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المنصور بل الاتفاق ممّن عدا النظّام و الجاحظ هو ظهور الصدق و الکذب عرفا و لغة فی المطابقة و اللامطابقة للواقع، کظهور سائر الألفاظ فی المعانی الواقعیة عرفا بالتبادر و الاستقراء، و عدم صحة السلب، و سائر الأمارات الوضع و علائمه المحرّرة فی الکتب المألوفة، فمعنی الخبر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وقوع مضمونه فی الواقع لا فی اعتقاد المتکلّم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للنظّام</w:t>
      </w:r>
      <w:r>
        <w:rPr>
          <w:rStyle w:val="FootnoteAnchor"/>
          <w:rtl w:val="true"/>
        </w:rPr>
        <w:footnoteReference w:id="721"/>
      </w:r>
      <w:r>
        <w:rPr>
          <w:rFonts w:ascii="IRNazanin" w:hAnsi="IRNazanin" w:eastAsia="IRNazanin"/>
          <w:color w:val="111111"/>
          <w:sz w:val="28"/>
          <w:sz w:val="28"/>
          <w:szCs w:val="28"/>
          <w:rtl w:val="true"/>
          <w:lang w:bidi="fa-IR"/>
        </w:rPr>
        <w:t>فی ذهابه إلی ظهور الصدق فی المطابقة للاعتقاد و إن لم یطابق الواقع، و الکذب فی عدمها و إن طابق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خلافا للجاحظ</w:t>
      </w:r>
      <w:r>
        <w:rPr>
          <w:rStyle w:val="FootnoteAnchor"/>
          <w:rtl w:val="true"/>
        </w:rPr>
        <w:footnoteReference w:id="722"/>
      </w:r>
      <w:r>
        <w:rPr>
          <w:rFonts w:ascii="IRNazanin" w:hAnsi="IRNazanin" w:eastAsia="IRNazanin"/>
          <w:color w:val="111111"/>
          <w:sz w:val="28"/>
          <w:sz w:val="28"/>
          <w:szCs w:val="28"/>
          <w:rtl w:val="true"/>
          <w:lang w:bidi="fa-IR"/>
        </w:rPr>
        <w:t>أیضا فی ذهابه إلی أنّ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مطابقة الواقع و الاعتقاد،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مخالفتهما معا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فیرجع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مذهب النظّام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یعتقده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مذهب الجاحظ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 و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یعتقده و لم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علی مذهب المشهور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لیطلب استدلال کلّ من النظّام و الجاحظ مع جواب کلّ من الاستدلالین من الکتب المألوفة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 فتفصیل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المراد من الاعتقاد کما صرّح به بعضهم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الطرف الراجح فیتناول الظنّ و الجزم بأقسامه الثلاثة، من العلم و التقلید و الجهل المرکّب، و علی ذلک فلا إشکال و لا خلاف فی عدم ثبوت الواسطة بین الصدق و الکذب علی القول المشهور، کما لا إشکال و لا خلاف فی ثبوتها علی القول الأخیر، و هو قول الجاحظ، إنما الإشکال و الخلاف إن کان ففی ثبوت الواسطة علی القول الوسط، و هو قول النظام؛ إذ لو لا تصریح غیر واحد منهم علی أنّ مراد النظّام من عدم مطابقة الاعتقاد ما یتناول صورة عدم الاعتقاد لکانت هی الواسطة من غیر إشکال، و لکن بعد ذلک التصریح لا مجال للإشکال فی عدم الواسطة 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الثالث</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الرابع فتفصیل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النزاع هل هو نزاع لفظیّ أو معنویّ، و علی الثانی هل هو کاللفظی فی عدم الفائدة، أو نزاع فی اللفظ أی فی مسألة لغویة و إن ترتّب علیها ثمرات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کالنزاع فی معنی الصعید و القرء و المرفق و الکعب و ما أشبهه من النزاعات اللغویة و المطالب الجزئیة المترتب علیها ثمرات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نزاع فی مسألة 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قواعد کلّیة کالبحث عن مدالیل الهیئات اللفظیة کهیئة الأمر و النهی و ألفاظ العموم، لا کالنزاع فی مثل لفظ الأمر و النهی و العامّ حتی یکون تعرّض الاصولی له بالاستطراد لا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نزاع اصطلاحی ناشئ عن النزاع فی نقل اللفظین إلی اصطلاح خاصّ و عدمه لئلا یکون مشاحّة فیه وجوه خمسة، بل أقوال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التحقیق فیها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النزاع فی معنی الصدق و الکذب فنزاع فی اللفظ لا نزاع لفظی، ضرورة عدم رجوع النزاع فیه إلی الوفاق فی المعنی، بل المعنی علی کلّ من طرفی النزاع متغایر تغایر الضدّین و تقابلهما، و لا کالنزاع اللفظی ضرورة أنّ الأحکام الفقهیة المترتبة علی النزاع غیر قلیلة، و لا نزاع معنوی اصولی، ضرورة أنّ نظر الاصولی مقصور علی البحث عن القواعد الکلّیة کما یوضح عنه حدّ علم الاصول لا المسائل الجزئیة، و أمّا بحث الاصولی عن لفظ الأمر و النهی و العامّ فبالاستطراد لا بالأصالة، و لا نزاع اصطلاحی؛ إذ لا قائل بنقل اللفظین من المختلفین فی المسألة، فتعیّن أن یکون النزاع فی اللفظ، أعنی مسألة لغویة و الأوضاع المادیة یبحث عنه الاصولی بالاستطراد، کالبحث عن معنی الخبر و 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النزاع فی ثبوت الواسطة 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کاللفظی بل هو عینه نظرا إلی أنّ النزاع فی إثبات الواسطة راجع و متفرع علی النزاع فی معنی الصدق و الکذب، بل هو عینه و أنّ تغایرهما تغایر فی اللفظ و المفهوم، و لعلّه لا إشکال و لا خلاف فیه، و أنّ الخلاف و الإشکال ناشئ عن عدم تنقیح النزاع و تفریقه عن النزاع الأول، و إلّا فبعد التنقیح و تفریق أحدهما عن الآخر لا مجال لنزاع علی حدة فی کون النزاع فی الواسطة نزاع لفظی أو معنوی بأحد 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و تأمّل و راجع</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الخامس</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452" w:name="pg12880_153606"/>
    </w:p>
    <w:p>
      <w:pPr>
        <w:pStyle w:val="Heading4"/>
        <w:numPr>
          <w:ilvl w:val="3"/>
          <w:numId w:val="1"/>
        </w:numPr>
        <w:rPr/>
      </w:pPr>
      <w:bookmarkStart w:id="453" w:name="__RefHeading___Toc2986623_3224264995"/>
      <w:bookmarkStart w:id="454" w:name="_Toc170"/>
      <w:bookmarkEnd w:id="452"/>
      <w:bookmarkEnd w:id="453"/>
      <w:r>
        <w:rPr>
          <w:rtl w:val="true"/>
        </w:rPr>
        <w:t>تنبیهات</w:t>
      </w:r>
      <w:bookmarkEnd w:id="454"/>
    </w:p>
    <w:p>
      <w:pPr>
        <w:pStyle w:val="Heading5"/>
        <w:numPr>
          <w:ilvl w:val="4"/>
          <w:numId w:val="1"/>
        </w:numPr>
        <w:rPr/>
      </w:pPr>
      <w:bookmarkStart w:id="455" w:name="__RefHeading___Toc2986625_3224264995"/>
      <w:bookmarkStart w:id="456" w:name="_Toc171"/>
      <w:bookmarkEnd w:id="455"/>
      <w:r>
        <w:rPr>
          <w:rtl w:val="true"/>
        </w:rPr>
        <w:t>الأول</w:t>
      </w:r>
      <w:r>
        <w:rPr>
          <w:rtl w:val="true"/>
        </w:rPr>
        <w:t xml:space="preserve">: </w:t>
      </w:r>
      <w:r>
        <w:rPr>
          <w:rtl w:val="true"/>
        </w:rPr>
        <w:t>اختلفوا فی دلالة الخبر علی وقوع المخبر به أو إیقاعه علی قولین،</w:t>
      </w:r>
      <w:bookmarkEnd w:id="456"/>
    </w:p>
    <w:p>
      <w:pPr>
        <w:pStyle w:val="BookText"/>
        <w:rPr/>
      </w:pPr>
      <w:r>
        <w:rPr>
          <w:rFonts w:ascii="IRNazanin" w:hAnsi="IRNazanin" w:eastAsia="IRNazanin"/>
          <w:color w:val="111111"/>
          <w:sz w:val="28"/>
          <w:sz w:val="28"/>
          <w:szCs w:val="28"/>
          <w:rtl w:val="true"/>
          <w:lang w:bidi="fa-IR"/>
        </w:rPr>
        <w:t>و التحقیق الحقیق المحاکمة و التصالح بینهما بأنّه یدلّ علی الوقوع مع الإیقاع، دون الوقوع مطلقا و لو لم یقع، لتبادر الإیقاع منه، و للاتفاق علی استناد مضمون الخبر إلی مذهب المخبر و رأیه و اعتقاده، و لا الإیقاع مطلقا و لو لم یکن واقعا فی الخارج، لتبادر الوقوع منه، و للاتفاق علی مباینة الخبر للإنشاء، و علی تکذیب المخبر بغیر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فالقائل بدلالته علی الوقوع إن أراد الوقوع مطلقا فهو خلاف المتبادر و الاتفاق، و إن أراد المقیّد بالإیقاع أیضا فهو کما أنّ القائل بالإیقاع أیضا إن أراد الإیقاع مطلقا فهو خلاف المتبادر و الاتفاق، و إلّا فهو، و من هنا یعلم إمکان رفع النزاع بینهما و إرجاعه إلی النزاع اللفظی بالتصالح و المحاکمة المتقدّمة، و هی دلالة الخبر بالمطابقة علی وقوع المخبر به، أعنی اتّصاف الموضوع بوصف المحمول فی الواقع، و بالالتزام علی إیقاع المخبر به، أعنی توصیف الموضوع بوصف المحمول فی نفس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 غیر مناف لقولهم بدلالة لفظ الخبر علی الوقوع و الصدق، و أنّ الکذب احتمال عقلی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مناف للنزاع فی أنّ الحکم و التصدیق فی الخبر من مقولة الکیف من الأعراض المتطرّقة علی نفس المتکلّم و ذهنه بواسطة تصوّر الطرفین، أم من مقولة الفعل و أفعال النفس و حرکاتها بعد تصوّر الطرفین، أم من مقولة الانفعال و تأثر النفس بتصوّر الطرفین و النسبة؛ فإنّ الارتباط المحمول بالموضوع فی </w:t>
      </w:r>
      <w:bookmarkStart w:id="457" w:name="pg12880_153607"/>
    </w:p>
    <w:p>
      <w:pPr>
        <w:pStyle w:val="BookText"/>
        <w:rPr/>
      </w:pPr>
      <w:bookmarkEnd w:id="457"/>
      <w:r>
        <w:rPr>
          <w:rFonts w:ascii="IRNazanin" w:hAnsi="IRNazanin" w:eastAsia="IRNazanin"/>
          <w:color w:val="111111"/>
          <w:sz w:val="28"/>
          <w:sz w:val="28"/>
          <w:szCs w:val="28"/>
          <w:rtl w:val="true"/>
          <w:lang w:bidi="fa-IR"/>
        </w:rPr>
        <w:t>الأخبار و القضایا اعتبارات و حیثیات، فمن حیث تطرق الارتباط بینهما علی النفس بعد تصوّر الطرفین و النسبة یکون من الکیفیات و الأعراض القائمة بالنفس، و من حیث حصوله بفعل النفس و ربطه بینهما یکون من مقولة الأفعال، و من حیث تأثر النفس بتلک الحرکة النفسانیة و الربط یکون من مقولة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غیر مناف للنزاع فی تثلیث أجزاء القضیة، أعنی ترکیبها من تصوّر الموضوع و المحمول و الحکم، أو تربیعها، أعنی ترکیبها من تصوّر الطرفین و تصوّر النسبة الحکمیة ثمّ الحکم، بل النسبة بین ما ذکر فی دلالته علی الوقوع و الإیقاع و بین القول بتثلیث أجزائه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الأقرب من القولین هو التثلیث لدلالة الوجدان علی توقّف الحکم و التصدیق علی مجرد تصوّر الطرفین لا علی تصوّرهما مع تصور النسبة حتی یقال بتربیع أجزاء القضیة و الخبر، و لا علی تصوّرها مع تصوّر الحکم حتی یقال بتخمیس أجزائها کما لا یخفی</w:t>
      </w:r>
      <w:r>
        <w:rPr>
          <w:rFonts w:eastAsia="IRNazanin" w:cs="IRNazanin"/>
          <w:color w:val="111111"/>
          <w:sz w:val="28"/>
          <w:szCs w:val="28"/>
          <w:rtl w:val="true"/>
          <w:lang w:bidi="fa-IR"/>
        </w:rPr>
        <w:t>.</w:t>
      </w:r>
    </w:p>
    <w:p>
      <w:pPr>
        <w:pStyle w:val="Heading5"/>
        <w:numPr>
          <w:ilvl w:val="4"/>
          <w:numId w:val="1"/>
        </w:numPr>
        <w:rPr/>
      </w:pPr>
      <w:bookmarkStart w:id="458" w:name="__RefHeading___Toc2986627_3224264995"/>
      <w:bookmarkStart w:id="459" w:name="_Toc172"/>
      <w:bookmarkEnd w:id="458"/>
      <w:r>
        <w:rPr>
          <w:rtl w:val="true"/>
        </w:rPr>
        <w:t>[</w:t>
      </w:r>
      <w:r>
        <w:rPr>
          <w:rtl w:val="true"/>
        </w:rPr>
        <w:t>الثانی</w:t>
      </w:r>
      <w:r>
        <w:rPr>
          <w:rtl w:val="true"/>
        </w:rPr>
        <w:t xml:space="preserve">: </w:t>
      </w:r>
      <w:r>
        <w:rPr>
          <w:rtl w:val="true"/>
        </w:rPr>
        <w:t xml:space="preserve">اختلف البیانیون فی دلالة </w:t>
      </w:r>
      <w:r>
        <w:rPr>
          <w:rtl w:val="true"/>
        </w:rPr>
        <w:t>«</w:t>
      </w:r>
      <w:r>
        <w:rPr>
          <w:rtl w:val="true"/>
        </w:rPr>
        <w:t>بعت</w:t>
      </w:r>
      <w:r>
        <w:rPr>
          <w:rtl w:val="true"/>
        </w:rPr>
        <w:t xml:space="preserve">» </w:t>
      </w:r>
      <w:r>
        <w:rPr>
          <w:rtl w:val="true"/>
        </w:rPr>
        <w:t xml:space="preserve">و نحوه من الأخبار و صیغ العقود </w:t>
      </w:r>
      <w:r>
        <w:rPr>
          <w:rtl w:val="true"/>
        </w:rPr>
        <w:t>...]</w:t>
      </w:r>
      <w:bookmarkEnd w:id="45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البیانیون فی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من الأخبار و صیغ العقود المستعملة فی الإنشاء علی الإخبار أو الإنشاء علی قولین، فعن العامّة دلالته علی الإخبار، و عن الخاصّة دلالته علی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اختلف القائلون بدلالته علی الإخبار فی الالتزام بکونه کذبا جائزا، لعدم المناص عنه فی العقود، أو الالتزام بإضمار إنشاء سابق علی التلفّظ بتلک العقود آناً ما، أو الالتزام بما عن العضدی من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من صیغ العقود إخبارا عن الإنشاء النفسی المتصاعد من قعر القلب إلی عالم اللفظ</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اختلف القائلون بدلالته علی الإنشاء فی کونه بواسطة النقل، أو المجاز، أو التفصیل بین الألفاظ المتداولة استعمالها فی الإنشاء قبل شرعنا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فبالنقل، و غیرها فبالمجاز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حجّة القول بأصل الإخبار أصالة بقاء اللفظ علی معناه الأصلی و عدم نقله إلی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دلیل حیث لا دلیل، و ستعرف الدلیل من الاتفاق و غیره علی خروجها عن تحت الأصل المذکور، مضافا إلی أنّ مقتضی الأصل إنّما هو عدم نقلها فی الانشاء، و أمّا استعمالها فیه مجازا کما هو أحد أقوال القائلین بالإنشاء فلا ینافی الأصل، فالتمسک بالأصل علی تقدیر تسلیمه أخصّ من المدّعی؛ لأنّ المدّعی هو عدم استعمال ألفاظ العقود فی الإنشاء مطلقا، لا علی سبیل النقل، و لا علی سبیل المجاز، و الأصل المتمسک به علی تقدیر تسلیمه إنّما یقتضی عدم استعمالها علی سبیل النقل، لا عدم استعمالها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ینضمّ إلی الأصل المذکور دعوی الاتفاق علی عدم جواز استعمال المجازات فی العقود، فینحصر سبیل الاستعمال فی النقل المدفوع بأصالة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الاتفاق إنّما هو علی جواز استعمال المجاز بالمادّة فی العقود لا المجاز بالهیئة، فإنّه لا ضیر فی استعمال المجازات بالهیئة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الملتزم بالإضمار فحامله علیه التفصّی عن لزوم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انحصار سبیل التفصّی فی أنّ إضمار الإنشاء آناً ما قبل صدور العقد إن کان من قبل اللّه تعالی فلا دلیل علیه، و إن کان من قبل المتکلّم فالمفروض عدم، فیرجع أیضا إلی الکذب و هو کرّ علی ما 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الملتزم بکون صیغ العقود إخبارات عن الإنشاءات النفسیة الحادثة بالإرادة و نحوه فحامله علیه التفصّی عن لزوم الکذب، و عن لزوم انتفاء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المستعمل فی العقد و المستعمل فی غیره، و عن لزوم عدم جواز التعلیق فی العقود کما لا یجوز فی سائر الإخبارات، و عن لزوم عدم تحریم المطلّقة الرجعیة ثلاثا کما لا تحرم لو أخبر بطلاقها ثلاثا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کلّه أنّ صیغة العقد لو کانت إخبارا عن الإنشاء النفسی لما </w:t>
      </w:r>
    </w:p>
    <w:p>
      <w:pPr>
        <w:pStyle w:val="BookText"/>
        <w:rPr/>
      </w:pPr>
      <w:r>
        <w:rPr>
          <w:rFonts w:ascii="IRNazanin" w:hAnsi="IRNazanin" w:eastAsia="IRNazanin"/>
          <w:color w:val="111111"/>
          <w:sz w:val="28"/>
          <w:sz w:val="28"/>
          <w:szCs w:val="28"/>
          <w:rtl w:val="true"/>
          <w:lang w:bidi="fa-IR"/>
        </w:rPr>
        <w:t>حصل العقد إلّا من المسبوق عقده بذلک الإنشاء، و لا لاشترطوا فی حصوله و صحّته سبق الإنشاء النفسی، و عدم کفایة العقد ممن لم یسبق نفسه إلی الإنشاء قبل التلفّظ بالعقد، و الحال أنّ سیرتهم جاریة علی عدم اشتراط ذلک السبق فی صحّة العقود و حصولها من العاقل و الذاهل عن سبقها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مما ذکرنا فساد أصل القول بدلالة صیغ العقود علی الإخبار مع کلّ واحد من التزامات قائلیه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بدلالتها علی أصل الإنشاء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فساد القول بدلالته علی الإخبار بجمیع أنحائه الثلاثة، فیتعیّن القول بدلالته علی الإنشاء بأحد أنحائه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الإنشاء من صیغ العقود فی مقام العقود و لا یخلو إمّا أن یکون منشؤه حاقّ اللفظ فیستند إلی النقل عن معناه الأصلی و هو الإخبار، و إمّا أن یکون منشؤه خصوصیة مقام العقد فیستند إلی القرینة المقامیة، و علی أیّ من التقدیرین فیدلّ علی الإنشاء لا محالة،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جمیع الإمامیة علی دلالتها علی الإنشاء المنقول عن الشهید الثانی فی تمهید القواعد</w:t>
      </w:r>
      <w:r>
        <w:rPr>
          <w:rStyle w:val="FootnoteAnchor"/>
          <w:rtl w:val="true"/>
        </w:rPr>
        <w:footnoteReference w:id="725"/>
      </w:r>
      <w:r>
        <w:rPr>
          <w:rFonts w:ascii="IRNazanin" w:hAnsi="IRNazanin" w:eastAsia="IRNazanin"/>
          <w:color w:val="111111"/>
          <w:sz w:val="28"/>
          <w:sz w:val="28"/>
          <w:szCs w:val="28"/>
          <w:rtl w:val="true"/>
          <w:lang w:bidi="fa-IR"/>
        </w:rPr>
        <w:t>و به الکفایة، أمّا علی تقدیر حجّیة الإجماع المنقول فواضح، و أمّا علی تقدیر عدم حجّیته فلا أقلّ من رجوع الظنّ الحاصل منه إلی الظنّ الحاصل من قول أهل الخبرة و به الکفایة حجّة أیضا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تقدیر دلالتها علی الإنشاء هل هو بواسطة النقل، أو المجاز بقرینة المقام؟ وجهان، أظهرهما الأول؛ لأنّ مسیس الحاجة إلیه حکمة مقتضیة لنقله إلیه، کما أنّ مسیس الحاجة فی کلّ عرف حکمة مقتضیة لاختراعهم اصطلاحا جدیدا فی ألفاظهم المتداولة بینهم</w:t>
      </w:r>
      <w:r>
        <w:rPr>
          <w:rFonts w:eastAsia="IRNazanin" w:cs="IRNazanin"/>
          <w:color w:val="111111"/>
          <w:sz w:val="28"/>
          <w:szCs w:val="28"/>
          <w:rtl w:val="true"/>
          <w:lang w:bidi="fa-IR"/>
        </w:rPr>
        <w:t xml:space="preserve">. </w:t>
      </w:r>
      <w:bookmarkStart w:id="460" w:name="pg12880_153610"/>
    </w:p>
    <w:p>
      <w:pPr>
        <w:pStyle w:val="Heading2"/>
        <w:numPr>
          <w:ilvl w:val="1"/>
          <w:numId w:val="1"/>
        </w:numPr>
        <w:rPr/>
      </w:pPr>
      <w:bookmarkStart w:id="461" w:name="__RefHeading___Toc2986629_3224264995"/>
      <w:bookmarkStart w:id="462" w:name="_Toc173"/>
      <w:bookmarkEnd w:id="460"/>
      <w:bookmarkEnd w:id="461"/>
      <w:r>
        <w:rPr>
          <w:rtl w:val="true"/>
        </w:rPr>
        <w:t>فهرس الموضوعات</w:t>
      </w:r>
      <w:bookmarkEnd w:id="462"/>
    </w:p>
    <w:p>
      <w:pPr>
        <w:pStyle w:val="BookText"/>
        <w:rPr/>
      </w:pPr>
      <w:r>
        <w:rPr>
          <w:rFonts w:ascii="IRNazanin" w:hAnsi="IRNazanin" w:eastAsia="IRNazanin"/>
          <w:color w:val="111111"/>
          <w:sz w:val="28"/>
          <w:sz w:val="28"/>
          <w:szCs w:val="28"/>
          <w:rtl w:val="true"/>
          <w:lang w:bidi="fa-IR"/>
        </w:rPr>
        <w:t xml:space="preserve">اجتماع الأمر و النهی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هذه المسألة من أی المسائل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تحریر محل النزاع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ثمرة النزاع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أقوال المسألة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تأسیس الأصل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المقدّمة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مبنی النزاع و مآله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حجة المانعین و مناقشتها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بیان المختار فی المسألة و البرهنة علیه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تنبیهات المسألة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متفرّدات صاحب الفصول فی المسألة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المانع و المجوّز علی صحّة العبادات التی تعلّق النهی بها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امکان انفکاک کل من جهتی الأمر و النهی عن الآخر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دلالة النهی علی فساد المنهی عنه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تشخیص معانی مفردات العنوان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تحریر محل النزاع </w:t>
      </w:r>
      <w:r>
        <w:rPr>
          <w:rFonts w:eastAsia="IRNazanin" w:cs="IRNazanin"/>
          <w:color w:val="111111"/>
          <w:sz w:val="28"/>
          <w:szCs w:val="28"/>
          <w:lang w:bidi="fa-IR"/>
        </w:rPr>
        <w:t>89</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المختار فی المسألة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 الأجزاء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المسألة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و دفع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المفردات الواقعة فی العنوان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حجّة القول بالاجزاء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حجّة القول بعدم الاجزاء و مناقشتها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تنبیهات المسألة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فصل فی المفاهیم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حد المنطوق و المفهوم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تقسیمات المنطوق و المفهوم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الشرط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ادلّة حجّیة مفهوم الشرط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حجّة النافین و ردّها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تنبیهات المسألة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الوصف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الألفاظ المأخوذة فی العنوان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محل النزاع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الأقوال فی المسألة و بیان المختار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ثمرة القول بحجّیّة مفهوم الوصف و عدمه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الغایة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الفرق بین الخلافین </w:t>
      </w:r>
      <w:r>
        <w:rPr>
          <w:rFonts w:eastAsia="IRNazanin" w:cs="IRNazanin"/>
          <w:color w:val="111111"/>
          <w:sz w:val="28"/>
          <w:szCs w:val="28"/>
          <w:lang w:bidi="fa-IR"/>
        </w:rPr>
        <w:t>156</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ثمرة النزاع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تحریر محل النزاع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بیان الأقوال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تأسیس الأصل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الحصر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تأسیس الأصل فی المسألة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الأدوات الدالّة علی الحصر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فصل فی العام و الخاص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معانی العام و الخاص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تنبیهات المسألة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وضع الألفاظ للعموم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المفردات المأخوذة فی العنوان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تأسیس الأصل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أقوال المسألة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بیان المختار و الدلیل علیه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تعیین ما وضع للعموم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الجمع المحلّی باللام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المفرد المحلّی باللام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العموم النکرة فی سیاق النفی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ترک الاستفصال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الخطابات الشفاهیة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تحریر محل النزاع </w:t>
      </w:r>
      <w:r>
        <w:rPr>
          <w:rFonts w:eastAsia="IRNazanin" w:cs="IRNazanin"/>
          <w:color w:val="111111"/>
          <w:sz w:val="28"/>
          <w:szCs w:val="28"/>
          <w:lang w:bidi="fa-IR"/>
        </w:rPr>
        <w:t>230</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مراد القائلین باختصاص الخطاب أو بعمومه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ثمرة النزاع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حجّة المعمّمین للخطابات و ردّها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الحاضر هل یشمل الغائب أم لا؟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النبی هل یعمّ الامّة أم لا؟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بالذکور هل یعمّ الاناث أم لا و بالعکس؟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بعموم الناس هل یشمل العبید أم لا؟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فصل فی جملة من مباحث التخصیص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حدّ التخصیص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اشکالات و دفعها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مدی شمولیة التخصیص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تحریر محلّ النزاع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ثمرة النزاع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تأسیس الأصل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حجّیّة القول بجواز التخصیص إلی الواحد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حجّة القول بعدم الجواز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المخصّص حقیقة أم مجاز؟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الغرض من أوضاع المفردات افهام معانیها الترکیبیّة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متابعة الدلالة الوضعیة للارادة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الاستثناء المستوعب عقلا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تحریر محل النزاع </w:t>
      </w:r>
      <w:r>
        <w:rPr>
          <w:rFonts w:eastAsia="IRNazanin" w:cs="IRNazanin"/>
          <w:color w:val="111111"/>
          <w:sz w:val="28"/>
          <w:szCs w:val="28"/>
          <w:lang w:bidi="fa-IR"/>
        </w:rPr>
        <w:t>291</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تأسیس الأصل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المقدّمة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ثمرة النزاع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حجّیة العام المخصّص المجمل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حجّیة العام المخصّص بالمبیّن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تنبیهات المسألة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العمل بالعام قبل الفحص عن المخصّص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بیان مبنی النزاع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تحریر محلّ النزاع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تأسیس الأصل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أدلّة المجوّزین و مناقشتها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المستثنی و المستثنی منه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محلّ النزاع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الأقوال فی المسألة و ثمرة النزاع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تعیین العلاقة لارجاع الاستثناء إلی الجمیع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بیان المختار فی المسألة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رجوع الضمیر إلی العام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تخصیص العام بمفهوم المخالفة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تخصیص العام الکتاب بالخبر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تحریر محل النزاع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تأسیس الأصل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أدلّة جواز التخصیص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أدلّة القائلین بعدم الجواز و ردّها </w:t>
      </w:r>
      <w:r>
        <w:rPr>
          <w:rFonts w:eastAsia="IRNazanin" w:cs="IRNazanin"/>
          <w:color w:val="111111"/>
          <w:sz w:val="28"/>
          <w:szCs w:val="28"/>
          <w:lang w:bidi="fa-IR"/>
        </w:rPr>
        <w:t>342</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بناء العام علی الخاص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تحریر محل الکلام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فصل فی المطلق و المقیّد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المطلق حقیقة أم مجاز؟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العموم المستفاد من المطلق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اتّحاد و اختلاف متعلّق حکم المطلق و المقیّد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تشخیص موضوع الاجماع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تشخیص إمکان تحقّق الاجماع و وجوده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تشخیص إمکان العلم و الاطّلاع بالإجماع</w:t>
      </w:r>
    </w:p>
    <w:p>
      <w:pPr>
        <w:pStyle w:val="BookText"/>
        <w:rPr/>
      </w:pPr>
      <w:r>
        <w:rPr>
          <w:rFonts w:ascii="IRNazanin" w:hAnsi="IRNazanin" w:eastAsia="IRNazanin"/>
          <w:color w:val="111111"/>
          <w:sz w:val="28"/>
          <w:sz w:val="28"/>
          <w:szCs w:val="28"/>
          <w:rtl w:val="true"/>
          <w:lang w:bidi="fa-IR"/>
        </w:rPr>
        <w:t xml:space="preserve">و امتناعه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تشخیص أصل حجّیة الاجماع فی الجملة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تشخیص حجّیة الاجماع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الفروق و النسب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حجّیة الشهرة و عدمها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مخالفة الاجماع البسیط و المرکّب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lang w:bidi="fa-IR"/>
        </w:rPr>
        <w:t>457</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کتابه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عنهما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عنهما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جمع الجوامع للسبکی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تشنیف المسامع بجمع الجوامع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 فی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النوادر من کتاب المعیشة،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إلیهم المحقّق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انظر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إلیهم المحقّق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انظر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إلیهم المحقّق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انظر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إلیهم المحقّق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انظر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إلیهم المحقّق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انظر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إلیهم المحقّق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انظر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إلیهم المحقّق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انظر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إلیهم المحقّق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انظر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إلیهم المحقّق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انظر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ضوابطه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لیس فیه دعوی الوفاق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الإشارات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لیس فیه أیضا دعوی الوفاق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الفصول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لطف اللّه المازندرانی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المصنّف قدّس سرّه استظهر من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الافکار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موارد اجتماع حکمین فی عبادة واحدة فی الشرع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حاشیة العضد علی مختصر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مرّ فی أوّل تنبیهات مسألة مقدّمة الواجب من أنّ سبب الحرام غیر حرام باعتبار المقدمیة و ان کان حراما باعتبار الدلیل الخارجی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 المعروفة بالحماریة علی ما فی القوامع للمیثمی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ربّما یسأل فی مقام المغالطة عن أنّه لو فرض أنّ وجود زید یوجب محالا و هو حماریة عمرو، و عدمه أیضا یوجب ذلک المحال، فلو ردّد الأمر بینهما فبأیّهما ینبغی أن یؤخذ؟ فإن اخذ بالأوّل أو الثانی لزم المحال، أولا بهما ارتفع النقیضان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لابن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الظاهر أنّه سقط هنا شی‌ء</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الاماء،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الاماء،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استدلّ فیه بفهم العرف و اللغة، و لم نعثر علی تصریحه ببناء العقلاء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ما استظهره قدّس سرّه، و راجع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المفاتیح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کتابه غیر موجود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کتبه التی بأیدینا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الصحاح، فراجع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شرط</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الوصلیّة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 فی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عنهم فی حاشیة القوانین المطبوع بهامش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حاشیة المحقّق القمی رحمه اللّه علی الکتاب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عنهم فی حاشیة القوانین المطبوع بهامش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حاشیة المحقّق القمی رحمه اللّه علی الکتاب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عنهم فی حاشیة القوانین المطبوع بهامش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حاشیة المحقّق القمی رحمه اللّه علی الکتاب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التفتازانی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باب النون، ما أوّله الألف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أنن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باب النون، فصل الهمزة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ما حکی هذا القول عن السیّد قدّس سرّه، و ما فی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القول بإفادة الحصر فراجع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 راجع الزبدة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 راجع الزبدة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 راجع الزبدة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راجع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ذیل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الإشارة إلیها آنفا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السلطان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کلمة ساقطة فی الأصل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علیهما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علیهما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للسبزواری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کتب الروایة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انظر سائر أحادیث الباب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دلیله الأوّل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للاتفاق المحصّل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دعوی الوجدان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موادّها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فی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الاصول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قریبا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و سقط هذا الموضع من المبحث فی النسخة التی بأیدینا من الضوابط</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التعلیقة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البحث عن النسخة التی لدینا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کلتا الروایتین من کتاب البزنطی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کلتا الروایتین من کتاب البزنطی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 الظاهر أنّ کلام صاحب المعالم أیضا صریح فی طلب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حکاه فی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فی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الحاجب و من تبعه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الرواشح السماویة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نسب هذا الکلام فیه إلی الرواة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 صرّح الشهید بذلک فیه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حاشیة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حاشیة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حاشیة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فی الأصل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فی الأصل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فی الأصل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فی الأصل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فی الأصل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اللئالئ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صیام لمن لا یبیّت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لاحظ سنن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عنهما السید محمد الطباطبائی فی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اصول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العصول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تلخیص الحبیر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یُشاقِقِ الرَّسُولَ مِنْ بَعْدِ ما تَبَیَّنَ لَهُ الْهُدی وَ یَتَّبِعْ غَیْرَ سَبِیلِ الْمُؤْمِنِینَ نُوَلِّهِ ما تَوَلَّی وَ نُصْلِهِ جَهَنَّمَ وَ ساءَتْ مَصِیراً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الاحکام فی اصول الاحکام للآمدی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الإحکام فی أصول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تلخیص الحبیر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تلخیص الحبیر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اللفظ</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اللفظ، للاستزادة راجع معجم أحادیث الامام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المقاس من تفسیر ابن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فی تفسیر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المهمة فی اصول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و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تعیّن تقیید اطلاق الأخبار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لدینا رسالته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ضوابط الاصول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ذکره العلّامة فی المختلف فی وجوب استقبال القبلة فی دفن المیت حیث تمسک بالشهرة و قد استدل فی استحباب رفع الیدین بالتکبیرات فی صلاة الاموات ایضا بالشهرة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 صاحب الضوابط فی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 صاحب الضوابط فی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الفائدة و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اللئالئ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المستصفی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لاحظ تلخیص الحبیر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یُشاقِقِ الرَّسُولَ مِنْ بَعْدِ ما تَبَیَّنَ لَهُ الْهُدی وَ یَتَّبِعْ غَیْرَ سَبِیلِ الْمُؤْمِنِینَ نُوَلِّهِ ما تَوَلَّی وَ نُصْلِهِ جَهَنَّمَ وَ ساءَتْ مَصِیراً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النسخة الخطیة بیان المقام الثالث باکمله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تفصیل المقام الخامس من النسخة الخطیة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image" Target="media/image2.jpeg"/><Relationship Id="rId473" Type="http://schemas.openxmlformats.org/officeDocument/2006/relationships/image" Target="media/image2.jpeg"/><Relationship Id="rId474" Type="http://schemas.openxmlformats.org/officeDocument/2006/relationships/footer" Target="footer467.xml"/><Relationship Id="rId475" Type="http://schemas.openxmlformats.org/officeDocument/2006/relationships/footnotes" Target="footnotes.xml"/><Relationship Id="rId476" Type="http://schemas.openxmlformats.org/officeDocument/2006/relationships/numbering" Target="numbering.xml"/><Relationship Id="rId477" Type="http://schemas.openxmlformats.org/officeDocument/2006/relationships/fontTable" Target="fontTable.xml"/><Relationship Id="rId478" Type="http://schemas.openxmlformats.org/officeDocument/2006/relationships/settings" Target="settings.xml"/><Relationship Id="rId4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473</Pages>
  <Words>102277</Words>
  <Characters>438208</Characters>
  <CharactersWithSpaces>538281</CharactersWithSpaces>
  <Paragraphs>2641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2026-08-23T21:43:12Z</dcterms:created>
  <dc:creator>ghaemiyeh.com</dc:creator>
  <dc:description/>
  <dc:language>en-US</dc:language>
  <cp:lastModifiedBy/>
  <dcterms:modified xsi:type="dcterms:W3CDTF">2026-08-24T01:13:24Z</dcterms:modified>
  <cp:revision>1</cp:revision>
  <dc:subject/>
  <dc:title>تقریرات فی اصول الفقه جلد 2</dc:title>
</cp:coreProperties>
</file>

<file path=docProps/custom.xml><?xml version="1.0" encoding="utf-8"?>
<Properties xmlns="http://schemas.openxmlformats.org/officeDocument/2006/custom-properties" xmlns:vt="http://schemas.openxmlformats.org/officeDocument/2006/docPropsVTypes"/>
</file>