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70387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670389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670391_73709187">
            <w:r>
              <w:rPr>
                <w:webHidden/>
                <w:rStyle w:val="IndexLink"/>
                <w:rtl w:val="true"/>
              </w:rPr>
              <w:t>تتمة باب الأول وأمّا النائب</w:t>
            </w:r>
            <w:r>
              <w:rPr>
                <w:rStyle w:val="IndexLink"/>
                <w:rtl w:val="true"/>
              </w:rPr>
              <w:t xml:space="preserve">: </w:t>
            </w:r>
            <w:r>
              <w:rPr>
                <w:rStyle w:val="IndexLink"/>
                <w:rtl w:val="true"/>
              </w:rPr>
              <w:t>فشرطه الإسلام</w:t>
            </w:r>
            <w:r>
              <w:rPr>
                <w:rStyle w:val="IndexLink"/>
                <w:rtl w:val="true"/>
              </w:rPr>
              <w:t>.</w:t>
              <w:tab/>
            </w:r>
            <w:r>
              <w:rPr>
                <w:rStyle w:val="IndexLink"/>
              </w:rPr>
              <w:t>11</w:t>
            </w:r>
          </w:hyperlink>
        </w:p>
        <w:p>
          <w:pPr>
            <w:pStyle w:val="Contents3"/>
            <w:tabs>
              <w:tab w:val="clear" w:pos="8459"/>
              <w:tab w:val="right" w:pos="9026" w:leader="dot"/>
            </w:tabs>
            <w:rPr/>
          </w:pPr>
          <w:hyperlink w:anchor="__RefHeading___Toc10670393_73709187">
            <w:r>
              <w:rPr>
                <w:webHidden/>
                <w:rStyle w:val="IndexLink"/>
                <w:rtl w:val="true"/>
              </w:rPr>
              <w:t>في النيابة</w:t>
            </w:r>
            <w:r>
              <w:rPr>
                <w:rStyle w:val="IndexLink"/>
                <w:rtl w:val="true"/>
              </w:rPr>
              <w:tab/>
            </w:r>
            <w:r>
              <w:rPr>
                <w:rStyle w:val="IndexLink"/>
              </w:rPr>
              <w:t>11</w:t>
            </w:r>
          </w:hyperlink>
        </w:p>
        <w:p>
          <w:pPr>
            <w:pStyle w:val="Contents4"/>
            <w:tabs>
              <w:tab w:val="clear" w:pos="8176"/>
              <w:tab w:val="right" w:pos="9026" w:leader="dot"/>
            </w:tabs>
            <w:rPr/>
          </w:pPr>
          <w:hyperlink w:anchor="__RefHeading___Toc10670395_73709187">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0670397_73709187">
            <w:r>
              <w:rPr>
                <w:webHidden/>
                <w:rStyle w:val="IndexLink"/>
                <w:rtl w:val="true"/>
              </w:rPr>
              <w:t>نيابة المخالف</w:t>
            </w:r>
            <w:r>
              <w:rPr>
                <w:rStyle w:val="IndexLink"/>
                <w:rtl w:val="true"/>
              </w:rPr>
              <w:tab/>
            </w:r>
            <w:r>
              <w:rPr>
                <w:rStyle w:val="IndexLink"/>
              </w:rPr>
              <w:t>12</w:t>
            </w:r>
          </w:hyperlink>
        </w:p>
        <w:p>
          <w:pPr>
            <w:pStyle w:val="Contents4"/>
            <w:tabs>
              <w:tab w:val="clear" w:pos="8176"/>
              <w:tab w:val="right" w:pos="9026" w:leader="dot"/>
            </w:tabs>
            <w:rPr/>
          </w:pPr>
          <w:hyperlink w:anchor="__RefHeading___Toc10670399_73709187">
            <w:r>
              <w:rPr>
                <w:webHidden/>
                <w:rStyle w:val="IndexLink"/>
                <w:rtl w:val="true"/>
              </w:rPr>
              <w:t>اعتبار البلوغ والعقل</w:t>
            </w:r>
            <w:r>
              <w:rPr>
                <w:rStyle w:val="IndexLink"/>
                <w:rtl w:val="true"/>
              </w:rPr>
              <w:tab/>
            </w:r>
            <w:r>
              <w:rPr>
                <w:rStyle w:val="IndexLink"/>
              </w:rPr>
              <w:t>15</w:t>
            </w:r>
          </w:hyperlink>
        </w:p>
        <w:p>
          <w:pPr>
            <w:pStyle w:val="Contents4"/>
            <w:tabs>
              <w:tab w:val="clear" w:pos="8176"/>
              <w:tab w:val="right" w:pos="9026" w:leader="dot"/>
            </w:tabs>
            <w:rPr/>
          </w:pPr>
          <w:hyperlink w:anchor="__RefHeading___Toc10670401_73709187">
            <w:r>
              <w:rPr>
                <w:webHidden/>
                <w:rStyle w:val="IndexLink"/>
                <w:rtl w:val="true"/>
              </w:rPr>
              <w:t>نيابة المجنون</w:t>
            </w:r>
            <w:r>
              <w:rPr>
                <w:rStyle w:val="IndexLink"/>
                <w:rtl w:val="true"/>
              </w:rPr>
              <w:tab/>
            </w:r>
            <w:r>
              <w:rPr>
                <w:rStyle w:val="IndexLink"/>
              </w:rPr>
              <w:t>20</w:t>
            </w:r>
          </w:hyperlink>
        </w:p>
        <w:p>
          <w:pPr>
            <w:pStyle w:val="Contents4"/>
            <w:tabs>
              <w:tab w:val="clear" w:pos="8176"/>
              <w:tab w:val="right" w:pos="9026" w:leader="dot"/>
            </w:tabs>
            <w:rPr/>
          </w:pPr>
          <w:hyperlink w:anchor="__RefHeading___Toc10670403_73709187">
            <w:r>
              <w:rPr>
                <w:webHidden/>
                <w:rStyle w:val="IndexLink"/>
                <w:rtl w:val="true"/>
              </w:rPr>
              <w:t>عدم اعتبار العدالة</w:t>
            </w:r>
            <w:r>
              <w:rPr>
                <w:rStyle w:val="IndexLink"/>
                <w:rtl w:val="true"/>
              </w:rPr>
              <w:tab/>
            </w:r>
            <w:r>
              <w:rPr>
                <w:rStyle w:val="IndexLink"/>
              </w:rPr>
              <w:t>21</w:t>
            </w:r>
          </w:hyperlink>
        </w:p>
        <w:p>
          <w:pPr>
            <w:pStyle w:val="Contents4"/>
            <w:tabs>
              <w:tab w:val="clear" w:pos="8176"/>
              <w:tab w:val="right" w:pos="9026" w:leader="dot"/>
            </w:tabs>
            <w:rPr/>
          </w:pPr>
          <w:hyperlink w:anchor="__RefHeading___Toc10670405_73709187">
            <w:r>
              <w:rPr>
                <w:webHidden/>
                <w:rStyle w:val="IndexLink"/>
                <w:rtl w:val="true"/>
              </w:rPr>
              <w:t>اعتبار الفقاهة</w:t>
            </w:r>
            <w:r>
              <w:rPr>
                <w:rStyle w:val="IndexLink"/>
                <w:rtl w:val="true"/>
              </w:rPr>
              <w:tab/>
            </w:r>
            <w:r>
              <w:rPr>
                <w:rStyle w:val="IndexLink"/>
              </w:rPr>
              <w:t>25</w:t>
            </w:r>
          </w:hyperlink>
        </w:p>
        <w:p>
          <w:pPr>
            <w:pStyle w:val="Contents4"/>
            <w:tabs>
              <w:tab w:val="clear" w:pos="8176"/>
              <w:tab w:val="right" w:pos="9026" w:leader="dot"/>
            </w:tabs>
            <w:rPr/>
          </w:pPr>
          <w:hyperlink w:anchor="__RefHeading___Toc10670407_73709187">
            <w:r>
              <w:rPr>
                <w:webHidden/>
                <w:rStyle w:val="IndexLink"/>
                <w:rtl w:val="true"/>
              </w:rPr>
              <w:t>عدم اشتغال ذمّة النائب بحَجٍّ واجب</w:t>
            </w:r>
            <w:r>
              <w:rPr>
                <w:rStyle w:val="IndexLink"/>
                <w:rtl w:val="true"/>
              </w:rPr>
              <w:tab/>
            </w:r>
            <w:r>
              <w:rPr>
                <w:rStyle w:val="IndexLink"/>
              </w:rPr>
              <w:t>27</w:t>
            </w:r>
          </w:hyperlink>
        </w:p>
        <w:p>
          <w:pPr>
            <w:pStyle w:val="Contents4"/>
            <w:tabs>
              <w:tab w:val="clear" w:pos="8176"/>
              <w:tab w:val="right" w:pos="9026" w:leader="dot"/>
            </w:tabs>
            <w:rPr/>
          </w:pPr>
          <w:hyperlink w:anchor="__RefHeading___Toc10670409_73709187">
            <w:r>
              <w:rPr>
                <w:webHidden/>
                <w:rStyle w:val="IndexLink"/>
                <w:rtl w:val="true"/>
              </w:rPr>
              <w:t>عدم اعتبار المماثلة في النيابة</w:t>
            </w:r>
            <w:r>
              <w:rPr>
                <w:rStyle w:val="IndexLink"/>
                <w:rtl w:val="true"/>
              </w:rPr>
              <w:tab/>
            </w:r>
            <w:r>
              <w:rPr>
                <w:rStyle w:val="IndexLink"/>
              </w:rPr>
              <w:t>28</w:t>
            </w:r>
          </w:hyperlink>
        </w:p>
        <w:p>
          <w:pPr>
            <w:pStyle w:val="Contents4"/>
            <w:tabs>
              <w:tab w:val="clear" w:pos="8176"/>
              <w:tab w:val="right" w:pos="9026" w:leader="dot"/>
            </w:tabs>
            <w:rPr/>
          </w:pPr>
          <w:hyperlink w:anchor="__RefHeading___Toc10670411_73709187">
            <w:r>
              <w:rPr>
                <w:webHidden/>
                <w:rStyle w:val="IndexLink"/>
                <w:rtl w:val="true"/>
              </w:rPr>
              <w:t>استنابة الصَّرورة</w:t>
            </w:r>
            <w:r>
              <w:rPr>
                <w:rStyle w:val="IndexLink"/>
                <w:rtl w:val="true"/>
              </w:rPr>
              <w:tab/>
            </w:r>
            <w:r>
              <w:rPr>
                <w:rStyle w:val="IndexLink"/>
              </w:rPr>
              <w:t>30</w:t>
            </w:r>
          </w:hyperlink>
        </w:p>
        <w:p>
          <w:pPr>
            <w:pStyle w:val="Contents4"/>
            <w:tabs>
              <w:tab w:val="clear" w:pos="8176"/>
              <w:tab w:val="right" w:pos="9026" w:leader="dot"/>
            </w:tabs>
            <w:rPr/>
          </w:pPr>
          <w:hyperlink w:anchor="__RefHeading___Toc10670413_73709187">
            <w:r>
              <w:rPr>
                <w:webHidden/>
                <w:rStyle w:val="IndexLink"/>
                <w:rtl w:val="true"/>
              </w:rPr>
              <w:t>شرائط المنوب عنه</w:t>
            </w:r>
            <w:r>
              <w:rPr>
                <w:rStyle w:val="IndexLink"/>
                <w:rtl w:val="true"/>
              </w:rPr>
              <w:tab/>
            </w:r>
            <w:r>
              <w:rPr>
                <w:rStyle w:val="IndexLink"/>
              </w:rPr>
              <w:t>34</w:t>
            </w:r>
          </w:hyperlink>
        </w:p>
        <w:p>
          <w:pPr>
            <w:pStyle w:val="Contents4"/>
            <w:tabs>
              <w:tab w:val="clear" w:pos="8176"/>
              <w:tab w:val="right" w:pos="9026" w:leader="dot"/>
            </w:tabs>
            <w:rPr/>
          </w:pPr>
          <w:hyperlink w:anchor="__RefHeading___Toc10670415_73709187">
            <w:r>
              <w:rPr>
                <w:webHidden/>
                <w:rStyle w:val="IndexLink"/>
                <w:rtl w:val="true"/>
              </w:rPr>
              <w:t>النيابة عن المخالف</w:t>
            </w:r>
            <w:r>
              <w:rPr>
                <w:rStyle w:val="IndexLink"/>
                <w:rtl w:val="true"/>
              </w:rPr>
              <w:tab/>
            </w:r>
            <w:r>
              <w:rPr>
                <w:rStyle w:val="IndexLink"/>
              </w:rPr>
              <w:t>37</w:t>
            </w:r>
          </w:hyperlink>
        </w:p>
        <w:p>
          <w:pPr>
            <w:pStyle w:val="Contents4"/>
            <w:tabs>
              <w:tab w:val="clear" w:pos="8176"/>
              <w:tab w:val="right" w:pos="9026" w:leader="dot"/>
            </w:tabs>
            <w:rPr/>
          </w:pPr>
          <w:hyperlink w:anchor="__RefHeading___Toc10670417_73709187">
            <w:r>
              <w:rPr>
                <w:webHidden/>
                <w:rStyle w:val="IndexLink"/>
                <w:rtl w:val="true"/>
              </w:rPr>
              <w:t>اعتبار البلوغ والعقل</w:t>
            </w:r>
            <w:r>
              <w:rPr>
                <w:rStyle w:val="IndexLink"/>
                <w:rtl w:val="true"/>
              </w:rPr>
              <w:tab/>
            </w:r>
            <w:r>
              <w:rPr>
                <w:rStyle w:val="IndexLink"/>
              </w:rPr>
              <w:t>40</w:t>
            </w:r>
          </w:hyperlink>
        </w:p>
        <w:p>
          <w:pPr>
            <w:pStyle w:val="Contents4"/>
            <w:tabs>
              <w:tab w:val="clear" w:pos="8176"/>
              <w:tab w:val="right" w:pos="9026" w:leader="dot"/>
            </w:tabs>
            <w:rPr/>
          </w:pPr>
          <w:hyperlink w:anchor="__RefHeading___Toc10670419_73709187">
            <w:r>
              <w:rPr>
                <w:webHidden/>
                <w:rStyle w:val="IndexLink"/>
                <w:rtl w:val="true"/>
              </w:rPr>
              <w:t>حقيقة النيابة وشروطها</w:t>
            </w:r>
            <w:r>
              <w:rPr>
                <w:rStyle w:val="IndexLink"/>
                <w:rtl w:val="true"/>
              </w:rPr>
              <w:tab/>
            </w:r>
            <w:r>
              <w:rPr>
                <w:rStyle w:val="IndexLink"/>
              </w:rPr>
              <w:t>42</w:t>
            </w:r>
          </w:hyperlink>
        </w:p>
        <w:p>
          <w:pPr>
            <w:pStyle w:val="Contents4"/>
            <w:tabs>
              <w:tab w:val="clear" w:pos="8176"/>
              <w:tab w:val="right" w:pos="9026" w:leader="dot"/>
            </w:tabs>
            <w:rPr/>
          </w:pPr>
          <w:hyperlink w:anchor="__RefHeading___Toc10670421_73709187">
            <w:r>
              <w:rPr>
                <w:webHidden/>
                <w:rStyle w:val="IndexLink"/>
                <w:rtl w:val="true"/>
              </w:rPr>
              <w:t>شرائط النيابة</w:t>
            </w:r>
            <w:r>
              <w:rPr>
                <w:rStyle w:val="IndexLink"/>
                <w:rtl w:val="true"/>
              </w:rPr>
              <w:tab/>
            </w:r>
            <w:r>
              <w:rPr>
                <w:rStyle w:val="IndexLink"/>
              </w:rPr>
              <w:t>48</w:t>
            </w:r>
          </w:hyperlink>
        </w:p>
        <w:p>
          <w:pPr>
            <w:pStyle w:val="Contents4"/>
            <w:tabs>
              <w:tab w:val="clear" w:pos="8176"/>
              <w:tab w:val="right" w:pos="9026" w:leader="dot"/>
            </w:tabs>
            <w:rPr/>
          </w:pPr>
          <w:hyperlink w:anchor="__RefHeading___Toc10670423_73709187">
            <w:r>
              <w:rPr>
                <w:webHidden/>
                <w:rStyle w:val="IndexLink"/>
                <w:rtl w:val="true"/>
              </w:rPr>
              <w:t>التبرّع عن الميّت في الحَجّ‌</w:t>
            </w:r>
            <w:r>
              <w:rPr>
                <w:rStyle w:val="IndexLink"/>
                <w:rtl w:val="true"/>
              </w:rPr>
              <w:tab/>
            </w:r>
            <w:r>
              <w:rPr>
                <w:rStyle w:val="IndexLink"/>
              </w:rPr>
              <w:t>51</w:t>
            </w:r>
          </w:hyperlink>
        </w:p>
        <w:p>
          <w:pPr>
            <w:pStyle w:val="Contents4"/>
            <w:tabs>
              <w:tab w:val="clear" w:pos="8176"/>
              <w:tab w:val="right" w:pos="9026" w:leader="dot"/>
            </w:tabs>
            <w:rPr/>
          </w:pPr>
          <w:hyperlink w:anchor="__RefHeading___Toc10670425_73709187">
            <w:r>
              <w:rPr>
                <w:webHidden/>
                <w:rStyle w:val="IndexLink"/>
                <w:rtl w:val="true"/>
              </w:rPr>
              <w:t>نيابة الواحد عن المتعدّد</w:t>
            </w:r>
            <w:r>
              <w:rPr>
                <w:rStyle w:val="IndexLink"/>
                <w:rtl w:val="true"/>
              </w:rPr>
              <w:tab/>
            </w:r>
            <w:r>
              <w:rPr>
                <w:rStyle w:val="IndexLink"/>
              </w:rPr>
              <w:t>56</w:t>
            </w:r>
          </w:hyperlink>
        </w:p>
        <w:p>
          <w:pPr>
            <w:pStyle w:val="Contents4"/>
            <w:tabs>
              <w:tab w:val="clear" w:pos="8176"/>
              <w:tab w:val="right" w:pos="9026" w:leader="dot"/>
            </w:tabs>
            <w:rPr/>
          </w:pPr>
          <w:hyperlink w:anchor="__RefHeading___Toc10670427_73709187">
            <w:r>
              <w:rPr>
                <w:webHidden/>
                <w:rStyle w:val="IndexLink"/>
                <w:rtl w:val="true"/>
              </w:rPr>
              <w:t>موت الأجير قبل تمام الحَجّ‌</w:t>
            </w:r>
            <w:r>
              <w:rPr>
                <w:rStyle w:val="IndexLink"/>
                <w:rtl w:val="true"/>
              </w:rPr>
              <w:tab/>
            </w:r>
            <w:r>
              <w:rPr>
                <w:rStyle w:val="IndexLink"/>
              </w:rPr>
              <w:t>60</w:t>
            </w:r>
          </w:hyperlink>
        </w:p>
        <w:p>
          <w:pPr>
            <w:pStyle w:val="Contents4"/>
            <w:tabs>
              <w:tab w:val="clear" w:pos="8176"/>
              <w:tab w:val="right" w:pos="9026" w:leader="dot"/>
            </w:tabs>
            <w:rPr/>
          </w:pPr>
          <w:hyperlink w:anchor="__RefHeading___Toc10670429_73709187">
            <w:r>
              <w:rPr>
                <w:webHidden/>
                <w:rStyle w:val="IndexLink"/>
                <w:rtl w:val="true"/>
              </w:rPr>
              <w:t>موت الأجير قبل تمام الحَجّ‌</w:t>
            </w:r>
            <w:r>
              <w:rPr>
                <w:rStyle w:val="IndexLink"/>
                <w:rtl w:val="true"/>
              </w:rPr>
              <w:tab/>
            </w:r>
            <w:r>
              <w:rPr>
                <w:rStyle w:val="IndexLink"/>
              </w:rPr>
              <w:t>69</w:t>
            </w:r>
          </w:hyperlink>
        </w:p>
        <w:p>
          <w:pPr>
            <w:pStyle w:val="Contents4"/>
            <w:tabs>
              <w:tab w:val="clear" w:pos="8176"/>
              <w:tab w:val="right" w:pos="9026" w:leader="dot"/>
            </w:tabs>
            <w:rPr/>
          </w:pPr>
          <w:hyperlink w:anchor="__RefHeading___Toc10670431_73709187">
            <w:r>
              <w:rPr>
                <w:webHidden/>
                <w:rStyle w:val="IndexLink"/>
                <w:rtl w:val="true"/>
              </w:rPr>
              <w:t>وجوب تعيّين نوع الحَجّ في الإجارة</w:t>
            </w:r>
            <w:r>
              <w:rPr>
                <w:rStyle w:val="IndexLink"/>
                <w:rtl w:val="true"/>
              </w:rPr>
              <w:tab/>
            </w:r>
            <w:r>
              <w:rPr>
                <w:rStyle w:val="IndexLink"/>
              </w:rPr>
              <w:t>80</w:t>
            </w:r>
          </w:hyperlink>
        </w:p>
        <w:p>
          <w:pPr>
            <w:pStyle w:val="Contents4"/>
            <w:tabs>
              <w:tab w:val="clear" w:pos="8176"/>
              <w:tab w:val="right" w:pos="9026" w:leader="dot"/>
            </w:tabs>
            <w:rPr/>
          </w:pPr>
          <w:hyperlink w:anchor="__RefHeading___Toc10670433_73709187">
            <w:r>
              <w:rPr>
                <w:webHidden/>
                <w:rStyle w:val="IndexLink"/>
                <w:rtl w:val="true"/>
              </w:rPr>
              <w:t>عدول النائب عمّا عُيِّن له من الطريق</w:t>
            </w:r>
            <w:r>
              <w:rPr>
                <w:rStyle w:val="IndexLink"/>
                <w:rtl w:val="true"/>
              </w:rPr>
              <w:tab/>
            </w:r>
            <w:r>
              <w:rPr>
                <w:rStyle w:val="IndexLink"/>
              </w:rPr>
              <w:t>89</w:t>
            </w:r>
          </w:hyperlink>
        </w:p>
        <w:p>
          <w:pPr>
            <w:pStyle w:val="Contents4"/>
            <w:tabs>
              <w:tab w:val="clear" w:pos="8176"/>
              <w:tab w:val="right" w:pos="9026" w:leader="dot"/>
            </w:tabs>
            <w:rPr/>
          </w:pPr>
          <w:hyperlink w:anchor="__RefHeading___Toc10670435_73709187">
            <w:r>
              <w:rPr>
                <w:webHidden/>
                <w:rStyle w:val="IndexLink"/>
                <w:rtl w:val="true"/>
              </w:rPr>
              <w:t>تعدّد الإجارة للحَجّ في سنةٍ واحدة</w:t>
            </w:r>
            <w:r>
              <w:rPr>
                <w:rStyle w:val="IndexLink"/>
                <w:rtl w:val="true"/>
              </w:rPr>
              <w:tab/>
            </w:r>
            <w:r>
              <w:rPr>
                <w:rStyle w:val="IndexLink"/>
              </w:rPr>
              <w:t>95</w:t>
            </w:r>
          </w:hyperlink>
        </w:p>
        <w:p>
          <w:pPr>
            <w:pStyle w:val="Contents4"/>
            <w:tabs>
              <w:tab w:val="clear" w:pos="8176"/>
              <w:tab w:val="right" w:pos="9026" w:leader="dot"/>
            </w:tabs>
            <w:rPr/>
          </w:pPr>
          <w:hyperlink w:anchor="__RefHeading___Toc10670437_73709187">
            <w:r>
              <w:rPr>
                <w:webHidden/>
                <w:rStyle w:val="IndexLink"/>
                <w:rtl w:val="true"/>
              </w:rPr>
              <w:t>حكم الإجارتين مع إطلاقهما أو إطلاق إحداهما</w:t>
            </w:r>
            <w:r>
              <w:rPr>
                <w:rStyle w:val="IndexLink"/>
                <w:rtl w:val="true"/>
              </w:rPr>
              <w:tab/>
            </w:r>
            <w:r>
              <w:rPr>
                <w:rStyle w:val="IndexLink"/>
              </w:rPr>
              <w:t>98</w:t>
            </w:r>
          </w:hyperlink>
        </w:p>
        <w:p>
          <w:pPr>
            <w:pStyle w:val="Contents4"/>
            <w:tabs>
              <w:tab w:val="clear" w:pos="8176"/>
              <w:tab w:val="right" w:pos="9026" w:leader="dot"/>
            </w:tabs>
            <w:rPr/>
          </w:pPr>
          <w:hyperlink w:anchor="__RefHeading___Toc10670439_73709187">
            <w:r>
              <w:rPr>
                <w:webHidden/>
                <w:rStyle w:val="IndexLink"/>
                <w:rtl w:val="true"/>
              </w:rPr>
              <w:t>ولو اقترنت الإجارتان أو اشتبه السابقة منهما</w:t>
            </w:r>
            <w:r>
              <w:rPr>
                <w:rStyle w:val="IndexLink"/>
                <w:rtl w:val="true"/>
              </w:rPr>
              <w:tab/>
            </w:r>
            <w:r>
              <w:rPr>
                <w:rStyle w:val="IndexLink"/>
              </w:rPr>
              <w:t>100</w:t>
            </w:r>
          </w:hyperlink>
        </w:p>
        <w:p>
          <w:pPr>
            <w:pStyle w:val="Contents4"/>
            <w:tabs>
              <w:tab w:val="clear" w:pos="8176"/>
              <w:tab w:val="right" w:pos="9026" w:leader="dot"/>
            </w:tabs>
            <w:rPr/>
          </w:pPr>
          <w:hyperlink w:anchor="__RefHeading___Toc10670441_73709187">
            <w:r>
              <w:rPr>
                <w:webHidden/>
                <w:rStyle w:val="IndexLink"/>
                <w:rtl w:val="true"/>
              </w:rPr>
              <w:t>تصحيح الإجارة الثانية بإجازة المستأجر الأوّل</w:t>
            </w:r>
            <w:r>
              <w:rPr>
                <w:rStyle w:val="IndexLink"/>
                <w:rtl w:val="true"/>
              </w:rPr>
              <w:tab/>
            </w:r>
            <w:r>
              <w:rPr>
                <w:rStyle w:val="IndexLink"/>
              </w:rPr>
              <w:t>102</w:t>
            </w:r>
          </w:hyperlink>
        </w:p>
        <w:p>
          <w:pPr>
            <w:pStyle w:val="Contents4"/>
            <w:tabs>
              <w:tab w:val="clear" w:pos="8176"/>
              <w:tab w:val="right" w:pos="9026" w:leader="dot"/>
            </w:tabs>
            <w:rPr/>
          </w:pPr>
          <w:hyperlink w:anchor="__RefHeading___Toc10670443_73709187">
            <w:r>
              <w:rPr>
                <w:webHidden/>
                <w:rStyle w:val="IndexLink"/>
                <w:rtl w:val="true"/>
              </w:rPr>
              <w:t>حكم الأجير المحدود أو المحصور</w:t>
            </w:r>
            <w:r>
              <w:rPr>
                <w:rStyle w:val="IndexLink"/>
                <w:rtl w:val="true"/>
              </w:rPr>
              <w:tab/>
            </w:r>
            <w:r>
              <w:rPr>
                <w:rStyle w:val="IndexLink"/>
              </w:rPr>
              <w:t>105</w:t>
            </w:r>
          </w:hyperlink>
        </w:p>
        <w:p>
          <w:pPr>
            <w:pStyle w:val="Contents4"/>
            <w:tabs>
              <w:tab w:val="clear" w:pos="8176"/>
              <w:tab w:val="right" w:pos="9026" w:leader="dot"/>
            </w:tabs>
            <w:rPr/>
          </w:pPr>
          <w:hyperlink w:anchor="__RefHeading___Toc10670445_73709187">
            <w:r>
              <w:rPr>
                <w:webHidden/>
                <w:rStyle w:val="IndexLink"/>
                <w:rtl w:val="true"/>
              </w:rPr>
              <w:t>لو أفسد الأجير حَجّه</w:t>
            </w:r>
            <w:r>
              <w:rPr>
                <w:rStyle w:val="IndexLink"/>
                <w:rtl w:val="true"/>
              </w:rPr>
              <w:tab/>
            </w:r>
            <w:r>
              <w:rPr>
                <w:rStyle w:val="IndexLink"/>
              </w:rPr>
              <w:t>108</w:t>
            </w:r>
          </w:hyperlink>
        </w:p>
        <w:p>
          <w:pPr>
            <w:pStyle w:val="Contents4"/>
            <w:tabs>
              <w:tab w:val="clear" w:pos="8176"/>
              <w:tab w:val="right" w:pos="9026" w:leader="dot"/>
            </w:tabs>
            <w:rPr/>
          </w:pPr>
          <w:hyperlink w:anchor="__RefHeading___Toc10670447_73709187">
            <w:r>
              <w:rPr>
                <w:webHidden/>
                <w:rStyle w:val="IndexLink"/>
                <w:rtl w:val="true"/>
              </w:rPr>
              <w:t>تمليك الأجير الاُجرة بالعقد</w:t>
            </w:r>
            <w:r>
              <w:rPr>
                <w:rStyle w:val="IndexLink"/>
                <w:rtl w:val="true"/>
              </w:rPr>
              <w:tab/>
            </w:r>
            <w:r>
              <w:rPr>
                <w:rStyle w:val="IndexLink"/>
              </w:rPr>
              <w:t>116</w:t>
            </w:r>
          </w:hyperlink>
        </w:p>
        <w:p>
          <w:pPr>
            <w:pStyle w:val="Contents4"/>
            <w:tabs>
              <w:tab w:val="clear" w:pos="8176"/>
              <w:tab w:val="right" w:pos="9026" w:leader="dot"/>
            </w:tabs>
            <w:rPr/>
          </w:pPr>
          <w:hyperlink w:anchor="__RefHeading___Toc10670449_73709187">
            <w:r>
              <w:rPr>
                <w:webHidden/>
                <w:rStyle w:val="IndexLink"/>
                <w:rtl w:val="true"/>
              </w:rPr>
              <w:t>استيجار الأجير غيره على الحَجّ‌</w:t>
            </w:r>
            <w:r>
              <w:rPr>
                <w:rStyle w:val="IndexLink"/>
                <w:rtl w:val="true"/>
              </w:rPr>
              <w:tab/>
            </w:r>
            <w:r>
              <w:rPr>
                <w:rStyle w:val="IndexLink"/>
              </w:rPr>
              <w:t>120</w:t>
            </w:r>
          </w:hyperlink>
        </w:p>
        <w:p>
          <w:pPr>
            <w:pStyle w:val="Contents4"/>
            <w:tabs>
              <w:tab w:val="clear" w:pos="8176"/>
              <w:tab w:val="right" w:pos="9026" w:leader="dot"/>
            </w:tabs>
            <w:rPr/>
          </w:pPr>
          <w:hyperlink w:anchor="__RefHeading___Toc10670451_73709187">
            <w:r>
              <w:rPr>
                <w:webHidden/>
                <w:rStyle w:val="IndexLink"/>
                <w:rtl w:val="true"/>
              </w:rPr>
              <w:t>الاستئجار للحَجّ مع ضيق الوقت عنه</w:t>
            </w:r>
            <w:r>
              <w:rPr>
                <w:rStyle w:val="IndexLink"/>
                <w:rtl w:val="true"/>
              </w:rPr>
              <w:tab/>
            </w:r>
            <w:r>
              <w:rPr>
                <w:rStyle w:val="IndexLink"/>
              </w:rPr>
              <w:t>122</w:t>
            </w:r>
          </w:hyperlink>
        </w:p>
        <w:p>
          <w:pPr>
            <w:pStyle w:val="Contents3"/>
            <w:tabs>
              <w:tab w:val="clear" w:pos="8459"/>
              <w:tab w:val="right" w:pos="9026" w:leader="dot"/>
            </w:tabs>
            <w:rPr/>
          </w:pPr>
          <w:hyperlink w:anchor="__RefHeading___Toc10670453_73709187">
            <w:r>
              <w:rPr>
                <w:webHidden/>
                <w:rStyle w:val="IndexLink"/>
                <w:rtl w:val="true"/>
              </w:rPr>
              <w:t>فصل في الوصيّة بالحَجّ‌</w:t>
            </w:r>
            <w:r>
              <w:rPr>
                <w:rStyle w:val="IndexLink"/>
                <w:rtl w:val="true"/>
              </w:rPr>
              <w:tab/>
            </w:r>
            <w:r>
              <w:rPr>
                <w:rStyle w:val="IndexLink"/>
              </w:rPr>
              <w:t>124</w:t>
            </w:r>
          </w:hyperlink>
        </w:p>
        <w:p>
          <w:pPr>
            <w:pStyle w:val="Contents4"/>
            <w:tabs>
              <w:tab w:val="clear" w:pos="8176"/>
              <w:tab w:val="right" w:pos="9026" w:leader="dot"/>
            </w:tabs>
            <w:rPr/>
          </w:pPr>
          <w:hyperlink w:anchor="__RefHeading___Toc10670455_73709187">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0670457_73709187">
            <w:r>
              <w:rPr>
                <w:webHidden/>
                <w:rStyle w:val="IndexLink"/>
                <w:rtl w:val="true"/>
              </w:rPr>
              <w:t>الحَجّ الموصى به يخرج من الأصل أو الثُّلث</w:t>
            </w:r>
            <w:r>
              <w:rPr>
                <w:rStyle w:val="IndexLink"/>
                <w:rtl w:val="true"/>
              </w:rPr>
              <w:tab/>
            </w:r>
            <w:r>
              <w:rPr>
                <w:rStyle w:val="IndexLink"/>
              </w:rPr>
              <w:t>126</w:t>
            </w:r>
          </w:hyperlink>
        </w:p>
        <w:p>
          <w:pPr>
            <w:pStyle w:val="Contents4"/>
            <w:tabs>
              <w:tab w:val="clear" w:pos="8176"/>
              <w:tab w:val="right" w:pos="9026" w:leader="dot"/>
            </w:tabs>
            <w:rPr/>
          </w:pPr>
          <w:hyperlink w:anchor="__RefHeading___Toc10670459_73709187">
            <w:r>
              <w:rPr>
                <w:webHidden/>
                <w:rStyle w:val="IndexLink"/>
                <w:rtl w:val="true"/>
              </w:rPr>
              <w:t>حكم ما إذا لم يعلم أحد الأمرين</w:t>
            </w:r>
            <w:r>
              <w:rPr>
                <w:rStyle w:val="IndexLink"/>
                <w:rtl w:val="true"/>
              </w:rPr>
              <w:tab/>
            </w:r>
            <w:r>
              <w:rPr>
                <w:rStyle w:val="IndexLink"/>
              </w:rPr>
              <w:t>127</w:t>
            </w:r>
          </w:hyperlink>
        </w:p>
        <w:p>
          <w:pPr>
            <w:pStyle w:val="Contents4"/>
            <w:tabs>
              <w:tab w:val="clear" w:pos="8176"/>
              <w:tab w:val="right" w:pos="9026" w:leader="dot"/>
            </w:tabs>
            <w:rPr/>
          </w:pPr>
          <w:hyperlink w:anchor="__RefHeading___Toc10670461_73709187">
            <w:r>
              <w:rPr>
                <w:webHidden/>
                <w:rStyle w:val="IndexLink"/>
                <w:rtl w:val="true"/>
              </w:rPr>
              <w:t>إذا لم يعيّن الموصي الاُجرة اقتصر على الأقلّ‌</w:t>
            </w:r>
            <w:r>
              <w:rPr>
                <w:rStyle w:val="IndexLink"/>
                <w:rtl w:val="true"/>
              </w:rPr>
              <w:tab/>
            </w:r>
            <w:r>
              <w:rPr>
                <w:rStyle w:val="IndexLink"/>
              </w:rPr>
              <w:t>130</w:t>
            </w:r>
          </w:hyperlink>
        </w:p>
        <w:p>
          <w:pPr>
            <w:pStyle w:val="Contents4"/>
            <w:tabs>
              <w:tab w:val="clear" w:pos="8176"/>
              <w:tab w:val="right" w:pos="9026" w:leader="dot"/>
            </w:tabs>
            <w:rPr/>
          </w:pPr>
          <w:hyperlink w:anchor="__RefHeading___Toc10670463_73709187">
            <w:r>
              <w:rPr>
                <w:webHidden/>
                <w:rStyle w:val="IndexLink"/>
                <w:rtl w:val="true"/>
              </w:rPr>
              <w:t>إذا لم يعيّن عدد الحَجّ‌</w:t>
            </w:r>
            <w:r>
              <w:rPr>
                <w:rStyle w:val="IndexLink"/>
                <w:rtl w:val="true"/>
              </w:rPr>
              <w:tab/>
            </w:r>
            <w:r>
              <w:rPr>
                <w:rStyle w:val="IndexLink"/>
              </w:rPr>
              <w:t>135</w:t>
            </w:r>
          </w:hyperlink>
        </w:p>
        <w:p>
          <w:pPr>
            <w:pStyle w:val="Contents4"/>
            <w:tabs>
              <w:tab w:val="clear" w:pos="8176"/>
              <w:tab w:val="right" w:pos="9026" w:leader="dot"/>
            </w:tabs>
            <w:rPr/>
          </w:pPr>
          <w:hyperlink w:anchor="__RefHeading___Toc10670465_73709187">
            <w:r>
              <w:rPr>
                <w:webHidden/>
                <w:rStyle w:val="IndexLink"/>
                <w:rtl w:val="true"/>
              </w:rPr>
              <w:t>إذا عيّن مقداراً لا يكفي للحَجّ‌</w:t>
            </w:r>
            <w:r>
              <w:rPr>
                <w:rStyle w:val="IndexLink"/>
                <w:rtl w:val="true"/>
              </w:rPr>
              <w:tab/>
            </w:r>
            <w:r>
              <w:rPr>
                <w:rStyle w:val="IndexLink"/>
              </w:rPr>
              <w:t>140</w:t>
            </w:r>
          </w:hyperlink>
        </w:p>
        <w:p>
          <w:pPr>
            <w:pStyle w:val="Contents4"/>
            <w:tabs>
              <w:tab w:val="clear" w:pos="8176"/>
              <w:tab w:val="right" w:pos="9026" w:leader="dot"/>
            </w:tabs>
            <w:rPr/>
          </w:pPr>
          <w:hyperlink w:anchor="__RefHeading___Toc10670467_73709187">
            <w:r>
              <w:rPr>
                <w:webHidden/>
                <w:rStyle w:val="IndexLink"/>
                <w:rtl w:val="true"/>
              </w:rPr>
              <w:t>إذا عيّن للحَجّ اُجرةً لا تكفي</w:t>
            </w:r>
            <w:r>
              <w:rPr>
                <w:rStyle w:val="IndexLink"/>
                <w:rtl w:val="true"/>
              </w:rPr>
              <w:tab/>
            </w:r>
            <w:r>
              <w:rPr>
                <w:rStyle w:val="IndexLink"/>
              </w:rPr>
              <w:t>145</w:t>
            </w:r>
          </w:hyperlink>
        </w:p>
        <w:p>
          <w:pPr>
            <w:pStyle w:val="Contents4"/>
            <w:tabs>
              <w:tab w:val="clear" w:pos="8176"/>
              <w:tab w:val="right" w:pos="9026" w:leader="dot"/>
            </w:tabs>
            <w:rPr/>
          </w:pPr>
          <w:hyperlink w:anchor="__RefHeading___Toc10670469_73709187">
            <w:r>
              <w:rPr>
                <w:webHidden/>
                <w:rStyle w:val="IndexLink"/>
                <w:rtl w:val="true"/>
              </w:rPr>
              <w:t>إذا صالحه داره على أن يحجّ عنه</w:t>
            </w:r>
            <w:r>
              <w:rPr>
                <w:rStyle w:val="IndexLink"/>
                <w:rtl w:val="true"/>
              </w:rPr>
              <w:tab/>
            </w:r>
            <w:r>
              <w:rPr>
                <w:rStyle w:val="IndexLink"/>
              </w:rPr>
              <w:t>150</w:t>
            </w:r>
          </w:hyperlink>
        </w:p>
        <w:p>
          <w:pPr>
            <w:pStyle w:val="Contents4"/>
            <w:tabs>
              <w:tab w:val="clear" w:pos="8176"/>
              <w:tab w:val="right" w:pos="9026" w:leader="dot"/>
            </w:tabs>
            <w:rPr/>
          </w:pPr>
          <w:hyperlink w:anchor="__RefHeading___Toc10670471_73709187">
            <w:r>
              <w:rPr>
                <w:webHidden/>
                <w:rStyle w:val="IndexLink"/>
                <w:rtl w:val="true"/>
              </w:rPr>
              <w:t>من كان عنده وديعة ومات صاحبها ولم يحجّ‌</w:t>
            </w:r>
            <w:r>
              <w:rPr>
                <w:rStyle w:val="IndexLink"/>
                <w:rtl w:val="true"/>
              </w:rPr>
              <w:tab/>
            </w:r>
            <w:r>
              <w:rPr>
                <w:rStyle w:val="IndexLink"/>
              </w:rPr>
              <w:t>152</w:t>
            </w:r>
          </w:hyperlink>
        </w:p>
        <w:p>
          <w:pPr>
            <w:pStyle w:val="Contents4"/>
            <w:tabs>
              <w:tab w:val="clear" w:pos="8176"/>
              <w:tab w:val="right" w:pos="9026" w:leader="dot"/>
            </w:tabs>
            <w:rPr/>
          </w:pPr>
          <w:hyperlink w:anchor="__RefHeading___Toc10670473_73709187">
            <w:r>
              <w:rPr>
                <w:webHidden/>
                <w:rStyle w:val="IndexLink"/>
                <w:rtl w:val="true"/>
              </w:rPr>
              <w:t>حكم حَجّ من أعطاه رجل مالاً لاستئجار الحَجّ‌</w:t>
            </w:r>
            <w:r>
              <w:rPr>
                <w:rStyle w:val="IndexLink"/>
                <w:rtl w:val="true"/>
              </w:rPr>
              <w:tab/>
            </w:r>
            <w:r>
              <w:rPr>
                <w:rStyle w:val="IndexLink"/>
              </w:rPr>
              <w:t>162</w:t>
            </w:r>
          </w:hyperlink>
        </w:p>
        <w:p>
          <w:pPr>
            <w:pStyle w:val="Contents3"/>
            <w:tabs>
              <w:tab w:val="clear" w:pos="8459"/>
              <w:tab w:val="right" w:pos="9026" w:leader="dot"/>
            </w:tabs>
            <w:rPr/>
          </w:pPr>
          <w:hyperlink w:anchor="__RefHeading___Toc10670475_73709187">
            <w:r>
              <w:rPr>
                <w:webHidden/>
                <w:rStyle w:val="IndexLink"/>
                <w:rtl w:val="true"/>
              </w:rPr>
              <w:t>الفصل الخامس في الحَجّ المندوب</w:t>
            </w:r>
            <w:r>
              <w:rPr>
                <w:rStyle w:val="IndexLink"/>
                <w:rtl w:val="true"/>
              </w:rPr>
              <w:tab/>
            </w:r>
            <w:r>
              <w:rPr>
                <w:rStyle w:val="IndexLink"/>
              </w:rPr>
              <w:t>166</w:t>
            </w:r>
          </w:hyperlink>
        </w:p>
        <w:p>
          <w:pPr>
            <w:pStyle w:val="Contents4"/>
            <w:tabs>
              <w:tab w:val="clear" w:pos="8176"/>
              <w:tab w:val="right" w:pos="9026" w:leader="dot"/>
            </w:tabs>
            <w:rPr/>
          </w:pPr>
          <w:hyperlink w:anchor="__RefHeading___Toc10670477_73709187">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0670479_73709187">
            <w:r>
              <w:rPr>
                <w:webHidden/>
                <w:rStyle w:val="IndexLink"/>
                <w:rtl w:val="true"/>
              </w:rPr>
              <w:t>النيابة في الطواف</w:t>
            </w:r>
            <w:r>
              <w:rPr>
                <w:rStyle w:val="IndexLink"/>
                <w:rtl w:val="true"/>
              </w:rPr>
              <w:tab/>
            </w:r>
            <w:r>
              <w:rPr>
                <w:rStyle w:val="IndexLink"/>
              </w:rPr>
              <w:t>169</w:t>
            </w:r>
          </w:hyperlink>
        </w:p>
        <w:p>
          <w:pPr>
            <w:pStyle w:val="Contents2"/>
            <w:tabs>
              <w:tab w:val="clear" w:pos="8743"/>
              <w:tab w:val="right" w:pos="9026" w:leader="dot"/>
            </w:tabs>
            <w:rPr/>
          </w:pPr>
          <w:hyperlink w:anchor="__RefHeading___Toc10670481_73709187">
            <w:r>
              <w:rPr>
                <w:webHidden/>
                <w:rStyle w:val="IndexLink"/>
                <w:rtl w:val="true"/>
              </w:rPr>
              <w:t>الباب الثاني</w:t>
            </w:r>
            <w:r>
              <w:rPr>
                <w:rStyle w:val="IndexLink"/>
                <w:rtl w:val="true"/>
              </w:rPr>
              <w:t xml:space="preserve">: </w:t>
            </w:r>
            <w:r>
              <w:rPr>
                <w:rStyle w:val="IndexLink"/>
                <w:rtl w:val="true"/>
              </w:rPr>
              <w:t>في أنواع الحجّ‌</w:t>
            </w:r>
            <w:r>
              <w:rPr>
                <w:rStyle w:val="IndexLink"/>
                <w:rtl w:val="true"/>
              </w:rPr>
              <w:tab/>
            </w:r>
            <w:r>
              <w:rPr>
                <w:rStyle w:val="IndexLink"/>
              </w:rPr>
              <w:t>175</w:t>
            </w:r>
          </w:hyperlink>
        </w:p>
        <w:p>
          <w:pPr>
            <w:pStyle w:val="Contents3"/>
            <w:tabs>
              <w:tab w:val="clear" w:pos="8459"/>
              <w:tab w:val="right" w:pos="9026" w:leader="dot"/>
            </w:tabs>
            <w:rPr/>
          </w:pPr>
          <w:hyperlink w:anchor="__RefHeading___Toc10670483_73709187">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10670485_73709187">
            <w:r>
              <w:rPr>
                <w:webHidden/>
                <w:rStyle w:val="IndexLink"/>
                <w:rtl w:val="true"/>
              </w:rPr>
              <w:t>حَجّ التمتّع</w:t>
            </w:r>
            <w:r>
              <w:rPr>
                <w:rStyle w:val="IndexLink"/>
                <w:rtl w:val="true"/>
              </w:rPr>
              <w:tab/>
            </w:r>
            <w:r>
              <w:rPr>
                <w:rStyle w:val="IndexLink"/>
              </w:rPr>
              <w:t>178</w:t>
            </w:r>
          </w:hyperlink>
        </w:p>
        <w:p>
          <w:pPr>
            <w:pStyle w:val="Contents3"/>
            <w:tabs>
              <w:tab w:val="clear" w:pos="8459"/>
              <w:tab w:val="right" w:pos="9026" w:leader="dot"/>
            </w:tabs>
            <w:rPr/>
          </w:pPr>
          <w:hyperlink w:anchor="__RefHeading___Toc10670487_73709187">
            <w:r>
              <w:rPr>
                <w:webHidden/>
                <w:rStyle w:val="IndexLink"/>
                <w:rtl w:val="true"/>
              </w:rPr>
              <w:t>صورة حَجّ التمتّع</w:t>
            </w:r>
            <w:r>
              <w:rPr>
                <w:rStyle w:val="IndexLink"/>
                <w:rtl w:val="true"/>
              </w:rPr>
              <w:tab/>
            </w:r>
            <w:r>
              <w:rPr>
                <w:rStyle w:val="IndexLink"/>
              </w:rPr>
              <w:t>182</w:t>
            </w:r>
          </w:hyperlink>
        </w:p>
        <w:p>
          <w:pPr>
            <w:pStyle w:val="Contents3"/>
            <w:tabs>
              <w:tab w:val="clear" w:pos="8459"/>
              <w:tab w:val="right" w:pos="9026" w:leader="dot"/>
            </w:tabs>
            <w:rPr/>
          </w:pPr>
          <w:hyperlink w:anchor="__RefHeading___Toc10670489_73709187">
            <w:r>
              <w:rPr>
                <w:webHidden/>
                <w:rStyle w:val="IndexLink"/>
                <w:rtl w:val="true"/>
              </w:rPr>
              <w:t>التمتّع فرضُ من كان بعيداً عن مكّة</w:t>
            </w:r>
            <w:r>
              <w:rPr>
                <w:rStyle w:val="IndexLink"/>
                <w:rtl w:val="true"/>
              </w:rPr>
              <w:tab/>
            </w:r>
            <w:r>
              <w:rPr>
                <w:rStyle w:val="IndexLink"/>
              </w:rPr>
              <w:t>183</w:t>
            </w:r>
          </w:hyperlink>
        </w:p>
        <w:p>
          <w:pPr>
            <w:pStyle w:val="Contents3"/>
            <w:tabs>
              <w:tab w:val="clear" w:pos="8459"/>
              <w:tab w:val="right" w:pos="9026" w:leader="dot"/>
            </w:tabs>
            <w:rPr/>
          </w:pPr>
          <w:hyperlink w:anchor="__RefHeading___Toc10670491_73709187">
            <w:r>
              <w:rPr>
                <w:webHidden/>
                <w:rStyle w:val="IndexLink"/>
                <w:rtl w:val="true"/>
              </w:rPr>
              <w:t>حَد البُعد الموجب للتمتّع</w:t>
            </w:r>
            <w:r>
              <w:rPr>
                <w:rStyle w:val="IndexLink"/>
                <w:rtl w:val="true"/>
              </w:rPr>
              <w:tab/>
            </w:r>
            <w:r>
              <w:rPr>
                <w:rStyle w:val="IndexLink"/>
              </w:rPr>
              <w:t>186</w:t>
            </w:r>
          </w:hyperlink>
        </w:p>
        <w:p>
          <w:pPr>
            <w:pStyle w:val="Contents3"/>
            <w:tabs>
              <w:tab w:val="clear" w:pos="8459"/>
              <w:tab w:val="right" w:pos="9026" w:leader="dot"/>
            </w:tabs>
            <w:rPr/>
          </w:pPr>
          <w:hyperlink w:anchor="__RefHeading___Toc10670493_73709187">
            <w:r>
              <w:rPr>
                <w:webHidden/>
                <w:rStyle w:val="IndexLink"/>
                <w:rtl w:val="true"/>
              </w:rPr>
              <w:t>اعتبار الحَدّ من المسجد أو مكّة</w:t>
            </w:r>
            <w:r>
              <w:rPr>
                <w:rStyle w:val="IndexLink"/>
                <w:rtl w:val="true"/>
              </w:rPr>
              <w:tab/>
            </w:r>
            <w:r>
              <w:rPr>
                <w:rStyle w:val="IndexLink"/>
              </w:rPr>
              <w:t>194</w:t>
            </w:r>
          </w:hyperlink>
        </w:p>
        <w:p>
          <w:pPr>
            <w:pStyle w:val="Contents3"/>
            <w:tabs>
              <w:tab w:val="clear" w:pos="8459"/>
              <w:tab w:val="right" w:pos="9026" w:leader="dot"/>
            </w:tabs>
            <w:rPr/>
          </w:pPr>
          <w:hyperlink w:anchor="__RefHeading___Toc10670495_73709187">
            <w:r>
              <w:rPr>
                <w:webHidden/>
                <w:rStyle w:val="IndexLink"/>
                <w:rtl w:val="true"/>
              </w:rPr>
              <w:t>من شكّ في أنّ وظيفته التمتّع أو غيره</w:t>
            </w:r>
            <w:r>
              <w:rPr>
                <w:rStyle w:val="IndexLink"/>
                <w:rtl w:val="true"/>
              </w:rPr>
              <w:tab/>
            </w:r>
            <w:r>
              <w:rPr>
                <w:rStyle w:val="IndexLink"/>
              </w:rPr>
              <w:t>196</w:t>
            </w:r>
          </w:hyperlink>
        </w:p>
        <w:p>
          <w:pPr>
            <w:pStyle w:val="Contents3"/>
            <w:tabs>
              <w:tab w:val="clear" w:pos="8459"/>
              <w:tab w:val="right" w:pos="9026" w:leader="dot"/>
            </w:tabs>
            <w:rPr/>
          </w:pPr>
          <w:hyperlink w:anchor="__RefHeading___Toc10670497_73709187">
            <w:r>
              <w:rPr>
                <w:webHidden/>
                <w:rStyle w:val="IndexLink"/>
                <w:rtl w:val="true"/>
              </w:rPr>
              <w:t>من له وطنان داخل الحَدّ وخارجه</w:t>
            </w:r>
            <w:r>
              <w:rPr>
                <w:rStyle w:val="IndexLink"/>
                <w:rtl w:val="true"/>
              </w:rPr>
              <w:tab/>
            </w:r>
            <w:r>
              <w:rPr>
                <w:rStyle w:val="IndexLink"/>
              </w:rPr>
              <w:t>202</w:t>
            </w:r>
          </w:hyperlink>
        </w:p>
        <w:p>
          <w:pPr>
            <w:pStyle w:val="Contents3"/>
            <w:tabs>
              <w:tab w:val="clear" w:pos="8459"/>
              <w:tab w:val="right" w:pos="9026" w:leader="dot"/>
            </w:tabs>
            <w:rPr/>
          </w:pPr>
          <w:hyperlink w:anchor="__RefHeading___Toc10670499_73709187">
            <w:r>
              <w:rPr>
                <w:webHidden/>
                <w:rStyle w:val="IndexLink"/>
                <w:rtl w:val="true"/>
              </w:rPr>
              <w:t>حكم أهل مكّة إذا خرجوا إلى بعض الأمصار</w:t>
            </w:r>
            <w:r>
              <w:rPr>
                <w:rStyle w:val="IndexLink"/>
                <w:rtl w:val="true"/>
              </w:rPr>
              <w:tab/>
            </w:r>
            <w:r>
              <w:rPr>
                <w:rStyle w:val="IndexLink"/>
              </w:rPr>
              <w:t>209</w:t>
            </w:r>
          </w:hyperlink>
        </w:p>
        <w:p>
          <w:pPr>
            <w:pStyle w:val="Contents3"/>
            <w:tabs>
              <w:tab w:val="clear" w:pos="8459"/>
              <w:tab w:val="right" w:pos="9026" w:leader="dot"/>
            </w:tabs>
            <w:rPr/>
          </w:pPr>
          <w:hyperlink w:anchor="__RefHeading___Toc10670501_73709187">
            <w:r>
              <w:rPr>
                <w:webHidden/>
                <w:rStyle w:val="IndexLink"/>
                <w:rtl w:val="true"/>
              </w:rPr>
              <w:t>حكم الآفاقي إذا صار مُقيماً بمكّة</w:t>
            </w:r>
            <w:r>
              <w:rPr>
                <w:rStyle w:val="IndexLink"/>
                <w:rtl w:val="true"/>
              </w:rPr>
              <w:tab/>
            </w:r>
            <w:r>
              <w:rPr>
                <w:rStyle w:val="IndexLink"/>
              </w:rPr>
              <w:t>214</w:t>
            </w:r>
          </w:hyperlink>
        </w:p>
        <w:p>
          <w:pPr>
            <w:pStyle w:val="Contents3"/>
            <w:tabs>
              <w:tab w:val="clear" w:pos="8459"/>
              <w:tab w:val="right" w:pos="9026" w:leader="dot"/>
            </w:tabs>
            <w:rPr/>
          </w:pPr>
          <w:hyperlink w:anchor="__RefHeading___Toc10670503_73709187">
            <w:r>
              <w:rPr>
                <w:webHidden/>
                <w:rStyle w:val="IndexLink"/>
                <w:rtl w:val="true"/>
              </w:rPr>
              <w:t>ميقات التمتّع المُقيم بمكّة</w:t>
            </w:r>
            <w:r>
              <w:rPr>
                <w:rStyle w:val="IndexLink"/>
                <w:rtl w:val="true"/>
              </w:rPr>
              <w:tab/>
            </w:r>
            <w:r>
              <w:rPr>
                <w:rStyle w:val="IndexLink"/>
              </w:rPr>
              <w:t>224</w:t>
            </w:r>
          </w:hyperlink>
        </w:p>
        <w:p>
          <w:pPr>
            <w:pStyle w:val="Contents3"/>
            <w:tabs>
              <w:tab w:val="clear" w:pos="8459"/>
              <w:tab w:val="right" w:pos="9026" w:leader="dot"/>
            </w:tabs>
            <w:rPr/>
          </w:pPr>
          <w:hyperlink w:anchor="__RefHeading___Toc10670505_73709187">
            <w:r>
              <w:rPr>
                <w:webHidden/>
                <w:rStyle w:val="IndexLink"/>
                <w:rtl w:val="true"/>
              </w:rPr>
              <w:t>حَجّ الإفراد والقِران</w:t>
            </w:r>
            <w:r>
              <w:rPr>
                <w:rStyle w:val="IndexLink"/>
                <w:rtl w:val="true"/>
              </w:rPr>
              <w:tab/>
            </w:r>
            <w:r>
              <w:rPr>
                <w:rStyle w:val="IndexLink"/>
              </w:rPr>
              <w:t>234</w:t>
            </w:r>
          </w:hyperlink>
        </w:p>
        <w:p>
          <w:pPr>
            <w:pStyle w:val="Contents3"/>
            <w:tabs>
              <w:tab w:val="clear" w:pos="8459"/>
              <w:tab w:val="right" w:pos="9026" w:leader="dot"/>
            </w:tabs>
            <w:rPr/>
          </w:pPr>
          <w:hyperlink w:anchor="__RefHeading___Toc10670507_73709187">
            <w:r>
              <w:rPr>
                <w:webHidden/>
                <w:rStyle w:val="IndexLink"/>
                <w:rtl w:val="true"/>
              </w:rPr>
              <w:t>شرائط حَجّ التمتّع</w:t>
            </w:r>
            <w:r>
              <w:rPr>
                <w:rStyle w:val="IndexLink"/>
                <w:rtl w:val="true"/>
              </w:rPr>
              <w:tab/>
            </w:r>
            <w:r>
              <w:rPr>
                <w:rStyle w:val="IndexLink"/>
              </w:rPr>
              <w:t>242</w:t>
            </w:r>
          </w:hyperlink>
        </w:p>
        <w:p>
          <w:pPr>
            <w:pStyle w:val="Contents3"/>
            <w:tabs>
              <w:tab w:val="clear" w:pos="8459"/>
              <w:tab w:val="right" w:pos="9026" w:leader="dot"/>
            </w:tabs>
            <w:rPr/>
          </w:pPr>
          <w:hyperlink w:anchor="__RefHeading___Toc10670509_73709187">
            <w:r>
              <w:rPr>
                <w:webHidden/>
                <w:rStyle w:val="IndexLink"/>
                <w:rtl w:val="true"/>
              </w:rPr>
              <w:t>التمتّع بالعُمرة المفردة</w:t>
            </w:r>
            <w:r>
              <w:rPr>
                <w:rStyle w:val="IndexLink"/>
                <w:rtl w:val="true"/>
              </w:rPr>
              <w:tab/>
            </w:r>
            <w:r>
              <w:rPr>
                <w:rStyle w:val="IndexLink"/>
              </w:rPr>
              <w:t>244</w:t>
            </w:r>
          </w:hyperlink>
        </w:p>
        <w:p>
          <w:pPr>
            <w:pStyle w:val="Contents3"/>
            <w:tabs>
              <w:tab w:val="clear" w:pos="8459"/>
              <w:tab w:val="right" w:pos="9026" w:leader="dot"/>
            </w:tabs>
            <w:rPr/>
          </w:pPr>
          <w:hyperlink w:anchor="__RefHeading___Toc10670511_73709187">
            <w:r>
              <w:rPr>
                <w:webHidden/>
                <w:rStyle w:val="IndexLink"/>
                <w:rtl w:val="true"/>
              </w:rPr>
              <w:t>اعتبار وقوع النسكين في أشهر الحَجّ‌</w:t>
            </w:r>
            <w:r>
              <w:rPr>
                <w:rStyle w:val="IndexLink"/>
                <w:rtl w:val="true"/>
              </w:rPr>
              <w:tab/>
            </w:r>
            <w:r>
              <w:rPr>
                <w:rStyle w:val="IndexLink"/>
              </w:rPr>
              <w:t>250</w:t>
            </w:r>
          </w:hyperlink>
        </w:p>
        <w:p>
          <w:pPr>
            <w:pStyle w:val="Contents3"/>
            <w:tabs>
              <w:tab w:val="clear" w:pos="8459"/>
              <w:tab w:val="right" w:pos="9026" w:leader="dot"/>
            </w:tabs>
            <w:rPr/>
          </w:pPr>
          <w:hyperlink w:anchor="__RefHeading___Toc10670513_73709187">
            <w:r>
              <w:rPr>
                <w:webHidden/>
                <w:rStyle w:val="IndexLink"/>
                <w:rtl w:val="true"/>
              </w:rPr>
              <w:t>العُمرة قبل أشهر الحَجّ‌</w:t>
            </w:r>
            <w:r>
              <w:rPr>
                <w:rStyle w:val="IndexLink"/>
                <w:rtl w:val="true"/>
              </w:rPr>
              <w:tab/>
            </w:r>
            <w:r>
              <w:rPr>
                <w:rStyle w:val="IndexLink"/>
              </w:rPr>
              <w:t>253</w:t>
            </w:r>
          </w:hyperlink>
        </w:p>
        <w:p>
          <w:pPr>
            <w:pStyle w:val="Contents3"/>
            <w:tabs>
              <w:tab w:val="clear" w:pos="8459"/>
              <w:tab w:val="right" w:pos="9026" w:leader="dot"/>
            </w:tabs>
            <w:rPr/>
          </w:pPr>
          <w:hyperlink w:anchor="__RefHeading___Toc10670515_73709187">
            <w:r>
              <w:rPr>
                <w:webHidden/>
                <w:rStyle w:val="IndexLink"/>
                <w:rtl w:val="true"/>
              </w:rPr>
              <w:t>اعتبار كون الحَجّ والعُمرة في سنة واحدة</w:t>
            </w:r>
            <w:r>
              <w:rPr>
                <w:rStyle w:val="IndexLink"/>
                <w:rtl w:val="true"/>
              </w:rPr>
              <w:tab/>
            </w:r>
            <w:r>
              <w:rPr>
                <w:rStyle w:val="IndexLink"/>
              </w:rPr>
              <w:t>256</w:t>
            </w:r>
          </w:hyperlink>
        </w:p>
        <w:p>
          <w:pPr>
            <w:pStyle w:val="Contents3"/>
            <w:tabs>
              <w:tab w:val="clear" w:pos="8459"/>
              <w:tab w:val="right" w:pos="9026" w:leader="dot"/>
            </w:tabs>
            <w:rPr/>
          </w:pPr>
          <w:hyperlink w:anchor="__RefHeading___Toc10670517_73709187">
            <w:r>
              <w:rPr>
                <w:webHidden/>
                <w:rStyle w:val="IndexLink"/>
                <w:rtl w:val="true"/>
              </w:rPr>
              <w:t>اعتبار كون إحرام الحَجّ من مكّة</w:t>
            </w:r>
            <w:r>
              <w:rPr>
                <w:rStyle w:val="IndexLink"/>
                <w:rtl w:val="true"/>
              </w:rPr>
              <w:tab/>
            </w:r>
            <w:r>
              <w:rPr>
                <w:rStyle w:val="IndexLink"/>
              </w:rPr>
              <w:t>261</w:t>
            </w:r>
          </w:hyperlink>
        </w:p>
        <w:p>
          <w:pPr>
            <w:pStyle w:val="Contents3"/>
            <w:tabs>
              <w:tab w:val="clear" w:pos="8459"/>
              <w:tab w:val="right" w:pos="9026" w:leader="dot"/>
            </w:tabs>
            <w:rPr/>
          </w:pPr>
          <w:hyperlink w:anchor="__RefHeading___Toc10670519_73709187">
            <w:r>
              <w:rPr>
                <w:webHidden/>
                <w:rStyle w:val="IndexLink"/>
                <w:rtl w:val="true"/>
              </w:rPr>
              <w:t>اعتبار كون النسكين من واحدٍ عن واحد</w:t>
            </w:r>
            <w:r>
              <w:rPr>
                <w:rStyle w:val="IndexLink"/>
                <w:rtl w:val="true"/>
              </w:rPr>
              <w:tab/>
            </w:r>
            <w:r>
              <w:rPr>
                <w:rStyle w:val="IndexLink"/>
              </w:rPr>
              <w:t>267</w:t>
            </w:r>
          </w:hyperlink>
        </w:p>
        <w:p>
          <w:pPr>
            <w:pStyle w:val="Contents3"/>
            <w:tabs>
              <w:tab w:val="clear" w:pos="8459"/>
              <w:tab w:val="right" w:pos="9026" w:leader="dot"/>
            </w:tabs>
            <w:rPr/>
          </w:pPr>
          <w:hyperlink w:anchor="__RefHeading___Toc10670521_73709187">
            <w:r>
              <w:rPr>
                <w:webHidden/>
                <w:rStyle w:val="IndexLink"/>
                <w:rtl w:val="true"/>
              </w:rPr>
              <w:t>خروج المُعتمر عن مكّة قبل الحَجّ‌</w:t>
            </w:r>
            <w:r>
              <w:rPr>
                <w:rStyle w:val="IndexLink"/>
                <w:rtl w:val="true"/>
              </w:rPr>
              <w:tab/>
            </w:r>
            <w:r>
              <w:rPr>
                <w:rStyle w:val="IndexLink"/>
              </w:rPr>
              <w:t>270</w:t>
            </w:r>
          </w:hyperlink>
        </w:p>
        <w:p>
          <w:pPr>
            <w:pStyle w:val="Contents3"/>
            <w:tabs>
              <w:tab w:val="clear" w:pos="8459"/>
              <w:tab w:val="right" w:pos="9026" w:leader="dot"/>
            </w:tabs>
            <w:rPr/>
          </w:pPr>
          <w:hyperlink w:anchor="__RefHeading___Toc10670523_73709187">
            <w:r>
              <w:rPr>
                <w:webHidden/>
                <w:rStyle w:val="IndexLink"/>
                <w:rtl w:val="true"/>
              </w:rPr>
              <w:t>تنبيهات خروج المعتمر</w:t>
            </w:r>
            <w:r>
              <w:rPr>
                <w:rStyle w:val="IndexLink"/>
                <w:rtl w:val="true"/>
              </w:rPr>
              <w:tab/>
            </w:r>
            <w:r>
              <w:rPr>
                <w:rStyle w:val="IndexLink"/>
              </w:rPr>
              <w:t>276</w:t>
            </w:r>
          </w:hyperlink>
        </w:p>
        <w:p>
          <w:pPr>
            <w:pStyle w:val="Contents3"/>
            <w:tabs>
              <w:tab w:val="clear" w:pos="8459"/>
              <w:tab w:val="right" w:pos="9026" w:leader="dot"/>
            </w:tabs>
            <w:rPr/>
          </w:pPr>
          <w:hyperlink w:anchor="__RefHeading___Toc10670525_73709187">
            <w:r>
              <w:rPr>
                <w:webHidden/>
                <w:rStyle w:val="IndexLink"/>
                <w:rtl w:val="true"/>
              </w:rPr>
              <w:t>حَدّ الضيق المسوّغ للعدول عن التمتّع</w:t>
            </w:r>
            <w:r>
              <w:rPr>
                <w:rStyle w:val="IndexLink"/>
                <w:rtl w:val="true"/>
              </w:rPr>
              <w:tab/>
            </w:r>
            <w:r>
              <w:rPr>
                <w:rStyle w:val="IndexLink"/>
              </w:rPr>
              <w:t>283</w:t>
            </w:r>
          </w:hyperlink>
        </w:p>
        <w:p>
          <w:pPr>
            <w:pStyle w:val="Contents3"/>
            <w:tabs>
              <w:tab w:val="clear" w:pos="8459"/>
              <w:tab w:val="right" w:pos="9026" w:leader="dot"/>
            </w:tabs>
            <w:rPr/>
          </w:pPr>
          <w:hyperlink w:anchor="__RefHeading___Toc10670527_73709187">
            <w:r>
              <w:rPr>
                <w:webHidden/>
                <w:rStyle w:val="IndexLink"/>
                <w:rtl w:val="true"/>
              </w:rPr>
              <w:t>تنبيهات حَدّ الضيق المسوّغ للعدول</w:t>
            </w:r>
            <w:r>
              <w:rPr>
                <w:rStyle w:val="IndexLink"/>
                <w:rtl w:val="true"/>
              </w:rPr>
              <w:tab/>
            </w:r>
            <w:r>
              <w:rPr>
                <w:rStyle w:val="IndexLink"/>
              </w:rPr>
              <w:t>295</w:t>
            </w:r>
          </w:hyperlink>
        </w:p>
        <w:p>
          <w:pPr>
            <w:pStyle w:val="Contents3"/>
            <w:tabs>
              <w:tab w:val="clear" w:pos="8459"/>
              <w:tab w:val="right" w:pos="9026" w:leader="dot"/>
            </w:tabs>
            <w:rPr/>
          </w:pPr>
          <w:hyperlink w:anchor="__RefHeading___Toc10670529_73709187">
            <w:r>
              <w:rPr>
                <w:webHidden/>
                <w:rStyle w:val="IndexLink"/>
                <w:rtl w:val="true"/>
              </w:rPr>
              <w:t>حكم الحائض والنفساء إذا ضاق وقتهما عن إتمام العُمرة</w:t>
            </w:r>
            <w:r>
              <w:rPr>
                <w:rStyle w:val="IndexLink"/>
                <w:rtl w:val="true"/>
              </w:rPr>
              <w:tab/>
            </w:r>
            <w:r>
              <w:rPr>
                <w:rStyle w:val="IndexLink"/>
              </w:rPr>
              <w:t>298</w:t>
            </w:r>
          </w:hyperlink>
        </w:p>
        <w:p>
          <w:pPr>
            <w:pStyle w:val="Contents3"/>
            <w:tabs>
              <w:tab w:val="clear" w:pos="8459"/>
              <w:tab w:val="right" w:pos="9026" w:leader="dot"/>
            </w:tabs>
            <w:rPr/>
          </w:pPr>
          <w:hyperlink w:anchor="__RefHeading___Toc10670531_73709187">
            <w:r>
              <w:rPr>
                <w:webHidden/>
                <w:rStyle w:val="IndexLink"/>
                <w:rtl w:val="true"/>
              </w:rPr>
              <w:t>حدوث الحيض</w:t>
            </w:r>
            <w:r>
              <w:rPr>
                <w:rStyle w:val="IndexLink"/>
                <w:rtl w:val="true"/>
              </w:rPr>
              <w:tab/>
            </w:r>
            <w:r>
              <w:rPr>
                <w:rStyle w:val="IndexLink"/>
              </w:rPr>
              <w:t>306</w:t>
            </w:r>
          </w:hyperlink>
        </w:p>
        <w:p>
          <w:pPr>
            <w:pStyle w:val="Contents3"/>
            <w:tabs>
              <w:tab w:val="clear" w:pos="8459"/>
              <w:tab w:val="right" w:pos="9026" w:leader="dot"/>
            </w:tabs>
            <w:rPr/>
          </w:pPr>
          <w:hyperlink w:anchor="__RefHeading___Toc10670533_73709187">
            <w:r>
              <w:rPr>
                <w:webHidden/>
                <w:rStyle w:val="IndexLink"/>
                <w:rtl w:val="true"/>
              </w:rPr>
              <w:t>شرائط حَجّ الإفراد والقِران</w:t>
            </w:r>
            <w:r>
              <w:rPr>
                <w:rStyle w:val="IndexLink"/>
                <w:rtl w:val="true"/>
              </w:rPr>
              <w:tab/>
            </w:r>
            <w:r>
              <w:rPr>
                <w:rStyle w:val="IndexLink"/>
              </w:rPr>
              <w:t>311</w:t>
            </w:r>
          </w:hyperlink>
        </w:p>
        <w:p>
          <w:pPr>
            <w:pStyle w:val="Contents3"/>
            <w:tabs>
              <w:tab w:val="clear" w:pos="8459"/>
              <w:tab w:val="right" w:pos="9026" w:leader="dot"/>
            </w:tabs>
            <w:rPr/>
          </w:pPr>
          <w:hyperlink w:anchor="__RefHeading___Toc10670535_73709187">
            <w:r>
              <w:rPr>
                <w:webHidden/>
                <w:rStyle w:val="IndexLink"/>
                <w:rtl w:val="true"/>
              </w:rPr>
              <w:t>الطواف قبل المُضيّ إلى عرفات</w:t>
            </w:r>
            <w:r>
              <w:rPr>
                <w:rStyle w:val="IndexLink"/>
                <w:rtl w:val="true"/>
              </w:rPr>
              <w:tab/>
            </w:r>
            <w:r>
              <w:rPr>
                <w:rStyle w:val="IndexLink"/>
              </w:rPr>
              <w:t>313</w:t>
            </w:r>
          </w:hyperlink>
        </w:p>
        <w:p>
          <w:pPr>
            <w:pStyle w:val="Contents3"/>
            <w:tabs>
              <w:tab w:val="clear" w:pos="8459"/>
              <w:tab w:val="right" w:pos="9026" w:leader="dot"/>
            </w:tabs>
            <w:rPr/>
          </w:pPr>
          <w:hyperlink w:anchor="__RefHeading___Toc10670537_73709187">
            <w:r>
              <w:rPr>
                <w:webHidden/>
                <w:rStyle w:val="IndexLink"/>
                <w:rtl w:val="true"/>
              </w:rPr>
              <w:t>تجديد التلبية</w:t>
            </w:r>
            <w:r>
              <w:rPr>
                <w:rStyle w:val="IndexLink"/>
                <w:rtl w:val="true"/>
              </w:rPr>
              <w:tab/>
            </w:r>
            <w:r>
              <w:rPr>
                <w:rStyle w:val="IndexLink"/>
              </w:rPr>
              <w:t>324</w:t>
            </w:r>
          </w:hyperlink>
        </w:p>
        <w:p>
          <w:pPr>
            <w:pStyle w:val="Contents3"/>
            <w:tabs>
              <w:tab w:val="clear" w:pos="8459"/>
              <w:tab w:val="right" w:pos="9026" w:leader="dot"/>
            </w:tabs>
            <w:rPr/>
          </w:pPr>
          <w:hyperlink w:anchor="__RefHeading___Toc10670539_73709187">
            <w:r>
              <w:rPr>
                <w:webHidden/>
                <w:rStyle w:val="IndexLink"/>
                <w:rtl w:val="true"/>
              </w:rPr>
              <w:t>تنبيهات التلبية</w:t>
            </w:r>
            <w:r>
              <w:rPr>
                <w:rStyle w:val="IndexLink"/>
                <w:rtl w:val="true"/>
              </w:rPr>
              <w:tab/>
            </w:r>
            <w:r>
              <w:rPr>
                <w:rStyle w:val="IndexLink"/>
              </w:rPr>
              <w:t>329</w:t>
            </w:r>
          </w:hyperlink>
        </w:p>
        <w:p>
          <w:pPr>
            <w:pStyle w:val="Contents3"/>
            <w:tabs>
              <w:tab w:val="clear" w:pos="8459"/>
              <w:tab w:val="right" w:pos="9026" w:leader="dot"/>
            </w:tabs>
            <w:rPr/>
          </w:pPr>
          <w:hyperlink w:anchor="__RefHeading___Toc10670541_73709187">
            <w:r>
              <w:rPr>
                <w:webHidden/>
                <w:rStyle w:val="IndexLink"/>
                <w:rtl w:val="true"/>
              </w:rPr>
              <w:t>وجوب الهَدْي على المتمتّع</w:t>
            </w:r>
            <w:r>
              <w:rPr>
                <w:rStyle w:val="IndexLink"/>
                <w:rtl w:val="true"/>
              </w:rPr>
              <w:tab/>
            </w:r>
            <w:r>
              <w:rPr>
                <w:rStyle w:val="IndexLink"/>
              </w:rPr>
              <w:t>332</w:t>
            </w:r>
          </w:hyperlink>
        </w:p>
        <w:p>
          <w:pPr>
            <w:pStyle w:val="Contents3"/>
            <w:tabs>
              <w:tab w:val="clear" w:pos="8459"/>
              <w:tab w:val="right" w:pos="9026" w:leader="dot"/>
            </w:tabs>
            <w:rPr/>
          </w:pPr>
          <w:hyperlink w:anchor="__RefHeading___Toc10670543_73709187">
            <w:r>
              <w:rPr>
                <w:webHidden/>
                <w:rStyle w:val="IndexLink"/>
                <w:rtl w:val="true"/>
              </w:rPr>
              <w:t>المواقيت</w:t>
            </w:r>
            <w:r>
              <w:rPr>
                <w:rStyle w:val="IndexLink"/>
                <w:rtl w:val="true"/>
              </w:rPr>
              <w:tab/>
            </w:r>
            <w:r>
              <w:rPr>
                <w:rStyle w:val="IndexLink"/>
              </w:rPr>
              <w:t>334</w:t>
            </w:r>
          </w:hyperlink>
        </w:p>
        <w:p>
          <w:pPr>
            <w:pStyle w:val="Contents3"/>
            <w:tabs>
              <w:tab w:val="clear" w:pos="8459"/>
              <w:tab w:val="right" w:pos="9026" w:leader="dot"/>
            </w:tabs>
            <w:rPr/>
          </w:pPr>
          <w:hyperlink w:anchor="__RefHeading___Toc10670545_73709187">
            <w:r>
              <w:rPr>
                <w:webHidden/>
                <w:rStyle w:val="IndexLink"/>
                <w:rtl w:val="true"/>
              </w:rPr>
              <w:t>ميقاتُ أهل العراق</w:t>
            </w:r>
            <w:r>
              <w:rPr>
                <w:rStyle w:val="IndexLink"/>
                <w:rtl w:val="true"/>
              </w:rPr>
              <w:tab/>
            </w:r>
            <w:r>
              <w:rPr>
                <w:rStyle w:val="IndexLink"/>
              </w:rPr>
              <w:t>337</w:t>
            </w:r>
          </w:hyperlink>
        </w:p>
        <w:p>
          <w:pPr>
            <w:pStyle w:val="Contents3"/>
            <w:tabs>
              <w:tab w:val="clear" w:pos="8459"/>
              <w:tab w:val="right" w:pos="9026" w:leader="dot"/>
            </w:tabs>
            <w:rPr/>
          </w:pPr>
          <w:hyperlink w:anchor="__RefHeading___Toc10670547_73709187">
            <w:r>
              <w:rPr>
                <w:webHidden/>
                <w:rStyle w:val="IndexLink"/>
                <w:rtl w:val="true"/>
              </w:rPr>
              <w:t>ميقات أهل المدينة</w:t>
            </w:r>
            <w:r>
              <w:rPr>
                <w:rStyle w:val="IndexLink"/>
                <w:rtl w:val="true"/>
              </w:rPr>
              <w:tab/>
            </w:r>
            <w:r>
              <w:rPr>
                <w:rStyle w:val="IndexLink"/>
              </w:rPr>
              <w:t>347</w:t>
            </w:r>
          </w:hyperlink>
        </w:p>
        <w:p>
          <w:pPr>
            <w:pStyle w:val="Contents3"/>
            <w:tabs>
              <w:tab w:val="clear" w:pos="8459"/>
              <w:tab w:val="right" w:pos="9026" w:leader="dot"/>
            </w:tabs>
            <w:rPr/>
          </w:pPr>
          <w:hyperlink w:anchor="__RefHeading___Toc10670549_73709187">
            <w:r>
              <w:rPr>
                <w:webHidden/>
                <w:rStyle w:val="IndexLink"/>
                <w:rtl w:val="true"/>
              </w:rPr>
              <w:t>ميقات الجُحفة</w:t>
            </w:r>
            <w:r>
              <w:rPr>
                <w:rStyle w:val="IndexLink"/>
                <w:rtl w:val="true"/>
              </w:rPr>
              <w:tab/>
            </w:r>
            <w:r>
              <w:rPr>
                <w:rStyle w:val="IndexLink"/>
              </w:rPr>
              <w:t>352</w:t>
            </w:r>
          </w:hyperlink>
        </w:p>
        <w:p>
          <w:pPr>
            <w:pStyle w:val="Contents3"/>
            <w:tabs>
              <w:tab w:val="clear" w:pos="8459"/>
              <w:tab w:val="right" w:pos="9026" w:leader="dot"/>
            </w:tabs>
            <w:rPr/>
          </w:pPr>
          <w:hyperlink w:anchor="__RefHeading___Toc10670551_73709187">
            <w:r>
              <w:rPr>
                <w:webHidden/>
                <w:rStyle w:val="IndexLink"/>
                <w:rtl w:val="true"/>
              </w:rPr>
              <w:t>حكم إحرام الحائض والجُنُب من أهل المدينة</w:t>
            </w:r>
            <w:r>
              <w:rPr>
                <w:rStyle w:val="IndexLink"/>
                <w:rtl w:val="true"/>
              </w:rPr>
              <w:tab/>
            </w:r>
            <w:r>
              <w:rPr>
                <w:rStyle w:val="IndexLink"/>
              </w:rPr>
              <w:t>361</w:t>
            </w:r>
          </w:hyperlink>
        </w:p>
        <w:p>
          <w:pPr>
            <w:pStyle w:val="Contents3"/>
            <w:tabs>
              <w:tab w:val="clear" w:pos="8459"/>
              <w:tab w:val="right" w:pos="9026" w:leader="dot"/>
            </w:tabs>
            <w:rPr/>
          </w:pPr>
          <w:hyperlink w:anchor="__RefHeading___Toc10670553_73709187">
            <w:r>
              <w:rPr>
                <w:webHidden/>
                <w:rStyle w:val="IndexLink"/>
                <w:rtl w:val="true"/>
              </w:rPr>
              <w:t>ميقات أهل الشام ومصر والمغرب</w:t>
            </w:r>
            <w:r>
              <w:rPr>
                <w:rStyle w:val="IndexLink"/>
                <w:rtl w:val="true"/>
              </w:rPr>
              <w:tab/>
            </w:r>
            <w:r>
              <w:rPr>
                <w:rStyle w:val="IndexLink"/>
              </w:rPr>
              <w:t>364</w:t>
            </w:r>
          </w:hyperlink>
        </w:p>
        <w:p>
          <w:pPr>
            <w:pStyle w:val="Contents3"/>
            <w:tabs>
              <w:tab w:val="clear" w:pos="8459"/>
              <w:tab w:val="right" w:pos="9026" w:leader="dot"/>
            </w:tabs>
            <w:rPr/>
          </w:pPr>
          <w:hyperlink w:anchor="__RefHeading___Toc10670555_73709187">
            <w:r>
              <w:rPr>
                <w:webHidden/>
                <w:rStyle w:val="IndexLink"/>
                <w:rtl w:val="true"/>
              </w:rPr>
              <w:t>ميقات أهل اليمن</w:t>
            </w:r>
            <w:r>
              <w:rPr>
                <w:rStyle w:val="IndexLink"/>
                <w:rtl w:val="true"/>
              </w:rPr>
              <w:tab/>
            </w:r>
            <w:r>
              <w:rPr>
                <w:rStyle w:val="IndexLink"/>
              </w:rPr>
              <w:t>366</w:t>
            </w:r>
          </w:hyperlink>
        </w:p>
        <w:p>
          <w:pPr>
            <w:pStyle w:val="Contents3"/>
            <w:tabs>
              <w:tab w:val="clear" w:pos="8459"/>
              <w:tab w:val="right" w:pos="9026" w:leader="dot"/>
            </w:tabs>
            <w:rPr/>
          </w:pPr>
          <w:hyperlink w:anchor="__RefHeading___Toc10670557_73709187">
            <w:r>
              <w:rPr>
                <w:webHidden/>
                <w:rStyle w:val="IndexLink"/>
                <w:rtl w:val="true"/>
              </w:rPr>
              <w:t>ميقات أهل الطائف</w:t>
            </w:r>
            <w:r>
              <w:rPr>
                <w:rStyle w:val="IndexLink"/>
                <w:rtl w:val="true"/>
              </w:rPr>
              <w:tab/>
            </w:r>
            <w:r>
              <w:rPr>
                <w:rStyle w:val="IndexLink"/>
              </w:rPr>
              <w:t>368</w:t>
            </w:r>
          </w:hyperlink>
        </w:p>
        <w:p>
          <w:pPr>
            <w:pStyle w:val="Contents3"/>
            <w:tabs>
              <w:tab w:val="clear" w:pos="8459"/>
              <w:tab w:val="right" w:pos="9026" w:leader="dot"/>
            </w:tabs>
            <w:rPr/>
          </w:pPr>
          <w:hyperlink w:anchor="__RefHeading___Toc10670559_73709187">
            <w:r>
              <w:rPr>
                <w:webHidden/>
                <w:rStyle w:val="IndexLink"/>
                <w:rtl w:val="true"/>
              </w:rPr>
              <w:t>ميقات مَنْ منزله أقرب من الميقات</w:t>
            </w:r>
            <w:r>
              <w:rPr>
                <w:rStyle w:val="IndexLink"/>
                <w:rtl w:val="true"/>
              </w:rPr>
              <w:tab/>
            </w:r>
            <w:r>
              <w:rPr>
                <w:rStyle w:val="IndexLink"/>
              </w:rPr>
              <w:t>370</w:t>
            </w:r>
          </w:hyperlink>
        </w:p>
        <w:p>
          <w:pPr>
            <w:pStyle w:val="Contents3"/>
            <w:tabs>
              <w:tab w:val="clear" w:pos="8459"/>
              <w:tab w:val="right" w:pos="9026" w:leader="dot"/>
            </w:tabs>
            <w:rPr/>
          </w:pPr>
          <w:hyperlink w:anchor="__RefHeading___Toc10670561_73709187">
            <w:r>
              <w:rPr>
                <w:webHidden/>
                <w:rStyle w:val="IndexLink"/>
                <w:rtl w:val="true"/>
              </w:rPr>
              <w:t>ميقات الصبيان</w:t>
            </w:r>
            <w:r>
              <w:rPr>
                <w:rStyle w:val="IndexLink"/>
                <w:rtl w:val="true"/>
              </w:rPr>
              <w:tab/>
            </w:r>
            <w:r>
              <w:rPr>
                <w:rStyle w:val="IndexLink"/>
              </w:rPr>
              <w:t>375</w:t>
            </w:r>
          </w:hyperlink>
        </w:p>
        <w:p>
          <w:pPr>
            <w:pStyle w:val="Contents3"/>
            <w:tabs>
              <w:tab w:val="clear" w:pos="8459"/>
              <w:tab w:val="right" w:pos="9026" w:leader="dot"/>
            </w:tabs>
            <w:rPr/>
          </w:pPr>
          <w:hyperlink w:anchor="__RefHeading___Toc10670563_73709187">
            <w:r>
              <w:rPr>
                <w:webHidden/>
                <w:rStyle w:val="IndexLink"/>
                <w:rtl w:val="true"/>
              </w:rPr>
              <w:t>محاذاة المواقيت</w:t>
            </w:r>
            <w:r>
              <w:rPr>
                <w:rStyle w:val="IndexLink"/>
                <w:rtl w:val="true"/>
              </w:rPr>
              <w:tab/>
            </w:r>
            <w:r>
              <w:rPr>
                <w:rStyle w:val="IndexLink"/>
              </w:rPr>
              <w:t>379</w:t>
            </w:r>
          </w:hyperlink>
        </w:p>
        <w:p>
          <w:pPr>
            <w:pStyle w:val="Contents3"/>
            <w:tabs>
              <w:tab w:val="clear" w:pos="8459"/>
              <w:tab w:val="right" w:pos="9026" w:leader="dot"/>
            </w:tabs>
            <w:rPr/>
          </w:pPr>
          <w:hyperlink w:anchor="__RefHeading___Toc10670565_73709187">
            <w:r>
              <w:rPr>
                <w:webHidden/>
                <w:rStyle w:val="IndexLink"/>
                <w:rtl w:val="true"/>
              </w:rPr>
              <w:t>ما به تتحقّق المحاذاة</w:t>
            </w:r>
            <w:r>
              <w:rPr>
                <w:rStyle w:val="IndexLink"/>
                <w:rtl w:val="true"/>
              </w:rPr>
              <w:tab/>
            </w:r>
            <w:r>
              <w:rPr>
                <w:rStyle w:val="IndexLink"/>
              </w:rPr>
              <w:t>382</w:t>
            </w:r>
          </w:hyperlink>
        </w:p>
        <w:p>
          <w:pPr>
            <w:pStyle w:val="Contents3"/>
            <w:tabs>
              <w:tab w:val="clear" w:pos="8459"/>
              <w:tab w:val="right" w:pos="9026" w:leader="dot"/>
            </w:tabs>
            <w:rPr/>
          </w:pPr>
          <w:hyperlink w:anchor="__RefHeading___Toc10670567_73709187">
            <w:r>
              <w:rPr>
                <w:webHidden/>
                <w:rStyle w:val="IndexLink"/>
                <w:rtl w:val="true"/>
              </w:rPr>
              <w:t>لو لم يؤدّ الطريق إلى المحاذاة</w:t>
            </w:r>
            <w:r>
              <w:rPr>
                <w:rStyle w:val="IndexLink"/>
                <w:rtl w:val="true"/>
              </w:rPr>
              <w:tab/>
            </w:r>
            <w:r>
              <w:rPr>
                <w:rStyle w:val="IndexLink"/>
              </w:rPr>
              <w:t>386</w:t>
            </w:r>
          </w:hyperlink>
        </w:p>
        <w:p>
          <w:pPr>
            <w:pStyle w:val="Contents3"/>
            <w:tabs>
              <w:tab w:val="clear" w:pos="8459"/>
              <w:tab w:val="right" w:pos="9026" w:leader="dot"/>
            </w:tabs>
            <w:rPr/>
          </w:pPr>
          <w:hyperlink w:anchor="__RefHeading___Toc10670569_73709187">
            <w:r>
              <w:rPr>
                <w:webHidden/>
                <w:rStyle w:val="IndexLink"/>
                <w:rtl w:val="true"/>
              </w:rPr>
              <w:t>ميقات العُمرة المفردة</w:t>
            </w:r>
            <w:r>
              <w:rPr>
                <w:rStyle w:val="IndexLink"/>
                <w:rtl w:val="true"/>
              </w:rPr>
              <w:tab/>
            </w:r>
            <w:r>
              <w:rPr>
                <w:rStyle w:val="IndexLink"/>
              </w:rPr>
              <w:t>388</w:t>
            </w:r>
          </w:hyperlink>
        </w:p>
        <w:p>
          <w:pPr>
            <w:pStyle w:val="Contents3"/>
            <w:tabs>
              <w:tab w:val="clear" w:pos="8459"/>
              <w:tab w:val="right" w:pos="9026" w:leader="dot"/>
            </w:tabs>
            <w:rPr/>
          </w:pPr>
          <w:hyperlink w:anchor="__RefHeading___Toc10670571_73709187">
            <w:r>
              <w:rPr>
                <w:webHidden/>
                <w:rStyle w:val="IndexLink"/>
                <w:rtl w:val="true"/>
              </w:rPr>
              <w:t>تذنيبان حول ميقات العمرة</w:t>
            </w:r>
            <w:r>
              <w:rPr>
                <w:rStyle w:val="IndexLink"/>
                <w:rtl w:val="true"/>
              </w:rPr>
              <w:tab/>
            </w:r>
            <w:r>
              <w:rPr>
                <w:rStyle w:val="IndexLink"/>
              </w:rPr>
              <w:t>390</w:t>
            </w:r>
          </w:hyperlink>
        </w:p>
        <w:p>
          <w:pPr>
            <w:pStyle w:val="Contents2"/>
            <w:tabs>
              <w:tab w:val="clear" w:pos="8743"/>
              <w:tab w:val="right" w:pos="9026" w:leader="dot"/>
            </w:tabs>
            <w:rPr/>
          </w:pPr>
          <w:hyperlink w:anchor="__RefHeading___Toc10670573_73709187">
            <w:r>
              <w:rPr>
                <w:webHidden/>
                <w:rStyle w:val="IndexLink"/>
                <w:rtl w:val="true"/>
              </w:rPr>
              <w:t>فهرس الموضوعات</w:t>
            </w:r>
            <w:r>
              <w:rPr>
                <w:rStyle w:val="IndexLink"/>
                <w:rtl w:val="true"/>
              </w:rPr>
              <w:tab/>
            </w:r>
            <w:r>
              <w:rPr>
                <w:rStyle w:val="IndexLink"/>
              </w:rPr>
              <w:t>393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05_167813"/>
      <w:bookmarkStart w:id="1" w:name="pg11805_167813"/>
      <w:bookmarkEnd w:id="1"/>
    </w:p>
    <w:p>
      <w:pPr>
        <w:pStyle w:val="Heading2"/>
        <w:numPr>
          <w:ilvl w:val="1"/>
          <w:numId w:val="1"/>
        </w:numPr>
        <w:rPr/>
      </w:pPr>
      <w:bookmarkStart w:id="2" w:name="pg11805_167813"/>
      <w:bookmarkStart w:id="3" w:name="__RefHeading___Toc10670387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70389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الذي أوجب الحجّ تشيّيداً للدِّين، وجَعَله من القواعد التي عليها بناءً الإسلام، والصّلاة على محمّدٍ المبعوث إلى كافّة الأنام، وعلى آله هُداة الخلق، وأعلام الحَقّ‌، واللّعن الدائم على أعدائهم إلى يوم الدِّين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فهذا هو الجزء الرابع عشر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وفّقني اللّه سبحانه لطبعه، راجياً منه تعالى التوفيق لنشر بقيّة الأجزاء، 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05_167819"/>
      <w:bookmarkStart w:id="8" w:name="pg11805_167819"/>
      <w:bookmarkEnd w:id="8"/>
    </w:p>
    <w:p>
      <w:pPr>
        <w:pStyle w:val="Heading2"/>
        <w:numPr>
          <w:ilvl w:val="1"/>
          <w:numId w:val="1"/>
        </w:numPr>
        <w:rPr/>
      </w:pPr>
      <w:bookmarkStart w:id="9" w:name="pg11805_167819"/>
      <w:bookmarkStart w:id="10" w:name="__RefHeading___Toc10670391_73709187"/>
      <w:bookmarkStart w:id="11" w:name="_Toc3"/>
      <w:bookmarkEnd w:id="9"/>
      <w:bookmarkEnd w:id="10"/>
      <w:r>
        <w:rPr>
          <w:rtl w:val="true"/>
        </w:rPr>
        <w:t>تتمة باب الأول وأمّا النائب</w:t>
      </w:r>
      <w:r>
        <w:rPr>
          <w:rtl w:val="true"/>
        </w:rPr>
        <w:t xml:space="preserve">: </w:t>
      </w:r>
      <w:r>
        <w:rPr>
          <w:rtl w:val="true"/>
        </w:rPr>
        <w:t>فشرطه الإسلام</w:t>
      </w:r>
      <w:r>
        <w:rPr>
          <w:rtl w:val="true"/>
        </w:rPr>
        <w:t>.</w:t>
      </w:r>
      <w:bookmarkEnd w:id="11"/>
    </w:p>
    <w:p>
      <w:pPr>
        <w:pStyle w:val="Heading3"/>
        <w:numPr>
          <w:ilvl w:val="2"/>
          <w:numId w:val="1"/>
        </w:numPr>
        <w:rPr/>
      </w:pPr>
      <w:bookmarkStart w:id="12" w:name="__RefHeading___Toc10670393_73709187"/>
      <w:bookmarkStart w:id="13" w:name="_Toc4"/>
      <w:bookmarkEnd w:id="12"/>
      <w:r>
        <w:rPr>
          <w:rtl w:val="true"/>
        </w:rPr>
        <w:t>في النيابة</w:t>
      </w:r>
      <w:bookmarkEnd w:id="13"/>
    </w:p>
    <w:p>
      <w:pPr>
        <w:pStyle w:val="Heading4"/>
        <w:numPr>
          <w:ilvl w:val="3"/>
          <w:numId w:val="1"/>
        </w:numPr>
        <w:rPr/>
      </w:pPr>
      <w:bookmarkStart w:id="14" w:name="__RefHeading___Toc10670395_7370918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قد تقدّم في بعض المباحث المتقدّمة أنّ النيابة عن الحَيّ أو الميّت خلاف الأصل، وأنّ إطلاق الصيغة، بل توجّه الأمر نفسه أيضاً يقتضيان المباشرة، فسقوط الواجب بفعل الغير يتوقّف على ورود دليلٍ تعبّدي، وقد ورد في عدّة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المندوب عن الميّت والحَيّ‌، والحَجّ الواجب عن الميّت، وكذلك عن الحَيّ في بعض الحالات، وقد تقدّم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المقام فيما يعتبر في النائب والمنوب عنه، وحقيقة النيابة وشرائطها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النائب فشرطه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 اعتباره، وادّعى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الإجماع عليه بقسميه</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له بعدم تمشّي قصد القربة منه، وقد تقدّم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من عدم صحّة حَجّ الكافر لتسالم الأصحاب عليه، ولتوقّف بعض الأعمال على دخوله الحَرم وهو ممنوعٌ منه، ولتوقّف بعض أعماله كالطواف على طهارة البدن وهو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بخبرين واردين في المقام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مصادف،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المرأة تحجّ عن الرّجل الصَّرورة‌؟ </w:t>
      </w:r>
      <w:bookmarkStart w:id="16" w:name="pg11805_167820"/>
    </w:p>
    <w:p>
      <w:pPr>
        <w:pStyle w:val="BookText"/>
        <w:rPr/>
      </w:pPr>
      <w:bookmarkEnd w:id="1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قد حجّت وكانت مسلمة فقيهة، الحديث</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وخبره الآخر،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أتحجّ المرأة عن الرّجل‌؟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مسلمة فقيهة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فإنّهما يدلّان على اشتراط الإسلام في النائب، ولا يضرّ فيه شرط كونها قد حَجّت، مع أنّه غير شرط، لأنّه قرينة على أنّ المراد المرأة المستطيعة</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10670397_73709187"/>
      <w:bookmarkStart w:id="18" w:name="_Toc6"/>
      <w:bookmarkEnd w:id="17"/>
      <w:r>
        <w:rPr>
          <w:rtl w:val="true"/>
        </w:rPr>
        <w:t>نيابة المخالف</w:t>
      </w:r>
      <w:bookmarkEnd w:id="18"/>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النائب الإيمان، بحيث لا يصحّ نيابة المخالفين، كما ذهب إليه جماعةٌ منهم 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يعتبر ذلك فتصحّ نيابتهم، كما هو ظاهر الأكثر، حيث لم يتعرّضوا لهذا الشرط؟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جماعة</w:t>
      </w:r>
      <w:r>
        <w:rPr>
          <w:rStyle w:val="FootnoteAnchor"/>
          <w:rtl w:val="true"/>
        </w:rPr>
        <w:footnoteReference w:id="7"/>
      </w:r>
      <w:r>
        <w:rPr>
          <w:rFonts w:ascii="Amiri" w:hAnsi="Amiri" w:eastAsia="Amiri" w:cs="Amiri"/>
          <w:color w:val="111111"/>
          <w:sz w:val="28"/>
          <w:sz w:val="28"/>
          <w:szCs w:val="28"/>
          <w:rtl w:val="true"/>
          <w:lang w:bidi="ar-SA"/>
        </w:rPr>
        <w:t>وهو أن عمل المخالف غير صحيح في نفسه، لفقده شرط الصحّة وهو الولاية، فإذا كان باطلاً لا يصحّ أن ينوب، وهو واضح</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بطلان عبادة المخالف إنّما استفيدت من الأخبار، والظاهر منها العبادات الراجعة إلى نفسه، فلا تشمل ما نحن فيه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تقدّم ذكر النصوص المستدلّ بها على شرطيّة الولاية لصحّة الأعمال، وعرفت أنّ طائفة من تلك النصوص المتضمّنة أنّ العمل بلا ولاية كلّا عمل، تدلّ على الشرطيّة، ومقتضى إطلاقها أنّ كلّ عملٍ يعمله المخالف كذلك، سواءٌ أكان عن نفسه أو بعنوان النيابة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جمعٌ آخرون، وهو أنّ المخالف إنْ أتى به على وفق مذهبه فهو باطل، لفقده بعض ما يعتبر فيه شرطاً أو شطراً، وإنْ أتى به على وفق مذهبنا، فلا يتمشّى منه قصد القربة، فعمله باطلٌ عند كِلا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كونه مؤيّداً لا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يفرض المخالف غير معتقد بطلان مذهبنا، أو يحتمل أن يكون الحَجّ المأمور به هو ما يوافق مذهب الحقّ‌، فيأتي بما يوافق المذهب باحتمال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بعضهم</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من أنّه يشترط في الحكم بإجزاء العمل أن يكون عن اجتهادٍ صحيح، أو تقليدٍ أو احتياط كذلك، ومن الواضح عدم كون عمل المخالف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يأتي المخالف بما يوافق مذهب الحقّ‌، ويكون موافقاً لفتوى من يجب تقليده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عمّار الذي رواه السيّد ابن طاووس رحمه الله بإسناده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عمّار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عليه صلاة أو صوم، هل يجوز له أن يقضيه غير عارفٍ؟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يقضيه إلّامسلم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 الذي استدلّ به بعض، واستقربه بعض الأعاظم من المعاصرين</w:t>
      </w:r>
      <w:r>
        <w:rPr>
          <w:rStyle w:val="FootnoteAnchor"/>
          <w:rtl w:val="true"/>
        </w:rPr>
        <w:footnoteReference w:id="11"/>
      </w:r>
      <w:r>
        <w:rPr>
          <w:rFonts w:ascii="Amiri" w:hAnsi="Amiri" w:eastAsia="Amiri" w:cs="Amiri"/>
          <w:color w:val="111111"/>
          <w:sz w:val="28"/>
          <w:sz w:val="28"/>
          <w:szCs w:val="28"/>
          <w:rtl w:val="true"/>
          <w:lang w:bidi="ar-SA"/>
        </w:rPr>
        <w:t xml:space="preserve">بتقريب أنّ المسلم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المصطلح في لسان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المؤمن، وهو وإنْ وردَ في الصلاة والصوم ألا أنّه يتعدّى عنها إلى غيرهما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 مع عدم إحراز المناط لا وجه له، فالعمدة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على جواز نيابته بالنصوص الدالّة على أنّ المخالف لو استبصر لا يجبُ عليه إعادة اعماله، فإنّه يستكشف منها صحّة أعماله، فيصحّ نيابته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الروايات نظير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من اللّه تعالى على المخالفين، ولا تدلّ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دلالتها على الصحّة، فإنّما تدلّ على الصحّة بشرط موافاة الإيمان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جواز نيابة المخالف</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9" w:name="pg11805_167823"/>
    </w:p>
    <w:p>
      <w:pPr>
        <w:pStyle w:val="BookText"/>
        <w:rPr/>
      </w:pPr>
      <w:bookmarkEnd w:id="19"/>
      <w:r>
        <w:rPr>
          <w:rFonts w:ascii="IRNazanin" w:hAnsi="IRNazanin" w:eastAsia="IRNazanin"/>
          <w:color w:val="111111"/>
          <w:sz w:val="28"/>
          <w:sz w:val="28"/>
          <w:szCs w:val="28"/>
          <w:rtl w:val="true"/>
          <w:lang w:bidi="fa-IR"/>
        </w:rPr>
        <w:t>والعقل</w:t>
      </w:r>
      <w:r>
        <w:rPr>
          <w:rFonts w:eastAsia="IRNazanin" w:cs="IRNazanin"/>
          <w:color w:val="111111"/>
          <w:sz w:val="28"/>
          <w:szCs w:val="28"/>
          <w:rtl w:val="true"/>
          <w:lang w:bidi="fa-IR"/>
        </w:rPr>
        <w:t>.</w:t>
      </w:r>
    </w:p>
    <w:p>
      <w:pPr>
        <w:pStyle w:val="Heading4"/>
        <w:numPr>
          <w:ilvl w:val="3"/>
          <w:numId w:val="1"/>
        </w:numPr>
        <w:rPr/>
      </w:pPr>
      <w:bookmarkStart w:id="20" w:name="__RefHeading___Toc10670399_73709187"/>
      <w:bookmarkStart w:id="21" w:name="_Toc7"/>
      <w:bookmarkEnd w:id="20"/>
      <w:r>
        <w:rPr>
          <w:rtl w:val="true"/>
        </w:rPr>
        <w:t>اعتبار البلوغ والعقل</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يعتبر في النائب، 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يصحّ نيابة الصبي ولا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نيابة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نيابة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على المنع عن نيابة الصبي، وعدم الاجتزاء بحجّه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عباداته لكونها تمرينيّة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عباداته تشريعيّة فتصحّ نيابته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تماميّة هذا الوجه، ويظهر ذلك ببيان أُمور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رفع القلم عن الصبي لا يختصّ برفع الإلزام، ولا العقوبة، ولا التكاليف الإلزاميّة، بل يعمّ جميع التكاليف، من غير فرقٍ بين خطاب الوجوب والحرمة والندب والكراهة، بل لا يبعد إلحاق خطاب الإباحة بها، وأنّ عدم مؤأخذة الصبي لارتفاع القلم عنه كالمجنون، لا لأنّه مخاطب بالخطاب الإباحي،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تنقيح ذلك في مسألة استحباب الحَجّ للصبي المميّز، فراجع</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بعض الموارد أمر الشارع الوليّ بأمر الصبي بالفعل كالصَّلاة،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بأنّ الأمر بالأمر بشيء ليس أمراً بذلك الشيء، يصبح عمل الصبي تمرينيّاً محضاً، وهو الذي يظهر من المحقّق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بأنّ الأمر بالأمر بالشيء 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أن يُقال إنّ الغرض من الأمر التمرين لا استيفاء المصلحة الموجبة للأمر المتوجّه إلى البالغين، كما يظهر من الأكثر، واختاره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والمختار صحّة عمله، لكن على وجه التمرين، لا على كيفيّة أمر المكلّف بالنافلة مثلاً، لاختصاص ذلك بالمكلّفين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أمر الولي بأمره بالعبادة، وكان الظاهر من هذا الأمر إرادة التمرين، كان هو أيضاً مأموراً بما أمر به الولي من التمرين، وإن استحقّ عليه الثواب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العبادات التي أمر الأولياء بأمر الصبي بها، أو دلّ دليلٌ على مطلوبيّتها منه، تكون صحيحة، ولو على وجه التمرين، وأمّا غيرها الذي لم يدلّ دليلٌ عليه، فلا وجه للقول بصحّته ومطلوبيّته منه، ومنه الحَجّ عن الغير حيث لم يدلّ دليلٌ على مطلوبيّته منه، ولا أمر الولي بالأمر به، فيبقى على أصالة عدم المشروعيّة والمطلوبيّة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النيابة في العبادات لا يأتي النائب بالعمل بداع الأمر المتوجّه إلى المنوب عنه، لأنّ ذلك غير معقول؛ إذا الأمر المتوجّه إلى شخص لا يعقل أن يكون محرِّكاً لآخر، بل فيها يأتي النائب بالعمل بداع الأمر المتوجّه إلى نفسه، ولذلك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يتوقّف على ورود أمر به، فقد دلّت النصوص المستفيضة على توجّه أمر استحبابي إلى جميع النّاس في النيابة عن الميّت والحَيّ في جملة من الموارد، منها الحَجّ‌، وهو أمرٌ عبادي نظير الأمر المتوجّه إلى المنوب عنه، وهو متعلّق بالفعل المعنون بعنوان النيابة عن الغير، وقد أشبعنا الكلام عنه في حاشيتنا على المكاسب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الاُجرة على الواجبات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هذه الأُمور،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نيابة الصبي في الحَجّ لا تكون مشروعة، لعدم الدليل عليه، فإنّه في موارد خاصّة تكون عباداته صحيحة، ولكن تمرينيّة وليس الحَجّ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ما أفادوه من شرعيّة عباداته لا يتمّ‌، كما أنّه ظهر أنّه لو قلنا بشرعيّتها لا يكون ذلك كافياً في إثبات صحّة نيابته إلّاعلى القول بتوجّه جميع الخطابات، سيّما غير الإلزاميّة إليه، وأنّ حديث رفع القلم لا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عدم تماميّة أفاده بعض الأعاظم من المعاصرين،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بنى على كون عباداته تمرينيّة بأيّ معنى من المعنيين فُرض، لا مانع من صحّة نيابته عن غيره في الحَجّ وغيره من العبادات المشروعة في حقّ المنوب عنه، لأنّ النائب يتعبّد بأمر المنوب عنه لا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5"/>
      </w:r>
      <w:r>
        <w:rPr>
          <w:rFonts w:ascii="Amiri" w:hAnsi="Amiri" w:eastAsia="Amiri" w:cs="Amiri"/>
          <w:color w:val="111111"/>
          <w:sz w:val="28"/>
          <w:sz w:val="28"/>
          <w:szCs w:val="28"/>
          <w:rtl w:val="true"/>
          <w:lang w:bidi="ar-SA"/>
        </w:rPr>
        <w:t>لأنّ النائب يتعبّد بأمر نفسه لا بأمر المنوب عنه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سُلّم تعبّده بأمر المنوب عنه، لا ريب في توقّف ذلك على دليلٍ دالّ عليه، وحيث إنّه غير موجود في الصبي، لأنّ الخطابات العامّة تختصّ بواسطة حديث الرفع بالبالغين، فلا تصحّ نيابته، ممّا يقتضي أن تكون النتيجة عدم صحّة نيابته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الصبيّ المميّز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غيره فعدم صحّتها منه من الضروريّات، لأنّ الحَجّ عبادة فلا تصحّ بدون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إطلاق خبر طلحه بن زيد،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أولاد المسلمين موسومون عند اللّه شافع مشفّع، فإذا بلغوا اثنتي عشرة سنة كُتبت لهم الحسنات، فإذا بلغوا الحُلُم كتبت عليهم السيّئات</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يكتب له الحسنات مطلقاً، منها الحَجّ عن الغير، فيدلّ على استحبابه ومطلوبيّته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الخبر ضعيف، لأنّ طلحة صحابيٌ مجهول، ولم يقل أحدٌ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استند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لأصالة عدم فراغ ذمّة المنوب عنه، بعد دعوى انصراف الأدلّة، خصوصاً مع اشتمال جملةٍ من الأخبار على لفظ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في وجه عدم شمول الأدلّة له من الانصراف، مردودٌ، إذ لا وجه له سوى اُنس الذهن الحاصل من الفتاوى، فليس انصرافاً صالحاً لتقيّيد الإطلاق، واشتمال بعض النصوص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لذلك، لصدقه على المميّز المراهق، كصدقه على البالغ في بدايات بلوغه، مع أنّ في غير ما تضمّنه كفاية، هذا فضلاً عن أنّ المراد به الجنس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أفاده على تقدير تسليم الانصراف من الأصل متينٌ‌، فإنّ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الأصل، فلابدَّ من الاقتصار فيها على المتيقّن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وهو أنّ الأخبار المتضمّنة للنيابة، ليست في مقام بيان الشرائط، فلا إطلاق لها من هذه الجهة، كي يتمسّك به لدفع احتمال 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البلوغ، فيشكّ في تناول دليل النيابة له، فيبقى حينئذٍ على مقتضى أصل عدم الجواز، وعدم فراغ ذمّة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من النصوص وإنْ تَمَّ هذه الدعوى فيها، إلّاأنّها لا تتمّ في جميعها، لاحظ النصوص الواردة في حَجّ الرّجل عن المرأة والعكس، والنصوص المتقدّمة في مبحث الإستنابة وغيرهما،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لمنع الشكّ‌، والشاهد على ثبوت الإطلاق لها، عدم توقّف أحد في التمسّك بإطلاقها في كلّ موردٍ شكّ في صحّة النيابة كالسفيه والصَّرورة والأعمى‌، ومَن يكون الحَجّ عليه حَرَجيّاً وما شاكل، فإنّ ذلك شاهدٌ ودليلٌ على أنّ الأصحاب فهموا من النصوص الإطلاق، والصحيح في منع الشمول ما ذكرناه من حديث رفع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نيابته، لعدم الوثوق بإخباره</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ولعدم الرادع له من جهة عدم تكليفه، وأيّده بعضُ من تبعه بناءً على جهل الصبيّ وعدم معرفته بالمسائل والأحكام، فلا يوثّق بإتيانه بالحَجّ على الوجه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عن الحكم في مقام الثبوت، وأنّه لو أتى الصبي بالحَجّ صحيحاً هل يكون ذلك مُجزياً أم لا؟ لا في مقام الطريق إلى إحراز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صحّة نيابته، وأنّ الصحيح هو الوجه الأوّل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والمحكي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بصحّة نيابة الصبي في الحَجّ المندوب بإذن الولي</w:t>
      </w:r>
      <w:r>
        <w:rPr>
          <w:rStyle w:val="FootnoteAnchor"/>
          <w:rtl w:val="true"/>
        </w:rPr>
        <w:footnoteReference w:id="19"/>
      </w:r>
      <w:r>
        <w:rPr>
          <w:rFonts w:ascii="Amiri" w:hAnsi="Amiri" w:eastAsia="Amiri" w:cs="Amiri"/>
          <w:color w:val="111111"/>
          <w:sz w:val="28"/>
          <w:sz w:val="28"/>
          <w:szCs w:val="28"/>
          <w:rtl w:val="true"/>
          <w:lang w:bidi="ar-SA"/>
        </w:rPr>
        <w:t>، وذكر في وجه هذه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المندوب يصحّ عن نفسه بناءً على شرعيّة عباداته، بخلاف الحَجّ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2" w:name="pg11805_167828"/>
    </w:p>
    <w:p>
      <w:pPr>
        <w:pStyle w:val="BookText"/>
        <w:rPr/>
      </w:pPr>
      <w:bookmarkEnd w:id="22"/>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المندوب يصحّ عن نفسه للدليل، ولا دليل في النيابة عن الغير، ومقتضى الأصل عدم مشروعيّتها كما تقدّم</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0670401_73709187"/>
      <w:bookmarkStart w:id="24" w:name="_Toc8"/>
      <w:bookmarkEnd w:id="23"/>
      <w:r>
        <w:rPr>
          <w:rtl w:val="true"/>
        </w:rPr>
        <w:t>نيابة المجنون</w:t>
      </w:r>
      <w:bookmarkEnd w:id="24"/>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صحّة نيابة المجنون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تارَةً إدواريٌ‌، واُخرى إطباقيٌ‌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يتمشّى منه القصد، وقد لا يتمشّى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يتمشّ منه القصد يكون بطلان نيابته من الواضحات، والقضايا التي قياستها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تمشّى منه القصد، ففي وقت إفاقة ذي الادوار لا مانع من نيابته، إذا وفت إفاقته بجميع الأعمال، وأمّا في وقت الجنون، أو فرض كون المجنون مُطبِقاً، فيشهد لعدم جواز نيابته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رفع القلم عن المجنون، بناءً على شموله لجميع الخطابات، كما اخترناه وبيّناه، وهو يكون حاكماً على إطلاق أدلّة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لذلك في كثير من كلمات الفقهاء بانتفاء القصد منه</w:t>
      </w:r>
      <w:r>
        <w:rPr>
          <w:rStyle w:val="FootnoteAnchor"/>
          <w:rtl w:val="true"/>
        </w:rPr>
        <w:footnoteReference w:id="20"/>
      </w:r>
      <w:r>
        <w:rPr>
          <w:rFonts w:ascii="Amiri" w:hAnsi="Amiri" w:eastAsia="Amiri" w:cs="Amiri"/>
          <w:color w:val="111111"/>
          <w:sz w:val="28"/>
          <w:sz w:val="28"/>
          <w:szCs w:val="28"/>
          <w:rtl w:val="true"/>
          <w:lang w:bidi="ar-SA"/>
        </w:rPr>
        <w:t>، ولعلّ مرادهم به القصد المعتدّ به عند العقلاء، وإلّا فالمجنون ربّما يتأدّى منه القصد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الخلاف في جواز نيابته، ومقتضى إطلاق أدلّة النيابة جوازه، وكونه محجوراً عليه في تصرّفاته الماليّة لا يصلح مانعاً، كما لا يخفى‌</w:t>
      </w:r>
      <w:r>
        <w:rPr>
          <w:rFonts w:eastAsia="Amiri" w:cs="Amiri" w:ascii="Amiri" w:hAnsi="Amiri"/>
          <w:color w:val="111111"/>
          <w:sz w:val="28"/>
          <w:szCs w:val="28"/>
          <w:rtl w:val="true"/>
          <w:lang w:bidi="ar-SA"/>
        </w:rPr>
        <w:t>.</w:t>
      </w:r>
      <w:bookmarkStart w:id="25" w:name="pg11805_167829"/>
    </w:p>
    <w:p>
      <w:pPr>
        <w:pStyle w:val="Heading4"/>
        <w:numPr>
          <w:ilvl w:val="3"/>
          <w:numId w:val="1"/>
        </w:numPr>
        <w:rPr/>
      </w:pPr>
      <w:bookmarkStart w:id="26" w:name="__RefHeading___Toc10670403_73709187"/>
      <w:bookmarkStart w:id="27" w:name="_Toc9"/>
      <w:bookmarkEnd w:id="25"/>
      <w:bookmarkEnd w:id="26"/>
      <w:r>
        <w:rPr>
          <w:rtl w:val="true"/>
        </w:rPr>
        <w:t>عدم اعتبار العدالة</w:t>
      </w:r>
      <w:bookmarkEnd w:id="27"/>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اعتبرها المتأخّرون في الحَجّ الواجب،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الحَجّ مطلقاً كما في بعض شروح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ظاهر المفيد في باب مختصر المسائل والجوابات من كتاب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الإتيان بالحَجّ الصحيح إنّما يعلم بإخباره، والفاسق لا تعويل على إخباره، لآية التثبّت، وحيث إنّهم رأوا أخصيّة هذا الوجه من المدّعى، فلذلك اكتفى بعضهم بكونه ممّن يظنّ بصدقه، ويحصل الوثوق من إخباره أو غيره بصحّة عمله، واستحسنه جماعة آخرون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يُقال إنّ في المقام مبحثين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نيابة الفاسق في نفسها صحيحة ومُجزية أم لا؟ كما لو فرضنا أنّ الولي كان بنفسه فاسقاً، وأتى بالحَجّ‌، هل يجزيه بينه وبين ربّه، أم يجبُ عليه أن يستنيب شخصاً آخر؟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يعتبر في مقام الاجتزاء به للولي مثلاً إذا أتى به غيره، أن يكون الحاجّ عادلاً، أم يكفي الوثوق بصحّة عمله، أو يكفي الوثوق بصدور العمل منه ولو لم يوثّق بصحّته، أو يكفي إخباره بالإتيان به وإنْ لم يحصل الوثوق منه، أو يكفي الإستنابة في فراغ ذمّة المنوب عنه‌؟ </w:t>
      </w:r>
    </w:p>
    <w:p>
      <w:pPr>
        <w:pStyle w:val="BookText"/>
        <w:rPr/>
      </w:pPr>
      <w:r>
        <w:rPr>
          <w:rFonts w:ascii="Amiri" w:hAnsi="Amiri" w:eastAsia="Amiri" w:cs="Amiri"/>
          <w:color w:val="111111"/>
          <w:sz w:val="28"/>
          <w:sz w:val="28"/>
          <w:szCs w:val="28"/>
          <w:rtl w:val="true"/>
          <w:lang w:bidi="ar-SA"/>
        </w:rPr>
        <w:t>أمّا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أدلّة النيابة عدم اعتبار العدالة، وصحّة نيابة الفاسق، وما ذكر من الوجه إنّما يكون مربوطاً بالمبحث الثاني، ولا ربط له بهذا المبحث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لاعتبار الوثوق بصحّة عمله، وعدم الاعتناء بإخباره بإتيان العمل صحيحاً، بأنّه فاسقٌ يجب التبيّن عن خبره، ولا يكون حجّة، وقد التزمَ بعض الأعاظم من المعاصرين</w:t>
      </w:r>
      <w:r>
        <w:rPr>
          <w:rStyle w:val="FootnoteAnchor"/>
          <w:rtl w:val="true"/>
        </w:rPr>
        <w:footnoteReference w:id="23"/>
      </w:r>
      <w:r>
        <w:rPr>
          <w:rFonts w:ascii="Amiri" w:hAnsi="Amiri" w:eastAsia="Amiri" w:cs="Amiri"/>
          <w:color w:val="111111"/>
          <w:sz w:val="28"/>
          <w:sz w:val="28"/>
          <w:szCs w:val="28"/>
          <w:rtl w:val="true"/>
          <w:lang w:bidi="ar-SA"/>
        </w:rPr>
        <w:t>بعدم قبول إخبار النائب وإنْ كان عادلاً، من جهة عدم حجيّة خبر الواحد في الموضوعات،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فالميزان هو حصول الوثوق بإتيان النائب بالحَجّ الصحيح عن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تردّد الشهيد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قبول إخباره بذلك تردّد، أظهره القبول، لظاهر حال المسلم، ومن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اُحرز إتيان الحَجّ عن المنوب عنه، وشُكّ في صحّته وفساده تكون أصالة الصحّة في فعل المسلم كافية للبناء على الإتيان به صحيحاً، ولا يحتاج إلى الإخبار أو الوثوق به، فضلاً عن كون المخبر عادلاً ومتعدّداً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يُحرَز ذلك، ولا حصل الوثوق به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النائب ثقة وإنْ لم يكن عادلاً، وأخبر به أو أخبر ثقة آخر بذلك، كفى ذلك بناءً على ما حقّقناه في محلّه</w:t>
      </w:r>
      <w:r>
        <w:rPr>
          <w:rStyle w:val="FootnoteAnchor"/>
          <w:rtl w:val="true"/>
        </w:rPr>
        <w:footnoteReference w:id="25"/>
      </w:r>
      <w:r>
        <w:rPr>
          <w:rFonts w:ascii="Amiri" w:hAnsi="Amiri" w:eastAsia="Amiri" w:cs="Amiri"/>
          <w:color w:val="111111"/>
          <w:sz w:val="28"/>
          <w:sz w:val="28"/>
          <w:szCs w:val="28"/>
          <w:rtl w:val="true"/>
          <w:lang w:bidi="ar-SA"/>
        </w:rPr>
        <w:t>من حجيّة خبر الثقة الواحد في الموضوعات إلّا ما خرج بالدليل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النائب غير ثقةٍ‌، ولم يخبر ثقةٌ آخر بذلك، وأخبر النائب بالإتيان به، فإنّه لا يبعد حجيّة قوله وإخباره، لقيام السيرة على قبول خبر المستناب على عملٍ في أداء عمله، نظير إخبار ذي اليد عمّا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فيعتبر إخباره به، فلا يعتبر العدالة في هذا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الحَجّ يثبت للمنوب عنه، ويفرغ ذمّته عنه بعد الإستنابة، من غير حاجةٍ إلى إحراز صدور الفعل عن الأجير والنائب، بل حتّى ولو أُحرز عدمه، لشهادة جملةٍ من النصوص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أبي عُمير الذي هو في حكم الصحيح،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أخذ من رجل مالاً ولم يحجّ عنه، ومات ولم يخلّف شيئاً؟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حَجّ الأجير أخذت حجّته، ودفعت إلى صاحب المال، وإنْ لم يكن حَجّ كتب لصاحب المال ثواب الحَجّ‌</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يأخذ الحُجّة من الرّجُل فيموت فلا يترك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أجزأتْ عن الميّت، وإنْ كان له عند اللّه حجّة اُثبتت لصاحبه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أنّ الصدوق ينسب ذلك إلى الإمام الصادق عليه السلام جزماً، فيستكشف أنّ الوسائط كانوا ثقات عنده، ولكن لا يبعد اتّحاده مع الخبر الأوّل كما لا يخفى‌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عمير، عن ابن أبي حمزة، والحسين،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أعطاه رجلٌمالاً ليحجّ عنه، فحجّ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 صاحب المال</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أبي علي أحمد بن محمّد بن مطهر، إلى أبي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دفعت إلى ستّة أنفس مائة دينار وخمسين ديناراً ليحجّوا بها، فرجعوا ولم يشخص بعضهم، وأتاني بعضٌ وذكر أنّه قد أنفق بعض الدنانير وبقيت بقيّتها، وأنّه يردّ عَليَّ ما بقي، وإنّي قد رمتُ مطالبة من لم يأتني بما دفعتُ إليه‌؟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لمن لم يأتك، ولا تأخذ ممّن آتاك شيئاً ممّا يأتيك به، والأجر فقد وقع على اللّه عَزَّ وَجَلّ‌</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أجمعت العصابة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يحجّ عن آخر، فاجترح في حجّه شيئاً، يلزمه فيه الحَجّ من قابل أو 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للأوّل تامّة، وعلى هذا ما اجترح</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الآخر،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ابتُلي بشيءٍ يفسد عليه حجّه حتّى يصير عليه الحَجّ من قابل، أيجزي عن الأوّل‌؟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الأجير ضامن للحَجّ‌،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النصوص تدلّ على ثبوت الحَجّ للمنوب عنه بعد الإستنابة مطلقاً، بلا حاجة إلى كون الأجير مقبول القول أو لا حتّى يشترط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صحّة استنابة الفاسق، وأنّه لا يعتبر إحراز صدور الحَجّ منه ولا إخباره به، وأنّه لو أخبر يقبل قوله، سيّما إذا كان ثقة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8" w:name="pg11805_167833"/>
    </w:p>
    <w:p>
      <w:pPr>
        <w:pStyle w:val="Heading4"/>
        <w:numPr>
          <w:ilvl w:val="3"/>
          <w:numId w:val="1"/>
        </w:numPr>
        <w:rPr/>
      </w:pPr>
      <w:bookmarkStart w:id="29" w:name="__RefHeading___Toc10670405_73709187"/>
      <w:bookmarkStart w:id="30" w:name="_Toc10"/>
      <w:bookmarkEnd w:id="28"/>
      <w:bookmarkEnd w:id="29"/>
      <w:r>
        <w:rPr>
          <w:rtl w:val="true"/>
        </w:rPr>
        <w:t>اعتبار الفقاهة</w:t>
      </w:r>
      <w:bookmarkEnd w:id="30"/>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فقيهاً حال الحَجّ‌، أي عارفاً بما يلزم عليه من أفعال الحَجّ اجتهاداً أو تقليداً، وإنْ كان بإرشاد معلِّم حين أداء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الشرائط أيضاً قدرة الأجير على العمل وفقهه في الحَجّ‌، واكتفى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بحجّه مع مرشدٍ عدل، وهو جيّد حيث يوثّق بحصول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مصادف المتقدّمان في شرطيّة إسلام النائب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أنّ اعتبار الفقاهة إنّما هو من جهة عدم القدرة على إتيان الحَجّ بدونها، وعليه فمقتضى الجمود على ظاهر النّص وإنْ كان اعتبار علم المستنيب بفقاهة النائب، إلّاأنّ الأظهر ما عليه بناءً العلماء من الاكتفاء بعدم العلم بالعدم، والمعاملة معه حينئذٍ معاملة كونه عالماً، لأنّ هذا الشرط راجع إلى فعل النائب، ويكفي في إحراز صحّته أصالة الصحّة في عمل المسلم، واللّازم هو معرفة ما يجبُ عليه الإتيان به حال العمل تفصيلاً، ولو لم يعلم بجميع المناسك بالتفصل قبل الأعمال، فلو كان معه كتابٌ يرجع إليه عند أداء كلّ فعلٍ ونُسُكٍ كان كافياً، وكذا إنْ كان ذلك بتعليم مرشدٍ يحجّ معه، كما هو المتداول في هذه الأزمنة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عن الشهيد رحمه الله احتماله، وهو كفاية العلم الإجمالي بذلك</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أراد كفاية ذلك قبل الأعمال، فلا يعتبر العلم لا التفصيلي منه، ولا الإجمالي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 كفايته حين العمل، فلا معنى لكفاية العلم الإجمالي، إلّاأن يريد كفاية الاحتياط، ولا يعتبر العلم بالحكم تفصيلاً عن اجتهاد أو تقليد، وعليه فليس هو محتملاً، بل هو مقطوعٌ به</w:t>
      </w:r>
      <w:r>
        <w:rPr>
          <w:rFonts w:eastAsia="Amiri" w:cs="Amiri" w:ascii="Amiri" w:hAnsi="Amiri"/>
          <w:color w:val="111111"/>
          <w:sz w:val="28"/>
          <w:szCs w:val="28"/>
          <w:rtl w:val="true"/>
          <w:lang w:bidi="ar-SA"/>
        </w:rPr>
        <w:t>.</w:t>
      </w:r>
      <w:bookmarkStart w:id="31" w:name="pg11805_167835"/>
    </w:p>
    <w:p>
      <w:pPr>
        <w:pStyle w:val="BookText"/>
        <w:rPr/>
      </w:pPr>
      <w:bookmarkEnd w:id="31"/>
      <w:r>
        <w:rPr>
          <w:rFonts w:ascii="Amiri" w:hAnsi="Amiri" w:eastAsia="Amiri" w:cs="Amiri"/>
          <w:color w:val="111111"/>
          <w:sz w:val="28"/>
          <w:sz w:val="28"/>
          <w:szCs w:val="28"/>
          <w:rtl w:val="true"/>
          <w:lang w:bidi="ar-SA"/>
        </w:rPr>
        <w:t>وأن لا يكون عليه حَجٌّ واجب</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0670407_73709187"/>
      <w:bookmarkStart w:id="33" w:name="_Toc11"/>
      <w:bookmarkEnd w:id="32"/>
      <w:r>
        <w:rPr>
          <w:rtl w:val="true"/>
        </w:rPr>
        <w:t>عدم اشتغال ذمّة النائب بحَجٍّ واجب</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 عليه حَجٌّ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خلوّ ذمّته من حَجّ واجب عليه في عام النيابة، بالأصالة أو بالاستيجار أو بالإفساد، أو بغير ذلك، فلو وَجَب عليه حَجّ في ذلك العام، لم يجز أن ينوب عن غيره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من غير دعوى الإجماع عليه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تقدّم في الفصل الثاني في المسألة الثانية عشر الكلام في ذلك مفصّلاً، وقد مرّ أنّ نيابة من استقرّ عليه حَجّة الإسلام عن الميّت لا تجوز، للنّص، وأمّا غير ذلك المورد من موارد استقرار الحَجّ فالأظهر جوازه، فراجع ما ذكرناه</w:t>
      </w:r>
      <w:r>
        <w:rPr>
          <w:rStyle w:val="FootnoteAnchor"/>
          <w:rtl w:val="true"/>
        </w:rPr>
        <w:footnoteReference w:id="36"/>
      </w:r>
      <w:r>
        <w:rPr>
          <w:rFonts w:ascii="Amiri" w:hAnsi="Amiri" w:eastAsia="Amiri" w:cs="Amiri"/>
          <w:color w:val="111111"/>
          <w:sz w:val="28"/>
          <w:sz w:val="28"/>
          <w:szCs w:val="28"/>
          <w:rtl w:val="true"/>
          <w:lang w:bidi="ar-SA"/>
        </w:rPr>
        <w:t xml:space="preserve">، كما أنّه بيّنا هناك أنّه على فرض صحّة الحَجّ‌، تصحّ الإجارة عليه، فالتفكيك بينهما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bookmarkStart w:id="34" w:name="pg11805_167836"/>
    </w:p>
    <w:p>
      <w:pPr>
        <w:pStyle w:val="BookText"/>
        <w:rPr/>
      </w:pPr>
      <w:bookmarkEnd w:id="34"/>
      <w:r>
        <w:rPr>
          <w:rFonts w:ascii="Amiri" w:hAnsi="Amiri" w:eastAsia="Amiri" w:cs="Amiri"/>
          <w:color w:val="111111"/>
          <w:sz w:val="28"/>
          <w:sz w:val="28"/>
          <w:szCs w:val="28"/>
          <w:rtl w:val="true"/>
          <w:lang w:bidi="ar-SA"/>
        </w:rPr>
        <w:t>ولو لم يكن، جاز ولو صرورةً أو امرأة</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0670409_73709187"/>
      <w:bookmarkStart w:id="36" w:name="_Toc12"/>
      <w:bookmarkEnd w:id="35"/>
      <w:r>
        <w:rPr>
          <w:rtl w:val="true"/>
        </w:rPr>
        <w:t>عدم اعتبار المماثلة في النيابة</w:t>
      </w:r>
      <w:bookmarkEnd w:id="36"/>
    </w:p>
    <w:p>
      <w:pPr>
        <w:pStyle w:val="BookText"/>
        <w:rPr/>
      </w:pPr>
      <w:r>
        <w:rPr>
          <w:rFonts w:ascii="Amiri" w:hAnsi="Amiri" w:eastAsia="Amiri" w:cs="Amiri"/>
          <w:color w:val="111111"/>
          <w:sz w:val="28"/>
          <w:sz w:val="28"/>
          <w:szCs w:val="28"/>
          <w:rtl w:val="true"/>
          <w:lang w:bidi="ar-SA"/>
        </w:rPr>
        <w:t xml:space="preserve">وفي اشتراط المماثلة بين النائب والمنوب عنه في الذكورة والاُنوثة خلافٌ بين الفقهاء، كما هو الحال كذلك في استنابة الصَّرورة، وصريح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عليه حَجٌّ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جاز الحَجّ عن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صرورة أو امرأة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عدم اعتبار المماثلة، وجواز استنابة الصَّرورة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القول يتمّ بالبحث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المماثلة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اعتبارها، فتصحّ نيابة المرأة عن الرّجل كالعكس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نيابة المرأة الصَّرورة عن الرّجُل</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نيابتها مطلقاً، أي سواء كان المنوب عنه رَجُلاً أو امرأة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عن المرأة، والمرأة تحجّ عن الرّجُل‌؟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رفاعة،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تحجّ المرأة عن اُختها وعن أخيها؟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المرأة عن أبيها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عن حكم بن حكيم،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الرّجل عن المرأة، والمرأة عن الرّجُل، والمرأة عن المرأة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النصوص الكثيرة، ولا معارض لهذه النصوص بالنسبة إلى حَجّ الرّجُل عن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حَجّ المرأة عن الرّجل ما ظاهره المنع، وهو موثّق عُبيدبن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الصَّرورة يُوصي أن يحجّ عنه، هل يُجزي عنه امرأة‌؟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تُجزي امرأة وشهادته شهادتان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ينبغي أن تحجّ المرأة عن المرأة، والرّجُل عن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يحجّ الرّجُل عن المرأة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ظهورها في نفسها في المنع من جهة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لمعارضة النصوص المتقدّمة الصريحة في الجواز، فتُحمل على الأولويّة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الأولى المماثلة مطلقاً أو يختصّ ذلك بما إذا كان المنوب عنه رجُلاً، وإنْ كان امرأةً لا تكون المماثلة أولى‌، بل نيابة الرّجُل أولى؟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7" w:name="pg11805_167838"/>
    </w:p>
    <w:p>
      <w:pPr>
        <w:pStyle w:val="BookText"/>
        <w:rPr/>
      </w:pPr>
      <w:bookmarkEnd w:id="37"/>
      <w:r>
        <w:rPr>
          <w:rFonts w:ascii="Amiri" w:hAnsi="Amiri" w:eastAsia="Amiri" w:cs="Amiri"/>
          <w:color w:val="111111"/>
          <w:sz w:val="28"/>
          <w:sz w:val="28"/>
          <w:szCs w:val="28"/>
          <w:rtl w:val="true"/>
          <w:lang w:bidi="ar-SA"/>
        </w:rPr>
        <w:t>مقتضى الموثّق هو الأوّل، ولكن في خبر بشير النبّال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والدتي توفّيت ولم تحجّ؟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عنها رجلٌ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أحبُّ إليّ‌</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وهما متعارضان، ويقدّم الأوّل للأوثقيّة، فيُحمل الثاني على ما إذا كان الرّجل خيراً من المرأة تأدية،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القولان الآخران فسيأتي الكلام فيهما في المورد الثاني</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0670411_73709187"/>
      <w:bookmarkStart w:id="39" w:name="_Toc13"/>
      <w:bookmarkEnd w:id="38"/>
      <w:r>
        <w:rPr>
          <w:rtl w:val="true"/>
        </w:rPr>
        <w:t>استنابة الصَّرورة</w:t>
      </w:r>
      <w:bookmarkEnd w:id="39"/>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استنابة الصَّرورة، والمشهور جوازها مطلقاً، وبإزائه القولان المتقدّمان في المورد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وقد تقدّم بعضها في المورد الأوّل، الدالّة على ذلك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يحجّ الصَّرورة عن الصَّرورة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للقول بالمنع عن نيابة المرأة الصَّرورة مطلقاً، بخبر سليمان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امرأة صرورة حَجّت عن امرأة صرورة‌؟ فقال عليه السلام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لأنّ في طريقه عليّ بن أحمدبن أشيم وهو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في الحرمة وعدم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للقول بالمنع عن نيابة المرأة الصَّرورة عن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زيد الشحّام،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الرّجل الصَّرورة عن الرّجل الصَّرورة، ولا تحجّ المرأة الصَّرورة عن الرّجل الصَّرورة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وبخبري مصادف المتقدّمين في المرأة الّتي تحجّ عن الرّجل الصَّرورة، وقد ورد في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قد حَجّت، وكانت مسلمة فقيهة، فرُبَّ امرأة أفقه من الرّجل</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الآخر، وفيه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امرأةٍ خيرٌ من الرّجُل</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عُبيد المتقدّم</w:t>
      </w:r>
      <w:r>
        <w:rPr>
          <w:rStyle w:val="FootnoteAnchor"/>
          <w:rtl w:val="true"/>
        </w:rPr>
        <w:footnoteReference w:id="56"/>
      </w:r>
      <w:r>
        <w:rPr>
          <w:rFonts w:ascii="Amiri" w:hAnsi="Amiri" w:eastAsia="Amiri" w:cs="Amiri"/>
          <w:color w:val="111111"/>
          <w:sz w:val="28"/>
          <w:sz w:val="28"/>
          <w:szCs w:val="28"/>
          <w:rtl w:val="true"/>
          <w:lang w:bidi="ar-SA"/>
        </w:rPr>
        <w:t>بعد تقيّيد إطلاقه بخبري مصادف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لأنّ الراوي عن زيد هو المفضّل، وبهذه القرينة يكون هو المفضّل بن صالح أبو جَميلة الأسدي النخّاس، ووصفه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ضعيفٌ كذّابٌ يضع الحديث، وقد 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وضعتُ رسالة معاوية إلى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قالوا عنه غيره من مهرَة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مختصّ بما إذا كان المنوب عنه صرورة، ولا يشمل ما لو كان غير صرورة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خبرا مصادف، فهما أيضاً ضعيفان، لتضعيف ابن الغضائري إيّاه من دون أن يوثّقه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في طريق أحدهما الحسين اللّؤلؤي، وهما أيضاً لا يشملان النيابة عن الرّجل غير الصَّرورة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ما في الاستدلال بالموثّق، مضافاً إلى ما تقدّم من تعيّن حمله على الأولويّة لروايات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ما عن المشهور من جواز تلك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استظهر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 xml:space="preserve">رحمه الله من النصوص، كراهة استئجار الصَّرورة ولو كان رَجُلاً، وأمّا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فقد أفتى بكراهة استنابة المرأة الصَّرورة، خصوصاً مع كون المنوب عنه رجلاً، ولم يستبعد ما أفتى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المستفاد من النصوص أنّ الصَّرورة موجبة للمرجوحيّة في نفسها ولو كان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وبمكاتبة بكر بن صالح، إلى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ابني معي وقد أمرتهُ أن يحجّ عن أُمّي، أيُجزي عنها حَجّة الإسلام‌؟ فكتب عليه السلام لا، وكان ابنه صرورة، وكانت اُمّه صرورة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إبراهيم بن عُقبة،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أسأله عن رجلٍ صَرورة لم يحجّ قطّ، حَجَّ عن صرورةٍ لم يحجّ قط، أيجزي كلّ واحدٍ منهما تلك الحَجّة عن حَجّة الإسلام أو لا؟ بيّن ذلك يا سيّدي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ذلك</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بيان وجه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مصحّح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مسألة ما لو مات المستطيع في عام استطاعته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يحجّ من ماله صرورة لا مال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غيره من النصوص الآمرة باستئجار الصَّرورة الذي لا مال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المحمولة عندهم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ضعيفة السند، معارضة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ضعف سنده وإضماره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نفى الإجزاء عن كليهما معاً، لا عن المنوب عنه، مع أنّه لو تمّ دلالته وسنده يكون معرضاً عنه عند الأصحاب، ومعارضاً بما هو أقوى منه، فإذاً لا وجه للكراهة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 مدركه النصوص السابقة التي عرفت أنّها ضعيفة، وهي كما لا تصلح لأنْ تكون مدركاً للإفتاء بعدم الجواز، لا تصلح أن تُجعل مدركاً للإفتاء بالكراهة، وقاعدة التسامح مختصّة بالسنن ولا تشمل الكراهة</w:t>
      </w:r>
      <w:r>
        <w:rPr>
          <w:rFonts w:eastAsia="Amiri" w:cs="Amiri" w:ascii="Amiri" w:hAnsi="Amiri"/>
          <w:color w:val="111111"/>
          <w:sz w:val="28"/>
          <w:szCs w:val="28"/>
          <w:rtl w:val="true"/>
          <w:lang w:bidi="ar-SA"/>
        </w:rPr>
        <w:t>.</w:t>
      </w:r>
      <w:bookmarkStart w:id="40" w:name="pg11805_167842"/>
    </w:p>
    <w:p>
      <w:pPr>
        <w:pStyle w:val="Heading4"/>
        <w:numPr>
          <w:ilvl w:val="3"/>
          <w:numId w:val="1"/>
        </w:numPr>
        <w:rPr/>
      </w:pPr>
      <w:bookmarkStart w:id="41" w:name="__RefHeading___Toc10670413_73709187"/>
      <w:bookmarkStart w:id="42" w:name="_Toc14"/>
      <w:bookmarkEnd w:id="40"/>
      <w:bookmarkEnd w:id="41"/>
      <w:r>
        <w:rPr>
          <w:rtl w:val="true"/>
        </w:rPr>
        <w:t>شرائط المنوب عنه</w:t>
      </w:r>
      <w:bookmarkEnd w:id="4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للمنوب عنه 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 أو عجزه، وقد مرّ وجهه، هذا في الواجب، وأمّا في المستحبّ فلا يعتبر ذلك، كما تطابقت عليه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فلا تصحّ النيابة عن الكافر إجماعاً،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وغيره، واعتبر بطلانها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ريب فيه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لِلنَّبِيِّ وَ اَلَّذِينَ آمَنُوا أَنْ يَسْتَغْفِرُوا لِلْمُشْرِكِينَ وَ لَوْ كانُوا أُولِي قُرْبى‌</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مختصّة بالمشركين، ولا تشمل غيرهم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النيابة عنه في الحَجّ غير الاستغفار، والمناط غير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تخصّص الآية بالروايات الدالّة على جواز النيابة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الأدلّة الدالّة على جواز النيابة، إلى النيابة عن المسلم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الانصراف، فهو بدوي ناش من اُنس الذهن بالفتاوي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الموادّة لمَن حَادّ اللّه و رسوله،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بالإحسان إليه، وإهداء شيء إليه، إذ لا شَكّ في جوازهما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الموادّة ظاهرة في الموادّة القلبيّة، فإنّها كالحُبّ والبغض ظاهرة في تلك، ولا تشمل المجاملة العمليّة والقوليّة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ينتفع الكافر بذلك، ثمّ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الثواب الذي هو دخول الجنّة لازمٌ لصحّة العمل، ولو من حيث الوعد بذلك، والكافر لا ينال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 احتمالاً بوجهٍ آخر، وهو أنّ الكافر لا يخفّف عنه العذاب، لعدم قابليّته لذلك، ولعلّه المستفاد من قوله تعالى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يُخَفَّفُ عَنْهُمُ اَلْعَذابُ‌</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وبديهي أنّ صحّة عمل النائب مستلزمة لفراغ ذمّة المنوب عنه، المستلزم لارتفاع العذاب الذي كان مترتّباً على تركه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أفاده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إنّما هو تفضّلٌ من اللّه تعالى على العباد، وإلّا فهو غير لازم لصحّة العمل، بل كم من عمل لا يترتّب عليه الثواب، إلّاأنّه يوجب ارتفاع العقاب خاصّة، ووعد الثواب على ما لو حَجّ النائب للمنوب عنه لو كان فيخصّص بما اُفيد، وهذا لا يلزم منه عدم الصحّة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ما أفاده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في الآخرة لا يُخفّف عنه العذاب، ولكن ذلك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ينافي ارتفاع سبب العقاب الخاص في عالم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يُعاقب ويستحقّ العقوبة لكفره، وهذا لا يخفّف عنه لو مات كافراً، ويعاقب عقاباً لترك كلّ واجبٍ وفعل كلّ حرامٍ كغيره، وهذا كما يتوقّف على حدوث سببه، فلو لم يشرب الخمر لا يُعاقب عقاب الشارب، وكذلك يتوقّف على بقاء سببه، فإذا ارتفع سبب العقاب على مخالفة وجوب الحَجّ‌، ارتفع ذلك العقاب، أي لا يعاقب في الآخرة عقاب تارك الحَجّ‌، وهذا لا ينافي عدم تخفيف العذاب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وهو أنّه يستحقّ العقاب في الآخرة لا الأجر والثواب</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وهو أنّ فعل النائب تابعٌ لفعل المنوب عنه في الصحّة لقيامه مقامه، فكما لا يصحّ منه لا يصحّ من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بالنيابة عن الحائض في الطواف والصلاة، فإنّها جائزة في بعض الموارد، مع أنّهما لا يصحّان عن المنوب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 الملازمة ممنوعة، إذ يمكن أن يكون المنوب عنه فاقداً لبعض ما يعتبر في الصحّة، والنائب يكون واجداً له، فإذاً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تسالم الأصحاب عليه، ومخالفتهم مشكلة جدّاً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3" w:name="pg11805_167845"/>
    </w:p>
    <w:p>
      <w:pPr>
        <w:pStyle w:val="Heading4"/>
        <w:numPr>
          <w:ilvl w:val="3"/>
          <w:numId w:val="1"/>
        </w:numPr>
        <w:rPr/>
      </w:pPr>
      <w:bookmarkStart w:id="44" w:name="__RefHeading___Toc10670415_73709187"/>
      <w:bookmarkStart w:id="45" w:name="_Toc15"/>
      <w:bookmarkEnd w:id="43"/>
      <w:bookmarkEnd w:id="44"/>
      <w:r>
        <w:rPr>
          <w:rtl w:val="true"/>
        </w:rPr>
        <w:t>النيابة عن المخالف</w:t>
      </w:r>
      <w:bookmarkEnd w:id="45"/>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 عن الشيخين وأتباعهما أنّه لا يجوز النيابة عن غير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عن المسلم المخالف، إلّاأن يكون أب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فالتحقيق حينئذٍ اعتبار الإيمان في النائب والمنوب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وغيرها أنّه يجوز النيابة عن غير الناصب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النيابة عن غير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النيابة عنه إذا كان أب النائب</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لعدم جواز النيابة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وبالأخبار الكثيرة المتضمّنة لعدم انتفاع المخالف بشيءٍ من الأعمال، وبأنّه كافرٌ في الآخرة، فيجري فيه نحو ما سمعته في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ضعف ذلك كلّه ممّا قدّمناه في النيابة عن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يستدلّ لعدم جواز النيابة عنه، بأنّ النَّص الصحيح دلّ على عدم جواز النيابة عن الناصب، وهو صحيح وهب أو حسنه،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أيحجّ الرّجل عن الناصب‌؟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أباك فنعم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رواه الصدوق بإسناده عن وهب بن عبد ربّه مثله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أباك فحجّ عنه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عن الناصب، هل عليه إثم أذا حَجّ عن الناصب‌؟ وهل ينفع ذلك الناصب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لا يحجّ عن الناصب ولا يحجّ به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دلّت طائفة من النصوص على أنّ غير الإثنى عشريّة من فرق المسلمين، ممّن أزالوا الأئمّة عليهم السلام عن مراتبهم وأنكروها لهم هم النواصب، كخبر محمّد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الناصب، هل احتاج في امتحانه إلى أكثر من تقديمه الجبت والطاغوت واعتقاد إمامتهما؟ فرجع 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كان على هذا فهو ناصب</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ونتيجة ضَمّ هذه الطائفة إلى الأُولى عدم جواز النيابة عن المخالف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المنع معارضة بطائفة أُخرى من النصوص، تدلّ على جواز النيابة عن الناصب، كموثّق إسحاق بن عمّار، عن أبي إبراهيم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يحجّ فيجعل حجّته وعمرته، أو بعض طوافه، لبعض أهله وهو عنه غائب ببلد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فينقص ذلك من أجره‌؟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له ولصاحبه، وله اجرٌ سوى ذلك بما 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ميّتٌ‌، هل يدخل ذلك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يكون مسخوطاً عليه، فيغفر له، أو يكون مضيّقاً عليه فيوسّع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هو في مكانه إن عمل ذلك لحقّه‌؟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ناصباً ينفعه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يخفّف عنه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يحجّ ويعتمر ويُصلّي ويصوم، ويتصدّق عن والديه، وذوي قرابته‌؟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يُؤجر فيما يصنع، وله أجرٌ آخر بصلته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يرى ما أرى وهو ناصبٌ؟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يُخفّف عنه بعض ما هو فيه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6" w:name="pg11805_167848"/>
    </w:p>
    <w:p>
      <w:pPr>
        <w:pStyle w:val="BookText"/>
        <w:rPr/>
      </w:pPr>
      <w:bookmarkEnd w:id="4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الطائفتين يقتضي حمل الأُولى على الكراهة، وبه يظهر الحال في المورد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الثابت للناصب، سواءٌ أكان هو المنع أو الكراهة لا يثبت لو كان الناصب أب النائب، لمصحّح معاوية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يلحق به الجدّ أم لا؟ وجهان، أقربهما العدم، لظهور الأب فيما لا يشمله</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0670417_73709187"/>
      <w:bookmarkStart w:id="48" w:name="_Toc16"/>
      <w:bookmarkEnd w:id="47"/>
      <w:r>
        <w:rPr>
          <w:rtl w:val="true"/>
        </w:rPr>
        <w:t>اعتبار البلوغ والعقل</w:t>
      </w:r>
      <w:bookmarkEnd w:id="48"/>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قيل باعتباره في المنوب عنه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تجوز النيابة عن الصبي وإنْ كان مميّزاً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مقتضى حديث رفع القلم، ارتفاع كلّ تكليف وإنْ كان غير إلزامي عن الصبي، وأنّه إنّما يكون مأموراً بأُمور أمر الولي بأمره بها من باب أنّ الأمر بالأمر بشيء أمرٌ بذلك الشيء، وليس الحَجّ منها، فلا يكون الحجّ ثابتاً في ذمّة الصبي حتّى ينوب عنه فيه، ولكن الصبي وإنْ لم يكن مأموراً بحَجّة الإسلام، فلا يجوز النيابة عنه فيه، إلّاأنّه مأمور بالحَجّ بالأمر الاستحبابي كما مرّ، فلا مانع من النيابة عنه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اندفاع ما قيل من أنّ عبادات الصبي تمرينيّة لا شرعيّة، فلا معنى للنيابة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لاتجوز النيابة عنه في حَجّة الإسلام، وتجوز في الحَجّ‌التطوّعي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اعتباره، بمعنى أنّ المجنون في تمام عمره لا يجوز النيابة عنه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من كان عاقلاً وتوجّه إليه خطاب الحَجّ‌، ثمّ طرأ عليه الجنون، تجوز النيابة </w:t>
      </w:r>
    </w:p>
    <w:p>
      <w:pPr>
        <w:pStyle w:val="BookText"/>
        <w:rPr/>
      </w:pPr>
      <w:r>
        <w:rPr>
          <w:rFonts w:ascii="Amiri" w:hAnsi="Amiri" w:eastAsia="Amiri" w:cs="Amiri"/>
          <w:color w:val="111111"/>
          <w:sz w:val="28"/>
          <w:sz w:val="28"/>
          <w:szCs w:val="28"/>
          <w:rtl w:val="true"/>
          <w:lang w:bidi="ar-SA"/>
        </w:rPr>
        <w:t>عنه، بل تجبُ الاستئجار عنه إذا استقرّ عليه حال إفاقته ثمّ مات مجنوناً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مقتضى حديث الرفع، رفع جميع الخطابات، منها الخطاب بالحَجّ‌، ومع عدم ثبوت التكليف على المنوب عنه لا معنى للنيابة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المنفي هو العقاب أو الإلزام أو الأحكام اللّزوميّة لا كلّ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مراراً من عدم تماميّة شيء من ذلك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توجّه الخطاب إليه حال إفاقته، والجنون كالموت لا يوجبُ رفع ذلك التكليف وفراغ الذمّة، فإنّ مفاد حديث الرفع رفع قلم التكليف حال الجنون لا ما قبله، وهذا واضحٌ‌، وقد اتّفق عليه الفقهاء على ما نُسب إليهم</w:t>
      </w:r>
      <w:r>
        <w:rPr>
          <w:rFonts w:eastAsia="Amiri" w:cs="Amiri" w:ascii="Amiri" w:hAnsi="Amiri"/>
          <w:color w:val="111111"/>
          <w:sz w:val="28"/>
          <w:szCs w:val="28"/>
          <w:rtl w:val="true"/>
          <w:lang w:bidi="ar-SA"/>
        </w:rPr>
        <w:t>.</w:t>
      </w:r>
      <w:bookmarkStart w:id="49" w:name="pg11805_167850"/>
    </w:p>
    <w:p>
      <w:pPr>
        <w:pStyle w:val="Heading4"/>
        <w:numPr>
          <w:ilvl w:val="3"/>
          <w:numId w:val="1"/>
        </w:numPr>
        <w:rPr/>
      </w:pPr>
      <w:bookmarkStart w:id="50" w:name="__RefHeading___Toc10670419_73709187"/>
      <w:bookmarkStart w:id="51" w:name="_Toc17"/>
      <w:bookmarkEnd w:id="49"/>
      <w:bookmarkEnd w:id="50"/>
      <w:r>
        <w:rPr>
          <w:rtl w:val="true"/>
        </w:rPr>
        <w:t>حقيقة النيابة وشروطها</w:t>
      </w:r>
      <w:bookmarkEnd w:id="51"/>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النيابة وشروطها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أشكل على جمعٍ من الأساطين تصوير النيابة في العبادة، ومنشأ الإشكال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كون الفعل مطلوباً من المنوب عنه، والأمر متوجّهاً إليه، كيف يُتصوّر أن يكون ذلك الأمر محرّكاً للنائب‌؟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لا يكون أمرٌ متوجّهاً إلى المنوب عنه أيضاً، كما إذا كان ميّتاً، فما المحرّك للنائب نحو الفعل‌؟</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التقرّب المعنوي كالتقرّب الحسّي لا يقبل النيابة، إذ لا يعقل تقرّب النائب وحصول القرب للمنوب عنه، ومع عدم حصول القرب للمنوب عنه لا يسقط غَرض الآمر، فلا تفرغ ذمّته عن العمل القُربي المكلّف به، ولهذا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منع صحّة النيابة، وأنّ المراد من 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وليّ الميّت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يقضي عن نفسه، ونسبته إلى الميّت باعتبار أنّه السبب في وجوب القضاء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والتزم بعضٌ بأنّ باب النيابة باب إهداء الثواب</w:t>
      </w:r>
      <w:r>
        <w:rPr>
          <w:rStyle w:val="FootnoteAnchor"/>
          <w:rtl w:val="true"/>
        </w:rPr>
        <w:footnoteReference w:id="86"/>
      </w:r>
      <w:r>
        <w:rPr>
          <w:rFonts w:ascii="Amiri" w:hAnsi="Amiri" w:eastAsia="Amiri" w:cs="Amiri"/>
          <w:color w:val="111111"/>
          <w:sz w:val="28"/>
          <w:sz w:val="28"/>
          <w:szCs w:val="28"/>
          <w:rtl w:val="true"/>
          <w:lang w:bidi="ar-SA"/>
        </w:rPr>
        <w:t xml:space="preserve">، كما التزم المحقّق الخراساني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لزوم قصد التقرّب على النائب، وأنّ رضا </w:t>
      </w:r>
    </w:p>
    <w:p>
      <w:pPr>
        <w:pStyle w:val="BookText"/>
        <w:rPr/>
      </w:pPr>
      <w:r>
        <w:rPr>
          <w:rFonts w:ascii="Amiri" w:hAnsi="Amiri" w:eastAsia="Amiri" w:cs="Amiri"/>
          <w:color w:val="111111"/>
          <w:sz w:val="28"/>
          <w:sz w:val="28"/>
          <w:szCs w:val="28"/>
          <w:rtl w:val="true"/>
          <w:lang w:bidi="ar-SA"/>
        </w:rPr>
        <w:t>المنوب عنه بما نُسب إليه كافٍ في مقرّبيّة العمل 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سيأتي بيان حقيقة النيابة، وستعرف أنّ سقوط التكليف عن المنوب عنه إنّما هو لحصول الغرض من إتيان النائب بذلك العمل نيابةً عنه، الذي ستعرف أنّه مأمور به بالأمر الاستحبابي، وقصد النائب التقرّب إنّما يكون لأجل الأمر المتوجّه إلى النائب نفسه، وحصول القرب المعنوي الملازم لفراغ الذمّة عن التكليف، إنّما يكون لأجل فراغ ذمّة المنوب عنه عنها، وبالمعنى الآخر لا نتعقّله، وإعطاء الثواب إنّما هو باختيار اللّه تعالى‌، فقد وَعَد على إعطائه المنوب عنه لو أتى النائب بالعمل نيابةً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وللقوم في تصوير النيابة في العبادة 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الشيخ الأعظم الأنصاري رحمه الله</w:t>
      </w:r>
      <w:r>
        <w:rPr>
          <w:rStyle w:val="FootnoteAnchor"/>
          <w:rtl w:val="true"/>
        </w:rPr>
        <w:footnoteReference w:id="8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للنائب 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جانحي قلبي، وهو جعل نفسه بدلاً عن المنوب عنه في الإتيان بتكاليفه، وتنزيله منزلته، وهذه هي حقيقة النيابة، والأمر المتعلّق به أمرٌ غير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فعلٌ جارحي وهو الحَجّ أو الصلاة، وما شاكل، والأمر المتعلّق به أمرٌ تعبّدي، ولكلّ من الفعلين غاية مترتّبة عليه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التنزيل ممّا لا يخطر ببال النائب والمنوب عنه، مع أنّه تنزيلٌ ادّعائي لا حقيقي، فلابدّ وأن يكون صادراً ممّن بيده جعل الآثار، وإلّا فلا يكادت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يترتّب عليه الأثر، ألا ترى أنّه لو نزّل زيدٌ نفسه منزلة عمرو لا يترتّب عليه وجوب الإنفاق على زوجته، وغيره من الآثار والأحكام الثابتة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في مبحث أخذ الاُجرة على الواجبات،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أصالة الصحّة،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العبادة النيابيّة كالحَجّ إذا تحقّقت في الخارج، كان لها اعتباران، فباعتبار أنّها فعل المنوب عنه، ولذا إذا كانت هي الصلاة، وجبَ فيها مراعاة القصر والإتمام، وباعتبار هي فعل النائب يجب عليه مراعاة الأجزاء والشرائط، وهي بالاعتبار الثاني لا يجب التقرّب فيها، وبالاعتبار الأوّل عباديّة، فلا مانع من وقوعها قُربيّاً محضاً عن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النيابيّة فعلٌ لشخصين اعتباراً، وهي بأحد الاعتبارين قُربيّة، وبالاعتبار الآخر غير 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لتصوّر كون فعل النائب فعل المنوب عنه اعتباراً، فإنّ كون الفعل منتسباً إلى شخصٍ إنّما هو باعتبار صدوره عنه، وعليه فإنْ كان المراد أنّ الشارع الأقدس يعتبر صدور الفعل عن النائب صادراً عن المنوب عنه، فما الدليل على هذا الاعتبار أوّلاً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الاعتبار إنّما يكون بعد إتيان العمل عن الغير، فقبل أن ينوي الفعل عن الغير يُسئل عن محرّكه له، وأنّ محرّكه هل الأمر المتوجّه إلى المنوب عنه‌؟ فهو غير معقول، أو غيره‌؟ وبالجملة بهذا المقدار لا يتمّ‌، ولعلّه سيأتي توجيهه لاحقاً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اليزدي رحمه الله</w:t>
      </w:r>
      <w:r>
        <w:rPr>
          <w:rStyle w:val="FootnoteAnchor"/>
          <w:rtl w:val="true"/>
        </w:rPr>
        <w:footnoteReference w:id="9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مباشرة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دخيلة في حصول الغرض المترتّب على الفعل، فلا يسقط الأمر بفعل الغير وإنْ لم يكن العمل عباديّاً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دخيلة فيه، فلا مانع من صيرورة الأمر المتعلّق به محرّكاً للغير، لإيجاد ذلك الفعل مراعاةً لصديقه واستخلاصه من المحذورات المترتّبة على ذلك الأمر من العقاب، والبُعد عن ساحة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إلى هذا نظر المحقّق النائيني رحمه الله</w:t>
      </w:r>
      <w:r>
        <w:rPr>
          <w:rStyle w:val="FootnoteAnchor"/>
          <w:rtl w:val="true"/>
        </w:rPr>
        <w:footnoteReference w:id="91"/>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الإجاري تعلّق بإتيان العبادة بداعي الأمر المتوجّه إلى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الغرض مترتّباً على فعل كلّ واحدٍ منهما بما هو، لزم كون الأمر متوجّهاً إليهما، غاية الأمر بما أنّ الغرض واحد، ويحصل بفعل كلّ منهما، يكون الوجوب كفائيّاً، فيخرج عمّا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مترتّباً على فعل المنوب عنه خاصّة، غاية الأمر أعمّ من المباشري والتسبيبي، وما بالذات وما بالعَرَض، فمثله لا يصلح إلّالتوجّه الأمر إلى المنوب عنه المحرّك نحو الفعل أعمّ من المباشرة والتسبيب، ولكن هذا الأمر لا يعقل أن يكون محرّكاً للنائب نحو الفعل، إذ التكليف غير المتوجّه إليه عاجزٌ عن تحريك الفاعل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الغرض يحصل بفعله، وكان الواجب توصّليّاً، لزم سقوط التكليف بفعله، لحصول الغرض لا للامتثال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المتوجّه إليه لا يعقل أن يكون محرّكاً نحو عمل غيره الصادر عنه بإرادته واختياره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المحقّقين</w:t>
      </w:r>
      <w:r>
        <w:rPr>
          <w:rStyle w:val="FootnoteAnchor"/>
          <w:rtl w:val="true"/>
        </w:rPr>
        <w:footnoteReference w:id="92"/>
      </w:r>
      <w:r>
        <w:rPr>
          <w:rFonts w:ascii="Amiri" w:hAnsi="Amiri" w:eastAsia="Amiri" w:cs="Amiri"/>
          <w:color w:val="111111"/>
          <w:sz w:val="28"/>
          <w:sz w:val="28"/>
          <w:szCs w:val="28"/>
          <w:rtl w:val="true"/>
          <w:lang w:bidi="ar-SA"/>
        </w:rPr>
        <w:t>من أنّ النيابة من الاعتبارات العقلائيّة، ولها آثار عند العقلاء، فإذا أمضاها الشارع الأقدس، لزم ترتّب تلك الآثار عليها، فإذا كان المنوب فيه أمراً عباديّاً كان مقتضى إمضاء النيابة توجّه التكليف المتوجّه إلى المنوب عنه إلى النائب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بذلك توجّه ذلك التكليف إليه، فهو غير معقول، إذ الفرد المشخّص كيف يمكن توسعته، وإنْ اُريد انتسابه إليه بالعرض، فيرد عليه أنّ البعث العَرَضي لا يُجدي في الانبعاث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توجّه تكليفٍ آخر إلى النائب، فهو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مسالكٌ اُخر، لكن لوضوح ضعفها ممّا بيّناه أغمضنا عن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مورد النيابة يكون العمل ثابتاً في ذمّة المنوب عنه، إمّا مع الأمر المتوجّه إليه أو بدونه، وهناك تكليفٌ آخر متوجّهٌ إلى النائب إمّا وجوبيّاً أو استحبابيّاً، بأن يأتي بذلك العمل الثابت في ذمّة المنوب عنه، نظير الأمر بأداء الدَّين عنه، فالمحرّك للنائب هو الأمر العبادي المتوجّه إليه متعلّقاً بالفعل المعنون بعنوان النيابة عن الغير، لا الأمر المتوجّه إلى المنوب عنه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فالنائب إنّما يأتي بالعبادة بداعي الأمر المتوجّه إلى نفسه، لا بالأمر العبادي المتوجّه إلى المنوب عنه، وسقوط التكليف عن المنوب عنه إنّما هو لحصول الغرض من إتيان النائب بذلك العمل نيابةً عنه، الذي عرفت أنّه مأمور به بالأمر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الاستحبابي، وقصد النائب التقرّب إنّما يكون لأجل الأمر المتوجّه إلى النائب نفسه، وقد مرّ أنّ حصول القُرب المعنوي بالمعنى الملازم لفراغ الذمّة عن التكليف، إنّما يكون لأجل فراغ ذمّة المنوب عنه عنه، وبالمعنى الآخر لا نتعقّله، وإعطاء الثواب إنّما هو باختيار اللّه تعالى‌، فقد وَعَد على إعطائه المنوب عنه لو أتى النائب بالعمل نيابةً عنه</w:t>
      </w:r>
      <w:r>
        <w:rPr>
          <w:rFonts w:eastAsia="Amiri" w:cs="Amiri" w:ascii="Amiri" w:hAnsi="Amiri"/>
          <w:color w:val="111111"/>
          <w:sz w:val="28"/>
          <w:szCs w:val="28"/>
          <w:rtl w:val="true"/>
          <w:lang w:bidi="ar-SA"/>
        </w:rPr>
        <w:t>.</w:t>
      </w:r>
      <w:bookmarkStart w:id="52" w:name="pg11805_167856"/>
    </w:p>
    <w:p>
      <w:pPr>
        <w:pStyle w:val="Heading4"/>
        <w:numPr>
          <w:ilvl w:val="3"/>
          <w:numId w:val="1"/>
        </w:numPr>
        <w:rPr/>
      </w:pPr>
      <w:bookmarkStart w:id="53" w:name="__RefHeading___Toc10670421_73709187"/>
      <w:bookmarkStart w:id="54" w:name="_Toc18"/>
      <w:bookmarkEnd w:id="52"/>
      <w:bookmarkEnd w:id="53"/>
      <w:r>
        <w:rPr>
          <w:rtl w:val="true"/>
        </w:rPr>
        <w:t>شرائط النيابة</w:t>
      </w:r>
      <w:bookmarkEnd w:id="54"/>
    </w:p>
    <w:p>
      <w:pPr>
        <w:pStyle w:val="BookText"/>
        <w:rPr/>
      </w:pPr>
      <w:r>
        <w:rPr>
          <w:rFonts w:ascii="Amiri" w:hAnsi="Amiri" w:eastAsia="Amiri" w:cs="Amiri"/>
          <w:color w:val="111111"/>
          <w:sz w:val="28"/>
          <w:sz w:val="28"/>
          <w:szCs w:val="28"/>
          <w:rtl w:val="true"/>
          <w:lang w:bidi="ar-SA"/>
        </w:rPr>
        <w:t>وأمّا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فيها قصد النيابة، فإنّه لا يصدق وقوع الحَجّ عن الغير الذي هو المأمور به إلّابذلك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المأمور به فردان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 لا يتقوم بالقصد زائداً عن إتيان الأعمال متقرّباً إلى اللّه تعالى‌، وأمّا الثاني فامتيازه عن الأوّل إنّما هو بذلك، فلابدَّ وأن يُقصد وإلّا لا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يعتبر في النيابة تعيّين المنوب عنه، فإنّ الفعل الصالح للوقوع عن المتعدّد لا يتعيّن لأحدهم إلّابالقصد، وإلّا لزم الترجيح بلا مرجّح، بل النيابة وإتيان الحَجّ عن الغير حقيقتها تتقوم بتعيّين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يعتبر ذكر اسمه اتّفاقاً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خلافاً عن ظاهر الصدوق من لزوم تسميته عند الذبح</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به كخبر ابن عبد السلام، عن أبي عبداللّه عليه السلام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يحجّ عن الإنسان، يذكره في جميع المواطن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فعل وإنْشاء لم يفعل، اللّه يعلم أنّه قد حَجّ عنه، ولكنّه يذكره عند الأضحية إذا ذبحها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به بعد الإحرام كصحيح الحلبي،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عن أخيه، أو عن أبيه، أو عن رجلٍمن النّاس، هل ينبغي له أن يتكلّم بشيء؟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 بعدما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أصابني في سفري هذا من تعبٍ أو بلاءٍ أو شَعَثٍ فآجر فلاناً فيه، وآجرني في قضائي عنه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معاوية أو حسنه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به في جميع المواطن والمواقف، كصحيح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الذي يحجّ عن الرّجل‌؟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يسمّيه في المواطن والمواقف</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عدم لزومه في شيء من المواقف، كصحيح البزنطي،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الحسن الأوّل عليه السلام عن الرّجل يحجّ عن الرّجل، يسمّيه باسمه‌؟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يخفى عليه خافية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النصوص يقتضي البناء على الاستحباب والرجحان، وتأكّده في الموقفين، وذلك لأنّه لو لم تكن الطائفة الثالثة، كان الجمع بين الأولتين والأخيرة بتقيّيدها بهما، والحكم بوجوبه في الموقفين مع قطع النظر عمّا نشير إليه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لو كنّا قائلين بانقلاب النسبة، كان مقتضى الجمع العرفي ذلك، فإنّه يُقيّد إطلاق الأخيرة بالأولتين، فتصبح أخصّ من الثالثة، وتقيّد هي بها، وكانت</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الوجوب في الموقفين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بيّنا في محلّه</w:t>
      </w:r>
      <w:r>
        <w:rPr>
          <w:rStyle w:val="FootnoteAnchor"/>
          <w:rtl w:val="true"/>
        </w:rPr>
        <w:footnoteReference w:id="100"/>
      </w:r>
      <w:r>
        <w:rPr>
          <w:rFonts w:ascii="Amiri" w:hAnsi="Amiri" w:eastAsia="Amiri" w:cs="Amiri"/>
          <w:color w:val="111111"/>
          <w:sz w:val="28"/>
          <w:sz w:val="28"/>
          <w:szCs w:val="28"/>
          <w:rtl w:val="true"/>
          <w:lang w:bidi="ar-SA"/>
        </w:rPr>
        <w:t>بطلان القول بانقلاب النسبة، وأنّه تلاحظ النصوص كما هي، كما أنّه لو كان للأولتين مفهومٌ‌، كانتا دالّتين به على عدم الوجوب في غير الموطنين، حيث تكون النتيجة أيضاً كذلك، فإنّه كان يُقيّد حينئذٍ إطلاق الأخيرة بمنطوق الأولتين، وإطلاق الثالثة بمفهومهما، ولكن ليس لهما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فيتعيّن الجمع بما ذكر، بأن يُحمل ظاهر الثالثة من الوجوب على الاستحباب بقرينة الأخيرة، والطائفتان الاُولى والثانية وإنْ كان لا مانع من إبقائهما على ما هما عليه من الظهور في الوجوب، إلّاأنّه بقرينة الاتّفاق على عدم الوجوب، ولما في التعليل في الرابعة الآبي عن التخصيص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لاتخفى عليه خافية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يتعيّن حملهما على الاستحباب، فتكون النتيجة ما ذكرناه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55" w:name="pg11805_167859"/>
    </w:p>
    <w:p>
      <w:pPr>
        <w:pStyle w:val="BookText"/>
        <w:rPr/>
      </w:pPr>
      <w:bookmarkEnd w:id="55"/>
      <w:r>
        <w:rPr>
          <w:rFonts w:ascii="Amiri" w:hAnsi="Amiri" w:eastAsia="Amiri" w:cs="Amiri"/>
          <w:color w:val="111111"/>
          <w:sz w:val="28"/>
          <w:sz w:val="28"/>
          <w:szCs w:val="28"/>
          <w:rtl w:val="true"/>
          <w:lang w:bidi="ar-SA"/>
        </w:rPr>
        <w:t>ولو تبرّع عن الميّت برئت ذمّته</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0670423_73709187"/>
      <w:bookmarkStart w:id="57" w:name="_Toc19"/>
      <w:bookmarkEnd w:id="56"/>
      <w:r>
        <w:rPr>
          <w:rtl w:val="true"/>
        </w:rPr>
        <w:t>التبرّع عن الميّت في الحَجّ‌</w:t>
      </w:r>
      <w:bookmarkEnd w:id="5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جملة من أحكام هذا الباب، ولنذكرها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يكون الخطاب بالنيابة عن الميّت مختصّاً بالولي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مشروطاً بإذنه،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ذمّته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نعلم فيه خلافاً،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 بل الإجماع المحقّق والمحكي مستفيضاً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من غير فرقٍ في الميّت بين أن يكون عنده ما يحجّ به أم لا، وبين إيصائه به وعدمه، وبين قرب المتبرّع للميّت وعدمه، وبين وجود المأذون من الميّت أو وليه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لإطلاق معاقد الإجماعات والنصوص،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مات ولم يكن له مال، ولم يحجّ حجّة الإسلام، فأحَجّ عنه بعض إخوانه، هل يجزي ذلك عنه أو هل هي ناقصة‌؟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حَجّة تامّة</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 المراد به أنّه لم يكن له مالٌ حين الموت، وإنّما استقرّ عليه الحَجّ من قبل، كما نبّه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عميرة،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مات ولم يحجّ؟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عنه، فإنّ ذلك يُجزي عنه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غيرها، وقد ادّعى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استفاضتها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وثبوت مشروعيّة النيابة عنه، مع تعذّر الإذن عنه، وأنّ الحَجّ مع شغل الذمّة به كالدَّين الذي لا أشكال في جواز التبرّع به مع النهي، فضلاً عن عدم الإذن، وأصل عدم اشتراط حصولها منه حال حياته، وعدم تعلّق الغرض بما يقابلها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الوجوه وإنْ كانت لا تخلو عن المناقشة، فإنّ ثبوت مشروعيّة النيابة مع تعذّر الإذن عنه، إذا لم يأذن في حال الحياة لغير الولي، أوّل الكلام، وكون الحَجّ مع شُغل الذمّة به كالدين لا يوجبُ جواز التبرّع عنه في الأفعال، وأصالة عدم اشتراط حصولها منه حال الحياة، محكومة لأصالة عدم مشروعيّتها، بناءً على كون النيابة عليخلاف الأصل، كما هو الحقّ‌، إلّاأنّه لابأس بذكرها تأييداًللمطلب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التبرّع عن الميّت في الحَجّ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فجوازه أيضاً لا كلام فيه، بل ادّعى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الإجماعين، أي المحصّل والمنقول عليه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النصوص، وقد عقد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النيابة باباً جمعَ فيه الأخبار الدالّة على استحباب التطوّع بالحَجّ والعُمرة عن المؤمنين، خصوصاً الاقارب أحياءً وأمواتاً، وعن المعصومين عليهم السلام أحياءً وأمواتاً</w:t>
      </w:r>
      <w:r>
        <w:rPr>
          <w:rStyle w:val="FootnoteAnchor"/>
          <w:rtl w:val="true"/>
        </w:rPr>
        <w:footnoteReference w:id="107"/>
      </w:r>
      <w:r>
        <w:rPr>
          <w:rFonts w:ascii="Amiri" w:hAnsi="Amiri" w:eastAsia="Amiri" w:cs="Amiri"/>
          <w:color w:val="111111"/>
          <w:sz w:val="28"/>
          <w:sz w:val="28"/>
          <w:szCs w:val="28"/>
          <w:rtl w:val="true"/>
          <w:lang w:bidi="ar-SA"/>
        </w:rPr>
        <w:t>، وذكر فيهة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 عشر حديثاً،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 ويأتي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حازم بن حبيب،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هلك وهو رجلٌ أعجمي، وقد أردتُ أن أحَجّ عنه وأتصدّق‌؟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فإنّه يصل إليه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عمرو بن الياس،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 لأبي عبداللّه عليه السلام وأنا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ابني هذا صرورة، وقد ماتت اُمّه، فأحبَّ أن يجعل حجَّته لها، أفيجوز ذلك له‌؟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ذلك له ولها، ويُكتب له أجر البِرّ</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الآتي</w:t>
      </w:r>
      <w:r>
        <w:rPr>
          <w:rStyle w:val="FootnoteAnchor"/>
          <w:rtl w:val="true"/>
        </w:rPr>
        <w:footnoteReference w:id="110"/>
      </w:r>
      <w:r>
        <w:rPr>
          <w:rFonts w:ascii="Amiri" w:hAnsi="Amiri" w:eastAsia="Amiri" w:cs="Amiri"/>
          <w:color w:val="111111"/>
          <w:sz w:val="28"/>
          <w:sz w:val="28"/>
          <w:szCs w:val="28"/>
          <w:rtl w:val="true"/>
          <w:lang w:bidi="ar-SA"/>
        </w:rPr>
        <w:t>، و 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التبرّع عن الحَيّ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جائز بالتطوّع بلا خلافٍ‌،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بالإجماعين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الحَجّ والعُمرة عن حَيٍّ إلّابإذنه، سواءٌ كان الحَجّ فرضاً أو نفلاً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لجملةٍ من النصوص التي قيل إنّها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يحجّ فيجعل حجّته وعمرته أو بعض طوافه لبعض أهله، وهو عنه غائبٌ ببلد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فينقص ذلك من أجره‌؟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له ولصاحبه، وله سوى ذلك بما وصل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ميّت هل يدخل ذلك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يكون مسخوطاً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فيغفر له، أو يكون مضيّقاً عليه فيوسّع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هو في مكانه إن عمل ذلك لحقّه،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فجعل حجّته عن ذي قرابته يصِله بها، كانت حجّته كاملة، وكان للذي حَجّ عنه مثل أجره، إنّ اللّه عَزَّ وَجَلّ واسع لذلك</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عبادة يدخلها النائب، فلم يجز عن الحَيّ المكلّف إلّابإذنه كالزكاة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الاستدلال في مقابل النصوص يعدّ اجتهاداً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حمل النصوص على إهداء الثواب، لا على وجه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واضحُ الضعف، فإنّ الروايات متضمّنة لجعل الحَجّ له، والإتيان بالحَجّ عنه، وهذه التعابير كالصريحة في النيابة، ومقتضى إطلاقها عدم الفرق بين كونه قادراً أو عاجزاً، كما لا فرق بين من كان عليه حَجّ واجب مستقرّاً كان أولا وغيره، تمكّن من أدائه ففرّط أو لم يفرّط، بل يحجّ بنفسه واجباً ويستنيب غيره في التطوّع، لإطلاق الأخبار، وإذا جاز التبرّع جاز للمنوب عنه أن يستأجر له، وهو واضح</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التبرّع عن الحَيّ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له عذرٌ مسوّغ للاستنابة، وكفايته عنه، ففيه قولان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جماعة منهم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وكاشف اللّثام</w:t>
      </w:r>
      <w:r>
        <w:rPr>
          <w:rStyle w:val="FootnoteAnchor"/>
          <w:rtl w:val="true"/>
        </w:rPr>
        <w:footnoteReference w:id="118"/>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الجواز، وعن جماعة آخرين الجواز والكفاية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بأصالة عدم فراغ ذمّته بذلك، السالمة عن معارضة ما دلّ على مشروعيّتها عنه بإذنه، ضرورة أعمّية ذلك من جواز التبرّع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يجبُ الإستنابة عليه نصّاً وفتوىً‌، ولا دليل على سقوطه بذلك بعد حرمة القياس على الميّت، وعدم ثبوت كونه في هذه الحال كالدَّين الذي يقضى عن صاحبه مع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فيها بعد ذكر الدليلين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فالأحوط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 النيابة حينئذٍ على الإذن</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المتضمّنة للأمر بالتجهيز من ماله،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 هذا العمل واجبٌ عليه مقام الحَجّ بنفسه، وكفاية فعل الغير موقوفة على الدليل وهو في المقام مفقود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نصوص الإستنابة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ما بيّناه في حقيقة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أنّ البدل فعل النائب لا فعل المنوب عنه، وعليه فلا دخل للتسبيب في إفراغ</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8" w:name="pg11805_167864"/>
    </w:p>
    <w:p>
      <w:pPr>
        <w:pStyle w:val="BookText"/>
        <w:rPr/>
      </w:pPr>
      <w:bookmarkEnd w:id="58"/>
      <w:r>
        <w:rPr>
          <w:rFonts w:ascii="Amiri" w:hAnsi="Amiri" w:eastAsia="Amiri" w:cs="Amiri"/>
          <w:color w:val="111111"/>
          <w:sz w:val="28"/>
          <w:sz w:val="28"/>
          <w:szCs w:val="28"/>
          <w:rtl w:val="true"/>
          <w:lang w:bidi="ar-SA"/>
        </w:rPr>
        <w:t>الذمّة وأداء الواجب، وإنّما يجبُ‌الإستنابة تحصيلاً للبدل، فمع حصوله بنفسه لا وجه لبقاء الوجوب</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0670425_73709187"/>
      <w:bookmarkStart w:id="60" w:name="_Toc20"/>
      <w:bookmarkEnd w:id="59"/>
      <w:r>
        <w:rPr>
          <w:rtl w:val="true"/>
        </w:rPr>
        <w:t>نيابة الواحد عن المتعدّد</w:t>
      </w:r>
      <w:bookmarkEnd w:id="60"/>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ينوب عن اثنين بحَجّ واحدٍ في الحَجّ الواجب، إجماعاً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مضافاً إلى أنّ وضوحه مطابق للأصل، فإنّ الخارج عن تحت أصالة عدم فراغ الذمّة، هو نيابة واحد عن واحد، ويبقى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أخذ حجّةً من رجل، فقطع عليه الطريق، فأعطاه رجل حجّة أُخرى يجوز له ذلك‌؟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جائز له ذلك، محسوب للأوّل والأخير، وما كان يسعه غير الذي فعل إذا وجد من يعطيه الحجّة</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بالإطلاق وعدم الاستفصال على جواز نيابة واحد عن اثنين حتّى في الحَجّ الواجب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فمضافاً إلى معارضته بصحيح محمّد بن إسماعيل،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رجلاً أن يسأل أبا الحسن عليه السلام عن رجلٍ يأخذ من رجل حجّة، فلا تكفيه، ألَهُ أن يأخذ من رجلٍ آخر، فيتّسع بهما، ويجزي عنهما جميعاً أو يتركهما جميعاً إنْ لم يكفه إحداهما؟ فذكر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أن تكون خالصةً لواحد، فإنْ كانت لا تكفي فلا يأخذها</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يفتِ أحدٌ بما تضمّنه من الإطلاق، فيتعيّن حمله على الحجّتين على وجه </w:t>
      </w:r>
    </w:p>
    <w:p>
      <w:pPr>
        <w:pStyle w:val="BookText"/>
        <w:rPr/>
      </w:pPr>
      <w:r>
        <w:rPr>
          <w:rFonts w:ascii="Amiri" w:hAnsi="Amiri" w:eastAsia="Amiri" w:cs="Amiri"/>
          <w:color w:val="111111"/>
          <w:sz w:val="28"/>
          <w:sz w:val="28"/>
          <w:szCs w:val="28"/>
          <w:rtl w:val="true"/>
          <w:lang w:bidi="ar-SA"/>
        </w:rPr>
        <w:t xml:space="preserve">الاستحباب، أو أنّ إحدى الحجّتين لا على وجه الإجارة، أو على غير ذينك من المحامل التي ذكرها الفقهاء،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إذا كان حَجٌّ واحدٌ واجباً على المتعدّد، كما إذا نذر كلّ منهما أن يشترك مع الآخر في تحصيل الحَجّ‌، فحينئذٍ لا مانع من النيابة فيه ووجهه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الحَجّ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جواز النيابة عن المتعدّد،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تخصيص جواز الإستنابة في المستحبّ على وجه التشريك، بما إذا اُريد إيقاع الفعل عنهما معاً، ليشتركا في ثوابه، أمّا لو اُريد من النيابة فعل الحَجّ عن كلّ واحدٍ منهما، فهو كالحَجّ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أظهر، 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هشام بن الحكم بإسنادين أحدهما صحيح أو حسن،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يشرك أباه أو أخاه أو قرابته في حجّه‌؟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يكتب لك حَجّاً مثل حجّهم، وتزداد أجراً بما وصلت</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إسماعيل،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كم أشرك في حجّتي‌؟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شئت</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أبويّ في حجّتي‌؟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إخواتي في حجّتي‌؟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تعالى جاعلٌ لك حجّاً ولهم حَجّاً، ولك أجرٌ لصلتك إيّاهم</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الحسن،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أشركت ألفاً في حجّتك، لكان لكلّ واحدٍ حجّة من غير أن تنقص حجّتك شيئاً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عن 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يشرك في حجّته الأربعة والخمسة من مواليه‌؟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صرورة جميعاً فلهم أجر، ولا يجزي عنهم الذي حَجّ عنهم من حَجّة الإسلام، والحجّة للّذي حَجّ‌</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في الدلالة على جواز النيابة عن المتعدّد، وكذا في استثناء حجّة الإسلام غيرها، وظاهرها النيابة، ولا محذور فيه، فحملها على إهداء الثواب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نيابة المتعدّد عن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الحَجّ المندوب لا إشكال فيها، ولا خلاف، ويشهد به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عيسى اليقطيني،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إليّ أبو الحسن الرِّضا عليه السلام رزم ثياب وغلماناً وحجّةً لي، وحجّة لأخي موسى بن عبيد، وحجّةً ليونس بن عبدالرحمن، وأمرنا أن نحجّ عنه، فكانت بيننا مائة دينار أثلاثاً فيما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أحمد بن محمّد بن مطهر،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محمّد عليه السلام إنّي دفعتُ إلى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ستّة أنفس مائة دينار وخمسين ديناراً ليحجّوا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 لا تعرض لمن لم يأتك، ولا تأخذ ممّن أتاك شيئاً ممّا يأتيك، والأجر فقد وقع على اللّه عَزَّ وَجَلّ‌</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اُحصي عن علي بن يقطين في عامٍ واحد ثلاثمائة مُلبّياً، ومائتان وخمسون وخمسمائة وخمسون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الحَجّ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ذمّة الميّت أو الحَيّ الممنوع عن المباشرة حجّتان مختلفتان بالنوع، كحجّة الإسلام، وحجّة النذر، أو متّحدتان من حيث النذر، كحجّتين للنذر، جاز نيابة نائبين في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إذا كان إحداهما واجبة والاُخرى مستحبّة، بل يجوز أن ينوب شخصان عنه في حَجّ واجب واحد، كحجّة الإسلام في عام واحد، وإنْ كان أحدهما أسبق شروعاً، فإن ذمّة المنوب عنه لا تفرغ بالشروع، وعليه فيجوز ما دامت الذمّة مشغولة لكلّ أحدٍ النيابة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بالنيابة متوجّهٌ إلى جميع النّاس ما دامت الذمّة مشغولة به، نعم إذا كان أحدهما أسبق ختاماً، ولا يحتمل في حجّه البطلان، بطل فعل اللّاحق، لعدم بقاء المورد، وأمّا إذا كان يحتمل بطلانه فلا بأس بإتمامه رجاءً واحتياطاً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61" w:name="pg11805_167868"/>
    </w:p>
    <w:p>
      <w:pPr>
        <w:pStyle w:val="Heading4"/>
        <w:numPr>
          <w:ilvl w:val="3"/>
          <w:numId w:val="1"/>
        </w:numPr>
        <w:rPr/>
      </w:pPr>
      <w:bookmarkStart w:id="62" w:name="__RefHeading___Toc10670427_73709187"/>
      <w:bookmarkStart w:id="63" w:name="_Toc21"/>
      <w:bookmarkEnd w:id="61"/>
      <w:bookmarkEnd w:id="62"/>
      <w:r>
        <w:rPr>
          <w:rtl w:val="true"/>
        </w:rPr>
        <w:t>موت الأجير قبل تمام الحَجّ‌</w:t>
      </w:r>
      <w:bookmarkEnd w:id="6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النائب قبل الإتيان بالمناسك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قبل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الإحرام ودخول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الإحرام وقبل الدخول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الدخول في البحث عن هذه المواضع، ينبغي التنبيه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منا من إمكان القول بكفاية الاستيجار في فراغ ذمّة المنوب عنه، إنّما هو فيما إذا قصّر الأجير في الإتيان به، وأمّا إذا لم يقصّر ولكن الوقت لم يكن صالحاً له، لموته قبل تمام الحَجّ‌، فالظاهر خروجه عن تحت تلك الأخبار، ولعلّ الاعتبار أيضاً يساعد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الواردة في المقام التي استُدلَّ بها في هذه المسألة، واردة في الاستيجار، ولا تشمل النيابة التبرّعيّة، كما أنّ مورد كلام الأصحاب أيضاً ذلك، فإسراء الحكم المخالف للقاعدة إليها، يتوقّف على إحراز المناط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يقتضي المقام البحث عن الصور المذكورة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بينهم في عدم الإجزاء في هذه الصورة، والشاهد على ذلك ما ادّعاه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يُجزىء عنه إجماعاً للأصل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36"/>
      </w:r>
      <w:r>
        <w:rPr>
          <w:rFonts w:ascii="Amiri" w:hAnsi="Amiri" w:eastAsia="Amiri" w:cs="Amiri"/>
          <w:color w:val="111111"/>
          <w:sz w:val="28"/>
          <w:sz w:val="28"/>
          <w:szCs w:val="28"/>
          <w:rtl w:val="true"/>
          <w:lang w:bidi="ar-SA"/>
        </w:rPr>
        <w:t xml:space="preserve">، وكذلك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 بل إجماعاً بقسميه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 ولكن موثّق إسحاق الآتي يدلّ على الإجزاء، لو مات في الطريق مطلقاً، ولعلّ إجماع الأصحاب </w:t>
      </w:r>
    </w:p>
    <w:p>
      <w:pPr>
        <w:pStyle w:val="BookText"/>
        <w:rPr/>
      </w:pPr>
      <w:r>
        <w:rPr>
          <w:rFonts w:ascii="Amiri" w:hAnsi="Amiri" w:eastAsia="Amiri" w:cs="Amiri"/>
          <w:color w:val="111111"/>
          <w:sz w:val="28"/>
          <w:sz w:val="28"/>
          <w:szCs w:val="28"/>
          <w:rtl w:val="true"/>
          <w:lang w:bidi="ar-SA"/>
        </w:rPr>
        <w:t>يصلح لتقيّيده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نصوص كفاية الاستيجار في فراغ ذمّة المنوب عنه، فقد عرفت عدم شمولها للمقام،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لو مات النائب بعد دخول الحرم والإحرام،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اجزأت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أجزأه ما فعله عن نفسه وعن المنوب عنه، وسقط الحَجّ عن المنوب عنه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يوجد، بل بلا خلافٍ على الظاهر المصرّح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بالوفاق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بالإجماع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بل بالإجماع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حيث استدلّ به جماعة منهم الفاضل النراقي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مراراً من أنّ الإجماع الذي يصحّ الاستناد إليه في الحكم، هو الإجماع التعبّدي، وهو الذي يكون كاشفاً عن رأي المعصوم عليه السلام، وأمّا مع معلوميّة مدرك المجمعين، فلا يعتمد على الإجماع</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صحيحا ضُريس والعُجْلي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ضريس فقد روى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خرج حاجّاً حَجّة الإسلام فمات في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في الحرم فقد أجزأت عنه حَجّة الإسلام، وإنْ مات دون الحرم فليقض عنه وليّه حَجّة الإسلام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خبر بريد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خرج حاجّاً ومعه جمل له وزاد ونفقة، فمات في الطريق‌؟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صرورة ثمّ مات في الحرم فقد أجزأ عنه حَجّة الإسلام، وإنْ كان ماتَ وهو صرورة قبل أن يحرم جَعَل جَمَله وزاده ونفقته وما معه في حَجّة الإسلام، الحديث</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وقرّب الاستدلال بهما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موردهما الحَجّ عن نفسه، إلّاأنّ الظاهر ولو بمؤونة فهم الأصحاب، كون ذلك كيفيّة خاصّة في الحَجّ نفسه، سواءٌ كان عن نفسه أو عن الغير، وسواءٌ كان بالنذر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عليكون الحكم الوارد في موردٍ خاص حكماً للطبيعة بإلغاء الخصوصيّة، يحتاج إلى دليل، ومجرّد إفتاء الأصحاب لا يصلح منشئاً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في تقريب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ثبت ذلك في حقّ الحاجّ عن نفسه، ثبت في نائبه، لأنّ فعله كفعل المنوب عنه، وتبعه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هذا التقريب أيضاً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حقيقة النيابة من أنّ عمل النائب يوجبُ سقوط ذمّة المنوب عنه لا أنّ عمله كعمله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سُلّم ذلك فإنّ ظاهر الخبرين اختصاص الحكم بما إذا أوجد الحَجّ بنفسه وقام بأداءه شخصيّاً، وشمول الحكم لما هو منزّلٌ منزلته يتوقّف على دليل خاص، أو عموم لدليل التنزيل، وهما مفقودان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تنقيح المناط فعهدة إثباتها على مدّعيها، كما أنّ دعوى أنّ بالإستيجار تتّسع ذمّة المنوب عنه بضمّ ذمّة النائب إليها وإلّا فما فيها لا يتغيّر، فهو مشمول للخبرين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شعري لا تبتني الأحكام الشرعيّة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جماعة، من أنّ طائفة من النصوص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عن من أجمعت العصابة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يموت، فيُوصي بحجّة، فيعطي رجلٌ دراهم يحجّ بها عنه، فيموت قبل أن يحجّ ثمّ أعطى الدراهم غيره‌؟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في الطريق أو بمكّة قبل أن يقضي مناسكه، فإنّه يجزي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ابتُلي بشيءٍ يفسد عليه حجّه حتّى يصير عليه الحَجّ من قابل، أيجزي عن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الأجير ضامن للحَجّ؟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نعم</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الحسين بن عثمان،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أعطى رجلاً ما يحجّه فحَدَث بالرجل حَدَثٌ؟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خرج فأصابه في بعض الطريق فقد أجزأت عن الأوّل وإلّا فلا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الحسين بن يحيى‌، عمّن ذكره،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أعطى رجلاً مالاً يحجّ عنه فمات‌؟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في منزله قبل أن يخرج فلا يجزي، وإنْ مات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الطريق فقد أجزأ عنه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الاستدلال بها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إطلاقها هو الإجزاء، وإنْ مات النائب قبل الإحرام، والأصحاب غير ملتزمين بذلك ولم يفتوا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يُقيّد إطلاقها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تخصيصٌ بعيد، كما نبّه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الإيراد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غفلة عن حال بلد السؤال الذي هو المدينة، فإنّ محلّ الإحرام فيها قريبٌ منها، معدود من حدودها</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غريبٌ‌، غريب، فإنّ السائل هو إسحاق وكان يسكن بغداد، والظاهر من السؤال إمّا الإطلاق أو عن من في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قد مرّ عدم كونه تعبّديّاً، بل إنّما أفتى الفقهاء بذلك من جهة الجمع بين النصوص والاستفادة منها، فكما لا يُعتمد عليه في الحكم، كذلك لا يُعتمد عليه في التقيّد والتخصيص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من أنّه يُقيّد إطلاقها بالخبر المرسل الذي رواه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حاجّاً فمات في الطريق، فإنّه إنْ كان مات في الحرم، فقد سقطت عنه الحجّة، فإنْ مات قبل دخول الحرم، لم يسقط عنه الحَجّ‌،</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وليقض عنه وليّه</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للحاجّ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مرسلٌ ضعيف لا يُعتمد عليه، واستناد الأصحاب إليه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غير مرّة من أنّ المرسل إنْ كان من قبيل نسبة المرسل الخبر إلى المعصوم جزماً كان حجّة، لأنّه توثيق للواسطة، إذ مع عدم وثاقته يكون النقل هكذا كذباً، والمرسل غير الحجّة هو ما لم يُنسب إلى المعصوم كذلك، والمفيد رحمه الله نَسب ذلك إلى الصادق عليه السلام فهو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مات قبل دخول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وليقض عنه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الاختصاص بالأصيل، إذ الأجير لا قضاء عنه، فإنّه إنْ كانت المباشرة معتبرة، واعتبرت في ضمن العقد بطلت في الفرض، لذهاب الموضوع، وإلّا فهو أداء عنه لا قضاء، فإنّه أيضاً يندفع بأنّ القضاء في لسان الأخبار يُراد به الفعل الأعمّ من القضاء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المرسل كما يكون أخصّ من النصوص المتقدّمة من هذه الجهة، يكون أعمّ من جهة أُخرى‌، وهي شموله للأصيل والنائب، واختصاصها بالنائب، ومورد الاجتماع موت النائب قبل الإحرام، فإنّ النصوص المتقدّمة تدلّ على الإجزاء، وهذا المرسل يدلّ على عدمه، وعليه فإنْ بنينا على أنّ العامين من وجه أيضاً يدخلان في أخبار الترجيح والتخيّير، فإنّه لاريب في تقديم المرسل على تلك النصوص، كما سيأتي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يعارضها موثّق عمّار الساباطي، عن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حَجّ عن آخر ومات في الطريق‌؟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أجره على اللّه، ولكن يوصي فإنْ قَدَر على رجل يركب في رحله ويأكل زاده فعل</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وللأصحاب في الجمع بينها وبينه 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الأعاظم من المعاصرين</w:t>
      </w:r>
      <w:r>
        <w:rPr>
          <w:rStyle w:val="FootnoteAnchor"/>
          <w:rtl w:val="true"/>
        </w:rPr>
        <w:footnoteReference w:id="151"/>
      </w:r>
      <w:r>
        <w:rPr>
          <w:rFonts w:ascii="Amiri" w:hAnsi="Amiri" w:eastAsia="Amiri" w:cs="Amiri"/>
          <w:color w:val="111111"/>
          <w:sz w:val="28"/>
          <w:sz w:val="28"/>
          <w:szCs w:val="28"/>
          <w:rtl w:val="true"/>
          <w:lang w:bidi="ar-SA"/>
        </w:rPr>
        <w:t>من أنّ موثّق إسحاق الذي هو العمدة من تلك النصوص نصٌّ في الإجزاء إذا مات بعد دخول الحرم، لأنّه القَدَر المتيقّن من الإجزاء، إذ لو كان الموت في أوّل الطريق سبباً للإجزاء، لكان الموت بعد دخول الحرم سبباً له قطعاً، ولكن بالنسبة إلى ما قبل الدخول في الحرم ظاهرٌ، وأمّا موثّق عمّار فهو نصٌّ في عدم الإجزاء بالنسبة إلى ما قبل الدخول في الحرم، ولو بقرينة الإجماع، لأنّه هو القدر المتيقّن من عدم الإجزاء، فيرفع اليد عن ظاهر كلّ منهما بنصّ الآخر، والنتيجة هو التفصيل بين الموت قبل الدخول في الحرم وبعده في الحكم بالإجزاء في الثاني وعدمه في الأوّل، كما هو المعروف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ترد آية ولا رواية دالّة على لزوم تقديم النّص على الظاهر، بل إنّما يلتزم به لكونه جمعاً عرفيّاً، وضابط كون الجمع عرفيّاً جمع المتعارضين في بادئ النظر في كلام واحد، بأن يرى العرف أحدهما قرينةً على الآخر، وأن لا تهافت بينهما، فأيّ جمع اجتمع فيه هذا الملاك كان ذلك الجمع عرفيّاً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إذا جمعنا الخبرين، يرى العرف تهافتاً بينهما، ولا يرى أحدهما قرينةً على الآخر، ولذلك لا يعدّ جمعاً عرفيّاً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موثّق عمّار نصٌّ في المطلوبيّة، وظاهرٌ في الوجوب، وموثّق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إسحاق صريحٌ في عدم الوجوب، فيُحمل موثّق عمّار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بأس به، إذ لو جمعنا بين قوله في موثّق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يجزي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قوله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العرف لا يرى تهافتاً بينهما، ويرون الأوّل قرينةً على حمل الأمر بالإيصاء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الإجزاء لو مات في الطريق مطلقاً، وهي موثّق إسحاق والمرسلان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الإجزاء مطلقاً، ولو لم يكن غير هاتين الطائفتين، لكنّا حاملين للثانية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المقام طائفة ثالثة، وهي مرسلة المفيد المعتبرة المفصّلة بين الموت قبل الدخول في الحرم، والموت بعده، والحكم بعدم الإجزاء في الأوّل، وبه في الثانية، ونسبتها مع كلّ من الطائفتين وإنْ كانت عموماً من وجه كما مرّ، إلّاأنّها تقدّم عليهما بناءً على المختار من الرجوع في تعارض العامين من وجه إلى نصوص الترجيح، فإنّ الشهرة الفتوائيّة التي هي أوّل المرجّحات مع المرسلة، والمرجّحات الاُخرى إنّما هي في طول ذلك على المختار من الترتيب بينها، وعليه فيقيّد بذيلها الطائفة الأُولى‌، وبصدرها الطائفة الثانية، فيكون المتحصّل أنّه إن مات بعد الدخول في الحرم سَقَط الحَجّ عنه، وأجزأ عن المنوب عنه، وإن مات قبله لم يجزئ</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مات بعد الإحرام وقبل الدخول في الحرم، ففيها قولان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 xml:space="preserve">، 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أصحابنا لا يختلفون في ذلك</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وعدم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 xml:space="preserve">، ونسب إلى المشهور، وهو الأظهر بناءً على ما عرفت من حجيّة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يُقيّد إطلاق ما دلّ على الإجزاء لو مات في الطريق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الاختلاف في هذه الصورة على فرض عدم حجيّة المرسل، هو الاختلاف في الدليل على الإجزاء في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المدرك هو الإجماع، لزم البناء على عدمه في هذه الصورة لعدمه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النصوص الواردة في الحاجّ عن نفسه، لزم البناء على عدم الإجزاء أيضاً، لما عرفت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المدرك هو موثّق إسحاق مع تقيّيد إطلاقه بالإجماع، لزم البناء على الإجزاء، لعدم الإجماع فيه، فالموثّق هو المحكّم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64" w:name="pg11805_167877"/>
    </w:p>
    <w:p>
      <w:pPr>
        <w:pStyle w:val="Heading4"/>
        <w:numPr>
          <w:ilvl w:val="3"/>
          <w:numId w:val="1"/>
        </w:numPr>
        <w:rPr/>
      </w:pPr>
      <w:bookmarkStart w:id="65" w:name="__RefHeading___Toc10670429_73709187"/>
      <w:bookmarkStart w:id="66" w:name="_Toc22"/>
      <w:bookmarkEnd w:id="64"/>
      <w:bookmarkEnd w:id="65"/>
      <w:r>
        <w:rPr>
          <w:rtl w:val="true"/>
        </w:rPr>
        <w:t>موت الأجير قبل تمام الحَجّ‌</w:t>
      </w:r>
      <w:bookmarkEnd w:id="66"/>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استؤجر شخصٌ للحَجّ فمات في أثناء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أجيراً في إفراغ ذمّة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أجيراً في الإتيان بطبيعة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أجيراً في الإتيان بالأعمال المخصوصة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أجيراً في الأعمال مع المقدّمات، ومنها طيّ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أجيراً في الحَجّ من دون أن يصرّح بخروج المشي أو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بعد الإحرام وبعد دخوله الحرم، استحقّ تمام الاُجرة، كما هو المشهور بين الأصحاب،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اتّفاق الأصحاب</w:t>
      </w:r>
      <w:r>
        <w:rPr>
          <w:rStyle w:val="FootnoteAnchor"/>
          <w:rtl w:val="true"/>
        </w:rPr>
        <w:footnoteReference w:id="157"/>
      </w:r>
      <w:r>
        <w:rPr>
          <w:rFonts w:ascii="Amiri" w:hAnsi="Amiri" w:eastAsia="Amiri" w:cs="Amiri"/>
          <w:color w:val="111111"/>
          <w:sz w:val="28"/>
          <w:sz w:val="28"/>
          <w:szCs w:val="28"/>
          <w:rtl w:val="true"/>
          <w:lang w:bidi="ar-SA"/>
        </w:rPr>
        <w:t>، والوجه فيه واضحٌ‌، لتحقّق المستأجر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الإجارة المزبور، لأنّ فراغ الذمّة أمرٌ قهريّ‌، وليس من قبيل المسبّب التوليدي لفعل الأجير، إذ الشارع الأقدس يحكم بالفراغ تفضّلاً لو مات وإنْ لم يأت بالمناسك، فلا يصحّ الاستيجار عليه، فلا محالة تكون الإجارة على الأعمال التي هي تحت قدرة المكلّف واختياره، ولعلّه لذلك قال الشهيد الثاني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واتّفق الأصحاب على استحقاقه جميع الاُجرة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الحكم ثبت على خلاف الأصل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الأقدس حكم بفراغ الذمّة لو مات بعد الدخول في الحرم، فهو وإنْ كان قهريّاً إلّاأنّ سببه اختياري، نظير ما لو أتى بجميع الأعمال، فإنّه حينئذٍ </w:t>
      </w:r>
    </w:p>
    <w:p>
      <w:pPr>
        <w:pStyle w:val="BookText"/>
        <w:rPr/>
      </w:pPr>
      <w:r>
        <w:rPr>
          <w:rFonts w:ascii="Amiri" w:hAnsi="Amiri" w:eastAsia="Amiri" w:cs="Amiri"/>
          <w:color w:val="111111"/>
          <w:sz w:val="28"/>
          <w:sz w:val="28"/>
          <w:szCs w:val="28"/>
          <w:rtl w:val="true"/>
          <w:lang w:bidi="ar-SA"/>
        </w:rPr>
        <w:t>قهري، وعليه فالموت وإنْ كان خارجاً عن تحت القدرة، إلّاأنّ الإتيان بالمناسك قبله داخلٌ تحت الاختيار، والفراغ بالنسبة إليها بعد جعل الشارع من قبيل المسبّب التوليدي، فإنّ إيجاد تمام الموضوع حينئذٍ باختيار المكلّف وبفعله، وله أن يأتي بالمناسك، فيحكم بفراغ الذمّة، وأن لا يأتي به فلا 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مانع من جعله متعلّق الإجارة، فيستأجر على إفراغ الذمّة، فلو أفرغ ذمّة المنوب عنه استحقّ تمام الاُجرة، وإنْ مات قبل ذلك لا يستحقّ شيئاً، لعدم تحقّق شيء من العمل المستأجر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نُسب إلى الأصحاب من أنّه يستعاد من الاُجرة ما قابل المتخلّف ذاهباً وعائداً، إنّما هو في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بعد الدخول في الحرم وقبل الإحرام، استحقّ تمام الاُجرة، لأنّه أتى بالحَجّ‌، وإنْ مات قبله يأتي فيه ما سيأتي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بعد الإحرام وبعد دخول الحرم، فالمنسوب إلى الأصحاب أنّه يستحقّ تمام الاُجرة،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المشهور بينهم</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 كما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 والشهيد الثاني قدس سره مع اعترافه بأنّه خلاف القاعدة، التزم به للإجماع، والمحقّق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إن ثبت إجماعٌ أو نصٌّ‌، وإلّا اتّجهت استعادة ما بإزاء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أفاده العَلَمان متين، فإنّ مقتضى قاعدة الإجارة الاستحقاق من الإجارة بالنسبة إلى ما أتى به من الأعمال، فإنّ الحاصل بعض ما استؤجر عليه لا تمامه، فتوزّع الاُجرة على الجميع، ويستحقّ من الاُجرة على النسبة، إلّا أنّ اتّفاق الأصحاب على استحقاق تمام الاُجرة مع عدم نصّ في المقام يوجب الاطمينان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إشكال في دعوى الاتّفاق والإجماع على الحكم في الجملة، أمّا في خصوص ما إذا كانت الإجارة على نفس العمل فغير ظاهرة، ولا مجال للاعتماد عليها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الغالب الخارجي الذي هو موضوع حكم الأصحاب، هو الإجارة على العمل لا إفراغ الذمّة، وهو من قبيل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قبل الشروع في الأعمال، لا يستحقّ شيئاً لفرض الإجارة على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 xml:space="preserve">من أنّ مقتضى أصالة احترام عمل المسلم الذي لم يقصد التبرّع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وقع مقدّمةً للوفاء بالعمل المستأجر عليه فلم يتيسر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الاُجرة عليه على نحو بعض العمل المستأجر عليه الذي لا استقلال له كبعض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المسلم محترمٌ إذا لم يُسقط احترامه، ومن آجر نفسه للأعمال خاصّة، وأخرج طيّ الطريق من متعلّق الإجارة، فقد أسقط احترام عمله بنفسه، ولذلك لا يستحقّ له شيئاً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اُفيد من أنّ من أسباب الضمان، الاستيفاء بالأمر، فمن عمل بأمر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غيره فقد استوفى ذلك الغير عمله، فيكون مضموناً عليه، وفي المقام وإنْ لم يأمر المستنيب بطيّ الطريق نفساً، إلّاأنّه مأمورٌ به بالأمر الغيري ممّا يقتضي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لو أتى بتمام الأعمال، فإنّ لازم ذلك أن يستحقّ تمام الاُجرة للعمل، ويستحقّ اُجرة المثل لطيّ الطريق لكونه بأمره وخارجاً عن مورد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وهو أنّ الأمر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المبنيّ على المجّانيّة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من أسباب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أنّه لا مورد لقاعدة الغرور المستفادة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المغرور يرجعُ إلى من غَرّه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مات بعد الشروع في الأعمال، وقبل أن يدخل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وغيرها،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في نظير المسألة التوزيع على ما أتى به من الأعمال بعد الإحرام، وأنّه يستحقّ بنسبة ما فعله إلى الجملة، وعن بعضهم نسبة ذلك إلى تصريح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65"/>
      </w:r>
      <w:r>
        <w:rPr>
          <w:rFonts w:ascii="Amiri" w:hAnsi="Amiri" w:eastAsia="Amiri" w:cs="Amiri"/>
          <w:color w:val="111111"/>
          <w:sz w:val="28"/>
          <w:sz w:val="28"/>
          <w:szCs w:val="28"/>
          <w:rtl w:val="true"/>
          <w:lang w:bidi="ar-SA"/>
        </w:rPr>
        <w:t>إلى أنّه وإنْ لم يستحقّ من المُسمّى بالنسبة، إلّا أنّه يستحقّ اُجرة المثل لما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جماعةٌ من الأصحاب عدم استحقاقه شيئاً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الإجارة وقعت على مجموع العمل، فكلّ جزءٍ من أجزاء</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العمل جزءٌ من مورد الإجارة، وبإزائه مقدارٌ من الاُجرة المسمّاة فيستحقّه، نظير تبعّض الصفقة في باب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 مورد الإجارة إنّما يستحقّ الأجير ما يقابله من الاُجرة المسمّاة إنْ كان له بانفراده ماليّة وقيمة، وإلّا فلا يستحقّ شيئاً، كما هو الشأن في تبعّض الصّفقة في باب البيع، فإنّه يستحقّ ما يقابله من المال لا مطلقاً، بل إذا كان له قيمة بانفراده، مثلاً لو استؤجر على الصلاة، فأتى بركعة ثمّ أبطلت صلاته، فإنّه لا يستحقّ بإزاء ما أتى به من الركعة شيئاً، والمقام من هذا القبيل، فإنّ بعض أعمال الحَجّ قبل الدخول في الحرم لا أثر له ولا قيمة، فلا يوزّع عليه الاُجرة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بمعنى عدم ترتّب الغرض من الإجارة، وهو سقوط ما في الذمّة على بعض الحَجّ‌، فهو مسلمٌ‌، لكنّه وحده لا يمنع من استحقاق الاُجرة بالنسبة، فإنّ الميزان في الصحّة واستحقاق العوض في باب المعاملات، ليس هو الأغراض والدواعي، ألا ترى أنّ من اشترى ثوباً ليلبسه فمات بعد الاشتراء، يستحقّ البائع تمام الثمن، وإنْ لم يترتّب على الشراء الغرض والدّاعي من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عدم ترتّب أثر عليه أصلاً، ولأجله لا ماليّة له ولا قيمة، فأكل المال بإزائه يعدّ أكلاً للمال بالباطل، فيرد عليه أنّه يترتّب عليه أثرٌ وهو ترتّب الثواب على ذلك العمل، وذلك يوجب ماليّته بلا كلام، ونظير المقام ما لو استؤجر على الصلاة، فأتى بركعةٍ ومات، فإنّه يستحقّ الاُجرة بمقدار الركعة، وبهذا يمتاز المقام عن تبعّض الصَّفقة في باب البيع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وقعت الإجارة على المجموع بقيد كونه مفرغاً للذمّة، لا يستحقّ من </w:t>
      </w:r>
    </w:p>
    <w:p>
      <w:pPr>
        <w:pStyle w:val="BookText"/>
        <w:rPr/>
      </w:pPr>
      <w:r>
        <w:rPr>
          <w:rFonts w:ascii="Amiri" w:hAnsi="Amiri" w:eastAsia="Amiri" w:cs="Amiri"/>
          <w:color w:val="111111"/>
          <w:sz w:val="28"/>
          <w:sz w:val="28"/>
          <w:szCs w:val="28"/>
          <w:rtl w:val="true"/>
          <w:lang w:bidi="ar-SA"/>
        </w:rPr>
        <w:t>الاُجرة ما يقابل ما أتى به،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أغمضنا عمّا ذكرناه، فما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متينٌ‌، فإنّه لم يأتِ بالعمل مجّاناً، بل أتى به استجابةً لأمر المستنيب، فلا ينبغي أن يذهب عمله هدراً، وفي استحقاق اُجرة المثل لا يعتبر الماليّة والقيمة،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الإجارة واقعة على مجموع العمل بقيد كونه موجباً لفراغ الذمّة، يكون بعض العمل الذي أقدم العامل على الإتيان به مجّاناً على تقدير عدم ضَمّ البقيّة إليه، ولعلّه بما ذكرناه يمكن الجمع بين كلمات النافين والمثبتين، واللّه تعالى‌أعلم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كانت الإجارة على الأعمال مع طيّ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طيّ الطريق مأخوذاً جزءً لمورد الإجارة، فحكم المشي إلى الحَجّ حينئذٍ حكم الأعمال بعد الإحرام، وقبل الدخول في الحرم، ويجري فيه ما ذكرناه في تلك الأعمال طابق النعل بالنعل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كان مأخوذاً شرطاً، بأن وقعت الإجارة على العمل المقيّد بالذهاب، فقد يستشكل في أخذه قيداً، نظراً إلى أنّ الذهاب ضروري وممّا لابدَّ منه، فلا إطلاق له كي يحسن 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يندفع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تمّ فإنّما هو فيما لو أخذ الذهاب المطلق قيداً لا الذهاب الخاص، وهو ما كان بنيّة النيابة، فلا مانع من أخذه قيداً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قبل ذلك لم يُجزيء، وعليه أن يُعيد من الاُجرة ما قابل المتخلّف من الطريق ذاهباً وعائداً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66"/>
      </w:r>
      <w:r>
        <w:rPr>
          <w:rFonts w:ascii="Amiri" w:hAnsi="Amiri" w:eastAsia="Amiri" w:cs="Amiri"/>
          <w:color w:val="111111"/>
          <w:sz w:val="28"/>
          <w:sz w:val="28"/>
          <w:szCs w:val="28"/>
          <w:rtl w:val="true"/>
          <w:lang w:bidi="ar-SA"/>
        </w:rPr>
        <w:t xml:space="preserve">، وأمّا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 استحقاق الاُجرة بالنسبة إلى تصريح الأصحاب</w:t>
      </w:r>
      <w:r>
        <w:rPr>
          <w:rStyle w:val="FootnoteAnchor"/>
          <w:rtl w:val="true"/>
        </w:rPr>
        <w:footnoteReference w:id="167"/>
      </w:r>
      <w:r>
        <w:rPr>
          <w:rFonts w:ascii="Amiri" w:hAnsi="Amiri" w:eastAsia="Amiri" w:cs="Amiri"/>
          <w:color w:val="111111"/>
          <w:sz w:val="28"/>
          <w:sz w:val="28"/>
          <w:szCs w:val="28"/>
          <w:rtl w:val="true"/>
          <w:lang w:bidi="ar-SA"/>
        </w:rPr>
        <w:t>، وأمّا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فقد اختار استحقاق اُجرة المثل له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بأنّ مقتضى قواعد الإجارة، وإنْ كان عدم الاستحقاق، إلّاأنّه يشهد به موثّق عمّار الساباطي، عن إمامنا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حَجّ عن آخر، ومات في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أجره على اللّه، ولكن يوصي، فإنْ قدر على رجل يركب في رحله ويأكل زاده فعل</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ما مضى من مؤونة الطريق، كان مستحقّاً للميّت، فلم يأمر باستعادته منه، فيستكشف من ذلك استحقاقه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إلّاأنّه لا يدلّ على عدم استعادته منه، من جهة كونه بعض الاُجرة المسمّاة، أو لكونه اُجرة المثل، بل يمكن أن يقال بالثاني، إذ الاُجرة المسمّاة ربما تزاد على مقدار ما صرفه، وعليه فينطبق الخبر على القاعدة، فإنّ عمل المسلم محترمٌ لا يذهب هَدراً، والمفروض أنّه لوحظ المشي قيداً في الإجارة، لا مجّاناً، كي يُقال إنّه أقدم عليه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عدم الاستفصال، استحقاق ما صرفه حتّى إذا كانت الإجارة على الأعمال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الخبر كون الإجارة متعلّقة بالحَجّ البلدي، لاحظ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عن آخر ومات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فما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هو الصحيح</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أوقع الإجارة على الحَجّ من دون أن يصرّح بخروج المشي إلى بيت اللّه أو دخوله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ما لو مات بعد الإحرام وبعد دخول الحرم، أو قبل دخول الحرم وبعد الإحرام، فالحكم هو ما في الصورتين السابقتين على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خصوص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والمقنعة</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يستحقّ بنسبة ما فعل من الذهاب إلى المجموع منه ومن أفعال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وغيرها، فنسبته إلى ما ذكر مع العود أيضاً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وغيرها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عدم استحقاق شيء من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الإجارة على الحَجّ يقتضي دخول الذهاب، بل والإياب على نحو الجزئيّة، ولذا نرى بالوجدان تأثير قُرب الطريق وبعده في القيمة، وأنّه لا يبذل بإزاء الحَجّ الميقاتي ما يبذل بإزاء الحَجّ البلدي، كما لا يبذل بإزاء الحَجّ من البلاد القريبة إلى مكّة ما يبذل بإزاء الحَجّ من البلاد البعيدة، كما أنّه لا يبذل لمن لا يريد العود من مكّة ما يبذل لمن يريد العود، وهذا كلّه كاشفٌ عن دخل الذهاب بل والإياب في متعلّق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بعض القيود والأوصاف دخيلاً في زيادة قيمة المقيّد، ومع ذلك لا يؤخذ جزءً لمورد المعاملة، ولعلّ مقدّمة الحَجّ كذلك، فلا صارف عن ظهور الحَجّ في الأعمال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 البيت معناه قصده والتوجّه إليه، فيدخل طيّ الطريق فيه بما له من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مقصود الطرفين من جعل الحَجّ مورداً للإجارة، هو الحَجّ بما له من الحقيقة المتشرعيّة، وهي الأعمال الخاصّة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مقدّمات الأعمال المستأجر عليها لا تكون داخلة في الإجارة، ألا ترى أنّ من يستأجر عاملاً لبناء داره يريد خروجه من سكناه ومجيئه إلى موضع العمل، وليس ذلك ممّا استؤجر له قطعاً، لا عرفاً ولا عادةً‌، والحال 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العبادات كذلك، فمن استؤجر للصلاة لا يكون تحصيله الماء والتوضّي داخلاً في مورد الإجارة، والحَجّ من هذا القبيل، فطيّ الطريق إلى الميقات بنفسه لا ماليّة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يوجب بذل المال بإزاء الحَجّ الواقع بعده أزيد ممّا يبذل بإزاء الحَجّ الميقاتي، فلا يوزّع عليه الاُجرة، ولا يعدّ من قبيل الأوصاف، فكما لا تكون هي جزء للمبيع، كذلك هذا، وبأنّ الإياب كالذهاب يوجبُ ازدياد القيمة، ومع ذلك لو لم يرجع النائب عن مكّة، وأراد المقام بها، لا يكون بنظر العرف ذمّته مشغولة بشيء، فكذلك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المشي إلى الحَجّ‌، وبين سائر مقدّمات الأعمال، فإنّ المشي بنفسه عبادة يترتّب على كلّ قدمٍ منه ثواب، ويكون ملحوظاً في الإجارة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ما في الوجه الثاني، فإنّ له ماليّة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أوصاف المبيع الدخيلة في زيادة الماليّة، إنّما لا تكون دخيلة في المبيع لعدم إمكانه، والمشي إلى بيت اللّه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الذهاب والإياب فرقاً من الناحية التي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أنّه يوزّع على ما أتى به من طيّ الطريق بنسبة ما فعل من الذهاب إلى المجموع منه ومن أفعال الحَجّ‌، وعليه فما أفاده قدماء أصحابنا أظهر، ويوافقه أيضاً خبر عمّار المتقدّم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استحقاق اُجرة المثل، فوجهه كما في كشف اللِّثام</w:t>
      </w:r>
      <w:r>
        <w:rPr>
          <w:rStyle w:val="FootnoteAnchor"/>
          <w:rtl w:val="true"/>
        </w:rPr>
        <w:footnoteReference w:id="190"/>
      </w:r>
      <w:r>
        <w:rPr>
          <w:rFonts w:ascii="Amiri" w:hAnsi="Amiri" w:eastAsia="Amiri" w:cs="Amiri"/>
          <w:color w:val="111111"/>
          <w:sz w:val="28"/>
          <w:sz w:val="28"/>
          <w:szCs w:val="28"/>
          <w:rtl w:val="true"/>
          <w:lang w:bidi="ar-SA"/>
        </w:rPr>
        <w:t>، هو أنّه وإنْ لم يكن الذهاب جزءً للإجارة، إلّاأنّه بلحاظه يُبذل المال بإزاء ما تعقّبه من الحَجّ‌، أزيد ممّا يبذل بإزاء الحَجّ خاصّة، فهو فعلٌ جُعل له اُجرة بإذن المستأجر ولمصلحته،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فيستحقّ اُجرة مثله، كمن استأجر رجلاً لبناء فنقل الآلة، ثمّ مات قبل الشروع فيه، فإنّه يستحقّ اُجرة مثل النقل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بأصالة احترام عمل المسلم، الذي لم يقصد التبرّع به، بل وقع مقدّمةً للوفاء بالعمل المستأجر عليه، فلم يتيسّر له لمانعٍ 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عدم استحقاقه الاُجرة المسمّاة، لعدم كونه دخيلاً في متعلّق الإجارة جزءً‌، لكن لا مناص عن البناء على ما أفاده المحقّقان، كما يظهر ممّا ذكرناه في الصورة السابقة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67" w:name="pg11805_167888"/>
    </w:p>
    <w:p>
      <w:pPr>
        <w:pStyle w:val="Heading4"/>
        <w:numPr>
          <w:ilvl w:val="3"/>
          <w:numId w:val="1"/>
        </w:numPr>
        <w:rPr/>
      </w:pPr>
      <w:bookmarkStart w:id="68" w:name="__RefHeading___Toc10670431_73709187"/>
      <w:bookmarkStart w:id="69" w:name="_Toc23"/>
      <w:bookmarkEnd w:id="67"/>
      <w:bookmarkEnd w:id="68"/>
      <w:r>
        <w:rPr>
          <w:rtl w:val="true"/>
        </w:rPr>
        <w:t>وجوب تعيّين نوع الحَجّ في الإجارة</w:t>
      </w:r>
      <w:bookmarkEnd w:id="69"/>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تعيّين نوع الحَجّ في الإجارة، من تمتّعٍ أو إفرادٍ أو قِرانٍ‌، بلا خلاف،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الاتّفاق عليه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أنّه موافق مع القواعد، فإنّه مع اختلاف الأنواع في الكيفيّة والأحكام، لو لم يعيّن لزم منه الغرر، مع أنّه يعتبر في صحّة الإجارة معلوميّة العوضين كما هو محرّر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بظاهره ينافي ما ذكروه في مسألة جواز العدول إلى التمتّع، من أنّه إذا علم أنّ قصد المستأجر التخيّير جاز له العدول، ولازم ذلك صحّة الإجارة التخيّيرية، بل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جملةٍ من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غير ذلك من كلماتهم المتّفقة على جواز العدول مع فرض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الفاضل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رفع التنافي، إنّ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على منافع الشخص في الزمان المعيّن، وإنْ كان مراد المستأجر استيفاء نفع خاصٍ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العمل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وقعت على الطريق الأوّل يتحمّل التخيّير، فيستأجر الشخص في سنةٍ معيّنة مطلقاً، لأن يحجّ بما يأمره أو بما يشاء الأجير، فالمنتقل إلى المستأجر منفعة الشخص، وله أن يخيّره في كيفيّة إيجاد المنفعة، ومن هذا القبيل إجارة الشخص لمعونة السفر أو الخدمة مع أنّ أنواعهما غير محصورة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وقعت على الطريق الثاني، بأن يستأجره للحَجّ خاصّة، أي ينتقل إليه هذه المنفعة خاصّة، فلا شكّ في اشتراط التعيّين، لاختلاف العمل والكيفيّة، وزمان كلّ منهما، فلا يتحمّل التخيّير، للزوم تعيّين المنتقل إليه من المنافع</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المنفعة عبارة عن الحيثيّة القائمة بالعين الموجودة بوجودها، على نحو وجود المقبول بوجود القابل، فمنفعة الخادم ليست ما هو فعله، بل المنفعة هي حيثيّة كون الخادم خادماً، وهذه إنّما تصبح فعليّة بالعمل، ففي الإجارة يكون المورد هو العمل دون المنفعة، وبما أنّه على الفرض مختلف وله أنواع متضادّة لا يمكن الإتيان بها جميعاً، فلا تكون متعلّقة لها، فلابدّ من التعيّين فراراً عن الإبهام والجهالة والغرر، وتمام الكلام في كتاب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مسألة الخدمة، فإنّما تصحّ الإجارة مع عدم اختلاف أنواعها من حيث الماليّة، فيوقع الإجارة على الطبيعي، بلا لحاظ الخصوصيّات، أو الكلّي في المعيّن، وأمّا مع اختلاف أنواعها في الماليّة، فلا تصحّ الإجارة على الخدمة من دون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جملةٍ من الموارد يكون من باب العمل بأمر المستأجر ولمصلحته، ويستحقّ حينئذٍ الاُجرة، وهذا ليس من باب الإجارة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اختلاف أنواع الحَجّ من حيث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الإجارة إلّاعلى المعيّن، ومع عدم اختلافها من حيث الماليّة، يصحّ إيقاع الإجارة على الكلّي المعيّن، لكنّه خلاف الفرض، فلا مناص في المقام إلّاالالتزام بما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قلنا بعد تعيّين الفرد بالعقد بإجزاء غيره عنه مع رضا المستأجر نحو الوفاء بغير الجنس، أمكن الإجزاء حينئذٍ لذلك، لا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 مقتضى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95"/>
      </w:r>
      <w:r>
        <w:rPr>
          <w:rFonts w:ascii="Amiri" w:hAnsi="Amiri" w:eastAsia="Amiri" w:cs="Amiri"/>
          <w:color w:val="111111"/>
          <w:sz w:val="28"/>
          <w:sz w:val="28"/>
          <w:szCs w:val="28"/>
          <w:rtl w:val="true"/>
          <w:lang w:bidi="ar-SA"/>
        </w:rPr>
        <w:t>، وهكذا يظهر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المنوب عنه نوعٌ خاص من الحَجّ‌، وتقع الإجارة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مخيّراً بين النوعين أو الأنواع، كما في الحَجّ المستحبّي والمنذور المطلق، أو كان ذا منزلين متساويين في مكّة وخارجها، ولكن يستأجر على نوعٍ خاصٍ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 عدم جواز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w:t>
      </w:r>
      <w:r>
        <w:rPr>
          <w:rStyle w:val="FootnoteAnchor"/>
          <w:rtl w:val="true"/>
        </w:rPr>
        <w:footnoteReference w:id="196"/>
      </w:r>
      <w:r>
        <w:rPr>
          <w:rFonts w:ascii="Amiri" w:hAnsi="Amiri" w:eastAsia="Amiri" w:cs="Amiri"/>
          <w:color w:val="111111"/>
          <w:sz w:val="28"/>
          <w:sz w:val="28"/>
          <w:szCs w:val="28"/>
          <w:rtl w:val="true"/>
          <w:lang w:bidi="ar-SA"/>
        </w:rPr>
        <w:t>، والقاضي</w:t>
      </w:r>
      <w:r>
        <w:rPr>
          <w:rStyle w:val="FootnoteAnchor"/>
          <w:rtl w:val="true"/>
        </w:rPr>
        <w:footnoteReference w:id="197"/>
      </w:r>
      <w:r>
        <w:rPr>
          <w:rFonts w:ascii="Amiri" w:hAnsi="Amiri" w:eastAsia="Amiri" w:cs="Amiri"/>
          <w:color w:val="111111"/>
          <w:sz w:val="28"/>
          <w:sz w:val="28"/>
          <w:szCs w:val="28"/>
          <w:rtl w:val="true"/>
          <w:lang w:bidi="ar-SA"/>
        </w:rPr>
        <w:t>، والإسكافي</w:t>
      </w:r>
      <w:r>
        <w:rPr>
          <w:rStyle w:val="FootnoteAnchor"/>
          <w:rtl w:val="true"/>
        </w:rPr>
        <w:footnoteReference w:id="198"/>
      </w:r>
      <w:r>
        <w:rPr>
          <w:rFonts w:ascii="Amiri" w:hAnsi="Amiri" w:eastAsia="Amiri" w:cs="Amiri"/>
          <w:color w:val="111111"/>
          <w:sz w:val="28"/>
          <w:sz w:val="28"/>
          <w:szCs w:val="28"/>
          <w:rtl w:val="true"/>
          <w:lang w:bidi="ar-SA"/>
        </w:rPr>
        <w:t>وغيرهم، من جواز العدول إلى الأفضل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من عدم جوازه مطلقاً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 من عدم جواز العدول إلّاإذا كان الحَجّ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مندوباً، ونسب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سيمرّ عليك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فإنّه قال بعد حكمه بعدم جواز العدول في الواجب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غير واجبٍ عليه، وعلم من قصد المستأجر الإتيان بالأفضل وإنْ لم يضمنه العقد، فإنّه يجوز له العدول إلى الأفضل له، لأنّه كالمنطوق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بل ونسب كاشف اللّثام</w:t>
      </w:r>
      <w:r>
        <w:rPr>
          <w:rStyle w:val="FootnoteAnchor"/>
          <w:rtl w:val="true"/>
        </w:rPr>
        <w:footnoteReference w:id="204"/>
      </w:r>
      <w:r>
        <w:rPr>
          <w:rFonts w:ascii="Amiri" w:hAnsi="Amiri" w:eastAsia="Amiri" w:cs="Amiri"/>
          <w:color w:val="111111"/>
          <w:sz w:val="28"/>
          <w:sz w:val="28"/>
          <w:szCs w:val="28"/>
          <w:rtl w:val="true"/>
          <w:lang w:bidi="ar-SA"/>
        </w:rPr>
        <w:t>ذلك إلى المعظم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من جواز العدول إلى الأفضل مع تعلّق الغرض به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206"/>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إذا كان الحَجّ مندوباً أو قصد المستأجر الإتيان بالأفضل، لا مع تعلّق الغرض بالقِران أو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يقتضي التكلّم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أنّه لا يجوز العدول عنه، سواءٌ</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أكان المعدول إليه أفضل أم لم يكن، لأنّه خلاف أدلّة النفوذ والصحّة، ولو عدل وأتى بغيره، فلا كلام في عدم فراغ ذمّة المنوب عنه، لأنّ إتيانه لا يغير موضوع الوجوب، وفراغ الذمّة عن نوع بإتيان غيره خلاف الأصل، وعليه فإنْ أتى بغيره بما هو واجبٌ على المنوب عنه، وثابتٌ في ذمّته وقع باطلاً، لعدم كونه كذلك، وإن أتى به عنه لا بهذا العنوان وقع عنه ندباً، وعلى جميع التقادير لا يستحقّ الاُجرة مطلقاً، لا المسمّاة لعدم الإتيان بالمستأجر عليه، ولا اُجرة المثل لعدم كونه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راضياً، فإنْ كان الرِّضا مقدّماً، فلا يصحّ تصحيحه بالالتزام بكونه إجارة ثانية بالمعاطاة،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بطلانه إلّاإذا قصد الحَجّ الندبي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الرِّضا لا يكفي في المعاطاة، واقترانه بالأمر أيضاً لا يُجدي، لأنّ أمر الآمر وحده ليس عقد الإجارة، نعم العمل بأمر الغير ولمصلحته بنفسه موجبٌ لثبوت اُجرة المثل له، وهو المسمّى في اصطلاحهم بالعمل بالضمان، كما أنّه لا يصحّ بعنوان الوفاء بغير الجنس، لعدم كونه وفاءً‌، فإنّه لا يسقط ما في ذمّة المنوب عنه به، فلا يكون ذلك وفاءً عمّا في ذمّة النائب الثابت بالإجارة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بما ذكرنا أنّه لو كان التعيّين بعنوان الشرط، لم يمكن تصحيحه بعنوان إسقاط حقّ الشرط، لأنّه يصحّ مع انطباق المأتي به لما في الذمّة، كما ظهر بما ذكرناه حكم الرِّضا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يرضى المستأجر بالعدول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راضياً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لم يكن راضياً، لم يجز له العدول، لكونه خلاف قواعد الإجارة، ولو أقدم عليه برغم ذلك فهل يكون مُجزياً أم لا؟</w:t>
      </w:r>
    </w:p>
    <w:p>
      <w:pPr>
        <w:pStyle w:val="BookText"/>
        <w:rPr/>
      </w:pPr>
      <w:r>
        <w:rPr>
          <w:rFonts w:ascii="Amiri" w:hAnsi="Amiri" w:eastAsia="Amiri" w:cs="Amiri"/>
          <w:color w:val="111111"/>
          <w:sz w:val="28"/>
          <w:sz w:val="28"/>
          <w:szCs w:val="28"/>
          <w:rtl w:val="true"/>
          <w:lang w:bidi="ar-SA"/>
        </w:rPr>
        <w:t>أظهرهما ذلك، لانطباق المأتي به على ما اشتغلت ذمّة المنوب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المعدول إليه يقع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لأنّ الأمر بإتيان المعدول عنه المضادّ لما أتى به، يقتضي النهي عنه، وهو يوجب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لأنّ المعدول إليه غير مقدورٍ شرعاً لوجوب صرف قدرته في المعدول عنه، وغير المقدور الشرعي كغير المقدور العقلي، فلا يصحّ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لأنّه لا يكون مالكاً له، لأنّه بعد صيرورته أجيراً للإتيان بالمعدول عنه، لا يكون مالكاً لما أتى به، لأنّ الإنسان لا يملك أعماله المتضادّة، بل هو مالكٌ لواحدٍ منها، وقد ملكه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الأمر بالشيء لا يقتضي النهي عن ضدّه، وكون غير المقدور الشرعي من جهة تعيّن صرف قدرته في ضدّه حراماً أو باطلاً لم يدلّ عليه دليل، ولا يعتبر في الصحّة كونه مالكاً للعمل، بل الإنسان الحُرّ لا يكون مالكاً بالملكيّة الاعتباريّة لأعماله، لأنّ الملكيّة لابدَّ لها من سبب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فهل يستحقّ الاُجرة أم لا؟</w:t>
      </w:r>
    </w:p>
    <w:p>
      <w:pPr>
        <w:pStyle w:val="BookText"/>
        <w:rPr/>
      </w:pPr>
      <w:r>
        <w:rPr>
          <w:rFonts w:ascii="Amiri" w:hAnsi="Amiri" w:eastAsia="Amiri" w:cs="Amiri"/>
          <w:color w:val="111111"/>
          <w:sz w:val="28"/>
          <w:sz w:val="28"/>
          <w:szCs w:val="28"/>
          <w:rtl w:val="true"/>
          <w:lang w:bidi="ar-SA"/>
        </w:rPr>
        <w:t>الظاهر عدم الاستحقاق، أمّا عدم استحقاق المسمّاة، فلعدم الإتيان بالعمل المستأجر عليه، وأمّا عدم استحقاق اُجرة المثل، فلأنّه لم يأتِ بالعمل بأمره وإذنه، وهو واضح</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المستأجر راضياً قبل العمل، وكان التعيّين بعنوان الشرطيّة، </w:t>
      </w:r>
    </w:p>
    <w:p>
      <w:pPr>
        <w:pStyle w:val="BookText"/>
        <w:rPr/>
      </w:pPr>
      <w:r>
        <w:rPr>
          <w:rFonts w:ascii="Amiri" w:hAnsi="Amiri" w:eastAsia="Amiri" w:cs="Amiri"/>
          <w:color w:val="111111"/>
          <w:sz w:val="28"/>
          <w:sz w:val="28"/>
          <w:szCs w:val="28"/>
          <w:rtl w:val="true"/>
          <w:lang w:bidi="ar-SA"/>
        </w:rPr>
        <w:t>فإنّ رضاه حينئذٍ يُعدّ من باب إسقاط حقّ الشرط، فيستحقّ الاُجرة المُسمّاة، لأنّه أتى بالعمل المستأجر عليه، وحقّ الشرط قد سقط، وكونه مبرّءاً للذمّة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ما ينشأ مستقلّاً في ضمن العقد، لزم منه بطلان الإجارة في المقام، فإنّها حينئذٍ واقعة على المردّد بين أنواع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الوصف المتعلّق بموضوع العقد، الموجب تخلّفه الخيار، فالظاهر عدم تماميّته، فإنّ ضابط القيد الذي يوجب تخلّفه الخيار، وامتيازه عن القيد الذي تخلّفه موجب للبطلان، كون الأوّل خارجاً عن الذات بنظر العرف، والثاني داخلاً فيه، فلو باع الحيوان على أنّه حمار فانكشف كونه فرساً بطل البيع، لأنّ الحماريّة والفرسيّة داخلتان في الذات، وتبدّل إحداهما موجبٌ لتبدّل المبيع وتغيّره، وهذا بخلاف ما لو باع العبد على أنّه كاتب فانكشف عدم كونه كاتباً، فإنّ هذا الاختلاف يوجب الخيار من غير فرق في الموردين بين أخذه قيداً في الإنشاء أو شرطاً،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هذا العبد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العبد بشرط أن يكون كاتباً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وتمام الكلام في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ففي المقام بما أنّ كون الحَجّ تمتّعاً أو قِراناً أو إفراداً من الخصوصيّات الداخلة في الذات دون الخارجة عنها، فلا يكون العدول عن أحدها إلى الآخر موجباً لتحقّق مورد المعاملة مع تخلّف الشرط، بل حينئذٍ يكون من قبيل تبدّل ما عُومل عليه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أتى بغير ما أستؤجر عليه مع رضا المستأجر وبإذنه، يمكن الحكم باستحقاقه الاُجرة من أحد الطريقين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من قِبل الوفاء بغير الجنس، بحيث تقع مصالحة بين الطرفين، بأن يأتي عوض ما استحقه عليه بنوع آخر من الحَجّ‌، وعليه فيستحقّ الاُجرة المسمّاة، وتبرأ ذمّته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يكون الإتيان بالحَجّ الثاني من قبيل العمل بالضمان، فيستحقّ اُجرة المثل، ويجب رَدّ الاُجرة المسمّاة إن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الرِّضا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الرِّضا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يغيّر الحكم أصلاً، ووجوده كعدمه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النصوص الخاصّة، وهي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رواها المشائخ الثلاثة، وعلى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أعلى مراتب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أعطى رجلاً دراهم يحجّ بها عنه حَجّة مفردة، فيجوز له أن يتمتّع بالعُمرة إلى الحَجّ؟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خالف إلى الفضل</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خالفه إلى الفضل والخير</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استظهر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أنّه ابن رئاب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أعطى رجلاً دراهم يحجّ بها عنه حَجّة مفردة‌؟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يتمتّع بالعُمرة إلى الحَجّ‌، لا يخالف صاحب الدراهم</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الجمع بينهما قيل 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عن المحقّق</w:t>
      </w:r>
      <w:r>
        <w:rPr>
          <w:rStyle w:val="FootnoteAnchor"/>
          <w:rtl w:val="true"/>
        </w:rPr>
        <w:footnoteReference w:id="210"/>
      </w:r>
      <w:r>
        <w:rPr>
          <w:rFonts w:ascii="Amiri" w:hAnsi="Amiri" w:eastAsia="Amiri" w:cs="Amiri"/>
          <w:color w:val="111111"/>
          <w:sz w:val="28"/>
          <w:sz w:val="28"/>
          <w:szCs w:val="28"/>
          <w:rtl w:val="true"/>
          <w:lang w:bidi="ar-SA"/>
        </w:rPr>
        <w:t>رحمه الله من حمل خبر أبي بصير على ما إذا كان على المنوب عنه حَجٌّ ندبي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الشيخ</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خبر عليّ بن رئاب على مَن أعطى غيره حَجّة من قاطني مكّة والحرم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من حمل خبر أبي بصير على صورة العلم برضا المستأجر بذلك، مع كونه مخيّراً بين النوعين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الوجوه كلّها لا شاهد لها، بل الجمع بينهما يقتضي حمل خبر أبي بصير على صورة كون المستأجر مخيّراً بين الأنواع، أعمّ من أن يكون ندبيّاً أو وجوبيّاً، وذلك لاختصاصه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في ذيله من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 مخيّراً، وكان التمتّع أفضل، فمفاد التعليل أنّ التمتّع حيث يكون أفضل من غيره يكون العدول إحساناً للمستأجر، وإنْ لم يرض به، ولأجله يختصّ الخبر بهذا المورد، وبه يُقيّد إطلاق خبر عليّ‌، وعليه فمقتضى إطلاق خبر أبي بصير جواز العدول إلى الأفضل في كلّ موردٍ، سواءٌ أكان المنوب عنه مخيّراً رضي به المستأجر، أم لم يرض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التعليل أنّ المنوب عنه حيث يكون مخيّراً بين النوعين، والتمتّع أفضل، فهذا قرينة على رضاه بذلك، فتكون النتيجة جواز العدول مع رضاه به، ولا أقلّ من الإجمال، فالمرجع في هذه الصورة إلى ما تقتضيه القواعد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0" w:name="pg11805_167897"/>
    </w:p>
    <w:p>
      <w:pPr>
        <w:pStyle w:val="Heading4"/>
        <w:numPr>
          <w:ilvl w:val="3"/>
          <w:numId w:val="1"/>
        </w:numPr>
        <w:rPr/>
      </w:pPr>
      <w:bookmarkStart w:id="71" w:name="__RefHeading___Toc10670433_73709187"/>
      <w:bookmarkStart w:id="72" w:name="_Toc24"/>
      <w:bookmarkEnd w:id="70"/>
      <w:bookmarkEnd w:id="71"/>
      <w:r>
        <w:rPr>
          <w:rtl w:val="true"/>
        </w:rPr>
        <w:t>عدول النائب عمّا عُيِّن له من الطريق</w:t>
      </w:r>
      <w:bookmarkEnd w:id="72"/>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الحَجّ تعيّين الطريق، لعدم تعلّق الغرض بالطريق نوعاً، ولكن لو عيّن تعيّن، وهذا ممّا لا كلام فيه، إنّما الكلام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العدول عنه إلى غيره مع التعيّين مطلقاً، كما عن الشيخين</w:t>
      </w:r>
      <w:r>
        <w:rPr>
          <w:rStyle w:val="FootnoteAnchor"/>
          <w:rtl w:val="true"/>
        </w:rPr>
        <w:footnoteReference w:id="214"/>
      </w:r>
      <w:r>
        <w:rPr>
          <w:rFonts w:ascii="Amiri" w:hAnsi="Amiri" w:eastAsia="Amiri" w:cs="Amiri"/>
          <w:color w:val="111111"/>
          <w:sz w:val="28"/>
          <w:sz w:val="28"/>
          <w:szCs w:val="28"/>
          <w:rtl w:val="true"/>
          <w:lang w:bidi="ar-SA"/>
        </w:rPr>
        <w:t>، والقاضي</w:t>
      </w:r>
      <w:r>
        <w:rPr>
          <w:rStyle w:val="FootnoteAnchor"/>
          <w:rtl w:val="true"/>
        </w:rPr>
        <w:footnoteReference w:id="215"/>
      </w:r>
      <w:r>
        <w:rPr>
          <w:rFonts w:ascii="Amiri" w:hAnsi="Amiri" w:eastAsia="Amiri" w:cs="Amiri"/>
          <w:color w:val="111111"/>
          <w:sz w:val="28"/>
          <w:sz w:val="28"/>
          <w:szCs w:val="28"/>
          <w:rtl w:val="true"/>
          <w:lang w:bidi="ar-SA"/>
        </w:rPr>
        <w:t>، والحِلّي</w:t>
      </w:r>
      <w:r>
        <w:rPr>
          <w:rStyle w:val="FootnoteAnchor"/>
          <w:rtl w:val="true"/>
        </w:rPr>
        <w:footnoteReference w:id="21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 وجماعة آخرين‌؟</w:t>
      </w:r>
    </w:p>
    <w:p>
      <w:pPr>
        <w:pStyle w:val="BookText"/>
        <w:rPr/>
      </w:pPr>
      <w:r>
        <w:rPr>
          <w:rFonts w:ascii="Amiri" w:hAnsi="Amiri" w:eastAsia="Amiri" w:cs="Amiri"/>
          <w:color w:val="111111"/>
          <w:sz w:val="28"/>
          <w:sz w:val="28"/>
          <w:szCs w:val="28"/>
          <w:rtl w:val="true"/>
          <w:lang w:bidi="ar-SA"/>
        </w:rPr>
        <w:t xml:space="preserve">أم يجوز إلّامع العلم بتعلّق غرضٍ بذلك المعيّن،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 بل نُسب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إلى المشهور؟</w:t>
      </w:r>
    </w:p>
    <w:p>
      <w:pPr>
        <w:pStyle w:val="BookText"/>
        <w:rPr/>
      </w:pPr>
      <w:r>
        <w:rPr>
          <w:rFonts w:ascii="Amiri" w:hAnsi="Amiri" w:eastAsia="Amiri" w:cs="Amiri"/>
          <w:color w:val="111111"/>
          <w:sz w:val="28"/>
          <w:sz w:val="28"/>
          <w:szCs w:val="28"/>
          <w:rtl w:val="true"/>
          <w:lang w:bidi="ar-SA"/>
        </w:rPr>
        <w:t xml:space="preserve">أم لا يجوز إلّامع العلم بانتفاء الغرض في ذلك الطريق،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وعن غيره‌؟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مقتضى قواعد باب الإجارة، لزوم الإتيان بخصوص ما وقعت الإجارة عليه، إلّاإذا كان ذكر طريقٍ خاص من باب التعارف، لعموم ما دلّ على وجوب الوفاء بالعقود والشروط من غير فرق في صورة التعيّين في عقد الإجارة، بين تعلّق غرض بذلك المعيّن وعدمه، فإنّ التعيّين في عقد الإجارة يوجبُ‌ </w:t>
      </w:r>
    </w:p>
    <w:p>
      <w:pPr>
        <w:pStyle w:val="BookText"/>
        <w:rPr/>
      </w:pPr>
      <w:r>
        <w:rPr>
          <w:rFonts w:ascii="Amiri" w:hAnsi="Amiri" w:eastAsia="Amiri" w:cs="Amiri"/>
          <w:color w:val="111111"/>
          <w:sz w:val="28"/>
          <w:sz w:val="28"/>
          <w:szCs w:val="28"/>
          <w:rtl w:val="true"/>
          <w:lang w:bidi="ar-SA"/>
        </w:rPr>
        <w:t>تعيّن ذلك، وإنّما لا يجبُ إذا كان الموضوع الطريق الكلّي، وإنّما ذكر طريقاً معيّناً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المقام رواية صارت هي منشئاً لهذا الاختلاف، وهي صحيحة حريز ابن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أعطى رجلاً حَجّةً يحجّ بها عنه من الكوفة، فحجّ عنه من البصرة‌؟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قضى جميع المناسك ففد تمّ حَجّه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والقائلون بجواز العدول مطلقاً تمسّكوا بإطلاقها، وأمّا غيرهم فقد حملوها على محامل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من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قرينة المقابلة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مقتضية لتعلّقه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ما في الوجه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من أنّه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صفة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المنتقى</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من حملها على صورة عدم تعلّق الغرض بخصوص الطريق، فينطبق مفادها مع القول الثالث</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تقيّيدٌ للإطلاق من غير قرينة عليه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المنتقى</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أيضاً من حملها على ما إذا كان المدفوع بعنوان الرزق لا بعنوان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ولا أقلّ من أنّه خلاف الإطلاق وعدم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البذل إنْ كان مشروطاً بالحَجّ من الكوفة، فمع عدم الحَجّ منها يكون المبذول له ضامناً للثمن المبذول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السيّد الجزائري رحمه الله</w:t>
      </w:r>
      <w:r>
        <w:rPr>
          <w:rStyle w:val="FootnoteAnchor"/>
          <w:rtl w:val="true"/>
        </w:rPr>
        <w:footnoteReference w:id="228"/>
      </w:r>
      <w:r>
        <w:rPr>
          <w:rFonts w:ascii="Amiri" w:hAnsi="Amiri" w:eastAsia="Amiri" w:cs="Amiri"/>
          <w:color w:val="111111"/>
          <w:sz w:val="28"/>
          <w:sz w:val="28"/>
          <w:szCs w:val="28"/>
          <w:rtl w:val="true"/>
          <w:lang w:bidi="ar-SA"/>
        </w:rPr>
        <w:t>من كون الشرط خارجاً عن العقد، والشرط الابتدائي لا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 حَجّةً يحجّ بها عنه من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 ونفي عنه البُعد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من أنّها تدلّ على صحّة الحَجّ من حيث هو، وإجزائه عن المنوب عنه، ولا نظر لها إلى جواز ذلك للأجير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يحتمل أن يكون عن 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جواز العدول تكليفاً، وعدم ترتّب الإثم عليه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إجزائه عن المنوب عنه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جوازه وضعاً واستحقاق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تمّ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 الثاني، بمعنى كونه ظاهراً في صحّة الحَجّ وإجزائه، ولا أقلّ من الإجمال، وحيثُ أنّ صحّة الحَجّ وسقوط ما في ذمّة المنوب عنه موافقة للقواعد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ممّا ذكرناه في نظير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 الرواية شيءٌ أزيد ممّا يقتضيه قواعد باب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يبتني على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 حجّه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متفرّعاً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خلاف الظاهر، بل الظاهر كون الجواب متضمّناً 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البأس عن الحَجّ نفسه، الظاهر في جواز ذلك للأجير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إجزائه عن المنوب عنه، المؤدّى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محمولٌ على الغالب من عدم تعلّق الغرض في طريق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بملاحظة أنّ الحَجّ من الكوفة أكثر ثواباً من الحَجّ من البصرة، لا محالة يكون الغالب تعلّق الغرض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جوازه مطلقاً، وإجزائه عن المنوب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تعيّين الطريق من باب المثال، فإنّه لا إشكال ولا كلام في استحقاقه تمام الاُجرة المسمّاة وهو واضح</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تعيّينه على وجه الشرطيّة الفقهيّة، بمعنى الالتزام في الالتزام، بأن أوقع العقد على الحَجّ بالاُجرة، وشَرَط في ضمنه أن يكون الحَجّ من الطريق المعيّن، فإنّه يثبت الخيار للمستأجر، لتخلّف الشرط، فإنْ أمضاه استحقّ الأجير الاُجرة المسمّاة، وإنْ فَسَخه استحقّ اُجرة المثل، لأنّ الحَجّ وقع بطلب المستأجر وأمره، </w:t>
      </w:r>
    </w:p>
    <w:p>
      <w:pPr>
        <w:pStyle w:val="BookText"/>
        <w:rPr/>
      </w:pPr>
      <w:r>
        <w:rPr>
          <w:rFonts w:ascii="Amiri" w:hAnsi="Amiri" w:eastAsia="Amiri" w:cs="Amiri"/>
          <w:color w:val="111111"/>
          <w:sz w:val="28"/>
          <w:sz w:val="28"/>
          <w:szCs w:val="28"/>
          <w:rtl w:val="true"/>
          <w:lang w:bidi="ar-SA"/>
        </w:rPr>
        <w:t>فيكون من باب العمل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تعيّينه على وجه الجزئيّة، بأنْ كان متعلّق الإجارة مركّباً من الحَجّ والطريق الخاص، فالظاهر استحقاقه من الاُجرة المسمّاة بالنسبة، إلّاإذا فسخ المستأجر الإجارة للتبعض فيستحقّ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تعيّينه على وجه القيديّة الارتباطيّة، بأن أوقع الإجارة على الحَجّ المقيّد بكونه من طريق خاص، فإنّه لم يستحقّ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استحقاق الاُجرة المسمّاة، فلعدم الإتيان بالعمل المستأجر عليه ولا بعضه، فإنّ المقيّد بقيدٍ خاص غير ما لم يُقيّد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مورد الإجارة ذا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استحقاق اُجرة المثل، فلعدم كون الحَجّ من غير ذلك الطريق بأمره، فلا يكون مشمولاً للعمل بالضمان، فإنّ ما أمر به غير ما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الأصحّ خلافه، ضرورة كونه بعض العمل المستأجر عليه، وليس هو صنفاً آخر، وليس الاستئجار على خياطة تمام الثوب فخاط بعضه مثلاً، بأولى منه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المثال إنّما يلتزم باستحقاق بعض الاُجرة المسمّاة إذا كانت الإجارة واقعة على خياطته، بحيث تكون خياطة بعضه جزءً من مورد الإجارة، وإلّا فلو كان مورد الإجارة مقيّداً بإتمام العمل لم يستحقّ شيئاً، وهكذا في المقام أيضاً فإنْ كان طِيّ الطريق مأخوذاً جزءاً للمورد، استحقّ الأجير الاُجرة بالنسبة، وإنْ كان قيداً لا يستحقّ شيئاً منها لانتفاء المقيّد بانتقاء قيده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استدلّ به للضمان من أصالة احترام عمل المسلم، فإنّما يكون موردها ما لو كان العمل بأمر المستأجر وإذنه، وإلّا فقد أسقط احترام عمله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استحقاق شيء في هذه الصورة، ولكن الفرض المتعارف الشائع هو الصورة الثالثة، فيستحقّ فيما هو الغالب من الاُجرة المسمّاة بالنسبة</w:t>
      </w:r>
      <w:r>
        <w:rPr>
          <w:rFonts w:eastAsia="Amiri" w:cs="Amiri" w:ascii="Amiri" w:hAnsi="Amiri"/>
          <w:color w:val="111111"/>
          <w:sz w:val="28"/>
          <w:szCs w:val="28"/>
          <w:rtl w:val="true"/>
          <w:lang w:bidi="ar-SA"/>
        </w:rPr>
        <w:t>.</w:t>
      </w:r>
      <w:bookmarkStart w:id="73" w:name="pg11805_167903"/>
    </w:p>
    <w:p>
      <w:pPr>
        <w:pStyle w:val="Heading4"/>
        <w:numPr>
          <w:ilvl w:val="3"/>
          <w:numId w:val="1"/>
        </w:numPr>
        <w:rPr/>
      </w:pPr>
      <w:bookmarkStart w:id="74" w:name="__RefHeading___Toc10670435_73709187"/>
      <w:bookmarkStart w:id="75" w:name="_Toc25"/>
      <w:bookmarkEnd w:id="73"/>
      <w:bookmarkEnd w:id="74"/>
      <w:r>
        <w:rPr>
          <w:rtl w:val="true"/>
        </w:rPr>
        <w:t>تعدّد الإجارة للحَجّ في سنةٍ واحدة</w:t>
      </w:r>
      <w:bookmarkEnd w:id="75"/>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نفسه للحَجّ عن شخصٍ مباشرة في سنةٍ معيّنة، ثمّ آجره شخصٌ آخر للحجّ في تلك السنة مباشرةً أيضاً، بطلت الثانية على ما هو المعروف بينهم،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عَدّ بطلانها من القطعيّات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36"/>
      </w:r>
      <w:r>
        <w:rPr>
          <w:rFonts w:ascii="Amiri" w:hAnsi="Amiri" w:eastAsia="Amiri" w:cs="Amiri"/>
          <w:color w:val="111111"/>
          <w:sz w:val="28"/>
          <w:sz w:val="28"/>
          <w:szCs w:val="28"/>
          <w:rtl w:val="true"/>
          <w:lang w:bidi="ar-SA"/>
        </w:rPr>
        <w:t>من أنّ فعله صار مستحقّاًللأوّل، فلا يجوز صرفه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يصلح وجهاً لعدم الجواز تكليفاً، فإنّه يكون عاصياً بتركه الحَجّ عن الأوّل، ولكن لا يصلح وجهاً للبطلان، فإنّ الإجارة الأُولى على الفرض لم تقع على وجهٍ تكون منفعته الخاصّة للمستأجر، بل وقعت على العمل وهو الحَجّ عنه، وأمّا الحَجّ عن غيره فليس متعلّقاً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من أنّه لا يقدر على التسليم، وعبّر عن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بعدم القدرة على العمل والمراد واحد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عدم القدرة إنْ كان عدم القدرة عقلاً، فهو بديهي البطلان، </w:t>
      </w:r>
    </w:p>
    <w:p>
      <w:pPr>
        <w:pStyle w:val="BookText"/>
        <w:rPr/>
      </w:pPr>
      <w:r>
        <w:rPr>
          <w:rFonts w:ascii="Amiri" w:hAnsi="Amiri" w:eastAsia="Amiri" w:cs="Amiri"/>
          <w:color w:val="111111"/>
          <w:sz w:val="28"/>
          <w:sz w:val="28"/>
          <w:szCs w:val="28"/>
          <w:rtl w:val="true"/>
          <w:lang w:bidi="ar-SA"/>
        </w:rPr>
        <w:t>وإنْ كان عدم القدرة شرعاً، فلا دليل على اعتباره في متعلّق الإجارة، بل الدليل دلّ على اعتبار القدرة والاستطاعة في حَجّة الإسلام لا في الحَجّ عن الغير، ولا في إيجار نفسه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عدم جواز نيابة من ثَبَت الحَجّ في ذمّته، والتي تقدّمت في المسألة الثانية عشر من الفصل السابق، وهي تشمل المقام، ولا أقلّ مع ضَمّ 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تقدّم في تلك المسألة أنّ النّص مختصٌّ بمن في ذمّته حَجّة الإسلام، ولا يتعدّى عنه لعدم العلم بالمناط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يقتضي النهي عن ضدّه، فالحَج عن الأوّل حيث يكون مأموراً به، فيكون الثاني منهيّاً عنه وفاسداً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لا يقتضي النهي عن ضدّه كما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بالحَجّ عن الأوّل، وإنْ لم يقتض النَّهي عن الحَجّ عن الثاني، إلّا أنّه يقتضي عدم تعلّق الأمر به، لامتناع توجّه الأمر إلى الضدّين، وحيث إنّه عبادة فلا يصحّ بدون الأمر، وحديث كفاية الملاك والمحبوبيّة في صحّته قد مرّ أنّه لا كاشف عنهما مع سقوط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يلتزم بالترتّب كما هو الشأن في سائر موارد المتزاحمين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يمكن أن يُملّك الإنسان منافعه المتضادّة في آنٍ واحد، كذلك لا يملك الغير تلك المنافع كذلك، وعليه فإذا صار الحَجّ عن الأوّل مملوكاً له بالإجارة الأُولى‌، فالإجارة الثانية إنْ صحّت لزم من صحّتها صيرورة الحَجّ عن الثاني مملوكاً له، وهو غير ممكن، وإنْ لم يصبح مملوكاً له فسدت الثانية، لملازمة </w:t>
      </w:r>
    </w:p>
    <w:p>
      <w:pPr>
        <w:pStyle w:val="BookText"/>
        <w:rPr/>
      </w:pPr>
      <w:r>
        <w:rPr>
          <w:rFonts w:ascii="Amiri" w:hAnsi="Amiri" w:eastAsia="Amiri" w:cs="Amiri"/>
          <w:color w:val="111111"/>
          <w:sz w:val="28"/>
          <w:sz w:val="28"/>
          <w:szCs w:val="28"/>
          <w:rtl w:val="true"/>
          <w:lang w:bidi="ar-SA"/>
        </w:rPr>
        <w:t>صحّتها لذلك، بل حقيقتها ذلك، ونظير المقام ما لو آجر داره سنة واحدة لسُكنى زيد، فإنّه لا يصحّ أن يؤجّرها تلك السنة ثانياً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في المقام الإنسان لا يملك عمل نفسه قبل الإجارة، وفي المثال لابدَّ وأن يكون قبل الإيجار مالكاً للمنفعة، فإذا ملّكها لزيدٍ لا يكون مالكاً للمنفعة، كي يُملّكها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الإجارة لا بدَّ من التمليك، فكما أنّ في المثال يقال لا يكون مالكاً للمنفعة ثانياً كي يملكها، كذلك في المقام نقول ليس له أن يملّك عمله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الفارق بين هذه المسألة وما تقدّم من أنّ من في ذمّته الحَجّ النذري لسنة معيّنة، حيث يصحّ أن يؤجّر نفسه للحَجّ عن الغير في تلك السنة، فإنّه بالنذر لا يصبح الحَجّ مملوكاً للغير، فلا مانع عن تمليكه بالإجارة، فتدبّر فإنّه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اشتراط المباشرة في الحجَّتين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آجر نفسه من شخصين لحجَّتين في سنةٍ واحدة، لكن مع عدم اشتراط المباشرة فيهما أو في إحداهما صحّتا معاً، فإنّ الأجير يتمكّن من العمل بكلتا الإجارتين، ولا مانع من كون المستأجرين مالكين لحجَّتين في ذمّته كذلك، فلا وجه للمنع، وإطلاقات أدلّة النفوذ والصحّة شاملة لهما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قد يقال بكون الحكم كذلك مع عدم اعتبار المباشرة، فإنّه وإنْ تمكّن من الإتيان بهما باستنابة، لكن يعتبر في الإجارة تمكّن الأجير من العمل بنفسه، فلا يجوز إجارة الأعمى على قراءة القرآن على إرادة الإستنابة، ففي الفرض لا يجوز الإجارة للثانية للحَجّ في تلك السنة، وإنْ كان المراد </w:t>
      </w:r>
      <w:bookmarkStart w:id="76" w:name="pg11805_167906"/>
    </w:p>
    <w:p>
      <w:pPr>
        <w:pStyle w:val="BookText"/>
        <w:rPr/>
      </w:pPr>
      <w:bookmarkEnd w:id="76"/>
      <w:r>
        <w:rPr>
          <w:rFonts w:ascii="Amiri" w:hAnsi="Amiri" w:eastAsia="Amiri" w:cs="Amiri"/>
          <w:color w:val="111111"/>
          <w:sz w:val="28"/>
          <w:sz w:val="28"/>
          <w:szCs w:val="28"/>
          <w:rtl w:val="true"/>
          <w:lang w:bidi="ar-SA"/>
        </w:rPr>
        <w:t>بها أو بالأولى أو بهما ما يعمّ الإستنابة، ولكن قد ذكرنا في كتاب الإجارة احتمال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الإجارة تمكّن الإتيان من العمل، وأمّا اعتبار التمكّن منه بالمباشرة خاصّة، فلم يدلّ عليه دليل فالأظهر هي الصحّة فيهما، هذا كلّه في الإجارة لسنةٍ معيّنة</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0670437_73709187"/>
      <w:bookmarkStart w:id="78" w:name="_Toc26"/>
      <w:bookmarkEnd w:id="77"/>
      <w:r>
        <w:rPr>
          <w:rtl w:val="true"/>
        </w:rPr>
        <w:t>حكم الإجارتين مع إطلاقهما أو إطلاق إحداهما</w:t>
      </w:r>
      <w:bookmarkEnd w:id="7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صورٌ أُخرى لهذه المسألة،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كانت الإجارتان مطلقتين، ولم يكن انصرافٌ إلى التعجيل،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2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وغيرها صحّتهما معاً، وهذا بخلاف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وعن الشيخ</w:t>
      </w:r>
      <w:r>
        <w:rPr>
          <w:rStyle w:val="FootnoteAnchor"/>
          <w:rtl w:val="true"/>
        </w:rPr>
        <w:footnoteReference w:id="244"/>
      </w:r>
      <w:r>
        <w:rPr>
          <w:rFonts w:ascii="Amiri" w:hAnsi="Amiri" w:eastAsia="Amiri" w:cs="Amiri"/>
          <w:color w:val="111111"/>
          <w:sz w:val="28"/>
          <w:sz w:val="28"/>
          <w:szCs w:val="28"/>
          <w:rtl w:val="true"/>
          <w:lang w:bidi="ar-SA"/>
        </w:rPr>
        <w:t>من بطلان الإجارة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مقتضى إطلاق أدلّة الإجارة هو الأوّل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 الإجارات كلّها التعجيل، لا من جهة دلالة الأمر على الفور، بل من جهة أنّ قاعدة السلطنة على الأموال والحقوق تقتضي وجوب المبادرة إلى الأداء، والتأخير مخالفٌ لها، وعليه فتكون الثانية مزاحمة للإجارة الأُولى فتبطل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التعجيل الذي يقتضيه الإطلاق، ليس بمعنى انحصار المملوك في الحَجّ في السنة الأُولى‌، كي لا يقدر الأجير على تمليكه للثاني، ولا بمعنى التوقيت، كي تكون الثانية واقعة على الحَجّ في غير وقته، بل هو حكمٌ تكليفي مستقلّ‌، وعليه فلا تكون الثانية مزاحمة للاُولى‌، ولوكان هناك مزاحمة، فإنّما هي مزاحمتها لقاعدة السلطنة، وهي لا توجب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تمّ ذلك، فإنّما هو فيما لو كانت الإجارة الثانية واقعة على الحَجّ في السنة الأُولى‌، وأمّا إذا كانت مطلقة، فاقتضاء التعجيل في الثانية مندفعٌ بسبب استحقاق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الأُولى مطلقة، والثانية مقيّدة بالسنة الأُولى‌، ومن ذهب في الصورة الأُولى إلى بطلان الثانية، التزم به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القائلين بالصحّة في تلك الصورة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حيث بنى على البطلان في الفرض، واستدلّ له بما ذكر وجهاً للبطلان فيها، فكأنّه قدس سره لم يُسلّم الجواب الذي ذكرناه الجاري في الفرض، واقتصر على الثاني، ولا مورد له في المقام كما لا يخفى‌، وبعد صحّتهما معاً يقع التزاحم بين الوجوبين التكليفيّين، فيجري فيهما ما يجري في سائر المتزاحمين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الأُولى مطلقة، والثانية مقيّدة بالسَّنة اللّاحقة، حيث لا إشكال في صحّتهما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ببطلان الثانية من جهة اعتبار اتّصال زمان الإجارة بالعقد، لعدم القدرة على التسليم في غير المتّصل، مندفع بأنّ اللّازم هو التسليم في زمان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79" w:name="pg11805_167908"/>
    </w:p>
    <w:p>
      <w:pPr>
        <w:pStyle w:val="BookText"/>
        <w:rPr/>
      </w:pPr>
      <w:bookmarkEnd w:id="79"/>
      <w:r>
        <w:rPr>
          <w:rFonts w:ascii="IRNazanin" w:hAnsi="IRNazanin" w:eastAsia="IRNazanin"/>
          <w:color w:val="111111"/>
          <w:sz w:val="28"/>
          <w:sz w:val="28"/>
          <w:szCs w:val="28"/>
          <w:rtl w:val="true"/>
          <w:lang w:bidi="fa-IR"/>
        </w:rPr>
        <w:t>الاستحقاق لا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الأُولى مقيّدة بالسنة الأُولى‌، والثانية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بالبطلان، أي بطلان الثانية، نظراً إلى أنّ الإطلاق يقتضي التعجيل، فتُزاحم الإجارة الثانية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في الصورة الأُولى فساد هذا الوجه، وأنّه لا يقتضي البطلان، غاية الأمر أن يكون للمستأجر الثاني الخيار لو كان جاهلاً بالإجارة الأُولى‌، ووجهه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حكم الخامسة، وهي ما لو كانت الثانية مطلقة، والأُولى مقيّدة بالسنة المتأخّرة وأنّهما تصحّان جميعاً</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0670439_73709187"/>
      <w:bookmarkStart w:id="81" w:name="_Toc27"/>
      <w:bookmarkEnd w:id="80"/>
      <w:r>
        <w:rPr>
          <w:rtl w:val="true"/>
        </w:rPr>
        <w:t>ولو اقترنت الإجارتان أو اشتبه السابقة منهما</w:t>
      </w:r>
      <w:bookmarkEnd w:id="81"/>
    </w:p>
    <w:p>
      <w:pPr>
        <w:pStyle w:val="BookText"/>
        <w:rPr/>
      </w:pPr>
      <w:r>
        <w:rPr>
          <w:rFonts w:ascii="Amiri" w:hAnsi="Amiri" w:eastAsia="Amiri" w:cs="Amiri"/>
          <w:color w:val="111111"/>
          <w:sz w:val="28"/>
          <w:sz w:val="28"/>
          <w:szCs w:val="28"/>
          <w:rtl w:val="true"/>
          <w:lang w:bidi="ar-SA"/>
        </w:rPr>
        <w:t>ثمّ إنّ الإجارتين اللّتين لا تصحّان معاً، كالواقعتين على الحَجّ مباشرة في سنة واحدة لو اقترنتا، كما إذا آجر نفسه من شخصٍ وآجره وكيله من آخر في سنة واحدة، وكان وقوع الإجارتين في وقتٍ واحد، بطلتا معاً، إذا لا يمكن البناء على صحّتهما لما تقدّم، والحكم بصحّة إحداهما المعيّن ترجيحٌ بلا مرجّح، وإحداهما لا بعينها لا تكون موضوعة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إحداهما ليس موضوعاً للصحّة، وواقعها متعيّن، فلا مناص عن البناء على بطلانهما معاً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بالتخيّير في نظائر المقام، كمسألة العقد على اُختين في 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امرأتين وله ثلاث وما شاكل، لورود النّص الخاص في تلك الموارد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يوجبُ الحكم به في المقام،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 السابقة من الإجارتين، فأصالة الصحّة في كلٍّ منهما بناءً على جريانها في مورد العلم الإجمالي بالخلاف، وعدم تماميّة ما قيل من أنّ مدركها بناءً العقلاء، وبناؤهم عليها في مورد العلم الإجمالي، غير ثابت، وبناءً على جريانها مع العلم بصورة العمل، والشكّ في الصحّة من جهة الأُمور الخارجيّة الاتّفاقيّة، تعارض أصالة الصحّة في الآخر، وتتساقطان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أصالة عدم حصول كلّ منهما عند تحقّق الاُخرى‌، أو عدم مملوكيّة الحَجّ له إلى حين تحقّق هذه، فهي وإنْ كانت جارية في نفسها، ولا تكون مثبتة، لأنّ بها يثبت شرط الصحّة أو يرفع المانع عنها، إلّاأنّه بناءً على ما هو الحقّ من جريان الأصل في مجهول التاريخ ومعلومه، يتعارض الأصل الجاري في كلّ منهما، مع الأصل الجاري في الاُخرى في جميع الصور، أعمّ من أن تكونا مجهولتي التاريخ أو يكون تاريخ إحداهما معلوماً وتاريخ الاُخرى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بعدم جريانه في معلوم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وقت إحداهما مجهولاً، ووقت الاُخرى معلوماً، جري الأصل في المجهول، ويثبت به صحّة المعلوم وقتها، وحينئذٍ فهل يعارضه أصل الصحّة الجاري في المعلوم، ليكون ذلك الأصل معارضاً مع أصلين طوليّين في الآخر، أم لا؟</w:t>
      </w:r>
    </w:p>
    <w:p>
      <w:pPr>
        <w:pStyle w:val="BookText"/>
        <w:rPr/>
      </w:pPr>
      <w:r>
        <w:rPr>
          <w:rFonts w:ascii="Amiri" w:hAnsi="Amiri" w:eastAsia="Amiri" w:cs="Amiri"/>
          <w:color w:val="111111"/>
          <w:sz w:val="28"/>
          <w:sz w:val="28"/>
          <w:szCs w:val="28"/>
          <w:rtl w:val="true"/>
          <w:lang w:bidi="ar-SA"/>
        </w:rPr>
        <w:t>الظاهر هو الثاني، لأنّ الأصلين في أطراف العلم الإجمالي، لا يجريان إنْ لم يكن لأحدهما مرجّحٌ‌، وفي المقام يكون الترجيح مع الأصل المزبور، فإنّ أصل الصحّة لا يجري على كلّ تقدير، لابتلائه بالمعارض، فيجري ذلك، وتمام الكلام في محلّه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في المورد الذي يتعارض فيه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المرجع إلى </w:t>
      </w:r>
      <w:bookmarkStart w:id="82" w:name="pg11805_167910"/>
    </w:p>
    <w:p>
      <w:pPr>
        <w:pStyle w:val="BookText"/>
        <w:rPr/>
      </w:pPr>
      <w:bookmarkEnd w:id="82"/>
      <w:r>
        <w:rPr>
          <w:rFonts w:ascii="Amiri" w:hAnsi="Amiri" w:eastAsia="Amiri" w:cs="Amiri"/>
          <w:color w:val="111111"/>
          <w:sz w:val="28"/>
          <w:sz w:val="28"/>
          <w:szCs w:val="28"/>
          <w:rtl w:val="true"/>
          <w:lang w:bidi="ar-SA"/>
        </w:rPr>
        <w:t>القرعة، لأنّها لكلّ أمرٍ مشكل، بناءً على ما حقّقناه في رسالتنا في القرعة من أنّ إجراءها لا يتوقّف على إحراز عمل المشهور، بل كلّ مورد أشكل الأمر فيه ولم يمكن التخلّص، ولم يكن طريقٌ ولا أصل محرَزٌ للوظيفة، ولم يمكن فيه إعمال قواعد الاحتياط، تجري القرعة، وفي المقام حيث يكون كذلك تكون جارية، وفي رعاية شرائط إجرائها لابدّ من الرجوع إلى تلك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نفسه من شخص للحَجّ في سنة معيّنة، ثمّ علم أنّه آجره فضولي من شخصٍ آخر سابقاً على عقد نفسه، فهل له أن يُجيز ذلك العقد، وتبطل إجارة نفسه بناءً على كاشفيّة الإجازة، فإنّ الإجازة تكشف عن صحّة الإجارة من الأوّل، فالثانية واقعة بعد الإجارة الأُولى الصحيحة، فتكون باطلة أم لا؟</w:t>
      </w:r>
    </w:p>
    <w:p>
      <w:pPr>
        <w:pStyle w:val="BookText"/>
        <w:rPr/>
      </w:pPr>
      <w:r>
        <w:rPr>
          <w:rFonts w:ascii="Amiri" w:hAnsi="Amiri" w:eastAsia="Amiri" w:cs="Amiri"/>
          <w:color w:val="111111"/>
          <w:sz w:val="28"/>
          <w:sz w:val="28"/>
          <w:szCs w:val="28"/>
          <w:rtl w:val="true"/>
          <w:lang w:bidi="ar-SA"/>
        </w:rPr>
        <w:t>وجهان أظهرهما الثاني، لأنّه ولو قلنا بالكشف الحقيقي في الإجارة، ولكن لاريب في أنّ الإجازة الصادرة ممّن له السلطان تكون كاشفة، لا الإجازة من كلّ أحدٍ، والفرض أنّه بإجارة نفسه سَلَب سلطانه، فليس له الإجارة، فإجارة نفسه معدمة لما هو المصحّح للإجازة، فليس له تلك</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0670441_73709187"/>
      <w:bookmarkStart w:id="84" w:name="_Toc28"/>
      <w:bookmarkEnd w:id="83"/>
      <w:r>
        <w:rPr>
          <w:rtl w:val="true"/>
        </w:rPr>
        <w:t>تصحيح الإجارة الثانية بإجازة المستأجر الأوّل</w:t>
      </w:r>
      <w:bookmarkEnd w:id="8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المورد الذي حكمنا فيه ببطلان الإجارة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لو آجر نفسه من شخصٍ للحَجّ في سنةٍ معيّنة، ثمّ آجر نفسه من شخصٍ آخر للحَجّ في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تصحيح الثانية بإجازة المستأجر الأوّل، أم لا؟</w:t>
      </w:r>
    </w:p>
    <w:p>
      <w:pPr>
        <w:pStyle w:val="BookText"/>
        <w:rPr/>
      </w:pPr>
      <w:r>
        <w:rPr>
          <w:rFonts w:ascii="Amiri" w:hAnsi="Amiri" w:eastAsia="Amiri" w:cs="Amiri"/>
          <w:color w:val="111111"/>
          <w:sz w:val="28"/>
          <w:sz w:val="28"/>
          <w:szCs w:val="28"/>
          <w:rtl w:val="true"/>
          <w:lang w:bidi="ar-SA"/>
        </w:rPr>
        <w:t>ونخبة الكلام في المقام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الإجارتان واقعتين على منفعته الخاصّة، وهي الحَجّ في تلك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تكونان واقعتين على العمل الشخصي الخارجي، وهو الحَجّ عنه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الأُولى من قبيل الأوّل، والثانية من قبيل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الأُولى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للمستأجر الأوّل أن يجيز الإجارة الثانية، لوقوعها على ما هو ماله وملكه، فلا مانع من تصحيحها بإجازة المالك، ولو أجازها يكون العقد تامّاً، والمستأجر الأوّل يستحقّ الاُجرة المسمّاة في الثانية، لفرض كون العمل المستأجر عليه له فله عوضه، والأجير لا يستحقّ منها شيئاً، لعدم كون العمل مِلْكاً له، ولكنّه يستحقّ الاُجرة المسمّاة في الأُولى‌،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بأنّه لا مورد للإجازة، فإنّ المستأجر الأوّل لا يملك ما وقعت الثانية عليه، فليس له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يعتبر في الإجازة صدورها من المالك، بل يكفي في صحّة العقد كونه لولا الإجازة منافياً لحقّ غير العاقد، فإذا أجاز ذو الحقّ لم يكن مانعٌ من نفوذ العقد، ولذا صحَّ بيع العين المرهونة بإجازة المرتهن، وإنْ لم يكن مالكاً لموضوع الحقّ‌</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الإجازة إنّما تصحّح العقد إذا صدرت ممّن له الملك أو الحقّ في مورد العقد، وفي المقام ليس كذلك، فإنّ المستأجر الأوّل ليس مالكاً لمورد الإجارة الثانية، ولا يكون حقّ له متعلّق به، وإنّما لا يصحّ العقد من جهة قصورٍ في نفس مورد الإجارة، فإنّه لا يصلح أن يصير ملكاً للمستأجر الثاني، لما تقدّم، وعليه فليس له الإجازة، فتدبّر فإنّه دقيق</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للمستأجر الأوّل إبراء ما في ذمّة الأجير، أو إسقاط ما ملكه عليه من العمل، إذا كان عنوان المباشرة في الإجارة الأُولى قيداً، وإسقاط حقّ الشرط إذا كان شرطاً، وبذلك تصحّ الإجارة الثانية، لعدم المانع من نفوذها، وعلى هذا فحيثُ لا مانع من أبراز ذلك بإجازة الإجارة الثانية، فدعوى أنّ للمستأجر الأوّل إجازة الثانية مطلقاً في محلّها، وحينئذٍ إنْ كانت الإجازة إسقاطاً لنفس العمل استحقّ الأجير كلتا الاُجرتين، وعليه العمل بالإجارة الثانية، وإنْ كانت إسقاطاً لحقّ الشرط، استحقّ الاُجرتين، ولكن عليه كلا العملين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عليه الإجارة الثانية بالمباشرة، والواقع عليه الإجارة الأُولى بالاستنابة والتسبيب</w:t>
      </w:r>
      <w:r>
        <w:rPr>
          <w:rFonts w:eastAsia="Amiri" w:cs="Amiri" w:ascii="Amiri" w:hAnsi="Amiri"/>
          <w:color w:val="111111"/>
          <w:sz w:val="28"/>
          <w:szCs w:val="28"/>
          <w:rtl w:val="true"/>
          <w:lang w:bidi="ar-SA"/>
        </w:rPr>
        <w:t>.</w:t>
      </w:r>
      <w:bookmarkStart w:id="85" w:name="pg11805_167913"/>
    </w:p>
    <w:p>
      <w:pPr>
        <w:pStyle w:val="Heading4"/>
        <w:numPr>
          <w:ilvl w:val="3"/>
          <w:numId w:val="1"/>
        </w:numPr>
        <w:rPr/>
      </w:pPr>
      <w:bookmarkStart w:id="86" w:name="__RefHeading___Toc10670443_73709187"/>
      <w:bookmarkStart w:id="87" w:name="_Toc29"/>
      <w:bookmarkEnd w:id="85"/>
      <w:bookmarkEnd w:id="86"/>
      <w:r>
        <w:rPr>
          <w:rtl w:val="true"/>
        </w:rPr>
        <w:t>حكم الأجير المحدود أو المحصور</w:t>
      </w:r>
      <w:bookmarkEnd w:id="87"/>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 الأجير أو اُحصر فأصبح ممنوعاً من الحجّ لمرضٍ أو لوجود عدوّ، وما ماثله، كان حكمه كالحاجّ عن نفسه فيما عليه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فالممنوع بالمرض الذي هو المصدود يبعث بهديه مع أصحابه، ويواعدهم يوماً لذبحه، فيتحلّل في ذلك اليوم من كلّ شيء إلّامن النساء، حتّى يحجّ من قابل إنْ كان حجّه واجباً، أو يُطاف عنه للنساء إنْ كان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والممنوع بالعدو الذي هو المحصور، يذبح هَدْيه حينئذٍ، ويحلّ له كلّ شيء حتّى النساء، وسيأتي بقيّة أحكامهما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الأحكام تثبت للأجير، لعموم الآية وغيرها من الأدلّة، ويقع ما فعله عن المستأجر، لأنّه قصده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كانت الإجارة مقيّدة بتلك السنة على وجه التقيّيد، انفسخت الإجارة لتعذّر العمل المستأجر عليه، الكاشف عن عدم صحّة تمليكه وتملّكه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مقيّدة بها على وجه الاشتراط، كان للمستأجر خيار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مطلقة، يبقى الحَجّ في ذمّته إلى القابل، فإنْ تعذّر بعض أفراد المستأجر عليه، لا يوجب الانفساخ ولا الخيار، ولذلك فما التزم به الشهيد رحمه الله</w:t>
      </w:r>
      <w:r>
        <w:rPr>
          <w:rStyle w:val="FootnoteAnchor"/>
          <w:rtl w:val="true"/>
        </w:rPr>
        <w:footnoteReference w:id="246"/>
      </w:r>
      <w:r>
        <w:rPr>
          <w:rFonts w:ascii="Amiri" w:hAnsi="Amiri" w:eastAsia="Amiri" w:cs="Amiri"/>
          <w:color w:val="111111"/>
          <w:sz w:val="28"/>
          <w:sz w:val="28"/>
          <w:szCs w:val="28"/>
          <w:rtl w:val="true"/>
          <w:lang w:bidi="ar-SA"/>
        </w:rPr>
        <w:t>من ثبوت الخيار، لا وجه 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صورة الانفساخ أو الفسخ، يستحقّ الأجير من الاُجرة المسمّاة بالنسبة إلى ما أتى به من الأعمال، وقد تقدّم تفصيل القول في ذلك في المسألة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كان الصدّ أو الإحصار قبل إتمام الحَجّ‌، لا يجزي عن المنوب عنه، وإنْ كان ذلك بعد الإحرام، ودخول الحرم، لأنّ إجزاء الناقص على خلاف الأصل يحتاج إلى دليلٍ مفقود، وإنّما التزمنا به في موت 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الخاصّة، والتعدّي عن موردها إلى المقام مع عدم إحراز المناط قياسٌ لا نقول به، وعليه فما عن الشيخ</w:t>
      </w:r>
      <w:r>
        <w:rPr>
          <w:rStyle w:val="FootnoteAnchor"/>
          <w:rtl w:val="true"/>
        </w:rPr>
        <w:footnoteReference w:id="247"/>
      </w:r>
      <w:r>
        <w:rPr>
          <w:rFonts w:ascii="Amiri" w:hAnsi="Amiri" w:eastAsia="Amiri" w:cs="Amiri"/>
          <w:color w:val="111111"/>
          <w:sz w:val="28"/>
          <w:sz w:val="28"/>
          <w:szCs w:val="28"/>
          <w:rtl w:val="true"/>
          <w:lang w:bidi="ar-SA"/>
        </w:rPr>
        <w:t xml:space="preserve">، ويشعر به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من الإجزاء، غير تامّ‌، ولعلّهما أيضاً لا يقولان به،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في توجيه ما أفاداه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التقيّيد لو ضمن المؤجر الحَجّ في المستقبل، فهل تجب إجابته كما عن ظاهر المقنعة</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 بل ربما قيل إنّه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254"/>
      </w:r>
      <w:r>
        <w:rPr>
          <w:rFonts w:ascii="Amiri" w:hAnsi="Amiri" w:eastAsia="Amiri" w:cs="Amiri"/>
          <w:color w:val="111111"/>
          <w:sz w:val="28"/>
          <w:sz w:val="28"/>
          <w:szCs w:val="28"/>
          <w:rtl w:val="true"/>
          <w:lang w:bidi="ar-SA"/>
        </w:rPr>
        <w:t>وغيرهما؟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لاتجب كمافي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5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وجهان، أقواهما الأوّل، إذ المفروض أنّ العقد واقعٌ على المقيّد ولا يتناول غيره، فلا وجه للزوم قبول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قال بوجوب الإجابة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حمله غير واحدٍ على إرادة ما رضي المستأجر بضمان الأجير، بمعنى استيجاره ثانياً بالمتخلّف من الاُجرة ولو معاطاةً‌، فإنّه حينئذٍ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60"/>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88" w:name="pg11805_167916"/>
    </w:p>
    <w:p>
      <w:pPr>
        <w:pStyle w:val="Heading4"/>
        <w:numPr>
          <w:ilvl w:val="3"/>
          <w:numId w:val="1"/>
        </w:numPr>
        <w:rPr/>
      </w:pPr>
      <w:bookmarkStart w:id="89" w:name="__RefHeading___Toc10670445_73709187"/>
      <w:bookmarkStart w:id="90" w:name="_Toc30"/>
      <w:bookmarkEnd w:id="88"/>
      <w:bookmarkEnd w:id="89"/>
      <w:r>
        <w:rPr>
          <w:rtl w:val="true"/>
        </w:rPr>
        <w:t>لو أفسد الأجير حَجّه</w:t>
      </w:r>
      <w:bookmarkEnd w:id="90"/>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أفسد الأجير حجّه، وجبَ عليه الحجّ من قابل، وإتمام ما بيده، وكفّارة بدنة كالحاجّ عن نفسه بلا خلافٍ‌،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تحصيل الإجماع عليه</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ويشهد به جملةٌ من النصوص التي سيمرّ عليك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الأوّل مسقطٌ لذمّة المنوب عليه أم لا؟ وعلى الثاني هل الحَجّ الثاني مبريءٌ للذمّة أم 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تنفسخ الإجارة أم 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يستحقّ الاُجرة على ما أتى به وإنْ ترك الإتيان به ثانياً من قابل أم 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الإتيان بالثاني بالعنوان الذي أتى به الأوّل، أم هو واجبٌتعبّدي‌؟</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بالمسقطية وعدمها يبتنيان على القول بأنّ الأوّل هو الواجب والثاني عقوبة، أو أنّ الواجب هو الثاني وإتمام الأوّل عقوبة، إذ على الأوّل يكون ما أتى به مبرّءاً لذمّة المنوب عنه دونه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قولان مشهوران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الأوّل وكون الثاني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وهو مختار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لكنّه يختار الأوّل في مبحث كفّارات الإحرام في الحَجّ عن نفسه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للثاني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اسم الفاسد على الأوّل في النّص </w:t>
      </w:r>
    </w:p>
    <w:p>
      <w:pPr>
        <w:pStyle w:val="BookText"/>
        <w:rPr/>
      </w:pPr>
      <w:r>
        <w:rPr>
          <w:rFonts w:ascii="Amiri" w:hAnsi="Amiri" w:eastAsia="Amiri" w:cs="Amiri"/>
          <w:color w:val="111111"/>
          <w:sz w:val="28"/>
          <w:sz w:val="28"/>
          <w:szCs w:val="28"/>
          <w:rtl w:val="true"/>
          <w:lang w:bidi="ar-SA"/>
        </w:rPr>
        <w:t>والفتوى‌،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احتمال أنّ هذا الإطلاق مجازٌ لا داعي إليه، بل هو منافٍ لجميع ما ورد في بيان المبطلات من النصوص، من أنّه قد فاته الحَجّ‌، أو لا حَجّ له، أو نحو ذلك ممّا يصعب ارتكاب المجاز فيه، بل مقتضاه أنّ الحَجّ لا يبطله شيء، وإنّما يوجب فعل هذه المبطلات الإثم والإعادة عقوبة،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وسيمرّ عليك ما في هذا الاستدلال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بطائفتين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الحاجّ مطلقاً، وهي حسنة زرارة، بل صحيحته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غشى امرأته‌؟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جاهلين أم عالمين‌؟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على الوجهين جميعاً،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جاهلين استغفرا ربّهما، ومضيا على حجّهما، وليس عليهما شيء، وإنْ كانا عالمين فرّق بينهما من المكان الذي أحدثا فيه، وعليهما بدنة، وعليهما الحَجّ من قابل، فإذا بلغا المكان الذي أحدثا فيه فرّق بينهما حتّى يقضيا نُسُكهما، ويرجعا إلى المكان الذي أصابا فيه ما أصابا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الحَجّتين لهما؟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التي أحدثا فيها ما أحدثا، والاُخرى عليهما عقوبة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مضمرة، ولم يُحرز كون المسؤول عنه الإمام عليه 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مختصّة بالحاجّ عن نفسه، ولا تشمل مفروض المقام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الحَجّتين 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السائل الراوي للخبر عن غيره بما أنّه زرارة لا محالة يكون المسئول عنه هو الإمام عليه السلام، على أنّ الظاهر كون الإضمار قد حصل عند تجميع الشيخ وإلّا فلا إضمار في أصل الخبر كما هو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السؤال مطلق،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كون الحَجّ الآخر عقوبة لا في مقابل النيابة، وعلى هذا فيتعيّن حمل الفساد في بعض النصوص المشار إليه على إرادة كون الأُولى كالفاسدة، باعتبار وجوب الإعادة ولو عقوبة لا تداركاً، خصوصاً بعدما ورد من إطلاقه فيما أجمعوا على صحّته، كما في حديث حمران فيمن جامع بعد أن طاف ثلاثة أشواط،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أفسد حجّه وعليه بدنه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الإجماع على صحّة الحَجّ في هذه الصورة،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في مبحث كفّارات الإحرام في الحَجّ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خصوص الأجير، وهي موثّقا إسحاق بن عمّار، عن أحدهما عليهما السلام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يموت، فيُوصي بحجّة، فيُعطي رجل دراهم يحجّ بها عنه، فيموت قبل أن يحجّ‌، ثمّ اُعطي الدراهم غيره‌؟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في الطريق أو بمكّة قبل أن يقضي مناسكه، فإنّه يجزي عن الأوّل،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ابتلى بشيء يفسد عليه حجّه حتّى يصير عليه الحَجّ من قابل أيجزي عن الأوّل‌؟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الأجير ضامن للحَجّ؟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الإمام الصادق عليه السلام عن رجل حَجّ عن رجلٍ فاجترح في حجّه شيئاً، يلزمه فيه الحَجّ من قابل أو كفّارة‌؟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للأوّل تامّة، وعلى هذا ما اجترح</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الأوّل راجعٌ إلى الحَجّ الذي وقع فيه المفسد، والمراد من الأوّل الشخص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بأنّهما وإنْ كانا ظاهرين في أنّ الفرض هو الأوّل، إلّاأنّه يجبُ حملهما على إرادة إعطاء اللّه للمنوب عنه حجّة تامّة تفضّلاً منه، وإن قصّر النائب في إفسادها، وخوطب بالإعادة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أفاده في ذلك المبحث جوابٌ عن ذلك، إذ حمل الفساد على النقص الموجب للعقوبة أسهل من حمل الخبرين على ما اُفيد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كون الأوّل هو الفرض والثاني عقوبة، وعليه فهو الموجبُ لفراغ الذمّة، وقد صرّح بذلك في الخبرين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الثاني يوجبُ فراغ ذمّة المنوب عنه أم لا؟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قطعاً،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 xml:space="preserve">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 وأنّه لابدَّ للمستأجر أن يستأجر مرّة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أُخرى في صورة التعيّين، وللأجير أن يحجّ ثالثاً في صورة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إنّما وجب للإفساد عقوبةً‌، سواءٌ أكان الأوّل صحيحاً أم لا، بمعنى أنّه عقوبة ما جناه من ارتكاب المفسد، ولذا لا يختصّ بالحَجّ الواجب، فيجب ثالث، إذ التداخل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إذا أفسد المستطيع حجّه، فإنّ عليه الحجّ من قابل ويكتفي به عن خطاب الاستطاعة والإفساد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 التداخل مفهوم من دليل السببين، فإنّه يجب على النائب أن يأتي بالحَجّ في القابل عن المنوب عنه، وبذلك العنوان، فذلك الحَجّ بنفسه يتعلّق به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اندفاع ما قيل من إنّه من عدم اختصاصه بالحَجّ الواجب، يستكشف كونه تكليفاً متعلّقاً بحَجّ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بعدم صحّة الأوّل، يكون الثاني هو المعنون بذلك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ودعوى أنّ الحَجّ بإفساده له انقلب لنفسه لأنّه غير المتسأجر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القضاء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الانقلاب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المأتي به ثانياً بدلٌ عن الأوّل بالعنوان الذي أتى به، لا بما صار إليه بعد الفسخ والانقلاب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هل تنفسخ الإجارة أم لا؟ وقد اختلفت كلمات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القوم فيه، ولخّصها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المحصَّل من الأقوال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انفساخ الإجارة مطلقاً، إنْ كان الثاني فرضه، وهو ظاهر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انفساخها مع التعيّين دون الإطلاق، ووجوب حجّة ثالثةً نيابة كما هو خيرة الفاضل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والمحكي عن الشيخ</w:t>
      </w:r>
      <w:r>
        <w:rPr>
          <w:rStyle w:val="FootnoteAnchor"/>
          <w:rtl w:val="true"/>
        </w:rPr>
        <w:footnoteReference w:id="276"/>
      </w:r>
      <w:r>
        <w:rPr>
          <w:rFonts w:ascii="Amiri" w:hAnsi="Amiri" w:eastAsia="Amiri" w:cs="Amiri"/>
          <w:color w:val="111111"/>
          <w:sz w:val="28"/>
          <w:sz w:val="28"/>
          <w:szCs w:val="28"/>
          <w:rtl w:val="true"/>
          <w:lang w:bidi="ar-SA"/>
        </w:rPr>
        <w:t>وابن إدريس</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الانفساخ مطلقاً، ولا يجب حجّة ثالثة، وهو خيرة الشهيد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الثاني عقوبة لم تنفسخ مطلقاً، ولا عليه حجّة ثالثة، وإنْ كان فرضه انفسخ في المعيّنة دون المطلقة، وعليه حجّة ثالثة، وهو على ما قيل 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وأحد وجهي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وليس عليه حجّة ثالثة مطلقاً، وهو 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انفساخها مطلقة كانت أو معيّنة، كان الثاني عقوبة أم لا، لانصراف الإطلاق إلى العام الأوّل، وفساد الحَجّ الأوّل وإنْ كان فرضه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انفساخها مطلقاً، كذلك قيل، ويحتمله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المختار، وهو محتمل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وهو الأصحّ‌، وليس في الخبرين منافاة له بعدما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عرفت من أنّ الأوّل فرضه، لا يؤدّي إلى فسخ الإجارة مطلقاً للإتيان بالعمل المستأجر عليه، غاية الأمر يجب عليه الإتيان به ثانياً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بأنّ إتمام الأوّل عقوبة، والثاني فرض، فإنْ كان الحَجّ المستأجر عليه مقيّداً بتلك السنة انفسخت، لعدم الإتيان به لفرض بطلان ما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 في القابل عوضٌ شرعي عمّا وقع عليه العقد، فالإجارة بالنسبة إلى الأوّل وإن انفسخت، إلّاأنّها بالنسبة إلى الثاني باقية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 نصوص الباب ما يدلّ على أنّ الثاني عوض شرعي تعبّدي عن العمل المستأجر عليه بهذا العنوان، بحيث يصبح الثاني متعلّق الإجارة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 مقيّد بها، لم تنفسخ الإجارة، فإنّ فساد الفرد لا يقتضي انفساخ الإجارة الواقعة على المطلق، وإن قلنا بوجوب التعجيل في الإجارة المطلقة، لأنّه لا يوجب تعيّين المستأجر عليه، وقد مرّ أنّه يجتزي بالحَجّ من قابل عن الحَجّ ثانياً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الفرض هو الثاني، لا يستحقّ الاُجرة بالأوّل، غاية الأمر إذا كانت مطلقة يستحقّها بالثاني، وإنْ كان الفرض هو الأوّل استحقّها مع الإتيان به من قابل لا بدونه، فإنّ ظاهر الأخبار أنّ الحَجّ الثاني مربوط بالأوّل، وتدارك للنقص الواقع فيه، ومعلومٌ أنّ متعلّق الإجارة هو الحَجّ الكامل غير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الناقص، فلو لم يأتِ بالمكمل لا يستحقّ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موثّق إسحاق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للأوّل تامّة وعلى هذا ما اجترح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تماميّة الأوّل بالنسبة إلى المنوب عنه، وأنّ الحَجّ الثاني في ذمّة ذلك، وليس تداركاً للنقص، وعليه فيستحقّ تمام الاُجرة وإنْ لم يأت بالثاني عصياناً، بل قول السائل في الموثّق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أيجزي عن الأوّل‌؟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الأجير ضامن للحَجّ؟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لزوم الإتيان به بالعنوان الذي أتى به الأوّل، فإنّه الظاهر من الدليل الآمر بإعادة الحَجّ‌، فإنّ المستفاد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الموارد التي يأمر الشارع بإعادة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الإتيان بالثاني بالعنوان الذي أتى به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إنّ الإعادة ظاهرة في ذلك، كي يقال ليس هذا اللّفظ في النصوص، بل أقول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الحَجّ من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في ذلك، ولذا سأل الراوي بعد ذلك عن أيّ الحجّتين لهما؟ إذ لو لم يكن الثاني بالعنوان الأوّل لما كان موردٌ لهذا السؤال، مع أنّ التعليل في الموثّق بأنّ الأجير ضامنٌ للحَجّ يُشعر بذلك، كما لا يخفى‌</w:t>
      </w:r>
      <w:r>
        <w:rPr>
          <w:rFonts w:eastAsia="Amiri" w:cs="Amiri" w:ascii="Amiri" w:hAnsi="Amiri"/>
          <w:color w:val="111111"/>
          <w:sz w:val="28"/>
          <w:szCs w:val="28"/>
          <w:rtl w:val="true"/>
          <w:lang w:bidi="ar-SA"/>
        </w:rPr>
        <w:t>.</w:t>
      </w:r>
      <w:bookmarkStart w:id="91" w:name="pg11805_167924"/>
    </w:p>
    <w:p>
      <w:pPr>
        <w:pStyle w:val="Heading4"/>
        <w:numPr>
          <w:ilvl w:val="3"/>
          <w:numId w:val="1"/>
        </w:numPr>
        <w:rPr/>
      </w:pPr>
      <w:bookmarkStart w:id="92" w:name="__RefHeading___Toc10670447_73709187"/>
      <w:bookmarkStart w:id="93" w:name="_Toc31"/>
      <w:bookmarkEnd w:id="91"/>
      <w:bookmarkEnd w:id="92"/>
      <w:r>
        <w:rPr>
          <w:rtl w:val="true"/>
        </w:rPr>
        <w:t>تمليك الأجير الاُجرة بالعقد</w:t>
      </w:r>
      <w:bookmarkEnd w:id="93"/>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الأجير الاُجرة بالعقد، لأنّ ذلك مقتضى صحّة الإجارة المملّكة لها، وقد دلّت النصوص الخاصّة في الحَجّ على ذلك، لاحظ موثّق الساباطي، وخبر مسمع، ورواية عبد اللّه الآتية في آخر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وجوب تسليمها بعد الإتيان بالعمل، لوجوب رَدّ المال إلى صاحبه، وكذا لا كلام في وجوب تسليمها قبل إكمال العمل لو شرط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 هل يجبُ تسليمها قبل العمل لو طالبها الأجير، مع عدم اشتراط ذلك في ضمن العقد، ولم يكن قرينةً على التعجيل، أم لا؟</w:t>
      </w:r>
    </w:p>
    <w:p>
      <w:pPr>
        <w:pStyle w:val="BookText"/>
        <w:rPr/>
      </w:pPr>
      <w:r>
        <w:rPr>
          <w:rFonts w:ascii="Amiri" w:hAnsi="Amiri" w:eastAsia="Amiri" w:cs="Amiri"/>
          <w:color w:val="111111"/>
          <w:sz w:val="28"/>
          <w:sz w:val="28"/>
          <w:szCs w:val="28"/>
          <w:rtl w:val="true"/>
          <w:lang w:bidi="ar-SA"/>
        </w:rPr>
        <w:t>المنسوب إلى المشهور هو عدم الوجوب، بل عدم جواز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بعض الأعاظم من المعاصرين</w:t>
      </w:r>
      <w:r>
        <w:rPr>
          <w:rStyle w:val="FootnoteAnchor"/>
          <w:rtl w:val="true"/>
        </w:rPr>
        <w:footnoteReference w:id="287"/>
      </w:r>
      <w:r>
        <w:rPr>
          <w:rFonts w:ascii="Amiri" w:hAnsi="Amiri" w:eastAsia="Amiri" w:cs="Amiri"/>
          <w:color w:val="111111"/>
          <w:sz w:val="28"/>
          <w:sz w:val="28"/>
          <w:szCs w:val="28"/>
          <w:rtl w:val="true"/>
          <w:lang w:bidi="ar-SA"/>
        </w:rPr>
        <w:t>باقتضائه طبع المعاوضة، فما دام لم يُسلّم المعوّض إلى المستأجر، له الحقّ في تأخير العوض، فيجوز لكلّ منهما أن يمتنع من التسليم في ظرف امتناع الآخر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المعاوضة هي المبادلة بين المالين ولا ربط لها بالتسليم والتسلم الخارجيّين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ليس امتناع الآخر عن العمل، بل بناؤه على العمل في ظرفه المقرّر له، وإنّما يطالب الاُجرة قبل ذلك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العمل إنّما هو بالإتيان به، وعليه فكما أنّ في البيع نقول بأنّه يجب تسليم العوض والمعوّض معاً، ولا يُصغى إلى ما قيل من أنّ كلّاً من البائع والمشتري </w:t>
      </w:r>
    </w:p>
    <w:p>
      <w:pPr>
        <w:pStyle w:val="BookText"/>
        <w:rPr/>
      </w:pPr>
      <w:r>
        <w:rPr>
          <w:rFonts w:ascii="Amiri" w:hAnsi="Amiri" w:eastAsia="Amiri" w:cs="Amiri"/>
          <w:color w:val="111111"/>
          <w:sz w:val="28"/>
          <w:sz w:val="28"/>
          <w:szCs w:val="28"/>
          <w:rtl w:val="true"/>
          <w:lang w:bidi="ar-SA"/>
        </w:rPr>
        <w:t>ملك أحد العوضين، ولابدّ من تسليم ماله إليه، ووجوب التسليم عليه ليس مشروطاً بتحقّقه من الآخر، فلا يسقط التكليف بأداء مال الغير عن أحدهما بمعصية الآخر، وأنّ ظلم أحدهما لا يسوّغ ظلم الآخر، والوجه فيه أنّ مبنى البيع على التقابض وكون المعاملة يداً بيد، فهناك شرطٌ ضمني ارتكازي يكون العقد مبنيّاً عليه، وهو التزام كلّ منهما بتسليم العين مقارناً لتسليم صاحبه، والتزام على صاحبه أن لا يسلّمه مع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فلكلّ منهما الامتناع من التسليم لو امتنع الآخر، ولا يجب تسليم ما بيده قبل تسليم صاحبه ما تحت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نقول في المقام، فإنّ هذا الشرط الضمني الارتكازي الذي هو بحكم الذكر لبناء العقد عليه، كما يكون في البيع، كذلك يكون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قطع النظر عمّا نفينا عنه البُعد، وأفتى به جماعة منهم الفاضل النراقي</w:t>
      </w:r>
      <w:r>
        <w:rPr>
          <w:rStyle w:val="FootnoteAnchor"/>
          <w:rtl w:val="true"/>
        </w:rPr>
        <w:footnoteReference w:id="288"/>
      </w:r>
      <w:r>
        <w:rPr>
          <w:rFonts w:ascii="Amiri" w:hAnsi="Amiri" w:eastAsia="Amiri" w:cs="Amiri"/>
          <w:color w:val="111111"/>
          <w:sz w:val="28"/>
          <w:sz w:val="28"/>
          <w:szCs w:val="28"/>
          <w:rtl w:val="true"/>
          <w:lang w:bidi="ar-SA"/>
        </w:rPr>
        <w:t>من أنّه بمجرّد الإجارة تصبح ذمّة المنوب عنه فارغة، وتشتغل ذمّة الأجير به، وإلّا فيجب تسليم الاُجرة وإنْ لم يعمل كما هو واضح، والمسألة محتاجة إلى مزيدٍ من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الفرق بين استيجار العبد لعمل، وبين استيجار الحُرّ له، حيث التزم الأصحاب بجواز مطالبة الاُجرة قبل إتيان العبد بالعمل، بخلاف ما هُم عليه في الحُرّ حيثُ لَم يلتزموا بذلك، مع أنّ المدرك عامّ لهما؟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بينهما أصلاً، وما قيل من أنّ تسليم منفعة العبد إنّما هو بتسليم نفسه، وهذا بخلاف الحُرّ، فإنّه لا يقع تحت اليد، كلام شعري لا أصل 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المراد من الوقوع تحت اليد ليس صيرورته مِلْكاً لمن وقع تحت يده، فإنّ العبد أيضاً لا يصير كذلك، بل المراد التسلّط الخارجي وإمكان الانتفاع به، وهو فيهما على حَدٍّ سواء، وإنّما الفرق بين موارد الإجارة، فإنّه قد تقع الإجارة على المنفعة الخاصّة، وهذا إنّما يكون بتسليم من تكون المنفعة قائمة به، لوجودها بوجوده، من غير فرق بين العبد والحُرّ، وقد تقع على العمل، وهذا لا يكون تسليمه إلّابالعمل، وتمام الكلام في كتاب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ذكرناه من أنّ للمستأجر الامتناع من تسليم الاُجرة قبل العمل، فلو كان المستأجر وكيلاً أو وصيّاً وسلّمها قبله، هل يكون ضامناً على تقدير عدم العمل من المؤجّر، أو فساده كما عن جمع من الأساطين، أم لا؟</w:t>
      </w:r>
    </w:p>
    <w:p>
      <w:pPr>
        <w:pStyle w:val="BookText"/>
        <w:rPr/>
      </w:pPr>
      <w:r>
        <w:rPr>
          <w:rFonts w:ascii="Amiri" w:hAnsi="Amiri" w:eastAsia="Amiri" w:cs="Amiri"/>
          <w:color w:val="111111"/>
          <w:sz w:val="28"/>
          <w:sz w:val="28"/>
          <w:szCs w:val="28"/>
          <w:rtl w:val="true"/>
          <w:lang w:bidi="ar-SA"/>
        </w:rPr>
        <w:t xml:space="preserve">استدلّ للأوّل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مثل هذا التصرّف منه يُعدّ تفريطاً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الاُجرة صارت ملكاً للأجير بالإجارة، وخرجت عن ملك الميّت والموكّل، ولذلك لا يمكن عدّ رَدّ المال إلى صاحبه تفريطاً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حيث يكون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الميّت والموكّل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الامتناع عن التسليم قبل العمل، فلا يجوز ذلك بدون إذنهما، فلو سلّم الاُجرة الوكيل أو الوصي والحال هذه، ولم يأت الأجير بالعمل وانفسخت الإجارة، وعاد المال إلى الموكّل أو الميّت، يكون الوصيّ أو الوكيل متعدّياً وضامناً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خصوص الحَجّ لمّا كان المتعارف تسليم الاُجرة أو نصفها قبل المشي إلى مكّة، يستحقّ الأجير المطالبة في صورة الإطلاق، ويجوز للوكيل والوصي دفعها من غير ضمان للإذن المستفاد من التعارف، ولذلك ترى في النصوص 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تسليم الاُجرة قبل الحَجّ أمرٌ مفروغٌ عنه، كما في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مسمع،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الرّجل دراهم يحجّ بها عنّي، ففضل منها شيء، فلم يردّه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لعلّه ضيَّق على نفسه في النفقة لحاجته إلى النفقة</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محمّد بن عبد اللّه القمّي،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يعطى الحَجّة يحجّ بها، ويوسّع علينفسه، فيفضل منها أيردّها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له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الساباطي،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يأخذ الدراهم ليحجّ بها عن رجل، هل يجوز أن ينفق منها في غير الحَجّ؟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الحجّة فالدراهم له يصنع بها ما أحبّ وعليه حجّة</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94" w:name="pg11805_167928"/>
    </w:p>
    <w:p>
      <w:pPr>
        <w:pStyle w:val="Heading4"/>
        <w:numPr>
          <w:ilvl w:val="3"/>
          <w:numId w:val="1"/>
        </w:numPr>
        <w:rPr/>
      </w:pPr>
      <w:bookmarkStart w:id="95" w:name="__RefHeading___Toc10670449_73709187"/>
      <w:bookmarkStart w:id="96" w:name="_Toc32"/>
      <w:bookmarkEnd w:id="94"/>
      <w:bookmarkEnd w:id="95"/>
      <w:r>
        <w:rPr>
          <w:rtl w:val="true"/>
        </w:rPr>
        <w:t>استيجار الأجير غيره على الحَجّ‌</w:t>
      </w:r>
      <w:bookmarkEnd w:id="96"/>
    </w:p>
    <w:p>
      <w:pPr>
        <w:pStyle w:val="BookText"/>
        <w:rPr/>
      </w:pPr>
      <w:r>
        <w:rPr>
          <w:rFonts w:ascii="Amiri" w:hAnsi="Amiri" w:eastAsia="Amiri" w:cs="Amiri"/>
          <w:color w:val="111111"/>
          <w:sz w:val="28"/>
          <w:sz w:val="28"/>
          <w:szCs w:val="28"/>
          <w:rtl w:val="true"/>
          <w:lang w:bidi="ar-SA"/>
        </w:rPr>
        <w:t>المسألة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استؤجر للحَجّ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الإجارة على الحَجّ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على تحصيل الحَجّ في الخارج، أعمّ من المباشرة والتسبيب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مطلقة، ولا يصرّح فيها بشيء من 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الأخيرة قد يُنسب الحَجّ إلى الفاعل،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على أن تحجّ‌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المعلوم، وقد لا يُنسب إليه ولا يذكر فاعله،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على أن تُحجّ‌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 وجوب المباشرة، وعدم جواز استنابة غيره فيها، كما لا كلام في جواز الإستنابة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جواز الإستنابة، إذ ظاهر نسبة الفعل إلى الفاعل، كون النسبة على نحو القيام به لا بنحو السبب في حصوله،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تُوجِد الحَجّ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جوازها، لأنّ المستأجر عليه هو الحَجّ من دون نظر إلى فاعلٍ معيّن، ونسبته إلى الأجير ليست نسبة قيام بل نسبة تحصيل، هذا ما يقتضيه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المقام رواية وهي رواية عثمان بن عيسى‌،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الرّجل يعطى الحَجّة فيدفعها إلى غيره‌؟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أفاده بعض المعاصرين</w:t>
      </w:r>
      <w:r>
        <w:rPr>
          <w:rStyle w:val="FootnoteAnchor"/>
          <w:rtl w:val="true"/>
        </w:rPr>
        <w:footnoteReference w:id="294"/>
      </w:r>
      <w:r>
        <w:rPr>
          <w:rFonts w:ascii="Amiri" w:hAnsi="Amiri" w:eastAsia="Amiri" w:cs="Amiri"/>
          <w:color w:val="111111"/>
          <w:sz w:val="28"/>
          <w:sz w:val="28"/>
          <w:szCs w:val="28"/>
          <w:rtl w:val="true"/>
          <w:lang w:bidi="ar-SA"/>
        </w:rPr>
        <w:t>من الخدشة في سندها غير صحيح، فإنّ سندها صحيح، ورجالها ثقات، ولكن في دلالتها على خلاف مقتضى القواعد تأمّلاً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دلالة فيها على الاستيجار بوجه، بل مدلولها إعطاء ما يَحجّ به لأجل الحَجّ‌، فيحتمل التوكيل أيضاً، بل هو الظاهر، فسئل أنّه إذا أعطى رجل وجه حَجّة لغيره، هل يجب على الغير مباشرته بنفسه أو يجوز له الدفع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دعوى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من حملها على صورة العلم بالرِّضا من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لا شاهد لهذا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العلم بالرِّضا لا يكفي، إلّاأن يرجع إلى الإذن الإنشائي في الاستيفاء بفرد آخر، فالعمدة ما ذكرناه، وإلّا فالرواية غير معمول بها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97" w:name="pg11805_167930"/>
    </w:p>
    <w:p>
      <w:pPr>
        <w:pStyle w:val="Heading4"/>
        <w:numPr>
          <w:ilvl w:val="3"/>
          <w:numId w:val="1"/>
        </w:numPr>
        <w:rPr/>
      </w:pPr>
      <w:bookmarkStart w:id="98" w:name="__RefHeading___Toc10670451_73709187"/>
      <w:bookmarkStart w:id="99" w:name="_Toc33"/>
      <w:bookmarkEnd w:id="97"/>
      <w:bookmarkEnd w:id="98"/>
      <w:r>
        <w:rPr>
          <w:rtl w:val="true"/>
        </w:rPr>
        <w:t>الاستئجار للحَجّ مع ضيق الوقت عنه</w:t>
      </w:r>
      <w:bookmarkEnd w:id="99"/>
    </w:p>
    <w:p>
      <w:pPr>
        <w:pStyle w:val="BookText"/>
        <w:rPr/>
      </w:pPr>
      <w:r>
        <w:rPr>
          <w:rFonts w:ascii="Amiri" w:hAnsi="Amiri" w:eastAsia="Amiri" w:cs="Amiri"/>
          <w:color w:val="111111"/>
          <w:sz w:val="28"/>
          <w:sz w:val="28"/>
          <w:szCs w:val="28"/>
          <w:rtl w:val="true"/>
          <w:lang w:bidi="ar-SA"/>
        </w:rPr>
        <w:t>المسألة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استيجار من ضاق وقته عن إتمام الحَجّ تمتّعاً، وكان وظيفته العدول إلى الإفراد عن من عليه حَجّ التمتّع، إذ الإفراد في الفرض المذكور بدلٌ اضطراري، وعلى فرض القول بجواز العدول إليه من الأوّل إذا علم بالضيق، ولم يختصّ ذلك بمَن شرع في الحَجّ ثمّ تبيّن، فإنّ المنوب عنه مع فرض إمكان غير هذا النائب له لا يكون مضطرّاً، فلا يكون ذلك مشروعاً للنائب، كي تصحّ استيجاره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استأجره مع سعة الوقت، فنوى التمتّع، ثمّ اتّفق ضيق الوقت، فهل يجوز العدول، ويجزي عن المنوب عنه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أعثر على مصرّح من الفقهاء بحكمه</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واعتماداً عليه قدس سره تركنا الفحص عن ذلك، ولكن المتأخّرين عنه اختلفوا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العدول، ذهب إليه المحقّق النائيني رحمه الله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جوازه، اختاره جمع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أخبار العدول إليه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بانصرافها إلى الحاجّ عن نفسه، وحيثُ إنّه يكون على خلاف الأصل فلا دليل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الانصراف لا منشأ لها، وعلى فرضه فهو بدويٌ لا يعتنى به، فالمحكّم هو إطلاق أخبار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جواز العدول هل يكون مجزئاً عن المنوب عنه أم لا؟</w:t>
      </w:r>
    </w:p>
    <w:p>
      <w:pPr>
        <w:pStyle w:val="BookText"/>
        <w:rPr/>
      </w:pPr>
      <w:r>
        <w:rPr>
          <w:rFonts w:ascii="Amiri" w:hAnsi="Amiri" w:eastAsia="Amiri" w:cs="Amiri"/>
          <w:color w:val="111111"/>
          <w:sz w:val="28"/>
          <w:sz w:val="28"/>
          <w:szCs w:val="28"/>
          <w:rtl w:val="true"/>
          <w:lang w:bidi="ar-SA"/>
        </w:rPr>
        <w:t>ذهب جماعةٌ منهم الفاضل النراقي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إلى الثاني، واستدلّ 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عمومات عدول المتمتّع إلى الإفراد مع العُذر لا يفيد أزيد من جوازه أو لزومه عليه، وعدم ترتّب إثم أو شيء آخر عليه من هذه الحيثيّة، وهو مسلمٌ ولا يدلّ ذلك على براءته عمّا لزم عليه من جهة الإجارة، واستحقاقه لمال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تسليم شمول أخبار العدول له، يكون تلك ظاهرة في كون الإفراد بدلاً شرعيّاً عمّا عليه، فمع إتيان البدل لا محالة يسقط المبدل عنه عن الذمّة، فالإجزاء لازمُ شمول الأخبار له، ويترتّب عليه استحقاقه الاُجرة المسمّاة، وبهذا يندفع ما استدلّ به على عدم الإجزاء عنه، بأنّ الأبدال الاضطراريّة إنّما تجزي على تقدير الاضطرار، والاضطرار بالنسبة إلى المنوب عنه يتوقّف على انحصار النائب بالشخص المعيّن، فمع إمكان غيره لا اضطرار، فإنّ هذا الوجه يصلح وجهاً لعدم جواز استيجاره لمن يعلم بذلك من أوّل الأمر، ولا يصلح الاستناد إليه في فرض المسألة بعد عموم النّص</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00" w:name="pg11805_167932"/>
    </w:p>
    <w:p>
      <w:pPr>
        <w:pStyle w:val="Heading3"/>
        <w:numPr>
          <w:ilvl w:val="2"/>
          <w:numId w:val="1"/>
        </w:numPr>
        <w:rPr/>
      </w:pPr>
      <w:bookmarkStart w:id="101" w:name="__RefHeading___Toc10670453_73709187"/>
      <w:bookmarkStart w:id="102" w:name="_Toc34"/>
      <w:bookmarkEnd w:id="100"/>
      <w:bookmarkEnd w:id="101"/>
      <w:r>
        <w:rPr>
          <w:rtl w:val="true"/>
        </w:rPr>
        <w:t>فصل في الوصيّة بالحَجّ‌</w:t>
      </w:r>
      <w:bookmarkEnd w:id="102"/>
    </w:p>
    <w:p>
      <w:pPr>
        <w:pStyle w:val="Heading4"/>
        <w:numPr>
          <w:ilvl w:val="3"/>
          <w:numId w:val="1"/>
        </w:numPr>
        <w:rPr/>
      </w:pPr>
      <w:bookmarkStart w:id="103" w:name="__RefHeading___Toc10670455_73709187"/>
      <w:bookmarkStart w:id="104" w:name="_Toc35"/>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 بالحَجّ‌، والكلام فيه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الحَجّ على المكلّف، ولم يأت به إلى أن قَرُب أجله، وجب عليه أن يوصي به، وفاقاً لصريح غير واحدٍ، وظاهر آخرين في جميع العبادات البدنيّة، واستدلّ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معاقد الإجماعات الدالّة على وجوب الوصيّة لكلّ حقّ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تلك الإجماعات تعبّديّة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من أنّفيه دفعاًلضرر العقاب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العقاب على ترك مباشرته حال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 قد يفوت الواجب لعذرٍ يُسقط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على ترك المباشرة لا يندفع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العقاب على ترك الوصيّة، فهو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العقاب على عدم إتيان النائب، فهو لا يكون متوجّهاً إلى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الأعظم</w:t>
      </w:r>
      <w:r>
        <w:rPr>
          <w:rStyle w:val="FootnoteAnchor"/>
          <w:rtl w:val="true"/>
        </w:rPr>
        <w:footnoteReference w:id="301"/>
      </w:r>
      <w:r>
        <w:rPr>
          <w:rFonts w:ascii="Amiri" w:hAnsi="Amiri" w:eastAsia="Amiri" w:cs="Amiri"/>
          <w:color w:val="111111"/>
          <w:sz w:val="28"/>
          <w:sz w:val="28"/>
          <w:szCs w:val="28"/>
          <w:rtl w:val="true"/>
          <w:lang w:bidi="ar-SA"/>
        </w:rPr>
        <w:t>رحمه الله في كتاب الوصيّة، وحاصله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بناءً عليمشروعيّة النيابة في العبادة البدنيّة كالحَجّ على ما هو المفروض، لا محالة يكون حَجّ النائب حَجّاً للمنوب عنه، وعليه فخطاب الحَجّ وإنْ لم يشمل </w:t>
      </w:r>
    </w:p>
    <w:p>
      <w:pPr>
        <w:pStyle w:val="BookText"/>
        <w:rPr/>
      </w:pPr>
      <w:r>
        <w:rPr>
          <w:rFonts w:ascii="Amiri" w:hAnsi="Amiri" w:eastAsia="Amiri" w:cs="Amiri"/>
          <w:color w:val="111111"/>
          <w:sz w:val="28"/>
          <w:sz w:val="28"/>
          <w:szCs w:val="28"/>
          <w:rtl w:val="true"/>
          <w:lang w:bidi="ar-SA"/>
        </w:rPr>
        <w:t>الإيصاء به، لأنْ يأتي النائب به، إلّاأنّه مستفاد ممّا ثبت من أنّ الأمر بالمسبّب المتوقّف على أُمور غير اختياريّة يرجع إلى إرادة إيجاد ما في وسع المكلّف من المقدّمات، وإنْ لم يكن ذلك مراداً من اللّفظ، فإنْ صادف الأسباب الموجودة باقي الأُمور الخارجة عن اختيار المكلّف، فقد حصل الامتثال وإلّا سقط الأمر، فالإيصاء بفعل الحَجّ نيابة عنه، يسقط معه الأمر بالحَجّ على كلّ تقدير، سواءٌ حصل من النائب أم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قدس سره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قدس سره من أنّ فعل النائب فعل المنوب عنه تنزيلاً، فإنّه قد عرفت في فصل النيابة عند بيان حقيقتها أنّ هذا لا يتمّ‌، بل النائب مأمورٌ بإتيان العمل بعنوان النيابة مستقلّاً، فراجع</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أنّ المنوب عنه مأمورٌ بفعل النائب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يعقل توجّه الأمر بفعل الغير الذي لا يكون مسبّباً توليديّاً لفعله، ويكون اختياره فاصلاً إليه فإنّه من الأمر بغير المقدور، فضلاً عن أنّه لا دليل عليه، وثبوته في ذمّته غير الأمر به، وإلّا لزم سقوطه بالموت من دون الإيصاء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أنّ الإيصاء بفعل الحَجّ نيابةٌ عنه، يسقط معه الأمر به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سقوطه عنه لا مورد للنيابة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يستقلّ العقل بوجوب إطاعة المولى ولزومء</w:t>
      </w:r>
      <w:r>
        <w:rPr>
          <w:rFonts w:eastAsia="Amiri" w:cs="Amiri" w:ascii="Amiri" w:hAnsi="Amiri"/>
          <w:color w:val="111111"/>
          <w:sz w:val="28"/>
          <w:szCs w:val="28"/>
          <w:rtl w:val="true"/>
          <w:lang w:bidi="ar-SA"/>
        </w:rPr>
        <w:t xml:space="preserve">. </w:t>
      </w:r>
      <w:bookmarkStart w:id="105" w:name="pg11805_167934"/>
    </w:p>
    <w:p>
      <w:pPr>
        <w:pStyle w:val="BookText"/>
        <w:rPr/>
      </w:pPr>
      <w:bookmarkEnd w:id="105"/>
      <w:r>
        <w:rPr>
          <w:rFonts w:ascii="Amiri" w:hAnsi="Amiri" w:eastAsia="Amiri" w:cs="Amiri"/>
          <w:color w:val="111111"/>
          <w:sz w:val="28"/>
          <w:sz w:val="28"/>
          <w:szCs w:val="28"/>
          <w:rtl w:val="true"/>
          <w:lang w:bidi="ar-SA"/>
        </w:rPr>
        <w:t>تفريغ الذمّة عن الواجب، كذلك يستقلّ العقل بلزوم التسبيب إلى فراغ الذمّة بالمقدار الممكن، وليس هو إلّاالإيصاء، وبالملازمة بين حكم العقل وحكم الشارع فيما يمكن توجّه الأمر المولوي كما في المقام، يُستكشف الحكم الشرعي، وهو وجوب الإيصاء</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0670457_73709187"/>
      <w:bookmarkStart w:id="107" w:name="_Toc36"/>
      <w:bookmarkEnd w:id="106"/>
      <w:r>
        <w:rPr>
          <w:rtl w:val="true"/>
        </w:rPr>
        <w:t>الحَجّ الموصى به يخرج من الأصل أو الثُّلث</w:t>
      </w:r>
      <w:bookmarkEnd w:id="10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فصل الحَجّ النذري، أنّ الحَجّ الواجب أعمٌّ من حَجّة الإسلام أو النذري على القول بوجوب قضائه أو غيرهما، بل جميع الواجبات البدنيّة تخرج من الأصل، راجع المسألة الرابعة من ذلك الفصل</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الحَجّ الموصى به فلا كلام ولا خلاف في أنّه لو علم إنّه ندبي يخرج من الثُّلث، ويشهد به طائفتان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مطلق الوصيّة، وهي أخبارٌ كثيرة قد عقد لها الحُرّ العاملي رحمه الله باباً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الوصيّة، وتدلّ على أنّه لا يجوز الوصيّة بأكثر من الثُّلث، خرج عنه الوصيّة بالحَجّ الواجب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أحمد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أحمد بن إسحاق إلى أبي الحسن عليه السلام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دُرّة بنت مقاتل توفّيت، وتركت ضيعةً أشقاصاً في مواضع، وأوصت لسيّدنا عليه السلام في إشقاصها بما يبلغ أكثر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 لها في تركتها إلّاالثُّلث</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bookmarkStart w:id="108" w:name="pg11805_167935"/>
    </w:p>
    <w:p>
      <w:pPr>
        <w:pStyle w:val="BookText"/>
        <w:rPr/>
      </w:pPr>
      <w:bookmarkEnd w:id="108"/>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خصوص الإيصاء بالحَجّ‌، كصحيح معاوية بن عمّار،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مات وأوصى أن يُحجّ عنه‌؟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صرورةً فمن جميع المال، وإنْ كان تطوّعاً فمن ثلثه</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0670459_73709187"/>
      <w:bookmarkStart w:id="110" w:name="_Toc37"/>
      <w:bookmarkEnd w:id="109"/>
      <w:r>
        <w:rPr>
          <w:rtl w:val="true"/>
        </w:rPr>
        <w:t>حكم ما إذا لم يعلم أحد الأمرين</w:t>
      </w:r>
      <w:bookmarkEnd w:id="110"/>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أنّ ما أوصى به واجبٌ أو ندبٌ‌، فهل يخرج من الأصل، أو الثُّلث، أم يفصّل بين الموارد؟</w:t>
      </w:r>
    </w:p>
    <w:p>
      <w:pPr>
        <w:pStyle w:val="BookText"/>
        <w:rPr/>
      </w:pP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يعلم اخرج من الثُّلث اُجرة المثل أو ما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يُخرج من الأصل</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فقد فصّل بين مالو كانت الحالة السابقة فيه هو الوجوب، كما إذا علم وجوب الحَجّ عليه سابقاً، ولم يعلم أنّه أتى به أم لا، فيخرج من الأصل، وبين ما لو لم يعلم به فيخرج من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للخروج من 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مقتضى عمومات وجوب العمل بالوصيّة، خروجها من الأصل، خرج عنها صورة العلم بكونه ندبيّاً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وبالرضوي</w:t>
      </w:r>
      <w:r>
        <w:rPr>
          <w:rStyle w:val="FootnoteAnchor"/>
          <w:rtl w:val="true"/>
        </w:rPr>
        <w:footnoteReference w:id="3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أوصى بماله كلّه، فهو أعلم بما فعله، ويلزم الوصي </w:t>
      </w:r>
    </w:p>
    <w:p>
      <w:pPr>
        <w:pStyle w:val="BookText"/>
        <w:rPr/>
      </w:pPr>
      <w:r>
        <w:rPr>
          <w:rFonts w:ascii="Amiri" w:hAnsi="Amiri" w:eastAsia="Amiri" w:cs="Amiri"/>
          <w:color w:val="111111"/>
          <w:sz w:val="28"/>
          <w:sz w:val="28"/>
          <w:szCs w:val="28"/>
          <w:rtl w:val="true"/>
          <w:lang w:bidi="ar-SA"/>
        </w:rPr>
        <w:t>إنفاذ وصيّته على ما أوصى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أخبارٍ أُخر الذي يكون بهذا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عبارة المخالف كالرضوي لما يلتئم مع فتاوي العلماء، بأن يكون المراد به يجبُ على الوصيّ صَرف المال المُوصى به بجميعه على ما أوصى به، من حيث وجوب العمل بالوصيّة، وحرمة تبديلها بنصّ الكتاب والسُنّة، وإنّما جاز تغيّيرها إذا علم أنّ فيها جوراً ولو بالوصيّة بزيادة عن الثُّلث، وهو بمجرّد الاحتمال غير كافٍ‌، فلعلّ الزيادة منه وقعت الوصيّة بها من دون حيفٍ كان، وجبت عليه في ماله بأحد الأسباب الموجبة له، والموصي أعلم، وهذا غير جواز الوصيّة بالزيادة تبرّعاً، فلا يمضى منه إلّاالثُّلث كما عليه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الصحّة في فعل الموصي، فإنّه مع الشكّ في أنّ الموصى به واجبٌ ليصحّ الوصيّة في أكثر من الثُّلث، أو مندوب فلا يصحّ‌، فيحمل تصرّفه على الصحّة، فيبنى على أنّ وصيّته في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عمومات وجوب العمل بالوصيّة خُصّصت بما دلّ على عدم نفوذ الوصيّة بأزيد من الثُّلث، إنْ كان المُوصى به ندبيّاً، وعليه فالتمسّك بها عند الشكّ في كونه ندبيّاً أو وجوبيّاً يعدّ تمسّكاً بالعام في الشبهة المصداقيّة، وهو لا يجوز</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النصوص ظاهرة في نفوذ الوصيّة، وإنْ كان بأزيد من الثُّلث، ويعارضها روايات كثيرة التي هي أشهر وأصحّ سنداً، وأكثر عدداً، وأوضح دلالةً‌، ويتعيّن طرح هذه النصوص لذلك، ولا وجه لحملها على ما أفاده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إجراء أصالة الصحّة في الوصيّة كما هو ظاهر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الصحّة إنّما تجري عند دوران الأمر بين الصحّة نفسها والفساد، وأمّا لو دار الأمر بين الصحّة الفعليّة والصحّة التأهليّة، كما لو شكّ في صحّة بيع الراهن من جهة الشكّ في إذن المرتهن أو إجازته، فلا تجري، فإنّه لا يثبت الإذن أو الإجازة بإجراء أصالة الصحّة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يدور الأمر بين الصحّة الفعليّة والصحّة التأهليّة، فإنّه لو كان الموصى به واجباً، فهي صحيحة بالفعل، وإنْ كان مندوباً فهي صحيحة بالصحّة التأهليّة، لتوقّفها على إجازة الورثة، فلا تجري أصالة الصحّة، فتأمّل، فإنّ ذلك قابلٌ للمناقشة، فإنّه وإنْ أفاده الشيخ الأعظم، ولكن قد أشبعنا الكلام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القواعد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أصالة الصحّة</w:t>
      </w:r>
      <w:r>
        <w:rPr>
          <w:rStyle w:val="FootnoteAnchor"/>
          <w:rtl w:val="true"/>
        </w:rPr>
        <w:footnoteReference w:id="311"/>
      </w:r>
      <w:r>
        <w:rPr>
          <w:rFonts w:ascii="Amiri" w:hAnsi="Amiri" w:eastAsia="Amiri" w:cs="Amiri"/>
          <w:color w:val="111111"/>
          <w:sz w:val="28"/>
          <w:sz w:val="28"/>
          <w:szCs w:val="28"/>
          <w:rtl w:val="true"/>
          <w:lang w:bidi="ar-SA"/>
        </w:rPr>
        <w:t>، وأثبتنا جريانها عند الدوران بين الفعليّة والتأهليّة، مع أنّه لو تمّ ذلك اختصّ بما إذا زاد اُجرة ما أوصى به عن الثُّلث بالنسبة إلى الزيادة،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إجراء أصالة الصحّة في فعل الموصي، وأنّه أتى بما كان واجباً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إجراء أصالة الصحّة يتوقّف على إحراز صدور العمل في الخارج، ومع الشكّ في تحقّق أصل العمل الموصوف بالصحّة، لا تجري، فإن دليلها يتكفّل التعبّد بالوصف، لا التعبّد بالموصوف وإثباته، ولا تعبّد بالوصف إلّامع إحراز الموصوف</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لما ذهب إليه بجريان الاستصحاب، أي استصحاب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11" w:name="pg11805_167938"/>
    </w:p>
    <w:p>
      <w:pPr>
        <w:pStyle w:val="BookText"/>
        <w:rPr/>
      </w:pPr>
      <w:bookmarkEnd w:id="111"/>
      <w:r>
        <w:rPr>
          <w:rFonts w:ascii="Amiri" w:hAnsi="Amiri" w:eastAsia="Amiri" w:cs="Amiri"/>
          <w:color w:val="111111"/>
          <w:sz w:val="28"/>
          <w:sz w:val="28"/>
          <w:szCs w:val="28"/>
          <w:rtl w:val="true"/>
          <w:lang w:bidi="ar-SA"/>
        </w:rPr>
        <w:t>بقاء وجوبه إذا علم وجوب الحَجّ عليه سابقاً، ويدخل بذلك في موضوع ما دلّ على الخروج من الأصل، وهذا بخلاف ما لو لم يعلم به، فإنّ مقتضى الأصل عدم كونه واجباً، فيخرج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يتمّ في الشقّ الثاني، ولا يتمّ في الأوّل، لأنّ استصحاب بقاء الوجوب لا يكون مثبتاً لدين الميّت الذي هو موضوعٌ لتوجّه الخطاب إلى الوارث، 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 يخرج من الثُّلث بمقتضى أصالة عدم الوجوب</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0670461_73709187"/>
      <w:bookmarkStart w:id="113" w:name="_Toc38"/>
      <w:bookmarkEnd w:id="112"/>
      <w:r>
        <w:rPr>
          <w:rtl w:val="true"/>
        </w:rPr>
        <w:t>إذا لم يعيّن الموصي الاُجرة اقتصر على الأقلّ‌</w:t>
      </w:r>
      <w:bookmarkEnd w:id="11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يعيّن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أجيراً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يعينه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أوصى به ولم يعيّن الاُجرة ولا الأجير،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وغيرها انصرف ذلك إلى اُجرة المثل، كما هو مقتضى إطلاق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وغيرهما أنّه يلزم الاقتصار على أقلّ ما يوجد من يَحجّ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بالانصراف إلى اُجرة المثل، أو الانصراف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انصراف الاُجرة مع عدم التعيّين إلى اُجرة المثل فواضحٌ‌، لأنّ الواجب العمل بالوصيّة مع الاحتياط للوارث، فيكون ما جرت به العادة كالمنطوق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يتمّ إذا كان الوصيّة بالإخراج من الثُّلث، فإنّ له التصرّف بما شاء، وأمّا إذا لم تكن كذلك، بل كانت بإخراجه من الأصل أو كانت مطلقة، وقلنا بأنّه يخرج من الأصل، فهذا الوجه غاية ما يدلّ عليه أنّه كالتصريح بالاستيجار باُجرة المثل، فإذا أمكن الاستيجار بالأقلّ وجب الاقتصار عليه، فإنّه به يُجمع بين ما دلّ على لزوم العمل بالوصيّة، وما دلّ على أنّه لا يجوز الحيف على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بالوصيّة لازم، إلّاأنّه لابدّ وأن يراعى حَقّ الورثة، ولا يزاحمهم، ولا يكون ذلك إلّابالاستيجار بالأقلّ إنْ أمكن، بل يمكن منع ذلك وإنْ كانت الوصيّة بالإخراج من الثُّلث، فإنّ إطلاق الوصيّة يقتضي الإذن بما فيه مصلحة الموصى، ومعلومٌ أنّ مصلحته تقتضي الاستيجار بالأقلّ إنْ أمكن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اخترناه، يجب الفحص عنه، إذ مع احتمال وجوده لا يكون جواز الاستيجار باُجرة المثل معلوماً، نعم يكون وجوب الفحص مغيّى بأن يلزم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 الحرج أو تعطيل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فيما ذكرناه بين أن يكون الحَجّ الموصى به، هو الحَجّ الواجب أو الندبي، فإن أوصى به وعيّن أجيراً ولم يعيّن الاُجرة، فإنْ رضي الأجير بما يرضى به الأقلّ اُجرةً فلا كلام، وإنْ لم يرض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على الولي أنْ يحجّ عنه بأقلّ ما يوجد من يحجّ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أنّ الواجب الاستيجار باُجرة المثل، لا أقلّ اُجرة يوجدُ من يَحجّ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 إجابة الموصى له فيما يرضي، بأن يحجّ به، وإنْ كان زائداً عن الاُجرة، إلّاأنّ الزائد يخرج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 الاُجرة التي يقتصر عليها في الخروج من الأصل، هل هي اُجرة المثل، أو أقلّ ما يوجد؟ هو الكلام فيها في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الزائد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أقلّ من الثُّلث، يخرج منه، ويجبُ إجابة الموصى له، وإنْ كان أزيد منه، فلا يجب إجابته، وتبطل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الحَجّ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مندوباً، فيخرج اُجرة الحَجّ بتمامها من الثُّلث إن اتّسع، وإلّا فتبطل الوصيّة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بالحَجّ وعيّن الاُجرة، ولم يعيّن الأجير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الحَجّ ندبيّاً فالحكم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واجباً، فإنْ كانت الاُجرة المعيّنة مساويةً لأقلّ ما يجد من يحجّ به، صرفها الوارث إلى من شاء ممّن يقوم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أزيد منه كان ما يساويه من الأصل، والزائد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بالحَجّ وعيّن الأجير والاُجرة معاً، فهنا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الوصيّة بالحجّ الواجب،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عيّنهما معاً،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أحجّوا عنّي فلاناً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 فلان اُجرة المثل من أصل المال، والزائد من الثُّلث، فإنْ رضي الموصى له فلا بحث، وإلّا استؤجر غيره بالمعيّن إن ساوى اُجرة المثل أو كان أقلّ‌، وإنْ زاد فالوجه أنّ الزيادة للوارث، لأنّه أوصى بها لشخصٍ معيّن بشرط الحَجّ‌، ولم يفعل الموصى له فيكون للوارث، ولا شيء للموصى له، لأنّه إنّما وصّى له بشرط قيامه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بإخراج اُجرة المثل من الأصل، ينافي ما اخترناه، واختاره هو في الصورة السابقة من أنّ اُجرة الحَجّ التي تخرج من الأصل هي أقلّ ما يوجد من يحجّ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المقدار المشار إليه يُخرج من الأصل، والزائد عليه من الثُّلث إن اتّسع، وإلّا فمع إجازة الوراث، وبدونهما تبطل الوصيّة، لتعلّق الوصيّة بشخصٍ معيّن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322"/>
      </w:r>
      <w:r>
        <w:rPr>
          <w:rFonts w:ascii="Amiri" w:hAnsi="Amiri" w:eastAsia="Amiri" w:cs="Amiri"/>
          <w:color w:val="111111"/>
          <w:sz w:val="28"/>
          <w:sz w:val="28"/>
          <w:szCs w:val="28"/>
          <w:rtl w:val="true"/>
          <w:lang w:bidi="ar-SA"/>
        </w:rPr>
        <w:t xml:space="preserve">من الإشكال في بطلان الوصيّة،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أوصى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 والاُجرة، والحَجّ واجبٌ لابدَّ من إخراجه، وتعذّر الأجير لامتناعه لا يوجبُ بطلان تعيّين الاُجرة إلّاأن يعلم أنّ التعيّين إنّما وقع من حيث خصوصيّة ذلك الأجير الموصى له، وهو هنا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الوصيّة نظير غيرها ممّا يتوقّف تحقّقه على الإنشاء والإبراز، والمفروض أنّ المُنشَأ هو الوصيّة لشخص معيّن، فمع امتناعه تبطل الوصيّة، ومجرّد تعلّق غرض الموصي بشيء لا يُجدي إلّاأن يعلم إرادة هذا الغرض من اللّفظ ولو مجازاً وبدلالة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ما نحن فيه ليس كذلك، وقاعدة الميسور مع ارتباط أحدهما بالآخر في الإنشاء، لا مجرى لها، وإذا بطلت الوصيّة، فحيث أنّ الحَجّ واجب، لابدَّ من إخراجه، فيستأجر غيره بأقلّ ما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الوصيّة بالحَجّ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الاُجرة الموصى بها بمقدار الثُّلث أو أقلّ منه، تعيّن استيجار ذلك الأجير، وإنْ زادت عنه أو لم يوافق الوصي بتلك الاُجرة، بطلت الوصيّة وتدفع الاُجرة إلى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علم تعلّق غرض الموصي بالحَجّ مطلقاً، وجب إخراجه، لأنّ الموصى به على هذا التقدير في قوّة شيئين، فلا يبطل أحدهما بفوات الآخر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المُنشَأ بالإيصاء متعدّداً، ولم يحتمل ارتباطهما، وإلّا فمجرّد التعدّد الضمني لا يُجدي كما مرّ</w:t>
      </w:r>
      <w:r>
        <w:rPr>
          <w:rFonts w:eastAsia="Amiri" w:cs="Amiri" w:ascii="Amiri" w:hAnsi="Amiri"/>
          <w:color w:val="111111"/>
          <w:sz w:val="28"/>
          <w:szCs w:val="28"/>
          <w:rtl w:val="true"/>
          <w:lang w:bidi="ar-SA"/>
        </w:rPr>
        <w:t>.</w:t>
      </w:r>
      <w:bookmarkStart w:id="114" w:name="pg11805_167943"/>
    </w:p>
    <w:p>
      <w:pPr>
        <w:pStyle w:val="Heading4"/>
        <w:numPr>
          <w:ilvl w:val="3"/>
          <w:numId w:val="1"/>
        </w:numPr>
        <w:rPr/>
      </w:pPr>
      <w:bookmarkStart w:id="115" w:name="__RefHeading___Toc10670463_73709187"/>
      <w:bookmarkStart w:id="116" w:name="_Toc39"/>
      <w:bookmarkEnd w:id="114"/>
      <w:bookmarkEnd w:id="115"/>
      <w:r>
        <w:rPr>
          <w:rtl w:val="true"/>
        </w:rPr>
        <w:t>إذا لم يعيّن عدد الحَجّ‌</w:t>
      </w:r>
      <w:bookmarkEnd w:id="116"/>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بالحَجّ وعيّن المرّة أو التكرار بعددٍ معيّن، تعيّن بلا خلافٍ ولا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أنّه أراد المرّة أو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أراد التكرار، ولكن لا يعلم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32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وغيرها لزوم الاقتصار على المرّة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بعضٍ أنّه إنْ اُخرج من الأصل، وجب الاقتصار على الواحد، إلّا مع إذن الورثة، وإنْ اُخرج من الثُّلث جاز الواحد كما جاز المتعدّد في سنة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الشيخ</w:t>
      </w:r>
      <w:r>
        <w:rPr>
          <w:rStyle w:val="FootnoteAnchor"/>
          <w:rtl w:val="true"/>
        </w:rPr>
        <w:footnoteReference w:id="328"/>
      </w:r>
      <w:r>
        <w:rPr>
          <w:rFonts w:ascii="Amiri" w:hAnsi="Amiri" w:eastAsia="Amiri" w:cs="Amiri"/>
          <w:color w:val="111111"/>
          <w:sz w:val="28"/>
          <w:sz w:val="28"/>
          <w:szCs w:val="28"/>
          <w:rtl w:val="true"/>
          <w:lang w:bidi="ar-SA"/>
        </w:rPr>
        <w:t xml:space="preserve">، وجماعة،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التكرار ما دام الثُّلث باقياً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الإطلاق لو كان هناك إطلاقٌ‌، كون المراد صِرف </w:t>
      </w:r>
    </w:p>
    <w:p>
      <w:pPr>
        <w:pStyle w:val="BookText"/>
        <w:rPr/>
      </w:pPr>
      <w:r>
        <w:rPr>
          <w:rFonts w:ascii="Amiri" w:hAnsi="Amiri" w:eastAsia="Amiri" w:cs="Amiri"/>
          <w:color w:val="111111"/>
          <w:sz w:val="28"/>
          <w:sz w:val="28"/>
          <w:szCs w:val="28"/>
          <w:rtl w:val="true"/>
          <w:lang w:bidi="ar-SA"/>
        </w:rPr>
        <w:t>وجود الطبيعة، المنطبق على أوّل الوجودات، وهو وإنْ يصدق على المتعدّد كما يصدق على الواحد، إلّاأنّه من جهة مزاحمته لحقّ الورثة، يقتضي الاقتصار فيه على أقلّ ما يتحقّق به الوصيّة، أمّا وإنْ لم يكن لكلامه إطلاق، فإنّ مقتضى أصالة العدم، عدم الوصيّة بأزيد من واحد، فيقتصر على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مقتضى الإطلاق والأصل متين، وأمّا ما اُفيد من أنّه لمزاحمة حقّ الورثة يجبُ الاقتصار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يتمّ إذا أُخرج من الأصل، وإنْ أُخرج من الثُّلث فلا يتمّ‌، فإنّه أحقّ به من غيره، وعليه فالقول الثاني هو الصحيح بحسب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بإنّ يقين البراءة من تنفيذ الوصيّة لا يحصلُ إلّابذلك،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الحسين بن أبي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أوصى أن يُحجّ عنه مبهماً؟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ما بقي من ثلثه شيء</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اضطررتُ إلى مسألتك،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سعد أوصى حَجّوا عنّي مبهماً، ولم يُسمّ شيئاً، ولا يُدرى كيف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ما دام له مال</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الحسن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سألتُ أصحابنا عمّا اُريد أن أسألك عنه، فلم أجد عندهم جواباً، وقد اضطررتُ إلى مسألتك، وأنّ سعد بن سعد أوصى إليّ فأوصى في وصيّته حَجّوا عنّي مبهماً، ولم يُفسّر كيف أصنع‌؟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 جوابي في كتابك،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ما دام له مالٌ يحمله</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والأخيران وإنْ كانا في بادئ النظر مطلقين من حيث الثُّلث أو التمام، إلّا أنّهما يُقيّدان بالثُّلث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للإجماع أو للخبر الأوّل الذي هو كالمقيّد بالنسبة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لأنّ المراد بالمال فيهما هو الثُّلث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الثُّلث له لا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يقين بالشُّغل بأزيد من مرّة، كي يجري قاعدة الاشتغال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 على الاستدلال بها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موهونة بإعراض المشهور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له مع عدم ظهور رادٍّ لها من المتقدّمين، سوى شاذّ، وقد أفتى بمضمونها في التهذيب</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وإذا انضمّ إليه أنّ إعراض المتأخّرين لا يوجبُ الوهن ارتفع هذا الإيراد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من أنّه يمكن أن يكون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المراد من الأخبار أنّه يجبُ الحَجّ ما دام يمكن الإتيان به، ببقاء شيءٍ من الثُّلث بعد العمل بوصايا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يُحجّ عنه إنْ بقي شيء من ثلثه بعد وصيّة مقدّمة عليه، فلا يفهم التكرار منها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أنّه حملٌ لا شاهد له، فإنّه يشهد بخلافه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مبهماً لم يفسّر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 اُفيد لا إبهام فيه، فضلاً عن أنّ مثل هذا السؤال ليس شيئاً يعجز الأصحاب عن جوابه، بل هو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من حملها على صورة إرادة التكرار، وتبعه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الإطلاق وعدم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المحتمل أن يكون مورد الأخبار ما لو أوصى بإخراج الثُّلث أوّلاً، ولم يذكر إلّاالحَجّ‌، وكان تردّد السائل من جهة أنّه هل يَحجّ عنه مرّة ويصرف الباقي في سائر وجوه البِرّ، أو يصرف الثُّلث بتمامه في الحَجّ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يُدّعى ظهور الاقتصار في الوصيّة بالحَجّ عنه في إرادة الوصيّة بالثُّلث، وأنّه يصرف في ذلك وإنْ لم يوص بالثلث بغير اللّفظ المزبور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الشيخ ومن تبعه ذلك، لا الحمل على التكرار تعبّداً،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ظاهر اللّفظ خلافه، ضرورة استبعاد مثل ذلك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الظهور المزبور غير ظاهرة، بل فرض السؤال في النصوص فرض الابهام وعدم الظهور، ومجرّد الاحتمال لا يضرّ بالاستدلال بعد الإطلاق، واستبعاد مثل ذلك من مثل الشيخ وأتباعه في غير محلّه بعد كونه مقتضى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 إنكار دلالتها على ذلك مكابرة، فالمتعيّن بحسب النصوص هو القول الثالث</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ظهر حكم ما لو علم إرادة التكرار ولم يعلم العدد</w:t>
      </w:r>
      <w:r>
        <w:rPr>
          <w:rFonts w:eastAsia="Amiri" w:cs="Amiri" w:ascii="Amiri" w:hAnsi="Amiri"/>
          <w:color w:val="111111"/>
          <w:sz w:val="28"/>
          <w:szCs w:val="28"/>
          <w:rtl w:val="true"/>
          <w:lang w:bidi="ar-SA"/>
        </w:rPr>
        <w:t>.</w:t>
      </w:r>
      <w:bookmarkStart w:id="117" w:name="pg11805_167948"/>
    </w:p>
    <w:p>
      <w:pPr>
        <w:pStyle w:val="Heading4"/>
        <w:numPr>
          <w:ilvl w:val="3"/>
          <w:numId w:val="1"/>
        </w:numPr>
        <w:rPr/>
      </w:pPr>
      <w:bookmarkStart w:id="118" w:name="__RefHeading___Toc10670465_73709187"/>
      <w:bookmarkStart w:id="119" w:name="_Toc40"/>
      <w:bookmarkEnd w:id="117"/>
      <w:bookmarkEnd w:id="118"/>
      <w:r>
        <w:rPr>
          <w:rtl w:val="true"/>
        </w:rPr>
        <w:t>إذا عيّن مقداراً لا يكفي للحَجّ‌</w:t>
      </w:r>
      <w:bookmarkEnd w:id="119"/>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رجلٌ أن يحجَّ عنه سنين، وعيّن لكلّ سنةٍ مقداراً معيّناً من المال، واتّفق عدم كفاية ذلك المقدار لكلّ سنةٍ‌، جُمع نصيب سنتين في سنة، وكذا لو قصر اُضيف إليه من نصيب الثالثة كما هو المشهور شهرة عظيمة، بل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مقطوعٌ به في كلام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خلافٍ يُعرَف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من أنّ المال الموصى به قد خرج بالوصيّة عن ملك الورثة، ووجب صرفه فيما عيّنه الموصي بقدر الإمكان، ولا يمكن صرفه إلّا بهذا الوجه فيتعيّن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صرف الموصى به فيما عيّنه الموصي إنْ أمكن، وفي الفرض لا يمكن، لأنّه عيّن قدراً معيّناً لكلّ سنة لا يفي به، فلا يمكن الصرف فيما عيّن، وصرفه فيما هو أقرب إليه يحتاج إلى دليل، فليكن المقام من قبيل ما إذا أوصى بمالٍ في جهة معيّنة لا يمكن صرفه فيها، وسيأتي الكلام فيه وأنّه يُصرف في وجوه البِرّ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المال خرج عن الإرث، ووجب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وكونه بقدر مخصوص، فإذا تعذّر الثاني لم يسقط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عندي ضعيفة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لو كانت بأمرين مستقلّين غير مرتبطين تمّ ما اُفيد، ولكن الفرض ارتباط الوصيّتين، ووجوب الحَج بقدرٍ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حال الموصي، إرادة صَرف ذلك المقدار في الحَجّ‌، وكون تعيّين مقدار كلّ سنةٍ بتخيّل 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من أن في باب الوصيّة كسائر الإنشائيّات لا اعتبار بالمرادات والأغراض، وإنّما الميزان هو المُنشَأ، والفرض أنّه لا يمكن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 وهي إنْ رجعت إلى أحد الوجوه السابقة، فقد ظهر حالها، وإلّا فإنْ اُريد إجراؤها في مراد الموصي، فيرد عليه أنّ القاعدة غير تامّة في نفسها، وعلى فرض تماميّتها فهي في المطلوبات الشرعيّة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إجراؤها في وجوب العمل بالوصيّة، فهو لا يصحّ‌، لأنّ وجوب العمل بها متوقّفٌ على صدقها على البعض، ومع إنتفائه لانتفاء القيد لا يصدق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 على فرض تماميّتها، لا تصلحُ لإثبات وجوب ما لم يوص به الميّت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 الواردة في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إبراهيم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عليّ بن محمّد الحصيني أنّ ابن عمّي أوصى أن يُحجّ عنه بخمسة عشر ديناراً في كلّ سنة، وليس يكفي، ما تأمرني في ذلك‌؟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حَجّتين في حَجّة، فإنّ اللّه تعالى عالمٌ بذلك</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عليه السلام أنّ مولاك عليّ بن مهزيار أوصى أن يُحجّ عنه من ضيعةٍ صيَّر ربعها لك في كلّ سنةٍ حَجّةً إلى عشرين ديناراً، وأنّه قد انقطع طريق البصرة، فتضاعف المؤن على النّاس، فليس يكتفون بعشرين ديناراً، وكذلك أوصى عدّة من مواليك في حَجّهم‌؟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ثلاث حِجج حَجّتين إنْ شاء اللّه</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 ما فيهما من الكيفيّتين من باب المثال، سيّما بلحاظ التعليل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على الاستدلال بهما بضعف السند، والظاهر أنّ نظره إلى روايتهما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عمّن حَدّثه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للخبرين طريقين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رواهما عن محمّد بن عليّ بن محبوب عن إبراهيم، وطريقه إليه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الصدوق رواهما عن إبراهيم بن مهزيار، وطريقه إليه أيضاً صحيح</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إبراهيم فهو من الثقات، مع أنّه لو سُلّم ضعفهما، فلا شبهة في انجبار ضعفهما بعمل الأصحاب، حيث إنّهم عملوا بهما، ولم يستندوا إلى الوجوه الاُخر،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يشهد به تعبيرهم في فتاويهم بما هو منطبق على مضمون الخبرين،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فَضُل من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حصر السنين في عددٍ كعشرة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فضلةٌ لا تفي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عادت ميراثاً، أو صرفت في غيره من المبرّات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52"/>
      </w:r>
      <w:r>
        <w:rPr>
          <w:rFonts w:ascii="Amiri" w:hAnsi="Amiri" w:eastAsia="Amiri" w:cs="Amiri"/>
          <w:color w:val="111111"/>
          <w:sz w:val="28"/>
          <w:sz w:val="28"/>
          <w:szCs w:val="28"/>
          <w:rtl w:val="true"/>
          <w:lang w:bidi="ar-SA"/>
        </w:rPr>
        <w:t>فإنّه قال بعد ذكر الوجهين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 بوجوب دفعها اُجرة في بعض السنين، وإنْ زادت عن اُجرة المثل، مع فرض الوصيّة، فلا فضلة حينئذٍ، نعم لو أمكن فرضها جَرى فيها الوجهان، بل يتعيّن الثاني منهما مع فرض الوصيّة بها، وأنّه ذكر ذلك مصرفاً لها فاتّفق تعذّره، كما أنّه يتعيّن الأوّل إذا فرض إخراجها عن الوارث بالوصيّة المزبورة الّتي قد فرض تعذّرها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البحث الفرض الأخير، أي كون الوصيّة واحدة، الظاهرة في إنشاء مطلوب واحد غير متعدّد، وعليه فنظر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عودها ميراثاً، ولكن الأظهر لزوم صرفها في وجوه البِرّ، لما سيأتي من النصوص الدالّة على أنّ ما عيّن للحَجّ إنْ لم يكفِ له، يصرف في وجوه البِرّ، وموردها وإنْ كان غير المقام، ولكن الظاهر وحدة المناط</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القول الأخير مبنيٌّ على أنّ الازدياد على اُجرة بعض السنين من وجوه البِرّ، ومع ذلك فهو أقرب إلى الوصيّة ولا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الموصى به الحَجّ من البلد، ودار الأمر بين جعل اُجرة سنتين مثلاً لسنةٍ‌، وبين الاستئجار بذلك المقدار من الميقات لكلّ سنة‌؟ 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كاشف اللّثام</w:t>
      </w:r>
      <w:r>
        <w:rPr>
          <w:rStyle w:val="FootnoteAnchor"/>
          <w:rtl w:val="true"/>
        </w:rPr>
        <w:footnoteReference w:id="353"/>
      </w:r>
      <w:r>
        <w:rPr>
          <w:rFonts w:ascii="Amiri" w:hAnsi="Amiri" w:eastAsia="Amiri" w:cs="Amiri"/>
          <w:color w:val="111111"/>
          <w:sz w:val="28"/>
          <w:sz w:val="28"/>
          <w:szCs w:val="28"/>
          <w:rtl w:val="true"/>
          <w:lang w:bidi="ar-SA"/>
        </w:rPr>
        <w:t xml:space="preserve">إلى الثاني، ولم يستبعده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 xml:space="preserve">، واختار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55"/>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الأخبار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صحيح البزنطي الآتي المتضمّن أنّه إذا أوصى بمالٍ لا يكفي للحَجّ من البلد، أنّه يَحجّ من حيث أمكن، وكذا خبر علي بن مزيد الذي سيمرّ عليك المتضمّن أنّه يحجّ به من الميقات، ونحوهما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تقديم الحَجّ الميقاتي، كما أنّ ذلك مقتضى قواعد باب التزاحم، حيث أنّه لا شَكّ في أهميّة الحَجّ الميقاتي من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الخبرين وما شاكلهما هو ما إذا دار الأمر بين ترك الحَجّ رأساً، والحَجّ من الميقات وهو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أنّه مقتضى القواعد، فهو متين إذا ثبت تعيّن الالتزام بأحد الوجهين، ودار الأمر بينهما، لا مثل المقام ممّا لا يكون الحكم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خبري إبراهيم الوارد أحدهما في الحَجّ البلدي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الأوّل، فإنّ إطلاقهما شامل لما لو تمكّن من الإستنابة من الميقات كشموله لما إذا لم يمكن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20" w:name="pg11805_167953"/>
    </w:p>
    <w:p>
      <w:pPr>
        <w:pStyle w:val="Heading4"/>
        <w:numPr>
          <w:ilvl w:val="3"/>
          <w:numId w:val="1"/>
        </w:numPr>
        <w:rPr/>
      </w:pPr>
      <w:bookmarkStart w:id="121" w:name="__RefHeading___Toc10670467_73709187"/>
      <w:bookmarkStart w:id="122" w:name="_Toc41"/>
      <w:bookmarkEnd w:id="120"/>
      <w:bookmarkEnd w:id="121"/>
      <w:r>
        <w:rPr>
          <w:rtl w:val="true"/>
        </w:rPr>
        <w:t>إذا عيّن للحَجّ اُجرةً لا تكفي</w:t>
      </w:r>
      <w:bookmarkEnd w:id="122"/>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حدّد للحَجّ اُجرة لا يرغب فيها أحد، وكان الحَجّ مستحبّاً،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إدريس</w:t>
      </w:r>
      <w:r>
        <w:rPr>
          <w:rStyle w:val="FootnoteAnchor"/>
          <w:rtl w:val="true"/>
        </w:rPr>
        <w:footnoteReference w:id="356"/>
      </w:r>
      <w:r>
        <w:rPr>
          <w:rFonts w:ascii="Amiri" w:hAnsi="Amiri" w:eastAsia="Amiri" w:cs="Amiri"/>
          <w:color w:val="111111"/>
          <w:sz w:val="28"/>
          <w:sz w:val="28"/>
          <w:szCs w:val="28"/>
          <w:rtl w:val="true"/>
          <w:lang w:bidi="ar-SA"/>
        </w:rPr>
        <w:t>والشيخ</w:t>
      </w:r>
      <w:r>
        <w:rPr>
          <w:rStyle w:val="FootnoteAnchor"/>
          <w:rtl w:val="true"/>
        </w:rPr>
        <w:footnoteReference w:id="35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الحائريّات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من أنّها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المشهور</w:t>
      </w:r>
      <w:r>
        <w:rPr>
          <w:rStyle w:val="FootnoteAnchor"/>
          <w:rtl w:val="true"/>
        </w:rPr>
        <w:footnoteReference w:id="360"/>
      </w:r>
      <w:r>
        <w:rPr>
          <w:rFonts w:ascii="Amiri" w:hAnsi="Amiri" w:eastAsia="Amiri" w:cs="Amiri"/>
          <w:color w:val="111111"/>
          <w:sz w:val="28"/>
          <w:sz w:val="28"/>
          <w:szCs w:val="28"/>
          <w:rtl w:val="true"/>
          <w:lang w:bidi="ar-SA"/>
        </w:rPr>
        <w:t>من أنّه تُصرف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الكركي</w:t>
      </w:r>
      <w:r>
        <w:rPr>
          <w:rStyle w:val="FootnoteAnchor"/>
          <w:rtl w:val="true"/>
        </w:rPr>
        <w:footnoteReference w:id="361"/>
      </w:r>
      <w:r>
        <w:rPr>
          <w:rFonts w:ascii="Amiri" w:hAnsi="Amiri" w:eastAsia="Amiri" w:cs="Amiri"/>
          <w:color w:val="111111"/>
          <w:sz w:val="28"/>
          <w:sz w:val="28"/>
          <w:szCs w:val="28"/>
          <w:rtl w:val="true"/>
          <w:lang w:bidi="ar-SA"/>
        </w:rPr>
        <w:t xml:space="preserve">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من أنّه إنْ كانت كذلك من الأوّل فترجع ميراثاً، وإنْ كان الراغب موجوداً ثمّ طرأ التعذّر، فتُصرف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النصوص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لما هو المشهور بوجوه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من أنّه بالوصيّة خرجت عن ملك الورثة، </w:t>
      </w:r>
    </w:p>
    <w:p>
      <w:pPr>
        <w:pStyle w:val="BookText"/>
        <w:rPr/>
      </w:pPr>
      <w:r>
        <w:rPr>
          <w:rFonts w:ascii="Amiri" w:hAnsi="Amiri" w:eastAsia="Amiri" w:cs="Amiri"/>
          <w:color w:val="111111"/>
          <w:sz w:val="28"/>
          <w:sz w:val="28"/>
          <w:szCs w:val="28"/>
          <w:rtl w:val="true"/>
          <w:lang w:bidi="ar-SA"/>
        </w:rPr>
        <w:t>ولا يمكن صرفها في الطاعة التي عيّنها الموصي، فتُصرف إلى غيرها من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بطلان الوصيّة، لعدم إمكان العمل بها، لا تخرج الاُجرة المعيّنة عن ملك الورثة، مع أنّ الوصيّة إنّما تعلّقت بصرفها في الحَجّ ولا يمكن، وصرفها في وجوه الطاعات الاُخر 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 بدعوى أنّ الفصل إذا تعذّر يبقى الجنس، فمع تعذّر الحَجّ يجب صرفها في جنس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غير تامّة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تعذّر الفصل لا يكون الجنس ميسور المتعذّر بنظر العرف، ألا ترى أنّ إطعام الحيوان لا يعدّ ميسور إطعام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فعلى فرض تماميّة القاعدة تكون مختصّة بالمركّبات الخارجيّة دون التحليليّة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تعلّق غرض الموصي بصرفها في الطاعة، وتكون تلك الطاعة هو الحَجّ‌، فإذا تعذّر الثاني يعمل بها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الغرض متعلّق بواحد هو المقيّد، دون أنْ يكون هناك تعدّد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في باب الوصيّة لا عبرة بالأغراض، ما لم تُنشأ، والفرض في المقام إنشاء وصيّة واحدة متعلّقة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وجه القول الأوّل، إذ مع بطلان الوصيّة، لا محالة يكون المال للورثة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طرأ العُذر تكون الوصيّة صحيحة ابتداءً‌، فيخرج المال عن ملك الورثة، ولا يعود إليهم إلّابدليل ولم يثبت، غاية الأمر أنّه </w:t>
      </w:r>
    </w:p>
    <w:p>
      <w:pPr>
        <w:pStyle w:val="BookText"/>
        <w:rPr/>
      </w:pPr>
      <w:r>
        <w:rPr>
          <w:rFonts w:ascii="Amiri" w:hAnsi="Amiri" w:eastAsia="Amiri" w:cs="Amiri"/>
          <w:color w:val="111111"/>
          <w:sz w:val="28"/>
          <w:sz w:val="28"/>
          <w:szCs w:val="28"/>
          <w:rtl w:val="true"/>
          <w:lang w:bidi="ar-SA"/>
        </w:rPr>
        <w:t>قد تعذّر صرفه في الوجه المعيّن، فيكون كمجهول المالك، فيُصرف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الموصى به إنّما هو بحيث لو بطلت الوصيّة فيه ابتداءً أو لعارضٍ لصار كما كان مِلْكاً للموصي، وهذا حقّ له ينتقل إلى الوارث، ويلزمه انتقال الموصى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الدليل على ثبوت هذا الحقّ للموصي‌؟</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الموصى به كان مِلكاً له، فالأصل بقائه عليه إلّابقدر عَلم خروجه منه، ولم يُعلم إلّاهذا القدر، يعني علم أنّه خرج عن ملكه ما دامت باقية، وأمّا الزائد عنه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بالوصيّة خَرَج عن ملكه، فستصحب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بالوصيّة صار واجب الصرف في الوصيّة، ولزمه الخروج عن ملكه، فإذا انتفى الملزوم لا يمكن استصحاب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رحمه الله مواقع للنظر والمناقشة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ادّعاه من ثبوت حقّ للموصي ينتقل ذلك بالإرث</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ليس حقّاً، بل في فرض حياة الموصي، لم يخرج المال عن ملكه بالوصيّة، بل يتوقّف خروجه عنه على الموت، فلو بطلت الوصيّة يكون الملك على ما هو عليه، والانتقال عنه يحتاج إلى دليل، فهو ليس حقّاً من الحقوق، مع أنّه لو كان حقّاً له ففرضه حقّاً في مقابل الحكم، وقابلاً للانتقال كي يورث، ممّا لم يدلّ على شيء منهما دليل، وبدون إثباتهما لا يصحّ التمسّك بعموم أدلّة الإرث، للشكّ في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أنّه علم أنّه خرج عن ملكه ما دامت الوصيّة يجب العمل بها، وأمّا الزائد عنه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صحّة الوصيّة، ولو آناً مّا، وتأثيرها في الانتقال، يكون المنتقل عنه الملكيّة الدائميّة لا الموقّتة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بأنّه بالوصيّة صار واجب الصرف، ولزمه الخروج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للوصيّة النافذة أثرين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المال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انتفاء أحدهما لا وجه لانتفاء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البحث عن مقتضى الأخبار الخاصّة، فهي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خبر عليّ بن زيد صاحب السابري،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 إلَيَّ رَجُل بتركته، فأمرني أن أحَجّ بها عنه، فنظرتُ في ذلك فإذا هي شيءٌ يسير لا يكفي للحَجّ‌، فسألت أبا حنيفة وفقهاء أهل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جعفر بن محمّد عليهما السلام في الحِجر،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وأوصى إليَّ بتركته أن أحجّ بها عنه، فنظرتُ في ذلك فلم يكف للحَجّ‌، فسألت مَن عندنا من الفقهاء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إلّاأن لا يكون يبلغ ما </w:t>
      </w:r>
    </w:p>
    <w:p>
      <w:pPr>
        <w:pStyle w:val="BookText"/>
        <w:rPr/>
      </w:pPr>
      <w:r>
        <w:rPr>
          <w:rFonts w:ascii="Amiri" w:hAnsi="Amiri" w:eastAsia="Amiri" w:cs="Amiri"/>
          <w:color w:val="111111"/>
          <w:sz w:val="28"/>
          <w:sz w:val="28"/>
          <w:szCs w:val="28"/>
          <w:rtl w:val="true"/>
          <w:lang w:bidi="ar-SA"/>
        </w:rPr>
        <w:t>يحجّ به من مكّة، فإنْ كان لا يبلغ ما يحجّ به من مكّة، فليس عليك ضمان، وإنْ كان يبلغ ما يحجّ به من مكّة فأنت ضامن</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 على أنّه يتصدّق به إذا لم يكُن المال كافياً للحَجّ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فعدّة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الريّان الذي رواه المشائخ الثلاثة،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محمّد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إنسان أوصى بوصيّة فلم يحفظ الوصي إلّاباباً واحداً منها، كيف يصنع بالباقي‌؟</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الباقية اجعلها في البِرّ</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من أوصى بألف درهم للكعبة، المتضمّن أنّها تُصرف في وجوه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لغناء الكعبة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المستفاد من المجموع، أنّه إذا تعذّر العمل بالوصيّة، يصرف المال في سائر وجوه المبرّات، فالأصحّ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بين الأصحاب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23" w:name="pg11805_167958"/>
    </w:p>
    <w:p>
      <w:pPr>
        <w:pStyle w:val="Heading4"/>
        <w:numPr>
          <w:ilvl w:val="3"/>
          <w:numId w:val="1"/>
        </w:numPr>
        <w:rPr/>
      </w:pPr>
      <w:bookmarkStart w:id="124" w:name="__RefHeading___Toc10670469_73709187"/>
      <w:bookmarkStart w:id="125" w:name="_Toc42"/>
      <w:bookmarkEnd w:id="123"/>
      <w:bookmarkEnd w:id="124"/>
      <w:r>
        <w:rPr>
          <w:rtl w:val="true"/>
        </w:rPr>
        <w:t>إذا صالحه داره على أن يحجّ عنه</w:t>
      </w:r>
      <w:bookmarkEnd w:id="125"/>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صالحه داره مثلاً، وشرط عليه أن يحجّ عنه بعد موته، فهل يلحقه حكم الوصيّة، فإنْ كان الحَجّ ندبيّاً يُحسب مقدار اُجرة المثل لهذا العمل، فإنْ كانت زائدة عن الثُّلث توقّف على إمضاء الورثة، كما عن المحقّق القمّي رحمه الله</w:t>
      </w:r>
      <w:r>
        <w:rPr>
          <w:rStyle w:val="FootnoteAnchor"/>
          <w:rtl w:val="true"/>
        </w:rPr>
        <w:footnoteReference w:id="3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لا يلحقه حكمها، فيخرج من الأصل، ولا ينتقل ذلك إلى الورثة كما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w:t>
      </w:r>
    </w:p>
    <w:p>
      <w:pPr>
        <w:pStyle w:val="BookText"/>
        <w:rPr/>
      </w:pPr>
      <w:r>
        <w:rPr>
          <w:rFonts w:ascii="Amiri" w:hAnsi="Amiri" w:eastAsia="Amiri" w:cs="Amiri"/>
          <w:color w:val="111111"/>
          <w:sz w:val="28"/>
          <w:sz w:val="28"/>
          <w:szCs w:val="28"/>
          <w:rtl w:val="true"/>
          <w:lang w:bidi="ar-SA"/>
        </w:rPr>
        <w:t>واستدلّ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ذهب إليه بأنّ المنوب عنه بهذا الشرط يملك عليه الحَجّ‌، وهو عملٌ له اُجرة وماليّة، فيلحقه حكم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أنّه لم يملك عليه الحَجّ مطلقاً في ذمّته، ثمّ أوصى أن يجعله عنه، بل إنّما ملك بالشرط الحَجّ عنه، وهذا ليس مالاً تملكه الورثة، فليس تمليكاً ووصيّةً‌، وإنّما هو تمليك على نحوٍ خاص لا ينتقل إلى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قدس سره ليس أنّ الحَجّ لا يكون مالاً حتّى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لا يكون مالاً وقد جُعل عوضاً عن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الانتقال إلى الميّت لا يتوقّف على المال، بل على الملك مثل حبّة الحنطة، فإنّها ملكٌ ليس بمال، وتنتقل إلى الورثة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 في الفرض وإنْ كان مالاً ومِلْكاً، إلّاأنّ ملكيّته </w:t>
      </w:r>
    </w:p>
    <w:p>
      <w:pPr>
        <w:pStyle w:val="BookText"/>
        <w:rPr/>
      </w:pPr>
      <w:r>
        <w:rPr>
          <w:rFonts w:ascii="Amiri" w:hAnsi="Amiri" w:eastAsia="Amiri" w:cs="Amiri"/>
          <w:color w:val="111111"/>
          <w:sz w:val="28"/>
          <w:sz w:val="28"/>
          <w:szCs w:val="28"/>
          <w:rtl w:val="true"/>
          <w:lang w:bidi="ar-SA"/>
        </w:rPr>
        <w:t>إنّما تكون بنفس هذا الشرط لا أنّ الشرط وارد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الإيصائي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شيءٌ مِلْكاً لأحدٍ، ثمّ هو يتصرّف فيه بالإيصاء، فهذا هو الإيصاء الذي يكون نافذاً في الثُّلث وما دون، ولا ينفذ في الأكثر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التصرّف الإيصائي هو الموجب لصيرورة ذلك الشيء مِلْكاً، فالملكيّة مترتّبة عليه ومتأخّرة عنه رتبة، وهذا خارجٌ عن موضوع الأدلّة، ثمّ إنّه يكون مِلْكاً خاصّاً لا ينتقل إلى الورثة، فإنّ موضوع دليل الإرث هو المال الذي لا تعيّن له في التصرّف للميّت، وإنّما يكون التصرّف فيه مردّداً بينه وبين الوارث، كالأعيان والحقوق التي لا تعيّن لها في الصرف للميّت، وأمّا ما يكون معيّناً في ذلك كالحَجّ المشروط بوقوعه عنه، فلا تشمله أدلّة الإرث، لقصور ما تركه الميّت عن الشمول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ذكرناه في وجه عدم انتقاله إلى الورثة منقولٌ عن المحقّق النائيني رحمه الله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الشرط لا يفيد ملك المشروط له، بل مفاده مجرّد الحكم التكليفي، وذلك لأنّ دليله النصوص المتضمّنة لقولهم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ومفاد ذلك ليس عدم انفكاك الشرط عن المسلم، حتّى يُدّعى كونه إرشاداً إلى اللّزوم أو الصحّة، بل مضمونه عدم انفكاك المسلم عن شرطه، وهذا ليس صفة في الشرط، بل هو صفة في المسلم، فلا محالة يكون ظاهراً في كونه أمراً بالوفاء بالشرط تكليفاً، فهو حكم تكليفي 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26" w:name="pg11805_167960"/>
    </w:p>
    <w:p>
      <w:pPr>
        <w:pStyle w:val="BookText"/>
        <w:rPr/>
      </w:pPr>
      <w:bookmarkEnd w:id="126"/>
      <w:r>
        <w:rPr>
          <w:rFonts w:ascii="Amiri" w:hAnsi="Amiri" w:eastAsia="Amiri" w:cs="Amiri"/>
          <w:color w:val="111111"/>
          <w:sz w:val="28"/>
          <w:sz w:val="28"/>
          <w:szCs w:val="28"/>
          <w:rtl w:val="true"/>
          <w:lang w:bidi="ar-SA"/>
        </w:rPr>
        <w:t>وعليه، فقد استوفى الميّت ذلك بنفسه، فلا شيء حتّى يرثه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ثبوت خيار تخلّف الشرط لو خالفه المشروط عليه، والورثة يرثون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وإنْ كان يورث، إلّاأنّ الكلام في صورة عدم تخلّف الشرط وعدم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الحال إذا ملكه داره بمائة تومان مثلاً، بشرط أن يصرفها في الحَجّ عنه أو عن غيره، أو ملكه إيّاها بشرط أن يبيعها ويصرف ثمنها في الحَجّ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الفرع الثاني من قبيل الفرع المتقدّم، أمّا الأوّل فالظاهر تماميّة ما أفاده المحقّق القمّي رحمه الله فيه، فإنّ المشروط حينئذٍ هو صرف ما في ذمّته من مائة تومان في الحَجّ‌، وهذا تصرّفٌ في ماله وملكه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في فرع المصالحة وفي الفرع الثاني الذي أضافه السيّد رحمه الله يكون معه قدس سره، ولا يتمّ ما أفاده المحقّق القمّي رحمه الله، ولكن في الفرع الأوّل الحقّ مع المحقّق قدس سره</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0670471_73709187"/>
      <w:bookmarkStart w:id="128" w:name="_Toc43"/>
      <w:bookmarkEnd w:id="127"/>
      <w:r>
        <w:rPr>
          <w:rtl w:val="true"/>
        </w:rPr>
        <w:t>من كان عنده وديعة ومات صاحبها ولم يحجّ‌</w:t>
      </w:r>
      <w:bookmarkEnd w:id="12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 شخص وديعة، ومات صاحبها، وكان عليه حَجّة الإسلام، له أن يحجّ بها عنه، وإن زادت عن اُجرة الحَجّ ردّها إلى الورثة، كما هو المشهور بين الأصحاب، كما نسبه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 xml:space="preserve">إلى الأصحاب، بل قال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3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3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مالٌ خارجٌ عن الورثة، ويجب صرفه في الحَجّ‌، فليصرف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ولا كلام في أنّ ولاية الصرف للورثة في أداء ديون الميّت؛ حَجّاً كان أو غيره، وسواء قلنا بانتقال الأعيان والأموال بأجمعها إلى الورثة حتّى في مقدار الدَّين، غاية الأمر لا يكون مِلْكاً طلقاً، أو قلنا بأنّ مقدار الدَّين يبقى على ملك الميّت، أو في حكم ملكه، فإنّه على جميع التقادير، لهم ولاية الصرف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يتمّ هذا الوجه، فإنّ للورثة أن يحجّوا عنه بأنفهسم أو إعطاءه من أموالهم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يستدلّ له بصحيح بُريد العِجلي، الذي رواه الصدوق بإسناده عن سويد القلا، عن أيّوب بن الحُرّ، عن بريد،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استودعني مالاً فهَلَك، وليس لولده شيء، ولم يحجّ حَجّة الإسلام‌؟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عنه وما فضل فأعطهم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والخبر صحيح السند، لأنّ إسناد الصدوق إلى سويد صحيح، وسويد وأيّوب ثقتان، وكذا بُريد الذي يُعدّ من الأكابر، مضافاً إلى أنّ الكليني والشيخ أيضاً روياه بطريقين صحيحين، فلا إشكال في سنده، فضلاً عن ظهور دلالته، والأصحاب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اعتمدوا عليه، فلا ينبغي التوقّف في الحكم في الجملة، إنّما 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يختصّ الحكم بما إذا علم المستودع أنّ الورثة لا يؤدّون كما صرّح به جماعة، منهم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يعمّ ما إذا ظنّ بذلك،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يكون الحكم عامّاً حتّى لو علم بأنّهم يؤدّونه‌؟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للأخير إطلاق الخبر، نعم لو علم أو ظنَّ ظنّاً معتبراً شرعاً بأنّ الورثة قد أدّوه، وجب عليه ردّه إليهم، ولكن الكلام قبل الأداء، ومقتضى الإطلاق عدم اعتبار 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لاعتبار هذا القيد في الجملة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جماعة، من أنّ هذا الحكم مخالفٌ للقاعدة، فيجب الاقتصار فيه على المتيقّن، وقد تقدّم وجه مخالفته للقاعدة، ولازم هذا الوجه أنّه لو شكّ في سعة القيد وضيقه يؤخذ بالأوّل، وعليه فالظنّ بالأداء بحكم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هذا الحكم هو الصحيح المتقدّم، وبإطلاقه يرفع اليد عن القاعدة، فإنّ إطلاق المقيّد مقدّمٌ على إطلاق المطلق</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إطلاق الخبر، والشاهد على دعوى صاحب</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82"/>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 خطاب المشافهة، والمتيقّن من تعديته إلى غير المشافه ذلك، فلابدّ من الاقتصار على المتيقّن، وهو ما لو علم أنّ الورثة لا يؤدّونه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ترك الاستفصال ثبوت الحكم حتّى مع العلم بأنّهم يؤدّونه، فعلى التعدية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المفروضة، إذ لا يحتمل اختصاص العِجلي بهذا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الحكم لغيره كما ثبت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فيقيّد به الخبر، والمتيقّن من معقده ما لو لم يعلم ولم يظنّ بعدم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غير ثابت، وعلى فرضه ليس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استفادة ذلك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لولده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بدعوى أنّه مع عدم المال لولده، يحصل العلم أو الظنّ بأنّهم يصرفونه في حوائجهم، ولا يؤدّون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يصرفونه في حوائجهم ويحجّوا عنه متسكّعاً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المعتقد بأنّه لم ينتقل إليه المال، كيف يظنّ أو يعلم بأنّه يصرفه في حوائجه ولا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الحكم عامٌ لما لو علم بأنّهم يؤدّونه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ذلك الاستئذان من الحاكم الشرعي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مع إمكانه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مطلقاً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 لا يعتبر ذلك كما صرّح به جماعة من الفحول‌؟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لاعتبار الاستيذان في الجملة، بما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الخبر إنّما تضمّن أمر الإمام الصادق عليه السلام لبُريد في الحَجّ عمّن له الوديعة وهو إذنٌ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احتمال الأمر منه لبُريد الإذن به فيه، فلا إطلاق فيه حينئذٍ يدلّ على خلافه، ضرورة أنّه خطاب المشافهة، والمتيقّن من تعديته إلى غير المشافه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السؤال، هو السؤال عن الحكم الشرعي، والجواب أيضاً ظاهر في ذلك، فإنْ كان إذنه معتبراً في الحكم، كان عليه عليه السلام أن يبيّن، فمن عدم بيانه في مقام البيان، يُستكشف أنّه غير معتبر، وعليه فالأظهر هو القول الأخير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الخبر من جهة ظهور الأمر في الوجوب، وجوب الحَجّ عنه، وعدم جواز إعطاء المال للورثة، ولكن في جملةٍ من الكلمات التعبير بالجواز، وقد وجّه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بإرادة معناه الأعمّ الجامع للوجوب كما قيل، أو باعتبار ما ذكرنا من كونه مشروطاً بعدم العلم بأداء الوارث من جهة أُخرى‌، فللمستودع إعلام الوارث وأدائهم من جهة أُخرى‌، وله الأخذ من الوديعة، فيكون الأخذ جائزاً، وإنْ كان أحد فردي المخيّر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التعبير بالجواز من جهة عدم ظهور الأمر في الوجوب، لوروده مورد توهم الحظر، وهذا غَير بعيدٍ، ولكن الجواز بهذا المعنى لا يسوّغ جواز إعطاء المال للورثة، حتّى مع العلم بعدم صرفه في الحَجّ‌، لعدم كونه لهم، فيكون ذلك تفريطاً وتعدّياً ممنوعاً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إنّ ظاهر الأصحاب التسالم على عدم اختصاص الحكم بما إذا لم يكن للورثة شيءٌ‌، مع أنّ النّص مختصٌّ بذلك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بذلك إنّما هو في السؤال لا في الجواب، وظاهره أنّ عدم ثبوت شيء للورثة كان منشئاً للشكّ في وجوب الحَجّ‌، من جهة استلزامه لحرمان الورثة من الميراث، لا احتمال أنّ له دخلاً في الوجوب وهو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3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مقتضى النّص حَجّ الودعي بنفسه، ولكن الأصحاب جوّزوا له الاستئجار، بل ربّما جعلوه أولى‌، خصوصاً إذا كان أنسب، وأسند بعضهم في ذلك إلى تنقيح المناط القطعي، وهو جيّد، مع أنّ إرادة الحَجّ بنفسه من اللّفظ في هذا المقام محلّ تأمّل، وعلى ما ذكرناه من الأصل يكون جواز الاستئجار أظهر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واقتصر 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390"/>
      </w:r>
      <w:r>
        <w:rPr>
          <w:rFonts w:ascii="Amiri" w:hAnsi="Amiri" w:eastAsia="Amiri" w:cs="Amiri"/>
          <w:color w:val="111111"/>
          <w:sz w:val="28"/>
          <w:sz w:val="28"/>
          <w:szCs w:val="28"/>
          <w:rtl w:val="true"/>
          <w:lang w:bidi="ar-SA"/>
        </w:rPr>
        <w:t xml:space="preserve">على الاستئجار، وأمّا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فقد حكم بأنّ عليه أن يحجّ أو يستأجر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فيعلم من ذلك أنّ جواز الاستئجار لم يكن محلّ تأمّل، ولعلّ 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تنقيح المناط، أو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وما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الاستئجار أو الأعمّ‌،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مختصٌّ بالوديعة كما عن جماعة</w:t>
      </w:r>
      <w:r>
        <w:rPr>
          <w:rStyle w:val="FootnoteAnchor"/>
          <w:rtl w:val="true"/>
        </w:rPr>
        <w:footnoteReference w:id="392"/>
      </w:r>
      <w:r>
        <w:rPr>
          <w:rFonts w:ascii="IRNazanin" w:hAnsi="IRNazanin" w:eastAsia="IRNazanin"/>
          <w:color w:val="111111"/>
          <w:sz w:val="28"/>
          <w:sz w:val="28"/>
          <w:szCs w:val="28"/>
          <w:rtl w:val="true"/>
          <w:lang w:bidi="fa-IR"/>
        </w:rPr>
        <w:t xml:space="preserve">، ونُسب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393"/>
      </w:r>
      <w:r>
        <w:rPr>
          <w:rFonts w:ascii="Amiri" w:hAnsi="Amiri" w:eastAsia="Amiri" w:cs="Amiri"/>
          <w:color w:val="111111"/>
          <w:sz w:val="28"/>
          <w:sz w:val="28"/>
          <w:szCs w:val="28"/>
          <w:rtl w:val="true"/>
          <w:lang w:bidi="ar-SA"/>
        </w:rPr>
        <w:t>؟ أو يتعدّى إلى سائر الحقوق الماليّة من الغصب والدين وغيرهما كما اختاره آخرون</w:t>
      </w:r>
      <w:r>
        <w:rPr>
          <w:rStyle w:val="FootnoteAnchor"/>
          <w:rtl w:val="true"/>
        </w:rPr>
        <w:footnoteReference w:id="394"/>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إشكال في أنّ النّص مختصّ بالوديعة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المثال من الخبر، مع ذكر الوديعة في السؤال عن حكم موضوع خارجي معيّن،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من دعوى تنقيح المناط، وتبعهما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وإنْ كانت غير بعيدة، ولكن المناط المعتبر هو القطعي منه، وهو غير حاصل، وبالتالي فإنّ الخبر لا يصلح منشئاً للحكم في غير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القاعدة ثبوت الحكم في غيرها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 المقام يبتني على بيان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المبحث التاسع من المسألة الحادية عشر من الفصل الثاني</w:t>
      </w:r>
      <w:r>
        <w:rPr>
          <w:rStyle w:val="FootnoteAnchor"/>
          <w:rtl w:val="true"/>
        </w:rPr>
        <w:footnoteReference w:id="399"/>
      </w:r>
      <w:r>
        <w:rPr>
          <w:rFonts w:ascii="Amiri" w:hAnsi="Amiri" w:eastAsia="Amiri" w:cs="Amiri"/>
          <w:color w:val="111111"/>
          <w:sz w:val="28"/>
          <w:sz w:val="28"/>
          <w:szCs w:val="28"/>
          <w:rtl w:val="true"/>
          <w:lang w:bidi="ar-SA"/>
        </w:rPr>
        <w:t>أنّه مع ثبوت الدين ومنه الحَجّ والوصيّة، لا ينتقل المال إلى الورثة إلّا بقدَر ما زاد على الدَّين أو الوصيّة، وأمّا ما يساويهما فلا ينتقل إليهم، ويترتّب على ذلك أنّ الاستدلال لعدم الجواز، بأنّ تصرّف الغير في المال بالحَجّ به تصرّفٌ في مال الغير لا يجوز إلّابإذنه بالضرورة،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صرّح جماعة بأنّ أولويّة الولي في الأُمور الراجعة إلى الميّت من التكفين والتدفين والصلاة عليه، وأداء دَينه، وما شاكل إنّما تكون على سبيل الاستحباب لا الوجوب، ومالَ إليه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تبعاً للمحقّق الأردبيلي</w:t>
      </w:r>
      <w:r>
        <w:rPr>
          <w:rStyle w:val="FootnoteAnchor"/>
          <w:rtl w:val="true"/>
        </w:rPr>
        <w:footnoteReference w:id="401"/>
      </w:r>
      <w:r>
        <w:rPr>
          <w:rFonts w:ascii="Amiri" w:hAnsi="Amiri" w:eastAsia="Amiri" w:cs="Amiri"/>
          <w:color w:val="111111"/>
          <w:sz w:val="28"/>
          <w:sz w:val="28"/>
          <w:szCs w:val="28"/>
          <w:rtl w:val="true"/>
          <w:lang w:bidi="ar-SA"/>
        </w:rPr>
        <w:t>، ونحن وإنْ لم نُسلّم ذلك في شؤون تجهيز الميّت مثل تغسيله وتكفينه وما شاكل، إلّاأنّ الوجه الذي ذكرناه لكون الأولويّة على سبيل الوجوب لا يجري في الحَجّ عنه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مباشرة شؤون تجهيز الميّت من الحقوق، فتشملها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مضافاً إلى النصوص الخاصّة الواردة فيها، وهذا الوجهان لا يجريان في المقام، وعليه فالاستدلال لعدم جواز الحَجّ عنه بدون إذن الورثة؛ بأنّ المال وإنْ كان للميّت لكن ولاية التصرّف فيه للوارث، فلا يجوز بدون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الدالّة على وجوب القضاء عن الميّت من صلب ماله على كثرتها، لم يخاطب في واحدٍ منها شخصٌ معيّن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شيء منها في مقام البيان من هذه الجهة، كما ترى‌، أضف إلى ذلك أنّه إذا تعيّن صرف مالٍ في مصرف خاص، وشُكّ في اعتبار إذن شخص معيّن، فإنّ مقتضى الأصل عدم اعتبار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صَرف مال الميّت في الحَجّ عنه، ولا يجب دفعه إلى الورثة، بل ربما لا يجوز إذا لم يطمئن بأن الورثة يؤدّون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يعتبر الاستئذان من الحاكم الشرعي، أم لا؟</w:t>
      </w:r>
    </w:p>
    <w:p>
      <w:pPr>
        <w:pStyle w:val="BookText"/>
        <w:rPr/>
      </w:pPr>
      <w:r>
        <w:rPr>
          <w:rFonts w:ascii="Amiri" w:hAnsi="Amiri" w:eastAsia="Amiri" w:cs="Amiri"/>
          <w:color w:val="111111"/>
          <w:sz w:val="28"/>
          <w:sz w:val="28"/>
          <w:szCs w:val="28"/>
          <w:rtl w:val="true"/>
          <w:lang w:bidi="ar-SA"/>
        </w:rPr>
        <w:t xml:space="preserve">وجهان، أظهرهما العدم، فإنّ ولاية الحاكم ولزوم اتّباع رأيه في غير باب الأُمور الحسبيّة، وهي الأُمور التي علم من الشارع إرادة إيقاعها في الخارج، ولا إطلاق لدليلها ليدلّ على جواز تصدّي كلّ أحدٍ لها، واحتمل دخالة رأي شخص خاص فيها، وفي غير باب الأُمور التي يرجع فيها في العرف إلى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باب القضاء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ثابتة، كما حقّقناه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الفقاهة</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ظهر ممّا ذكرناه حكم فرعٍ آخر، وهو إلحاق غير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أقسام الحَجّ الواجب، أو غير الحَجّ من سائر ما يجب عليه مثل الخمس والزكاة والمظالم والكفّارات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وعدمه‌؟ حيث ذكرنا ما في أدلّة الطرفين، ولقد أشرنا إلى جملةٍ منها مع ما 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شيءٌ وهو أنّ بعض الأعاظم من المعاصرين</w:t>
      </w:r>
      <w:r>
        <w:rPr>
          <w:rStyle w:val="FootnoteAnchor"/>
          <w:rtl w:val="true"/>
        </w:rPr>
        <w:footnoteReference w:id="404"/>
      </w:r>
      <w:r>
        <w:rPr>
          <w:rFonts w:ascii="Amiri" w:hAnsi="Amiri" w:eastAsia="Amiri" w:cs="Amiri"/>
          <w:color w:val="111111"/>
          <w:sz w:val="28"/>
          <w:sz w:val="28"/>
          <w:szCs w:val="28"/>
          <w:rtl w:val="true"/>
          <w:lang w:bidi="ar-SA"/>
        </w:rPr>
        <w:t>استدلّ لثبوت ولاية أداء الدين للوارث بروايتين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عبّاد بن صُهيب أو موثّقته، عن أبي عبد اللّه عليه 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فرّط في إخراج زكاته في حياته، فلمّا حَضَرته الوفاة حسب جميع 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فرّط فيه ممّا لزمه من الزكاة، ثمّ أوصى به أن يخرج ذلك فيدفع إلى من تجب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يخرج ذلك من جميع المال، إنّما هو بمنزلة دَين لو كان عليه، ليس للورثة شيءٌ حتّى يؤدّوا ما أوصى به من الزكاة</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يحيى الأزرق،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 وعليه دينٌ‌، ولم يترك مالاً، فأخذ أهله الدية من قاتله عليهم أن يقضوا دَينه‌؟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لم يترك شيئاً؟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أخذوا الدية فعليهم أن يقضوا دينه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واردة في مقام بيان عدم جواز التصرّف في المال، ما دام لم يخرج الدين، وليست في مقام بيان من يجب عليه إخراجه، وحيثُ أنّ المفروض فيها الإيصاء، فلا محالة كان المخاطب به الورثة، وإلّا لبين الوصي، ولذا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يؤدّوا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أنّه لو أدّى دينه غير الوارث تبرّعاً يسقط الدين، ويكون المال جميعه للورثة، وعليه،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يؤدّوا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دالّاً على تعيّن أدائهم، وإنّما هو لبيان أنّ غاية عدم جواز التصرّف هو أداء الدين، وحيث إنّه بحسب الغالب يكون ما للميّت تحت يد الورثة، وبناءً النّاس على عدم الدخالة في وفاء ديون الميّت،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يؤدّوا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فيها سؤالاً وجواباً أخذ الورثة الدية، وحيث إنّها المخرج للدين، لفرض عدم مالٍ له غيرها، فلا محالة يكون الخطاب بالأداء موجّهاً إليهم لا لخصوصيّة فيهم، واللّه العالم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29" w:name="pg11805_167970"/>
    </w:p>
    <w:p>
      <w:pPr>
        <w:pStyle w:val="Heading4"/>
        <w:numPr>
          <w:ilvl w:val="3"/>
          <w:numId w:val="1"/>
        </w:numPr>
        <w:rPr/>
      </w:pPr>
      <w:bookmarkStart w:id="130" w:name="__RefHeading___Toc10670473_73709187"/>
      <w:bookmarkStart w:id="131" w:name="_Toc44"/>
      <w:bookmarkEnd w:id="129"/>
      <w:bookmarkEnd w:id="130"/>
      <w:r>
        <w:rPr>
          <w:rtl w:val="true"/>
        </w:rPr>
        <w:t>حكم حَجّ من أعطاه رجل مالاً لاستئجار الحَجّ‌</w:t>
      </w:r>
      <w:bookmarkEnd w:id="131"/>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أعطاه رجلٌ مالاً لاستئجار من يحَجّ عنه، هل يجوز له أن يحجّ بنفسه، أم لا، أم هناك تفصيلٌ؟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معنونة في كلمات الفقهاء تحت عنوان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دفع إنسانٌ إلى غيره مالاً ليصرفه في جماعة يكون المدفوع إليه منهم، ولم يكن هناك قرينة حاليّة على جواز أخذه أو عدمه، فهل له أن يأخذه منه أم لا؟ ولهم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 وزكاة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 ومكاسب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4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413"/>
      </w:r>
      <w:r>
        <w:rPr>
          <w:rFonts w:ascii="Amiri" w:hAnsi="Amiri" w:eastAsia="Amiri" w:cs="Amiri"/>
          <w:color w:val="111111"/>
          <w:sz w:val="28"/>
          <w:sz w:val="28"/>
          <w:szCs w:val="28"/>
          <w:rtl w:val="true"/>
          <w:lang w:bidi="ar-SA"/>
        </w:rPr>
        <w:t>من تحريم الأخذ مطلقاً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xml:space="preserve">، ومكاسب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41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41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 xml:space="preserve">من جواز الأخذ </w:t>
      </w:r>
    </w:p>
    <w:p>
      <w:pPr>
        <w:pStyle w:val="BookText"/>
        <w:rPr/>
      </w:pPr>
      <w:r>
        <w:rPr>
          <w:rFonts w:ascii="Amiri" w:hAnsi="Amiri" w:eastAsia="Amiri" w:cs="Amiri"/>
          <w:color w:val="111111"/>
          <w:sz w:val="28"/>
          <w:sz w:val="28"/>
          <w:szCs w:val="28"/>
          <w:rtl w:val="true"/>
          <w:lang w:bidi="ar-SA"/>
        </w:rPr>
        <w:t xml:space="preserve">من دون زيادة على غيره،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نسبته إلى الأكثر،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إلى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w:t>
      </w:r>
      <w:r>
        <w:rPr>
          <w:rStyle w:val="FootnoteAnchor"/>
          <w:rtl w:val="true"/>
        </w:rPr>
        <w:footnoteReference w:id="423"/>
      </w:r>
      <w:r>
        <w:rPr>
          <w:rFonts w:ascii="Amiri" w:hAnsi="Amiri" w:eastAsia="Amiri" w:cs="Amiri"/>
          <w:color w:val="111111"/>
          <w:sz w:val="28"/>
          <w:sz w:val="28"/>
          <w:szCs w:val="28"/>
          <w:rtl w:val="true"/>
          <w:lang w:bidi="ar-SA"/>
        </w:rPr>
        <w:t xml:space="preserve">من التفصيل بين ما لو كان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أدّى معناه فالجواز، وبين ما إذا كان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الفضلاء</w:t>
      </w:r>
      <w:r>
        <w:rPr>
          <w:rStyle w:val="FootnoteAnchor"/>
          <w:rtl w:val="true"/>
        </w:rPr>
        <w:footnoteReference w:id="424"/>
      </w:r>
      <w:r>
        <w:rPr>
          <w:rFonts w:ascii="Amiri" w:hAnsi="Amiri" w:eastAsia="Amiri" w:cs="Amiri"/>
          <w:color w:val="111111"/>
          <w:sz w:val="28"/>
          <w:sz w:val="28"/>
          <w:szCs w:val="28"/>
          <w:rtl w:val="true"/>
          <w:lang w:bidi="ar-SA"/>
        </w:rPr>
        <w:t>من أنّه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جاز، 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فقره لم يجز وإلّا 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المانع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بظهور اللّفظ في مغايرة الدافع والمدفوع إليه، وبما ورد في المرأة توكّل رجلاً أن يزوّجها فيزوّجها من نفسه، الدالّ على عدم الجواز</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ورد في من وكّله شخصٌ في بيع شيءٍ فباعه من نفسه، الدالّ على المنع</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وبجملة من النصوص الدالّة على أنّه لا يجوز أن يأخذ ممّا أُعطي لأن يفرّقه في مساكين، كمصحّح ابن الحجّاج،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أعطاه رجلٌ مالاً ليقسّمه في محاويج أو في مساكين، وهو محتاج، أيأخذ منه لنفسه ولا يعلمه‌؟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منه شيئاً حتّى أذن له صاحبه</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تعليق كلّ حكمٍ على موضوع، ثبوته لجميع الأفراد، فلو عَلّق رضاه بتصرّفه في ماله على المجتهد، كان مقتضاه جواز تصرّف كلّ مجتهدٍ بما هو مجتهد، ولا سيّما مع إحراز عدم خصوصيّة فرد في نظره، فإذا كان المدفوع إليه يرى نفسه مجتهداً جاز له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الظهور أقوى من المشار إليه، مع أنّ للمنع عن الظهور المذكور مجالاً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صدر الخبر صريحٌ في التوكيل في أنْ يزوّجها من شخص معيّن، فهو غير مربوط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متضمّناً لبيان كيفيّة التوكيل، ولعلّه كان بنحوٍ لا يشمل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يعارض تلك النصوص جملة أُخرى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سعيد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يعطى الزكاة فيقسّمها في أصحابه أيأخذ منها شيئاً؟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الحسين بن عثمان،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أعطي مالاً يفرّقه فيمن يحلّ له، ألَهُ أن يأخذ منه شيئاً لنفسه وإنْ لم يسمّ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منه لنفسه مثل ما يعطى غيره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النصوص إنّما هو بحمل خبر المنع من جهة التعبير فيه بالنكرة على إرادة أشخاص معيّنين، أو بحمل النصوص المجوّزة على المال الذي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من الحقوق الشرعيّة على ما هو موردها، وخبر المنع على ما يكون للدافع، ولعلّ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المنع، والقاعدة تقتضي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رواية يمكن استفاة الجواز منها، وهي رواية عيثم</w:t>
      </w:r>
      <w:r>
        <w:rPr>
          <w:rStyle w:val="FootnoteAnchor"/>
          <w:rtl w:val="true"/>
        </w:rPr>
        <w:footnoteReference w:id="430"/>
      </w:r>
      <w:r>
        <w:rPr>
          <w:rFonts w:ascii="Amiri" w:hAnsi="Amiri" w:eastAsia="Amiri" w:cs="Amiri"/>
          <w:color w:val="111111"/>
          <w:sz w:val="28"/>
          <w:sz w:val="28"/>
          <w:szCs w:val="28"/>
          <w:rtl w:val="true"/>
          <w:lang w:bidi="ar-SA"/>
        </w:rPr>
        <w:t>بن عيسى‌، عن أبي الحسن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تُعطى الحَجّة فيدفعها إلى غيره‌؟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من المحتمل بل الظاهر ورودها في التوكيل، فسئل أنّه إذا أعطاه رجلٌ مالاً للحَجّ‌، هل يجب مباشرته بنفسه، أم يجوز الدفع إلى الغير؟ وعليه فهي سؤالاً وجواباً كالصريحة في جواز مباشرته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هو الجواز</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32" w:name="pg11805_167974"/>
    </w:p>
    <w:p>
      <w:pPr>
        <w:pStyle w:val="Heading3"/>
        <w:numPr>
          <w:ilvl w:val="2"/>
          <w:numId w:val="1"/>
        </w:numPr>
        <w:rPr/>
      </w:pPr>
      <w:bookmarkStart w:id="133" w:name="__RefHeading___Toc10670475_73709187"/>
      <w:bookmarkStart w:id="134" w:name="_Toc45"/>
      <w:bookmarkEnd w:id="132"/>
      <w:bookmarkEnd w:id="133"/>
      <w:r>
        <w:rPr>
          <w:rtl w:val="true"/>
        </w:rPr>
        <w:t>الفصل الخامس في الحَجّ المندوب</w:t>
      </w:r>
      <w:bookmarkEnd w:id="134"/>
    </w:p>
    <w:p>
      <w:pPr>
        <w:pStyle w:val="Heading4"/>
        <w:numPr>
          <w:ilvl w:val="3"/>
          <w:numId w:val="1"/>
        </w:numPr>
        <w:rPr/>
      </w:pPr>
      <w:bookmarkStart w:id="135" w:name="__RefHeading___Toc10670477_73709187"/>
      <w:bookmarkStart w:id="136" w:name="_Toc46"/>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لفاقد شرائط الاستطاعة أو بعضها أن يحجّ مهما أمكن بلا خلافٍ فيه، وكذا من أتى بوظيفته من الحَجّ الواجب، ويشهد به نصوصٌ كثيرة، وقد ذكرت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أبواب، وذكر في كلّ باب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الحَجّ والعُمرة عيناً في كلّ عام، وإدمانهما ولو بالاستنابة، وقد نقل في ذلك الباب 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تكرار الحَجّ والعُمرة بقدر القدرة، وذكر فيه أربعة وثلاثون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التطوّع بالحَجّ ولو بالإستدانة، وذكر فيه 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ثلاثة في استحباب اختيار الحَجّ المندوب على الصدقة، وعلى العتق، وعلى الجهاد مع غير الإمام، وذكر فيها سبعة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غير ذلك من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تكراره في كلّ سنة،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الإطلاقات الحاثّة عليه، وإلى ما ورد في حَجّ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عذافر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الحَجّ في كلّ سنة‌؟ قلت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فمَن لعيالك‌؟ اطعم عيالك الخَلّ والزيت، وحَجّ بهم كلّ سنة</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عيسى بن أبي 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إنْ استطعت أن تأكل الخبز والملح وتحجّ في كلّ سنة فافعل</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أخبارٌ مستفيضة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تركه خمس سنين متوالية لطائفةٍ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ذُريح،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مضت له خمس سنين فلم يفِد إلى ربّه هو موسرٌ إنّه لمحروم</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عبد اللّه بن سنان، عن حمران،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مُنادياً يُنادي أيُّ عَبدٍ أحسن اللّه إليه، وأوسع عليه في رزقه، فلم يفد إليه في كلّ خمسة أعوام مرّة ليطلب نوافله إنّ ذلك لمحروم</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تضمّنت جملة من النصوص لذكر فوائد لمراتب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صفوان بن مهران الجمّال، عن إمامنا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ثلاث حجج لم يصبه فقرٌ أبداً</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منصور بن حازم،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أربع حِجج لم تُصبه ضغطة القبر</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أبي بكر الحضرمي،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خمس حِجج لم يُعذّبه اللّه أبداً</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مرسل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خمس حِجج لم يُعذّبه اللّه أبداً، ومن حَجّ عشر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حِجج لم يُحاسبه اللّه أبداً، ومَن حَجّ عشرين حَجّة لم يرَ جهنّم، ولم يسمع شهيقها ولا زفيرها، ومن حَجّ أربعين حَجّة قيل له اشفع من أحببتَ‌، ويُفتح له بابٌ من أبواب الجنّة يدخل هو ومن يشفع له، ومن حَجّ خمسين حجّة بُنيَ له مدينة في جنّة عدن، فيها ألف قصر في كلّ قصر ألف حوراء من الحور العين، وألف زوجة، ويُجعل من رفقاء محمّدٍ صلى الله عليه و آله في الجنّة، ومن حَجّ أكثر من خَمسين حَجّة كان كمَن حَجّ خمسين حَجّة مع محمّدٍ والأوصياء، وكان ممّن يزوره اللّه تعالى في كلّ جمعة، وهو ممّن يدخل جنّة عدن التي خَلَقها اللّه عَزَّ وَجَلّ بيده ولم ترها عين، الحديث</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نيّة العود إلى الحَجّ عند الخروج من مكّة، ويشهد به خبر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رجع من مكّة وهو ينوي الحَجّ من قابل زيد في عمره</w:t>
      </w:r>
      <w:r>
        <w:rPr>
          <w:rFonts w:eastAsia="Amiri" w:cs="Amiri" w:ascii="Amiri" w:hAnsi="Amiri"/>
          <w:color w:val="111111"/>
          <w:sz w:val="28"/>
          <w:szCs w:val="28"/>
          <w:rtl w:val="true"/>
          <w:lang w:bidi="ar-SA"/>
        </w:rPr>
        <w:t>»</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يُكره نيّة عدم العود، لخبر الحسين الأحمسي،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مكّة وهو لا يريد العود إليها، فقد اقترب أجلَهُ‌، ودنى عذابه</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التبرّع بالحَجّ عن الأقارب أحياءً وأمواتاً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لمصحّح إسحاق بن عمّار،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يحجّ فيجعل حَجّته وعمرته أو بعض طوافه لبعض أهله، وهو عنه غائبٌ ببلدٍ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فنيقص ذلك من أجره‌؟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وهي له ولصاحبه، وله سوى ذلك بما وصل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37" w:name="pg11805_167977"/>
    </w:p>
    <w:p>
      <w:pPr>
        <w:pStyle w:val="BookText"/>
        <w:rPr/>
      </w:pPr>
      <w:bookmarkEnd w:id="13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ميّتٌ‌، هل يدخل ذلك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يكون مسخوطاً عليه فيغفر له، أو يكون مُضيَّقاً عليه فيوسّع عليه، الحديث</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جابر،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وصل قريباً بحجّةٍ أو عُمرةٍ كَتب اللّه له حَجّتين وعمرتين</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موسى بن القاسم البجليّ‌،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حججتُ عن أبيك، وربما حججتُ عن أبي، وربما حججتُ عن الرّجل من إخواني، وربما حججتُ عن نفسي، فكيف أصنع‌؟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يجوز الحَجّ عن المعصومين عليهم السلام، لخبر البجلي المتقدّم وغيره</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0670479_73709187"/>
      <w:bookmarkStart w:id="139" w:name="_Toc47"/>
      <w:bookmarkEnd w:id="138"/>
      <w:r>
        <w:rPr>
          <w:rtl w:val="true"/>
        </w:rPr>
        <w:t>النيابة في الطواف</w:t>
      </w:r>
      <w:bookmarkEnd w:id="139"/>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النيابة عن الغير في الطواف في الجملة بلا خلافٍ‌، وتفصيل الكلام في طيّ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بنفسه مستحبٌّ مستقلٌّ من غير أن يكون في ضمن الحَجّ بلا إشكال، ويشهد به نصوصٌ كثيرة، وقد عقد لها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أبواباً تتضمّن ذلك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التطوّع بالطواف، وتكراره، واختياره على العتق المندوب، وذكر فيه أخباراً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حول الكعبة عشرين ومائة رحمةً‌؛ منها ستّون للطائفين</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أبان بن تغلب، عنه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هل تدري ما ثواب من طاف بهذا البيت اسبوعاً؟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له ستّة آلاف حَسَنة، ويُمحا عنه ستّة آلاف سيّئة، ويُرفع له ستّة آلاف درجة</w:t>
      </w:r>
      <w:r>
        <w:rPr>
          <w:rFonts w:eastAsia="Amiri" w:cs="Amiri" w:ascii="Amiri" w:hAnsi="Amiri"/>
          <w:color w:val="111111"/>
          <w:sz w:val="28"/>
          <w:szCs w:val="28"/>
          <w:rtl w:val="true"/>
          <w:lang w:bidi="ar-SA"/>
        </w:rPr>
        <w:t>»</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النيابة فيه عن الميّت بلا خلافٍ فيه بين الأصحاب، ويشهد به نصوصٌ كثيرة واردة في الموارد المتفرِّقة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أبي بصير، عن أمّامنا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وصل أباه أو ذا قرابة له، فطاف عنه، كان له أجره كاملاً، وللّذي طاف عنه مثل أجره، ويفضل هو بصلته إيّاه بطواف آخر</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يحيى الأزرق،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عن الرّجل، يصلح له أن يطوف عن أقاربه‌؟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مناسك الحَجّ فليصنع ماشاء</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موسى بن القاسم، عن أبي جعفر الثاني عليه السلام، في حديثٍ‌</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يوماً عن رسول اللّه صلى الله عليه و آله، فقال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رسول اللّه، ثمّ اليوم الثاني عن أمير المؤمنين عليه السلام، ثمّ طفت اليوم الثالث عن الحسن عليه السلام، والرابع عن الحسين عليه السلام، والخامس عن علي بن الحسين عليهما السلام، واليوم السادس عن أبي جعفر محمّد بن علي الباقر عليهما السلام، واليوم السابع عن جعفر بن محمّد عليهما السلام، واليوم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 عن أبيك موسى عليه السلام، واليوم التاسع عن أبيك عليّ عليه السلام، واليوم العاشر عنك يا سيّدي، وهؤلاء الذين أدين اللّه بولايتهم‌؟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تدين اللّه بالدين الذي لا يُقبَل من العباد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طفتُ عن اُمّك فاطمة عليها السلام وربما لم أطف‌؟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 من هذا، فإنّه أفضل ما أنتَ عامله إنْ شاء اللّه</w:t>
      </w:r>
      <w:r>
        <w:rPr>
          <w:rFonts w:eastAsia="Amiri" w:cs="Amiri" w:ascii="Amiri" w:hAnsi="Amiri"/>
          <w:color w:val="111111"/>
          <w:sz w:val="28"/>
          <w:szCs w:val="28"/>
          <w:rtl w:val="true"/>
          <w:lang w:bidi="ar-SA"/>
        </w:rPr>
        <w:t>»</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النيابة فيه عن الحَيّ إذا كان غائباً عن مكّة بلا خلافٍ‌، للنصوص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أبي نجران، عمّن حدّثه،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يطوف عن الرّجُل وهُما مُقيمان بمكّة‌؟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يطوف عن الرّجل وهو غائبٌ عن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مقدار الغيبة‌؟ قال عشرة أميال</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فأطوف عن الرّجل والمرأة وهما بالكوفة‌؟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تجوز النيابة عن الحَيّ الحاضر بمكّة إذا كان معذوراً في الطواف بنفسه، بأحد الأعذار المذكورة في النصوص، بلا خلافٍ ولا إشكال، ويشهد به نصوص</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 المغلوب والمُغمى عليه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يُرمى عنه ويُطاف عنه</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المبطون والكسير يُطاف عنهما ويرمى عنهما</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حبيب الخثعمي،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رسول اللّه صلى الله عليه و آله أن يُطاف عن المبطون والكسير</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الكسير يُحمَل فيرمي الجمار، والمبطون يُرمى عنه ويُصلّى عنه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النصوص كما ترى متعرّضة للمريض المغلوب، والمُغمى عليه، والكبير، والمبطون، والكسير، والأصحاب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تعرّضوا لهم بالخصوص، والتعدّي عنهم إلى كلّ معذورٍ يتوقّف على إحراز المناط، وفي خصوص الحائض كلامٌ‌، وقد تعرّض بعض الأصحاب أيضاً لها، وتنقيح القول فيها سيأتي إنْ شاء اللّه في مبحث الطواف</w:t>
      </w:r>
      <w:r>
        <w:rPr>
          <w:rStyle w:val="FootnoteAnchor"/>
          <w:rtl w:val="true"/>
        </w:rPr>
        <w:footnoteReference w:id="456"/>
      </w:r>
      <w:r>
        <w:rPr>
          <w:rFonts w:ascii="IRNazanin" w:hAnsi="IRNazanin" w:eastAsia="IRNazanin"/>
          <w:color w:val="111111"/>
          <w:sz w:val="28"/>
          <w:sz w:val="28"/>
          <w:szCs w:val="28"/>
          <w:rtl w:val="true"/>
          <w:lang w:bidi="fa-IR"/>
        </w:rPr>
        <w:t>، فانتظر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المنوب عنه حاضراً غير معذورٍ، فلا تصحّ النيابة عنه اتّفاقاً،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ويشهد به جملة من النصوص، كخبر ابن أبي نجران المتقدّم عنه، وخبر إسماعيل بن عبد الخالق،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إلى جنب أبي عبد اللّه عليه السلام وعنده ابنه عبد اللّه أو ابنه الذي يليه،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يطوف الرّجل عن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الرّجل وهو مُقيمٌ بمكّة ليس به علّة‌؟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كان ذلك يجوز لأمرتُ ابني فلاناً فطافَ عنّي</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سائر أفعال الحَجّ حتّى مثل السعي بين الصفا والمروة، الذي يظهر من جملةٍ من النصوص استحبابه لنفسه، فمشروعيّتها مستقلّاً لم تثبت، والأصل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ليس له زاد وراحلة، أن يستقرض ويحجّ إذا كان واثقاً من الوفاء، لخبر موسى بن بكر الواسطي،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يستقرض ويحجّ؟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خلف ظهره مالٌ‌، فإن حَدَث به ما حدثٌ أدّى عنه، فلا بأس</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 جملة من الأخبار استحباب 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يعقوب بن شُعيب،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يحجّ بدين وقد حَجّ حجّة الإسلام‌؟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سيقضي عنه إنْ شاء اللّه تعالى‌</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أبي عمير، عن جُفينة،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سُدير الصيرفي،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إنّ‌أباعبداللّه عليه السلام يقرأ عليك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لاتحجّ؟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 وحَجّ‌</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وجه لتقيّيدها بما تقدّم، لعدم حمل المطلق على المقيّد في المستحبّات، فتأمّل، ولعدم المفهوم له لعدم ثبوت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كثرة الإنفاق في الحَجّ‌، ويشهد به خبر ابن أبي يعفور، عن الإمام الصادق عليه السلام، عن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نفقةٍ أحبّ إلى اللّه عَزَّ وَجَلّ من نفقة قصد، ويبغض الإسراف إلّافي الحَجّ والعُمرة، فرحم اللّه مؤمناً اكتسب طيّباً وأنفق من قصد أو قدّم فَضلاً</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لا مال له يحجُّ به أن يأتي به ولو بإجارة نفسه، ويدلّ عليه خبر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إذ دخل عليه رجلٌ فأعطاه ثلاثين ديناراً ليحجّ بها عن إسماعيل، ولم يترك شيئاً من العُمرة إلى الحَجّ إلّااشترط عليه، حتّى اشترط عليه أن يسعى في وادي مُحسَّر،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إذا أنتَ فعلت هذا كان لإسماعيل حَجّة بما أنفق من ماله، وكانت لك تسعٌ بما أتعبت من بدنك</w:t>
      </w:r>
      <w:r>
        <w:rPr>
          <w:rFonts w:eastAsia="Amiri" w:cs="Amiri" w:ascii="Amiri" w:hAnsi="Amiri"/>
          <w:color w:val="111111"/>
          <w:sz w:val="28"/>
          <w:szCs w:val="28"/>
          <w:rtl w:val="true"/>
          <w:lang w:bidi="ar-SA"/>
        </w:rPr>
        <w:t>»</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40" w:name="pg11805_167983"/>
    </w:p>
    <w:p>
      <w:pPr>
        <w:pStyle w:val="BookText"/>
        <w:rPr/>
      </w:pPr>
      <w:bookmarkEnd w:id="140"/>
      <w:r>
        <w:rPr>
          <w:rFonts w:ascii="Amiri" w:hAnsi="Amiri" w:eastAsia="Amiri" w:cs="Amiri"/>
          <w:color w:val="111111"/>
          <w:sz w:val="28"/>
          <w:sz w:val="28"/>
          <w:szCs w:val="28"/>
          <w:rtl w:val="true"/>
          <w:lang w:bidi="ar-SA"/>
        </w:rPr>
        <w:t>الباب الثاني</w:t>
      </w:r>
    </w:p>
    <w:p>
      <w:pPr>
        <w:pStyle w:val="BookText"/>
        <w:rPr/>
      </w:pPr>
      <w:r>
        <w:rPr>
          <w:rFonts w:ascii="Amiri" w:hAnsi="Amiri" w:eastAsia="Amiri" w:cs="Amiri"/>
          <w:color w:val="111111"/>
          <w:sz w:val="28"/>
          <w:sz w:val="28"/>
          <w:szCs w:val="28"/>
          <w:rtl w:val="true"/>
          <w:lang w:bidi="ar-SA"/>
        </w:rPr>
        <w:t>في أنواعه، وهي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تمتّعٌ بالعُمرة إلى الحَجّ‌، وقِرانٌ‌، وإفراد</w:t>
      </w:r>
      <w:r>
        <w:rPr>
          <w:rFonts w:eastAsia="Amiri" w:cs="Amiri" w:ascii="Amiri" w:hAnsi="Amiri"/>
          <w:color w:val="111111"/>
          <w:sz w:val="28"/>
          <w:szCs w:val="28"/>
          <w:rtl w:val="true"/>
          <w:lang w:bidi="ar-SA"/>
        </w:rPr>
        <w:t>.</w:t>
      </w:r>
    </w:p>
    <w:p>
      <w:pPr>
        <w:pStyle w:val="Heading2"/>
        <w:numPr>
          <w:ilvl w:val="1"/>
          <w:numId w:val="1"/>
        </w:numPr>
        <w:rPr/>
      </w:pPr>
      <w:bookmarkStart w:id="141" w:name="__RefHeading___Toc10670481_73709187"/>
      <w:bookmarkStart w:id="142" w:name="_Toc48"/>
      <w:bookmarkEnd w:id="141"/>
      <w:r>
        <w:rPr>
          <w:rtl w:val="true"/>
        </w:rPr>
        <w:t>الباب الثاني</w:t>
      </w:r>
      <w:r>
        <w:rPr>
          <w:rtl w:val="true"/>
        </w:rPr>
        <w:t xml:space="preserve">: </w:t>
      </w:r>
      <w:r>
        <w:rPr>
          <w:rtl w:val="true"/>
        </w:rPr>
        <w:t>في أنواع الحجّ‌</w:t>
      </w:r>
      <w:bookmarkEnd w:id="142"/>
    </w:p>
    <w:p>
      <w:pPr>
        <w:pStyle w:val="Heading3"/>
        <w:numPr>
          <w:ilvl w:val="2"/>
          <w:numId w:val="1"/>
        </w:numPr>
        <w:rPr/>
      </w:pPr>
      <w:bookmarkStart w:id="143" w:name="__RefHeading___Toc10670483_73709187"/>
      <w:bookmarkStart w:id="144" w:name="_Toc49"/>
      <w:bookmarkEnd w:id="143"/>
      <w:r>
        <w:rPr>
          <w:rtl w:val="true"/>
        </w:rPr>
        <w:t>اشارة</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بالعُمرة إلى الحَجّ‌، وقِرانٌ‌، وإفراد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بين العلماء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وبلا خلافٍ أجده بين علماء الإسلام،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موضع وفاق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والنصوص الشاهدة بذلك كثيرة،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مفرد، وقِران، وتمتّعٌ بالعُمرة إلى الحَجّ‌، وبها أمر رسول اللّه صلى الله عليه و آله، والفضل فيها، ولا نأمر النّاس إلّابها</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على ثلاثة وجوه؛ رجلٌ أفرد الحَجّ وساق الهَدي، ورجلٌ أفرد الحَجّ ولم يسق الهَدي، ورجلٌ تمتّع بالعُمرة إلى الحَجّ‌</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الروايات أنّه لم يكن حَجّ التمتّع مشروعاً في صدر الإسلام، وإنّما شُرّع في حَجّة الوداع، لاحظ النصوص الكثيرة المتضمّنة أنّ رسول اللّه صلى الله عليه و آله أذّن بالحَجّ في عام حَجّة الوداع، وأحرم وأحرم النّاس كلّهم بالحَجّ لا ينوون عمرة، ولا يدرون ما المتعة، حتّى إذا قدموا مكّة، وعند فراغه صلى الله عليه و آله من سعيه جاءه جبرئيل وأمره أن يأمر النّاس أن يحلّوا، إلّامن سائق هَدي، فبلّغ صلى الله عليه و آله ذلك، فقال له رجلٌ من القوم</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لنخرجنّ حُجّاجاً وشعورنا تقطر؟</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لن تؤمن بعدها أبداً، فسأله رجلٌ إنّ هذا الذي أمرتنا به لعامنا هذا أم لما يستقبل‌؟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للأبد إلى يوم القيامة، ثمّ شبّك أصابعه بعضها إلى بعض،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فلإنفصاله عن العُمرة وعدم ارتباطه بها، وأمّا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بسياق الهَدْي، وأمّا التمتّع فهو لغةً التلذّذ والانتفاع، وإنّما سُمّي هذا النوع بذلك، لما يتحلّل بين حَجّه وعمرته من التحلّل المقتضي لجواز الانتفاع والتلذّذ بما كان قد حرّمه الإحرام قبله، مع الارتباط بينهما، وكونهما كالشيء الواحد، فيكون التمتّع الواقع بينهما كأنّه حاصلٌ في أثناء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والعُمرة في حَجّ التمتّع مرتبطة بالحَجّ كما أشار إليه السيّد، ونطقت به النصوص، فلا يجوز الإتيان بأحدهما منفرداً، وهذا بخلاف أخويه، لعدم ارتباطها به فيهما، وكونها واجبة مستقلّة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بينهما كما أفاد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ساق الهَدْي في حجّه سُمّي قِراناً، وإلّا سُمّي إفراداً، ولذا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العُمرة إنْ تقدّمت على الحَجّ كان تمتّعاً، وإن تأخّرت فإنْ انضمّ إليه سياقٌ فهو قِران، وإلّا فإفراد، والجمهور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أن يُقدّم العُمرة، والمفرد أن يؤخّرها في الإحرام، والقارن أن يجمع بينهما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الجمع بين النُسكين عند الإماميّة</w:t>
      </w:r>
      <w:r>
        <w:rPr>
          <w:rStyle w:val="FootnoteAnchor"/>
          <w:rtl w:val="true"/>
        </w:rPr>
        <w:footnoteReference w:id="471"/>
      </w:r>
      <w:r>
        <w:rPr>
          <w:rFonts w:ascii="Amiri" w:hAnsi="Amiri" w:eastAsia="Amiri" w:cs="Amiri"/>
          <w:color w:val="111111"/>
          <w:sz w:val="28"/>
          <w:sz w:val="28"/>
          <w:szCs w:val="28"/>
          <w:rtl w:val="true"/>
          <w:lang w:bidi="ar-SA"/>
        </w:rPr>
        <w:t xml:space="preserve">وخالفهم ابن أبي عقيل، 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4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ينعقد إحرامه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ذلك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45" w:name="pg11805_167986"/>
    </w:p>
    <w:p>
      <w:pPr>
        <w:pStyle w:val="Heading3"/>
        <w:numPr>
          <w:ilvl w:val="2"/>
          <w:numId w:val="1"/>
        </w:numPr>
        <w:rPr/>
      </w:pPr>
      <w:bookmarkStart w:id="146" w:name="__RefHeading___Toc10670485_73709187"/>
      <w:bookmarkStart w:id="147" w:name="_Toc50"/>
      <w:bookmarkEnd w:id="145"/>
      <w:bookmarkEnd w:id="146"/>
      <w:r>
        <w:rPr>
          <w:rtl w:val="true"/>
        </w:rPr>
        <w:t>حَجّ التمتّع</w:t>
      </w:r>
      <w:bookmarkEnd w:id="147"/>
    </w:p>
    <w:p>
      <w:pPr>
        <w:pStyle w:val="BookText"/>
        <w:rPr/>
      </w:pPr>
      <w:r>
        <w:rPr>
          <w:rFonts w:ascii="Amiri" w:hAnsi="Amiri" w:eastAsia="Amiri" w:cs="Amiri"/>
          <w:color w:val="111111"/>
          <w:sz w:val="28"/>
          <w:sz w:val="28"/>
          <w:szCs w:val="28"/>
          <w:rtl w:val="true"/>
          <w:lang w:bidi="ar-SA"/>
        </w:rPr>
        <w:t>وحَجّ التمتّع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يكون ابتداءً كمَن يحرم أوّلاً بالعُمرة ثمّ بعد قضاء مناسكها يحرم بالحَجّ‌، وهذا لا كلام في مشروعيّته وسيأتي أنّه فرض النائي، لا يجوز غيره له مع الاختيار، وإنّما يجوز العدول عنه في بعض الموارد، ولم يخالفنا الجمهور في مشروعيّة ذلك، ولذا ترى الفقهاء والمحصّلين منهم حَمَلوا نهي عمر بن الخطّاب</w:t>
      </w:r>
      <w:r>
        <w:rPr>
          <w:rStyle w:val="FootnoteAnchor"/>
          <w:rtl w:val="true"/>
        </w:rPr>
        <w:footnoteReference w:id="473"/>
      </w:r>
      <w:r>
        <w:rPr>
          <w:rFonts w:ascii="Amiri" w:hAnsi="Amiri" w:eastAsia="Amiri" w:cs="Amiri"/>
          <w:color w:val="111111"/>
          <w:sz w:val="28"/>
          <w:sz w:val="28"/>
          <w:szCs w:val="28"/>
          <w:rtl w:val="true"/>
          <w:lang w:bidi="ar-SA"/>
        </w:rPr>
        <w:t xml:space="preserve">عن متعة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 مورد نهيه ذلك، لا القسم الثاني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الاستحباب لا على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الفقهاء والمحصّلين من مخالفينا حملوا نهي عمر من هذه المتعة على وجه الاستحباب لا على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والمختار أنّ عمر وعثمان وغيرهما إنّما نهوا عن المتعة التي هي الاعتمار في أشهر الحَجّ من عامه، ومرادهم نهي أولويّة للترغيب في الإفراد، لكونه أفضل، وقد انعقد الإجماع بعد هذا على جواز الإفراد والتمتّع والقِران من غير كراهة، وإنّما اختلفوا في الأفضل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ذلك كلمات غيرهما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يكون بالعدول من حِجّ الإفراد، فإنّ من دخل مكّة مُحرِماً بحجّ‌ </w:t>
      </w:r>
    </w:p>
    <w:p>
      <w:pPr>
        <w:pStyle w:val="BookText"/>
        <w:rPr/>
      </w:pPr>
      <w:r>
        <w:rPr>
          <w:rFonts w:ascii="Amiri" w:hAnsi="Amiri" w:eastAsia="Amiri" w:cs="Amiri"/>
          <w:color w:val="111111"/>
          <w:sz w:val="28"/>
          <w:sz w:val="28"/>
          <w:szCs w:val="28"/>
          <w:rtl w:val="true"/>
          <w:lang w:bidi="ar-SA"/>
        </w:rPr>
        <w:t>الإفراد، فالأفضل له أن يَعدل بإحرامه إلى عُمرة التمتّع، ويُتمّ حَجّ التمتّع، وهذا الذي منعه جميع فقهاء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4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وزعم فقهاء الجمهور أنّ نقل الحَجّ المفرد إلى التمتّع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ما اتّفق عليه الرّواة من أنّ النبيّ صلى الله عليه و آله أمر أصحابه حين دخول مكّة محرمين بالحَجّ‌، فقال من لم يسق الهَدي فليحلّ وليجعلها عُمرة فطافوا وسعوا وأحلّوا، وسئل عن نفسه، فقال إنّي سقتُ الهَدْي، ولا ينبغي لسائق الهَدْي أن يحلّ حتّى يبلغ الهَدْي مَحِلّه، وروى ذلك ومنعاه جماعة، منهم جابر وعائشة وأسماء بنت أبي بكر،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 آله فلمّا قدمنا مكّة، قال رسول اللّه صلى الله عليه و آله من لم يكن معه هديٌ فليحلّ‌، فأحللتُ‌، وكان مع الزبير هَدي، فلبستُ ثيابي وخرجتُ فجلست إلى جانب الزبير، فقال قومي عنّي، فقلت أتخشى إن أثِب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المجوّزون للعدول، فمنهم من جوّزه حتّى في فرض العين، ومنهم من جوّزه في الندب والفرض غير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لايختصّ جواز العدول بالإفراد المندوبة بل يجوز العدول عن الحَجّ الواجب أيضاً، سواءٌ كان متعيّناً أو مخيّراً بينه وبين غيره، كالناذر مطلقاً، وذي المنزلين المتساويين، لعموم الأخبار الدالّة على الجواز، كما أمر به النبيّ صلى الله عليه و آله من لم يسق من الصحابة، من غير تقيّدٍ بكون المعدول عنه مندوباً أو غير مندوب، وهو قوي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 سؤال الفرق بين جواز العدول عن المعيّن إختياراً، وعدم جوازه ابتداءً‌، بل ربما كان الابتداء أولى‌، للأمر بإتمام الحَجّ والعُمرة للّه، ومن ثمّ خصه بعض</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الأصحاب بما إذا لم يتعيّن عليه الإفراد وقسيميه، كالمندوب والواجب المخيّر، جمعاً بين ما دلَّ على الجواز مطلقاً، وما دلَّ على اختصاص كلّ قومٍ بنوع، هو أولى إنْ لم نقل بجواز العدول عن الإفراد إلى التمتّع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مشروعيّة هذا القسم من المتعة،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الخبر المتّفق على نقله المشار إليه المتقدّم في أوّل البحث، المتضمّن لأمر النبيّ صلى الله عليه و آله أصحابه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لبَّى بالحَجّ مفرداً، فقدم مكّة وطاف بالبيت، وصَلّى ركعتين عند مقام إبراهيم عليه السلام، وسعى بين الصفا والمروة‌؟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فليحلّ وليجعلها متعة، إلّاأن يكون ساق الهَدْي</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غيره، وقد عقد لها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وذكر فيه روايات كثيرة، كما لا إشكال في أنّ فرض الحاضر هو الإفراد أو القِران، لا يجوز له التمتّع، وسيأتي تفصيل القول فيه، وسيمرّ عليك النصوص الدالّة على أنّه ليس لأهل مكّة متعة، والجمع بين النصوص يقتضي البناء على اختصاص مشروعيّة هذا القسم بغير من وجب عليه الإفراد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كلمات أصحابنا والجمهور في المتعة التي حَرّمها عمر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81"/>
      </w:r>
      <w:r>
        <w:rPr>
          <w:rFonts w:ascii="Amiri" w:hAnsi="Amiri" w:eastAsia="Amiri" w:cs="Amiri"/>
          <w:color w:val="111111"/>
          <w:sz w:val="28"/>
          <w:sz w:val="28"/>
          <w:szCs w:val="28"/>
          <w:rtl w:val="true"/>
          <w:lang w:bidi="ar-SA"/>
        </w:rPr>
        <w:t>، وعن النووي في شرح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وغيرهم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الاعتمار في أشهر الحَجّ ثمّ الحَجّ من عامه، وهو القسم الأوّل من حَجّ التمتّع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48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وعن المازري</w:t>
      </w:r>
      <w:r>
        <w:rPr>
          <w:rStyle w:val="FootnoteAnchor"/>
          <w:rtl w:val="true"/>
        </w:rPr>
        <w:footnoteReference w:id="485"/>
      </w:r>
      <w:r>
        <w:rPr>
          <w:rFonts w:ascii="Amiri" w:hAnsi="Amiri" w:eastAsia="Amiri" w:cs="Amiri"/>
          <w:color w:val="111111"/>
          <w:sz w:val="28"/>
          <w:sz w:val="28"/>
          <w:szCs w:val="28"/>
          <w:rtl w:val="true"/>
          <w:lang w:bidi="ar-SA"/>
        </w:rPr>
        <w:t>، والقاضي عياض</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فسخ الحَجّ إلى العُمرة، وهو القسم الثاني من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الكلام في بطلان ذلك، وأنّه ليس لعمر بن الخطّاب ذلك، فموكولٌ إلى محلٍّ آخر؛ لعدم وضع الكتاب لذلك، ومن أراد الوقوف على ما هو الحقّ الذي لا ريب فيه، فليراجع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للمرجع الديني الأعلى المحقّق الخوئي دام ظلّه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48" w:name="pg11805_167990"/>
    </w:p>
    <w:p>
      <w:pPr>
        <w:pStyle w:val="BookText"/>
        <w:rPr/>
      </w:pPr>
      <w:bookmarkEnd w:id="148"/>
      <w:r>
        <w:rPr>
          <w:rFonts w:ascii="Amiri" w:hAnsi="Amiri" w:eastAsia="Amiri" w:cs="Amiri"/>
          <w:color w:val="111111"/>
          <w:sz w:val="28"/>
          <w:sz w:val="28"/>
          <w:szCs w:val="28"/>
          <w:rtl w:val="true"/>
          <w:lang w:bidi="ar-SA"/>
        </w:rPr>
        <w:t>أمّا التمتّع فصورته الإحرام بالعُمرة إلى الحَجّ من الميقات، والطواف بالبيت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0670487_73709187"/>
      <w:bookmarkStart w:id="150" w:name="_Toc51"/>
      <w:bookmarkEnd w:id="149"/>
      <w:r>
        <w:rPr>
          <w:rtl w:val="true"/>
        </w:rPr>
        <w:t>صورة حَجّ التمتّع</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التمتّع فصورته الإحرام بالعُمرة إلى الحَجّ من الميقات، والطواف بالبيت سَبْعاً، وصلاة ركعتين في مقام إبراهيم عليه السلام، والسَّعي بين الصَّفا والمروة سَبعاً، والتقصير، والإحرام ثانياً من مكّة بالحَجّ‌، والوقوف بعرفات تاسع ذي الحِجّة إلى الغروب، والإفاضة إلى المشعر، والوقوف به بعد الفجر، ورمي جَمَرة العقبة، ثُمّ الذَّبح، ثُمّ الحَلْق يوم النحر بمِنى‌، وطواف الحَجّ وركعتاه وسعيه، وطواف النساء وركعتاه، والمبيت بمنى ليلة الحادي عشر والثاني عشر، ورمي الجِمار الثلاث في اليومين، ثمّ إنْ أقام الثالث عشر رَمى‌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صورة التمتّع إجمالاً، وسيمرّ عليك تفصيل ذلك، ولعلّه هناك كلامٌ في بعض مواضعها</w:t>
      </w:r>
      <w:r>
        <w:rPr>
          <w:rFonts w:eastAsia="Amiri" w:cs="Amiri" w:ascii="Amiri" w:hAnsi="Amiri"/>
          <w:color w:val="111111"/>
          <w:sz w:val="28"/>
          <w:szCs w:val="28"/>
          <w:rtl w:val="true"/>
          <w:lang w:bidi="ar-SA"/>
        </w:rPr>
        <w:t>.</w:t>
      </w:r>
      <w:bookmarkStart w:id="151" w:name="pg11805_167991"/>
    </w:p>
    <w:p>
      <w:pPr>
        <w:pStyle w:val="BookText"/>
        <w:rPr/>
      </w:pPr>
      <w:bookmarkEnd w:id="151"/>
      <w:r>
        <w:rPr>
          <w:rFonts w:ascii="Amiri" w:hAnsi="Amiri" w:eastAsia="Amiri" w:cs="Amiri"/>
          <w:color w:val="111111"/>
          <w:sz w:val="28"/>
          <w:sz w:val="28"/>
          <w:szCs w:val="28"/>
          <w:rtl w:val="true"/>
          <w:lang w:bidi="ar-SA"/>
        </w:rPr>
        <w:t>وهذا فرض من نأى عن مكّة</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0670489_73709187"/>
      <w:bookmarkStart w:id="153" w:name="_Toc52"/>
      <w:bookmarkEnd w:id="152"/>
      <w:r>
        <w:rPr>
          <w:rtl w:val="true"/>
        </w:rPr>
        <w:t>التمتّع فرضُ من كان بعيداً عن مكّة</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 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من نأى عن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لا يجزيه غيره اختياراً، إجماعاً محكيّاً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4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علماؤنا كافّة على أنّ فرض من نأى عن مكّة التمتّع، لا يجوز لهم غيره إلّامع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4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على المكلّفين ممّن نأى عن المسجد الحرام، وليس من حاضريه، التمتّع مع الاختيار، لا يُجزيهم غيره، وهو مذهب فقهاء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بإجماع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كلمات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أَمِنْتُمْ فَمَنْ تَمَتَّعَ بِالْعُمْرَةِ إِلَى اَلْحَجِّ فَمَا اِسْتَيْسَرَ مِنَ‌ </w:t>
      </w:r>
    </w:p>
    <w:p>
      <w:pPr>
        <w:pStyle w:val="BookText"/>
        <w:rPr/>
      </w:pPr>
      <w:r>
        <w:rPr>
          <w:rFonts w:ascii="Amiri" w:hAnsi="Amiri" w:eastAsia="Amiri" w:cs="Amiri"/>
          <w:color w:val="111111"/>
          <w:sz w:val="28"/>
          <w:sz w:val="28"/>
          <w:szCs w:val="28"/>
          <w:rtl w:val="true"/>
          <w:lang w:bidi="ar-SA"/>
        </w:rPr>
        <w:t>اَلْهَدْيِ فَمَنْ لَمْ يَجِدْ فَصِيامُ ثَلاثَةِ أَيّامٍ فِي اَلْحَجِّ وَ سَبْعَةٍ إِذا رَجَعْتُمْ تِلْكَ عَشَرَةٌ كامِلَةٌ ذلِكَ لِمَنْ لَمْ يَكُنْ أَهْلُهُ حاضِرِي اَلْمَسْجِدِ اَلْحَرامِ‌</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إمّا أن يرجع إلى جميع ما تقدّم، أو أنّه يرجع إلى التمتّع، نظراً إلى ما نصّ عليه أهل العربيّة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الآية لا تدلّ على عدم إجزاء غيره، لأنّ ظاهرها حصر التمتّع بالنائي، لا حصر وظيفة النائي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الأمر بالإتمام أمرٌ بإيجادهما تامّين للاجزاء والشرائط،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أي من أتى بعملٍ حَسَن، ونظير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 جلفة قلمك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ابن اُذينة،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يعني بتمامها أداءهما</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معاوية،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واجبة على الخلق، مثل الحَجّ على مَن استطاع، 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ظاهرٌ في الوجوب، فتدلّ الآية على وجوب كلّ منهما، ووجوب كلّ واحدٍ من الأجزاء، يستلزم وجوب الماهيّة المركّبة منهما، والآية وإنْ كانت مطلقة، إلّا أنّه يُقيّد إطلاقها بما دلّ على أنّ فرض من بمكّة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مكّة ليس عليهم متعة، كلّ من كان أهله دون ثمانية وأربعين ميلاً ذات عرق وعسفان كما يدور حول مكّة، فهو ممّن دخل في هذه الآية، وكلّ من كان إهله وراء ذلك فعليهم المتعة</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 إلى يوم القيامة،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فليس لأحدٍ إلّاأن يتمتّع، لأنّ اللّه أنزل ذلك في كتابه، وجرت به السُنّة من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كالآية مطلق يقيّدُ إطلاقه بما سيأتي، 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الإفراد والقِران فرضُ مَن كان حاضراً، أي غير بعيدٍ، كما هو المشهور شهرة عظيمة، ولم يخالف أحدٌ غير الشيخ</w:t>
      </w:r>
      <w:r>
        <w:rPr>
          <w:rStyle w:val="FootnoteAnchor"/>
          <w:rtl w:val="true"/>
        </w:rPr>
        <w:footnoteReference w:id="502"/>
      </w:r>
      <w:r>
        <w:rPr>
          <w:rFonts w:ascii="Amiri" w:hAnsi="Amiri" w:eastAsia="Amiri" w:cs="Amiri"/>
          <w:color w:val="111111"/>
          <w:sz w:val="28"/>
          <w:sz w:val="28"/>
          <w:szCs w:val="28"/>
          <w:rtl w:val="true"/>
          <w:lang w:bidi="ar-SA"/>
        </w:rPr>
        <w:t>في أحد قوليه، ويحيى بن سعيد</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الأُولى كما عرفت، والنصوص</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الفضلاء،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لأهل مكّة ولا لأهل مُرّ</w:t>
      </w:r>
      <w:r>
        <w:rPr>
          <w:rStyle w:val="FootnoteAnchor"/>
          <w:rtl w:val="true"/>
        </w:rPr>
        <w:footnoteReference w:id="504"/>
      </w:r>
      <w:r>
        <w:rPr>
          <w:rFonts w:ascii="Amiri" w:hAnsi="Amiri" w:eastAsia="Amiri" w:cs="Amiri"/>
          <w:color w:val="111111"/>
          <w:sz w:val="28"/>
          <w:sz w:val="28"/>
          <w:szCs w:val="28"/>
          <w:rtl w:val="true"/>
          <w:lang w:bidi="ar-SA"/>
        </w:rPr>
        <w:t>ولا سَرف</w:t>
      </w:r>
      <w:r>
        <w:rPr>
          <w:rStyle w:val="FootnoteAnchor"/>
          <w:rtl w:val="true"/>
        </w:rPr>
        <w:footnoteReference w:id="505"/>
      </w:r>
      <w:r>
        <w:rPr>
          <w:rFonts w:ascii="Amiri" w:hAnsi="Amiri" w:eastAsia="Amiri" w:cs="Amiri"/>
          <w:color w:val="111111"/>
          <w:sz w:val="28"/>
          <w:sz w:val="28"/>
          <w:szCs w:val="28"/>
          <w:rtl w:val="true"/>
          <w:lang w:bidi="ar-SA"/>
        </w:rPr>
        <w:t>متعة، وذلك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حاضِرِيل</w:t>
      </w:r>
      <w:r>
        <w:rPr>
          <w:rFonts w:eastAsia="Amiri" w:cs="Amiri" w:ascii="Amiri" w:hAnsi="Amiri"/>
          <w:color w:val="111111"/>
          <w:sz w:val="28"/>
          <w:szCs w:val="28"/>
          <w:rtl w:val="true"/>
          <w:lang w:bidi="ar-SA"/>
        </w:rPr>
        <w:t xml:space="preserve">. </w:t>
      </w:r>
      <w:bookmarkStart w:id="154" w:name="pg11805_167994"/>
    </w:p>
    <w:p>
      <w:pPr>
        <w:pStyle w:val="BookText"/>
        <w:rPr/>
      </w:pPr>
      <w:bookmarkEnd w:id="154"/>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سعيد الأعرج،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لأهل سَرف ولا لأهل مُرّ ولا لأهل مكّة متعة،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ذهب إليه الشيخ وابن سعيد بصحيحي عبد الرحمن بن الحجّاج الآتيين في مسألة أنّ أهل مكّة إذا خرجوا إلى بعض الأمصار، جاز لهم التمتّع، وسوف نقول إنّ موردهما خاصٌّ لا يتعدّى عنه</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0670491_73709187"/>
      <w:bookmarkStart w:id="156" w:name="_Toc53"/>
      <w:bookmarkEnd w:id="155"/>
      <w:r>
        <w:rPr>
          <w:rtl w:val="true"/>
        </w:rPr>
        <w:t>حَد البُعد الموجب للتمتّع</w:t>
      </w:r>
      <w:bookmarkEnd w:id="156"/>
    </w:p>
    <w:p>
      <w:pPr>
        <w:pStyle w:val="BookText"/>
        <w:rPr/>
      </w:pPr>
      <w:r>
        <w:rPr>
          <w:rFonts w:ascii="Amiri" w:hAnsi="Amiri" w:eastAsia="Amiri" w:cs="Amiri"/>
          <w:color w:val="111111"/>
          <w:sz w:val="28"/>
          <w:sz w:val="28"/>
          <w:szCs w:val="28"/>
          <w:rtl w:val="true"/>
          <w:lang w:bidi="ar-SA"/>
        </w:rPr>
        <w:t>وقد اختلفت كلماتهم في حَدّ البُعد الموجب للتمتّع، على قولين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5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اثنى عشر ميلاً فما زاد من كلّ 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w:t>
      </w:r>
      <w:r>
        <w:rPr>
          <w:rStyle w:val="FootnoteAnchor"/>
          <w:rtl w:val="true"/>
        </w:rPr>
        <w:footnoteReference w:id="5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525"/>
      </w:r>
      <w:r>
        <w:rPr>
          <w:rFonts w:ascii="Amiri" w:hAnsi="Amiri" w:eastAsia="Amiri" w:cs="Amiri"/>
          <w:color w:val="111111"/>
          <w:sz w:val="28"/>
          <w:sz w:val="28"/>
          <w:szCs w:val="28"/>
          <w:rtl w:val="true"/>
          <w:lang w:bidi="ar-SA"/>
        </w:rPr>
        <w:t xml:space="preserve">، وهو البُعد عن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 ميلاً فما زاد من كلّ جانب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عليّ بن إبراهيم</w:t>
      </w:r>
      <w:r>
        <w:rPr>
          <w:rStyle w:val="FootnoteAnchor"/>
          <w:rtl w:val="true"/>
        </w:rPr>
        <w:footnoteReference w:id="526"/>
      </w:r>
      <w:r>
        <w:rPr>
          <w:rFonts w:ascii="Amiri" w:hAnsi="Amiri" w:eastAsia="Amiri" w:cs="Amiri"/>
          <w:color w:val="111111"/>
          <w:sz w:val="28"/>
          <w:sz w:val="28"/>
          <w:szCs w:val="28"/>
          <w:rtl w:val="true"/>
          <w:lang w:bidi="ar-SA"/>
        </w:rPr>
        <w:t>، والصدوقين</w:t>
      </w:r>
      <w:r>
        <w:rPr>
          <w:rStyle w:val="FootnoteAnchor"/>
          <w:rtl w:val="true"/>
        </w:rPr>
        <w:footnoteReference w:id="527"/>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531"/>
      </w:r>
      <w:r>
        <w:rPr>
          <w:rFonts w:ascii="Amiri" w:hAnsi="Amiri" w:eastAsia="Amiri" w:cs="Amiri"/>
          <w:color w:val="111111"/>
          <w:sz w:val="28"/>
          <w:sz w:val="28"/>
          <w:szCs w:val="28"/>
          <w:rtl w:val="true"/>
          <w:lang w:bidi="ar-SA"/>
        </w:rPr>
        <w:t>، والمصنّف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5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والشهيدين</w:t>
      </w:r>
      <w:r>
        <w:rPr>
          <w:rStyle w:val="FootnoteAnchor"/>
          <w:rtl w:val="true"/>
        </w:rPr>
        <w:footnoteReference w:id="536"/>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وغيرهم من المتأخّرين</w:t>
      </w:r>
      <w:r>
        <w:rPr>
          <w:rStyle w:val="FootnoteAnchor"/>
          <w:rtl w:val="true"/>
        </w:rPr>
        <w:footnoteReference w:id="539"/>
      </w:r>
      <w:r>
        <w:rPr>
          <w:rFonts w:ascii="Amiri" w:hAnsi="Amiri" w:eastAsia="Amiri" w:cs="Amiri"/>
          <w:color w:val="111111"/>
          <w:sz w:val="28"/>
          <w:sz w:val="28"/>
          <w:szCs w:val="28"/>
          <w:rtl w:val="true"/>
          <w:lang w:bidi="ar-SA"/>
        </w:rPr>
        <w:t xml:space="preserve">، بل عند أكثرهم، كما عن الآخرين وعن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الآخر شاذٌّ نادر، وهو البُعد عن مكّة بثمانية وأربعين ميلاً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النصوص الخاصّة الواردة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للقول الأوّل بوجوه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42"/>
      </w:r>
      <w:r>
        <w:rPr>
          <w:rFonts w:ascii="Amiri" w:hAnsi="Amiri" w:eastAsia="Amiri" w:cs="Amiri"/>
          <w:color w:val="111111"/>
          <w:sz w:val="28"/>
          <w:sz w:val="28"/>
          <w:szCs w:val="28"/>
          <w:rtl w:val="true"/>
          <w:lang w:bidi="ar-SA"/>
        </w:rPr>
        <w:t>وغيرهما من أنّ الآية الشريفة وجملة من النصوص المتقدّم بعضها، تدلّ على أنّ التمتّع فرض كلّ أحدٍ، خرج عنهم ما دون اثنى عشر ميلاً بالإجماع، وهو المتيقّن من النصوص، فيبقى الباقي، وعبّروا عن هذا الوجه بالأصل، ومرادهم به أصالة 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وغيره من أنّ الآية تدلّ على أن من لم يكن أهله حاضري المسجد الحرام، وظيفته التمتّع، والحاضر مقابلُ المسافر، والسفر أربعة فراسخ، وهي أثنا عشر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على هذا الوجه ما أفاده جمعٌ من المحقّقين من أنّه يكون مفاد الآية حينئذٍ أنّ من كان أهله مسافراً عن المسجد، فعليه التمتّع وإلّا فعليه القِران، لأنّ هذا كما ترى لا يرتضيه أحد، فإنّه يمكن الجواب عنه بأنّ المستدلّ يدّعي أنّ الحضور مقابلُ السفر، ولكلّ منهما حَدّ خاص في الشريعة، والآية تدلّ على أنّ المتوطّن في أحد الحَدّين يجب عليه الإفراد أو القِران، والخارج عنه يجب عليه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السفر الموجب للقصر والإفطار ثمانية فراسخ لا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يكون من يذهب أربعة فراسخ ويرجع يقصّر، لصيرورة المجموع ثمانية فراسخ، فأقلّ حَدّ البُعد الموجب لصدق السفر هو 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ذلك حَدّ المسافر شرعاً، بحيث أنّ الشارع الأقدس حدّد مفهوم السفر بذلك، ويكون ذلك حقيقة شرعيّة له يحمل عليه هذا اللّفظ إذا وقع في لسان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الحاضر مقابل المسافر، وإنّما هو اصطلاح طارٍ بعد نزول الآية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الحاضر المعلّق عليه وجوب التمتّع أمرٌ عرفي، وأهل العرف لا يوافقون على أزيد من اثني عشر ميلاً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العرف يرون اختصاص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يعدّ من مواطني مدينة مكّة خاصّة، وأمّا المتوطّن خارجها ولو على خمسة أميال من مكّة، فهو لا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حاضري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العرف لا يكون متّبعاً هنا قطعاً، فالعمدة إذاً هو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البحث عن النصوص الخاصّة، 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التحديد بثمانية وأربعين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المتقدّم في وجوب التمتّع على من نأى عن مكّة،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كان أهله دون ثمانية وأربعين ميلاً ذات عرق وعَسفان كما يدور حول مكّة، فهو ممّن دخل في هذه الآية، وكلّ من كان أهله وراء ذلك فعليه المتعة</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الاخر أو موثّقه،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لَمْ يَكُنْ‌</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إلى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أهل مكّة ليس لهم متعة ولا عليهم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وأربعين ميلاً من جميع نواحي مكّة دون عسفان ودون ذات عرق</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عليهما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ذات عِرق وعَسفان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موضعين على مرحلتين من مكّة، وبموجب كون المرحلتين عبارة عن مسافة يومين كما عن أهل اللّغة، واليومان عبارة عن ثمانية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وأربعين ميلاً، يكون الموضعان المذكوران خارجين عن حدود مكّة وملحقتين بالآفاق، والموجب صيرورة الحجّ لهم تمتّعاً، مع أنّهما من توابع مكّة، وداخلتان في مسافة الثمانية والأربعين، كما صرّح به في الصحيح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الخبر الأوّل، أنّه ليس لأهلهما متعة، وصريح الثاني خروجهما عن الحَدّ، فالخبران متعارضان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عرق وعسفان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الخبر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جُعل تمثيلاً للثمانية والأربعين، فهو تفسيرٌ بالأخفي‌، ولا يناسب موضوع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جُعل تفسيراً لما دونها، كان مخالفاً لما ذكره الأصحاب من أنّهما على مرحلتين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يدور حول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يتَّضح ارتباطه بما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الخبر الثاني أنّ الثمانية والأربعين دون عسفان وذات عرق، مع أنّ المذكور في كلماتهم أنّهما على مرحلتين وتكون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في الخبر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عِرْق وعسفان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تفسيراً لثمانية وأربعين ميلاً، ودعوى كونه تفسيراً بالأخفى‌، غريبة، حيث إنّهما موضعان كانا معروفين عند الأصحاب، والبُعد بينهما وبين مكّة كان معيّناً عندهم، فكيف يمكن فرضه تفسيراً بالأخفى؟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يدور حول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بالمقدار الذي بين الموضعين ومكّة يلاحظ من جميع نواحيها، وعليه فيرتفع الإشكالات الثلاثة الأول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دفعه 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للمحدّد </w:t>
      </w:r>
    </w:p>
    <w:p>
      <w:pPr>
        <w:pStyle w:val="BookText"/>
        <w:rPr/>
      </w:pPr>
      <w:r>
        <w:rPr>
          <w:rFonts w:ascii="Amiri" w:hAnsi="Amiri" w:eastAsia="Amiri" w:cs="Amiri"/>
          <w:color w:val="111111"/>
          <w:sz w:val="28"/>
          <w:sz w:val="28"/>
          <w:szCs w:val="28"/>
          <w:rtl w:val="true"/>
          <w:lang w:bidi="ar-SA"/>
        </w:rPr>
        <w:t>دون الحَدّ، وهو واضح، فإذاً لا إشكال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أبي بصير المتضمّن أنّه ليس لأهل عسفان وذات عرق متعة</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لابدّ وأن يطرح، لمخالفته للإجماع، أو يُحمل على أنّ أهلهما في ذلك الزمان كانوا مواطنين بين مكّة والموضعين،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شيئاً من هذه الإشكالات لا يصلح لرفع اليد عمّا يكون الخبران ظاهرين فيه، وهو أنّ حَدّ البُعد ثمانية وأربعون ميلاً، إذ اشتمال الرواية على أُمور مشكلة، إذا لم يقدح في دلالتها على الحكم، لا يضرّ بحجيّتها والاستناد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ثمانية عشر ميلاً، وهو صحيح حريز، عن أبي عبد اللّه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منزله على ثمانية عشر ميلاً من بين يديها، وثمانية عشر ميلاً من خلفها، وثمانية عشر ميلاً عن يمينها، وثمانية عشر ميلاً عن يسارها، فلا متعة له مثل مُرّ وأشباهه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مكّة على مرحلة، والمرحلة عبارة عن مسافة يوم، كما صرّح به أهل اللّغة، واليوم عبارة عن أربعة وعشرين ميلاً،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مُرّ 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يلائم مع ثمانية عشرميلاً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ليس وارداً لبيان آخر حَدّ حاضري المسجد الحرام، وإنّما يبيّن حكم فردٍ من الحاضرين، وهو أنّ من يكون على رأس ثمانية عشر ميلاً لا متعة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منطوقه لا ينافي ما استفيد من الطائفة الأُولى ولا مفهوم له، فهو نظير صحيح الفضلاء، وخبر سعيد الآتيين، وعلى فرضه يُقيّد إطلاقه بمنطوق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دون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حاضري المسجد الحرام‌؟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المواقيت إلى مكّة فهو حاضري المسجد الحرام، وليس لهم متعة</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 بن عثمان،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حاضري المسجد الحرام‌؟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دون الأوقات إلى مكّة</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 المراد ما دون جميعها، دون خصوص الأقرب منها، وما دونها أعمٌّ من أن يكون ثمانية وأربعين ميلاً أو أزيد، فيلزم منه اختلاف الحَدّ باختلاف الجهات المسكونة، فكلّ موضعٍ يكون بين الميقات ومكّة يكون حكم أهله أنْ لا متعة لهم، وكلّ موضعٍ يكون وراء الميقات، يكون حكم أهله التمتّع، وهذا ما لا قائل به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عليه السلام لم يقل ما دون كلّ ميقاتٍ إلى مكّة فهو حاضر،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المواقيت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ملاحظة الأقرب منها إلى مكّة، فما فوق ميقات واحد مع اختلاف المواقيت، ليس ما دون المواقيت، بل ما بينها وهذا، سيّما مع ملاحظة أنّ الميقات لا خصوصيّة له، وأنّ المراد تحديد البُعد الموجب للتمتّع ظاهرٌ لا ستُرة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57" w:name="pg11805_168002"/>
    </w:p>
    <w:p>
      <w:pPr>
        <w:pStyle w:val="BookText"/>
        <w:rPr/>
      </w:pPr>
      <w:bookmarkEnd w:id="157"/>
      <w:r>
        <w:rPr>
          <w:rFonts w:ascii="Amiri" w:hAnsi="Amiri" w:eastAsia="Amiri" w:cs="Amiri"/>
          <w:color w:val="111111"/>
          <w:sz w:val="28"/>
          <w:sz w:val="28"/>
          <w:szCs w:val="28"/>
          <w:rtl w:val="true"/>
          <w:lang w:bidi="ar-SA"/>
        </w:rPr>
        <w:t xml:space="preserve">وحيثُ إنّ أقرب المواقيت هو ذاتُ عِرق ويَلَمْلَم وقَرْنُ المنازل، وبين كلّ واحدٍ منها ومكّة مرحلتان، كما صرّح بذلك في الأوّل أهل اللّغة والمصنّف، وفي الثاني اليعقوبي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الثالث غير واحدٍ، فيكون مفاد هذه النصوص أنّ الحَدّ هو ثمانية وأربعون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لا متعة على أهل مُرٍّ وسَرف، كصحيح الفضلاء، وخبر سعيد المتقدّمين، وعرفت أنّ بين مُرّ ومكّة مرحلة، وهى أربعة وعشرون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النصوص لا مفهوم لها كي نستدلّ بها على ثبوت المتعة على من تجاوزهما، وعليه فهي تصلح للردّ على القول الآخر ولا تنافي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النصوص الخاصّة، هو أنّ الحَدّ الموجب لحجّ التمتّع هو ثمانية وأربعون ميلاً، وبها يُقيّد إطلاق الآية الشريفة، ويخرج عنها</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0670493_73709187"/>
      <w:bookmarkStart w:id="159" w:name="_Toc54"/>
      <w:bookmarkEnd w:id="158"/>
      <w:r>
        <w:rPr>
          <w:rtl w:val="true"/>
        </w:rPr>
        <w:t>اعتبار الحَدّ من المسجد أو مكّة</w:t>
      </w:r>
      <w:bookmarkEnd w:id="159"/>
    </w:p>
    <w:p>
      <w:pPr>
        <w:pStyle w:val="BookText"/>
        <w:rPr/>
      </w:pPr>
      <w:r>
        <w:rPr>
          <w:rFonts w:ascii="Amiri" w:hAnsi="Amiri" w:eastAsia="Amiri" w:cs="Amiri"/>
          <w:color w:val="111111"/>
          <w:sz w:val="28"/>
          <w:sz w:val="28"/>
          <w:szCs w:val="28"/>
          <w:rtl w:val="true"/>
          <w:lang w:bidi="ar-SA"/>
        </w:rPr>
        <w:t>وهل يعتبر الحَدّ المذكور من مكّة أو من المسجد؟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5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بين منزله وبين المسجد الحرام اثنا عشر ميلاً من كلّ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وغيرهما في غيرها اعتبار الحَدّ من المسجد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ظاهر كلام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 حاضري </w:t>
      </w:r>
    </w:p>
    <w:p>
      <w:pPr>
        <w:pStyle w:val="BookText"/>
        <w:rPr/>
      </w:pPr>
      <w:r>
        <w:rPr>
          <w:rFonts w:ascii="Amiri" w:hAnsi="Amiri" w:eastAsia="Amiri" w:cs="Amiri"/>
          <w:color w:val="111111"/>
          <w:sz w:val="28"/>
          <w:sz w:val="28"/>
          <w:szCs w:val="28"/>
          <w:rtl w:val="true"/>
          <w:lang w:bidi="ar-SA"/>
        </w:rPr>
        <w:t>المسجد الحرام من كان من أهل مكّة، أو يكون بينه وبينها ثمانية وأربعون ميلاً من كلّ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قال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5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نأى عن مكّة باثنى عشر ميلاً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وغيرها من اعتباره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صحيح زرارة وخبره المتقدّمين، لمّا كان السؤال فيهما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وفُسِّر أنّ المراد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فالمنسبق من التقدير فيهما أن يكون المبدأ نفس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الصحيح يفسّر أوّلاً الحاضر والمسجد بأهل مكّة، ثمّ يبيّن الحَدّ ويعقبه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يدور حول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الخبر فسّر أوّلاً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لأهل مكّة 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بيّن الحَدّ وعقّبه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جميع نواحي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فالمنسبق من التقدير كون المبدأ هو مكّة لا المسجد الحرام، ويؤيّده ما قيل من أنّ بين عَسفان وذات عِرْق وبين مكّة ثمانية وأربعين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الحَدّ المذكور من مدينة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يكون ما تضمّن هذا الحكم من قبيل القضيّة الحقيقيّة، بل هو متضمّن لقضيّة خارجيّة، فالميزان هو سور مكّة الذي كان موجوداً في زمان صدور الخبر، ولا اعتبار بالتوسعة الحاصلة بعده، وفي ذلك لابدّ وأن يحصل الاطمئنان أو شهادة ثقة به، بناءً على كفايتها في الموضوعات كما هي الأظهر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نفس الحَدّ هل وظيفته التمتّع، أو الإفراد والقِران‌؟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60" w:name="pg11805_168004"/>
    </w:p>
    <w:p>
      <w:pPr>
        <w:pStyle w:val="BookText"/>
        <w:rPr/>
      </w:pPr>
      <w:bookmarkEnd w:id="160"/>
      <w:r>
        <w:rPr>
          <w:rFonts w:ascii="Amiri" w:hAnsi="Amiri" w:eastAsia="Amiri" w:cs="Amiri"/>
          <w:color w:val="111111"/>
          <w:sz w:val="28"/>
          <w:sz w:val="28"/>
          <w:szCs w:val="28"/>
          <w:rtl w:val="true"/>
          <w:lang w:bidi="ar-SA"/>
        </w:rPr>
        <w:t>وجهان مبنيّان على أنّ التمتّع وظيفة من فوق الحَدّ، أو أنّ الإفراد والقِران وظيفتا من دونه‌؟</w:t>
      </w:r>
    </w:p>
    <w:p>
      <w:pPr>
        <w:pStyle w:val="BookText"/>
        <w:rPr/>
      </w:pPr>
      <w:r>
        <w:rPr>
          <w:rFonts w:ascii="Amiri" w:hAnsi="Amiri" w:eastAsia="Amiri" w:cs="Amiri"/>
          <w:color w:val="111111"/>
          <w:sz w:val="28"/>
          <w:sz w:val="28"/>
          <w:szCs w:val="28"/>
          <w:rtl w:val="true"/>
          <w:lang w:bidi="ar-SA"/>
        </w:rPr>
        <w:t>صريح قوله عليه السلام في صدر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كان أهله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الثاني، وكذا ظاهر صحيح حمّاد والحلبي، ففي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الأوقات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المواقيت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عسفان وذات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أنّهما على مرحلتين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 ذلك ما في ذيل صحيح زرارة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 كان أهله وراء ذلك فعليهم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من جهة ورودة بعد الجملة الأُولى الصريحة فيما ذكرناه، يكون جارياً عليه، فالمراد من أسم الإشارة فيه، هو المقدار الذي سبق ذكره، الذي جُعل موضوعاً للقِران والإفراد، لا الثمانية والأربعون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 وظيفة من على رأس الحَدّ هي التمتّع، ولكن من المعلوم أنّ نفس الحَدّ الذي هو خطٌّ موهوم بين داخل الحَدّ وخارجه لا يكون مسكناً لشخص عادةً‌، كى يجري فيه هذا البحث، اللّهُمَّ إلّاأن يفرض بناء الدار على نفس الحَدّ بحيث يكون نصفها داخل الحَدّ ونصفها الآخر خارجه، وكانت إقامته في النصفين على حَدٍّ سواء، فتأمّل</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0670495_73709187"/>
      <w:bookmarkStart w:id="162" w:name="_Toc55"/>
      <w:bookmarkEnd w:id="161"/>
      <w:r>
        <w:rPr>
          <w:rtl w:val="true"/>
        </w:rPr>
        <w:t>من شكّ في أنّ وظيفته التمتّع أو غيره</w:t>
      </w:r>
      <w:bookmarkEnd w:id="162"/>
    </w:p>
    <w:p>
      <w:pPr>
        <w:pStyle w:val="BookText"/>
        <w:rPr/>
      </w:pPr>
      <w:r>
        <w:rPr>
          <w:rFonts w:ascii="Amiri" w:hAnsi="Amiri" w:eastAsia="Amiri" w:cs="Amiri"/>
          <w:color w:val="111111"/>
          <w:sz w:val="28"/>
          <w:sz w:val="28"/>
          <w:szCs w:val="28"/>
          <w:rtl w:val="true"/>
          <w:lang w:bidi="ar-SA"/>
        </w:rPr>
        <w:t>مَن شكّ في أنّ منزله في الحَدّ أو خارجه، فهل يجب عليه الفحص‌؟ ومع عدم تمكّنه عليه أن يراعي الاحتياط؟ أم يجب عليه التمتّع‌؟ أم وظيفته غير ذينك‌؟</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على أنّ وظيفته التمتّع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التمتّع معلّقٌ على عنوان الحاضر، وهو عنوانٌ وجودي مسبوقٌ بالعدم، فمع الشكّ فيه يستصحب عدمه، فيشمله العام الدالّ على أن غير الحاضر يتمتّع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ذلك من التمسّك بالعام بالشبهة المصداقيّة، كي يورد عليه بأنّه غير جائز، كما أفاده بعض الأعاظم من المعاصرين</w:t>
      </w:r>
      <w:r>
        <w:rPr>
          <w:rStyle w:val="FootnoteAnchor"/>
          <w:rtl w:val="true"/>
        </w:rPr>
        <w:footnoteReference w:id="563"/>
      </w:r>
      <w:r>
        <w:rPr>
          <w:rFonts w:ascii="Amiri" w:hAnsi="Amiri" w:eastAsia="Amiri" w:cs="Amiri"/>
          <w:color w:val="111111"/>
          <w:sz w:val="28"/>
          <w:sz w:val="28"/>
          <w:szCs w:val="28"/>
          <w:rtl w:val="true"/>
          <w:lang w:bidi="ar-SA"/>
        </w:rPr>
        <w:t>، بل من قبيل إحراز الموضوع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الشخص قبل ذلك مواطناً وراء الحَدّ المذكور للحاضر، ثمّ انتقل إلى مكانٍ شكّ في ذلك، عليه أن يستصحب عدم كونه حاضراً، كما أنّه لو كان قبل مُقيماً في الحَدّ، يستصحب كونه حاضراً، وكلاهما خارجان عن الفرض، بل محلّ الكلام من لا يكون له حالة سابقة فلا يجري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نظره الشريف إلى استصحاب العدم الأزلي، بتقريب أنّه قبل وجوده وأهليّته لم يكن هو ولا حضورٌ في المسجد الحرام، وبعدما وجد يشكّ في تبدّل عدم الحضور، عليه أن يستصحب ذلك بناءً علي جريان الأصل فى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العدم الأزلي وإنْ كان يجري، إلّاأنّه فيما لم يكن عدم القيد مأخوذاً وصفاً وقيداً للموضوع، وإلّا فباستصحاب العدم المحمولي لا يثبت العدم النعتي، الذي هو جزء الموضوع، ولا يحرز الموضوع، لأنّه من الاُصول المثبتة، ولا يجري، والمقام من هذا القبيل، فإنّ عدم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في الآية الشريفة وصفاً، فلا يجري هذا الأصل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النصوص قد فسّرت الحاضر وغير الحاضر، فالأوّل هو من كان أهله دون ثمانية وأبعين ميلاً، والثاني من كان أهله وراء تلك كما في صحيح</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زرارة، فكلّ منهما أمرٌ وجودي، فلا مجال لإجراء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الأدلّة أنّ الاستطاعة مقتضية لوجوب حَجّ التمتّع، لكن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عنه، فمع الشكّ في المانع يُبنى على تحقّق المقتضى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ما ذكر، يتوقّف على تماميّة قاعدة المقتضي والمانع وحجّيتها، ولا نقول بها، مع أنّه لعدم العلم بمناطات الأحكام لا نعلم أنّ الاستطاعة مقتضية لذلك، ولعلّها لا تكون مقتضية مع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تعليق الحكم على أمرٍ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تكليفيّاً أو وضعيّاً بالالتزام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إناطته بإحراز ذلك الأمر، ودخالة الإحراز في الموضوع، فإذا لم يحرز الحضور الذي هو أمرٌ وجودي، يكون موضوع حَجّ الإفراد والقِران منتفياً واقعاً، فيجب عليه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وظيفة الحاضر هو التخيّير بين التمتّع وأخويه، كان مورداً لهذه القاعدة، فإنّ تلك القاعدة إنّما هي في الحكم الترخيصي المعلّق على أمر وجودي، لا في كلّ حكم، وإلّا فهي بديهي البطلان، ومن المفروض أنّ الحاضر لايجوز له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أصل لها، لعدم ثبوت كون تلك قاعدة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يؤخذ العلم في لسان الدليل دخيلاً في الموضوع، لا يكون الحكم منوطاً به من غير فرق بين الحكم التكليفي والوضعي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العمومات وجوب التمتّع على كلّ أحدٍ، خرج عنها الحاضر، فمع الشكّ فيه يُشكّ في المصداق، والمرجع في الشبهة المصداقيّة هو العموم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في محلّه عدم جواز التمسّك بالعام في الشبهة المصداقيّة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ممّا استدلّ به على وجوب التمتّع عليه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لوجوب الفحص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بدون الفحص يجبُ عليه الامتثال الإجمالي، للعلم الإجمالي بوجوب أحدهما، والامتثال الإجمالي لا يجوزُ مع التمكّن من الامتثال التفصيلي، لكونه في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 من أنّه يجوز الامتثال الإجمالي في عرض الامتثال التفصيلي، ومع التمكّن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ترك الفحص لابدّ له من الاحتياط بالجمع بين الحَجّين، وحيث إنّه لا يمكن الجمع بينهما في عامٍ واحد، فلابدّ من إتيان أحدهما في عام الاستطاعة، والآخر في العام اللّاحق، فيلزم تفويت فوريّة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الاحتياط إلى فوريّة الواجب، فيجبُ الفحص مقدّمةً لامتثال ذلك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ذلك بعض الأعاظم</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الاحتياط في العام الواحد، وهو أن يحرم من الميقات، ويدخل مكّة، ويأتي بأعمال العُمرة رجاءً‌، ثمّ يقصّر ويُجدّد الإحرام احتياطاً بعد التقصير، لاحتمال أن يكون تكليفه حَجّ التمتّع الذي يكون إحرامه في مكّة، ويأتي بالعُمرة بعد الحَجّ رجاءً‌</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أتى به من الحَجّ يكون تمتّعاً على تقدير كون تكليفه التمتّع، وإفرادٌ على تقدير كون تكليفه الإفراد، وما أتى به من أعمال العُمرة قبل الحَجّ يكون بناءً على كون تكليفه الإفراد فعلاً لغواً غير مُضرّ بالحَجّ‌، والتقصير المأتي به على فرض كونه إفراداً حرامٌ‌، وعلى فرض كون تكليفه تمتّعاً ليس بحرام، فيشكّ في حرمته فيجري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تصحيحه بأنّ الإحرام الذي يأتي به من الميقات، يقصد فيه ما هو وظيفته الفعليّة، أعمّ من الحَجّ أو العُمرة، يرد عليه أنّه يحصل له العلم الإجمالي بأنّه إمّا أن يحرم عليه التقصير إنْ كان حَجّه إفراداً، أو يجبُ عليه الهَدْي إنْ كان تمتّعاً، وهذا العلم الإجمالي بتوجّه أحد التكليفين الإلزاميّين إليه، يكون كالعلم الإجمالي بثبوت تكليف إلزامي معيّن، ويمنع عن جريان الأصل في التقصير، فبمقتضى قاعدة وجوب دفع الضرر المحتمل لابدّ من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يدور أمر التقصير بين الوجوب والحرمه، فهذا العلم الإجمالي يمنع عن تأثير العلم الإجمالي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لا يكون هذا العلم منجزاً، لعدم التمكّن من المخالفة ولا الموافقة القطعيّتين، فالعلم الإجمالي الذي أشرنا إليه يكون منجزاً، وعلى ذلك فلا يمكن الاحتياط في عامٍ واحد، فيجبُ الفحص مقدّمةً للامتثال، ولو فحص ولم يظهر له شيءٌ لا مناص له عن الاحتياط في عامين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تبعاً للأصحاب من أنّ التمتّع وظيفة النائي، والإفراد والقِران وظيفة الحاضر، إنّما هو بالنسبة إلى حجّة الإسلام، وأمّا الحَجّ المندوب فيجوزُ لكلٍّ من النائي والحاضر كلّ من الأقسام الثلاثة، بلا خلافٍ فيه من أحد، وإنْ كان الأفضل اختيار التمتّع،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أيضاً في أفضليّة التمتّع على قسمين لمَن كان الحَجّ مندوباً بالنسبة إليه، لعدم استطاعته، أو حصول حَجّ الإسلام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 والنصوص مستفيضة فيه أو متواترة، بل هو من قطعيّات مذهب الشيعة، بل في بعضها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حَجَجتُ ألفي عامٍ ما قَدِمتها إلّامتمتّعاً</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ويشهد به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قرنتُ العام وسقتُ الهَدْي‌؟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فعلت ذلك‌؟ التمتّع واللّه أفضل لا تعودنّ‌</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ونحن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اعتمرتُ في رجب، وأنا اُريد الحَجّ فأسوق الهَدْي، أو أفرد الحَجّ أو أتمتّع‌؟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فضلٌ وكلٌّ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شهرٍ عُمرة تمتّع، فهو واللّه أفضل</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النصوص الكثيرة، وبها يُقيّد ما ظاهره تعيّن التمتّع للبعيد مطلقاً، كصحيح الحلبي عن الإمام الصادق عليه السلام المتقدّم،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بالحَجّ إلى يوم القيامة،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فليس لأحدٍ إلّاأن يتمتّع، لأنّ اللّه أنزل ذلك في كتابه، وجرت به السُنّة من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الفرض</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63" w:name="pg11805_168010"/>
    </w:p>
    <w:p>
      <w:pPr>
        <w:pStyle w:val="Heading3"/>
        <w:numPr>
          <w:ilvl w:val="2"/>
          <w:numId w:val="1"/>
        </w:numPr>
        <w:rPr/>
      </w:pPr>
      <w:bookmarkStart w:id="164" w:name="__RefHeading___Toc10670497_73709187"/>
      <w:bookmarkStart w:id="165" w:name="_Toc56"/>
      <w:bookmarkEnd w:id="163"/>
      <w:bookmarkEnd w:id="164"/>
      <w:r>
        <w:rPr>
          <w:rtl w:val="true"/>
        </w:rPr>
        <w:t>من له وطنان داخل الحَدّ وخارجه</w:t>
      </w:r>
      <w:bookmarkEnd w:id="1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وطنان، أحدهما في الحَدّ، والآخر خارجه، لزمه فرض أغلبهما، بلا خلافٍ أجده فيه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ويشهد به 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بمكّة سنتين، فهو من أهل مكّة، ولا متعة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له أهلٌ بالعراق وأهلٌ بمكّة‌؟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أيُّهما الغالب فهو من أهله</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اختصاص الحكم بما إذا كان كلّ منهما وطناً له، إذ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أهلٌ بالعراق وأهلٌ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مجرّد وجود أهل بالعراق وأهل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الخبر 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المنزلين متى غلبت عليه الإقامة في أحدهما، وَجَب عليه الأخذ بفرضه، أعمّ من أن يكون أقام بمكّة سنتين أو لم يقم، فلو فرضنا أنّ له وطنين، ولكن في كلّ مرّة يُقيم بمكّة سنتين أو ثلاث سنين، ثمّ يُقيم في الآفاق خمس سنين، فإنّه يجب عليه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أقام بمكّة سنتين، سواءٌ أكان ذا منزلين أم كان ذا منزل واحد، يجب عليه فرض المكّي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بين الدليلين عمومٌ من وجه، ولا مرجّح لأحدهما على الآخر، وفي المجمع وهو المثال يتعارضان، وأيضاً 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أنّه يجب تقيّيد هذا الحكم، بما إذا لم يكن إقامته في مكّة سنتين متواليتن، فإنّه حينئذٍ يلزمه حكم أهل مكّة، وإنْ كانت إقامته في الثاني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 لا ينبغي 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 ما دلّ على أنّ المُقيم بمكّة سنتين لا يشمل ذا المنزلين، كما هو الظاهر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كذلك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ولا يتعارض الدليلان، والمجمع المفروض موردٌ لخصوص ما دلّ على أنّ الميزان هو الغلبة، اللّهُمَّ إلّاأنْ يقال بعد إقامته في مكّة سنتين، يصير مكّة وطناً له بمقتضى النّص، فيشمله ما دلّ على أنّ وظيفة ذي المنزلين مراعاة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إيّاه لأهل مكّة بالنسبة إلى ما دلّ على أنّه لا متعة لهم، ويشهد له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بأنّه يشمل ذا المنزلين أيضاً، فظاهره أنّ الإقامة بمكّة سنتين بنفسها جهة مستقلّة لانتقال الفرض، ولذا لو كان له منزل واحدٍ خارج الحَدّ وأقام في مكّة سنتين، يتبدّل وظيفته من التمتّع إلى أخويه، ففي ذي المنزلين أولى بذلك كما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وكاشف اللّثام</w:t>
      </w:r>
      <w:r>
        <w:rPr>
          <w:rStyle w:val="FootnoteAnchor"/>
          <w:rtl w:val="true"/>
        </w:rPr>
        <w:footnoteReference w:id="576"/>
      </w:r>
      <w:r>
        <w:rPr>
          <w:rFonts w:ascii="Amiri" w:hAnsi="Amiri" w:eastAsia="Amiri" w:cs="Amiri"/>
          <w:color w:val="111111"/>
          <w:sz w:val="28"/>
          <w:sz w:val="28"/>
          <w:szCs w:val="28"/>
          <w:rtl w:val="true"/>
          <w:lang w:bidi="ar-SA"/>
        </w:rPr>
        <w:t xml:space="preserve">، فيجبُ التقيّيد بأن يجاور ذو المنزلين بمكّة سنتين، فإنّه لا متعة له، وإنْ كان الغالب مُقيماً خارج الحَدّ، فعلى التقديرين لا يتمّ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تساوى المنزلان، فالمشهور بين الأصحاب أنّه يتخيّر بين العمل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بالوظيفتين،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دلّ على وجوب التمتّع يختصّ بمن كان منزله نائياً، وما دلّ على وجوب القِران إو الإفراد يختصّ بمن كان من أهل مكّة، والمورد خارجٌ عنهما، فيؤخذ بإطلاق دليل الوجوب المقتضي للتخيّير بين الأفراد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 من العنوانين يشمل المورد، فيتعارض الدليلان ويتساقطان، فيتعيّن الرجوع إلى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حيث يشمل كلا العنوانين للمورد، والمفروض عدم وجوب حَجّين عليه، وعدم الاحتياط لعدم موضوعه، فلا محالة يتخيّر بينهما تخيّيراً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لا يكون خارجاً عن الدليلين، بل هو داخل فيهما لصدق كلا العنوانين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الإغماض عمّا دلّ على وجوب التمتّع على كلّ أحدٍ، المخصّص بما دلّ على عدم وجوبه على أهل مكّة، وعمّا دلّ على وجوب أحد أخويه على أهل مكّة، فإنّه لا إطلاق لدليل يدلّ على وجوب طبيعة الحَجّ من دون تقيّيد، والآية الكريمة ليست في مقام البيان، بل هي واردة في مقام بيان أصل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ما في الوجه الثاني، مع أنّه على فرض صدق التعارض بين الدليلين نظراً إلى العلم بعدم وجوبهما معاً، إذ لا يجب أكثر من مرّة، كما دلّ على ذلك الدليل، فهما يتعارضان بالعرض، فلامجال حينئذٍ للرجوع إلى أخبار الترجيح والتخيّير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فرض دلالة كلٍّ من الدليلين على وجوب كلٍّ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القسمين تعيّيناً، كيف يُحملان على إرادة التخيّير؟</w:t>
      </w:r>
    </w:p>
    <w:p>
      <w:pPr>
        <w:pStyle w:val="BookText"/>
        <w:rPr/>
      </w:pPr>
      <w:r>
        <w:rPr>
          <w:rFonts w:ascii="Amiri" w:hAnsi="Amiri" w:eastAsia="Amiri" w:cs="Amiri"/>
          <w:color w:val="111111"/>
          <w:sz w:val="28"/>
          <w:sz w:val="28"/>
          <w:szCs w:val="28"/>
          <w:rtl w:val="true"/>
          <w:lang w:bidi="ar-SA"/>
        </w:rPr>
        <w:t>فالحقّ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شمول إطلاق دليل كلٍّ من الوظيفتين للمورد، لصدق العنوانين عليه، والعلم بعدم وجوب أكثر من حَجٍّ واحد، وهو إمّا التمتّع أو غيره، يقع التعارض بين الدليلين، فلابدَّ من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رفع اليد عن إطلاق كلّ من الدليلين الإفرادي، فيخرج المورد عن تحت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إبقاء إطلاق كلّ منهما الإفرادي، وتقيّيد إطلاقه الأحوالي، إذ كلٌّ منهما كما يدلّ على وجوب ما تضمّنه من الوظيفة لكلّ من صَدَق عليه العنوان المأخوذ فيه، وبهذا اللّحاظ له إطلاق إفرادي، كذلك يدلّ على وجوبها عليه في جميع الحالات، وبهذا اللّحاظ له إطلاقٌ أحوالي، والتعارض كما يرتفع بتقييد الإطلاق الإفرادي لكلّ منهما، فيخرج المجمع عن تحت الدليلين، كذلك يرتفع بتقيّيد الإطلاق الأحوالي لكلّ منهما، ويقال إنّه لا يجبُ العمل به في حال العمل بالآخر، وكذلك لا يجبُ العمل بالآخر عند العمل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وحيثُ أنّ الضرورات تتقدّر بقدرها، فالمتعيّن هو الثاني، وعرفت أنّ لازمه التخيّير بينهما، أي يجب العمل بكلّ منهما عند ترك العمل بالآخر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بأنّ الدليلين لا يشملان المورد، فحيث نعلم من الخارج وجوب أحدهما، فكلّ منهما طرفٌ للعلم الإجمالي، فأصالة البراءة عن كلّ منهما في نفسها تجري، ولكن للتعارض بين الأصلين يتردّد الأمر بين تقيّيد الإطلاق الإفرادي </w:t>
      </w:r>
    </w:p>
    <w:p>
      <w:pPr>
        <w:pStyle w:val="BookText"/>
        <w:rPr/>
      </w:pPr>
      <w:r>
        <w:rPr>
          <w:rFonts w:ascii="Amiri" w:hAnsi="Amiri" w:eastAsia="Amiri" w:cs="Amiri"/>
          <w:color w:val="111111"/>
          <w:sz w:val="28"/>
          <w:sz w:val="28"/>
          <w:szCs w:val="28"/>
          <w:rtl w:val="true"/>
          <w:lang w:bidi="ar-SA"/>
        </w:rPr>
        <w:t>لدليل الأصل بالنسبة إلى كلّ منهما، وبين تقيّيد إطلاقه الأحوالي، والمتعيّن هو الثاني كما عرفت، فتجري البراءة عن وجوب كلّ منهما في ظرف الإتيان بالآخر، ونتيجة ذلك أيضاً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الكبرى الكليّة التي أشرنا إليها بنينا على أنّ الأصل في تعارض الخبرين هو التخيّير لا التساقط، كما أنّ لأجلها بنينا على أنّ مقتضى القاعدة هو جريان الأصل في أطراف العلم الإجمالي بنحو التخيّير، ويترتّب عليها ثمرات مهمّة، فتأمّل في أطرافها فإنّها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التخيّير، كما ظهر أنّ من له منزلٌ واحد على نفس الحَدّ، بحيث يكون مقداراً منه داخل الحَدّ ومقداراً خارجه، وبعبارة أُخرى كان محلّ إقامته محلّاً نصفه خارج الحَدّ ونصفه داخله، يكون مثله مخيّراً في العمل بالوظيفتين، سواءٌ شمله الدليلان أم لم يشملاه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فرق بينه وبين ذي المنزلين، وهو أنّه في ذي المنزلين إذا كان غالبيّة إقامته في أحدهما لزمه فرضه، وهذا لا يجري في المقام لاختصاص النّص به، والتعدّي عنه إلى هذه المسألة يحتاج إلى دليل، أو العلم بالمناط، وكلاهما مفقودان، فالأظهر فيه أيضاً التخيّير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ذكرناه من الحكم بالتخيّير في صورة تساوي المنزلين، بين أن يكون مستطيعاً من كلّ منهما، وبين أن يكون مستطيعاً من أحدهما، ولا بين ما لو استطاع في غير الوطنين أو استطاع في أحدهما، فإنّ الآفاقي يجبُ عليه التمتّع وإنْ استطاع من داخل مكّة، والمكّي يجبُ عليه الإفراد أو القِران وإن استطاع الحجّ‌ </w:t>
      </w:r>
    </w:p>
    <w:p>
      <w:pPr>
        <w:pStyle w:val="BookText"/>
        <w:rPr/>
      </w:pPr>
      <w:r>
        <w:rPr>
          <w:rFonts w:ascii="IRNazanin" w:hAnsi="IRNazanin" w:eastAsia="IRNazanin"/>
          <w:color w:val="111111"/>
          <w:sz w:val="28"/>
          <w:sz w:val="28"/>
          <w:szCs w:val="28"/>
          <w:rtl w:val="true"/>
          <w:lang w:bidi="fa-IR"/>
        </w:rPr>
        <w:t>من خارجها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يظهر أنّ دعوى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مع الاستطاعة من كلّ منهما، وأمّا لو استطاع في أحدهما لزمه فرضه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غير تامّة، سواءٌ أكان مراده من الاستطاعة في أحدهما، تمكّنه من المشي إلى الحَجّ من أحد الوطنين دون الآخر، أم كان حصول الاستطاعة في أحدهما، إذ الميزان هو الاستطاعة من الحَجّ الذي هو أفعال خاصّة، كان الاستطاعة في أي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الحَجّ مع التمكّن منه فعلاً، وإنْ لم يتمكّن لو كان في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دعوى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مستطيعاً من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أحد المنزلين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فرض وطن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غير محلّه كما يظهر وجهه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الحال، ولم يعلم هل هناك أغلب أو لا، فقد احتمل الشهيد الثاني رحمه الله</w:t>
      </w:r>
      <w:r>
        <w:rPr>
          <w:rStyle w:val="FootnoteAnchor"/>
          <w:rtl w:val="true"/>
        </w:rPr>
        <w:footnoteReference w:id="581"/>
      </w:r>
      <w:r>
        <w:rPr>
          <w:rFonts w:ascii="Amiri" w:hAnsi="Amiri" w:eastAsia="Amiri" w:cs="Amiri"/>
          <w:color w:val="111111"/>
          <w:sz w:val="28"/>
          <w:sz w:val="28"/>
          <w:szCs w:val="28"/>
          <w:rtl w:val="true"/>
          <w:lang w:bidi="ar-SA"/>
        </w:rPr>
        <w:t>تعيّن التمتّع؛ نظراً إلى أنّه الأصل في أنواع الحَجّ‌</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 الإقامة خارج الحَدّ، هل تكون أغلب،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عمّا 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بتعيّن التمتّع، من جهة دوران الأمر بين التعيّين والتخيّير، كما أنّه إذا شكّ في أنّ الإقامة داخل الحَدّ أغلب، يمكن أن يقال بتعيّن الإفراد أو القِران بعين تلك الجهة، وكلاهما خارجان عن الفرض، بل الفرض ما لو احتمل أغلبية كلّ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منهما، فلا يتمّ ما أفاده، فإنّ التمتّع واجبٌ على تقدير كون خارج الحَدّ أغلب، كما أنّ الآخر يجبُ على تقدير كون الداخل أغلب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يجرى أصالة عدم غلبة كلّ منهما على الآخر، فيحكم بالتخيّير بعين الوجه الذي ذكرناه للتخيّير في صورة إحراز التساوي، ولا تعارضها أصالة عدم التساوي، لعدم كون عنوان التساوي الذي هو أمرٌ وجودى داخلاًفى الموضوع، بل الداخل فيه هو غلبة أحدهما، وبأصالة عدم التساوي لا يثبت الغلبة لأحدهما</w:t>
      </w:r>
      <w:r>
        <w:rPr>
          <w:rFonts w:eastAsia="Amiri" w:cs="Amiri" w:ascii="Amiri" w:hAnsi="Amiri"/>
          <w:color w:val="111111"/>
          <w:sz w:val="28"/>
          <w:szCs w:val="28"/>
          <w:rtl w:val="true"/>
          <w:lang w:bidi="ar-SA"/>
        </w:rPr>
        <w:t>.</w:t>
      </w:r>
      <w:bookmarkStart w:id="166" w:name="pg11805_168017"/>
    </w:p>
    <w:p>
      <w:pPr>
        <w:pStyle w:val="Heading3"/>
        <w:numPr>
          <w:ilvl w:val="2"/>
          <w:numId w:val="1"/>
        </w:numPr>
        <w:rPr/>
      </w:pPr>
      <w:bookmarkStart w:id="167" w:name="__RefHeading___Toc10670499_73709187"/>
      <w:bookmarkStart w:id="168" w:name="_Toc57"/>
      <w:bookmarkEnd w:id="166"/>
      <w:bookmarkEnd w:id="167"/>
      <w:r>
        <w:rPr>
          <w:rtl w:val="true"/>
        </w:rPr>
        <w:t>حكم أهل مكّة إذا خرجوا إلى بعض الأمصار</w:t>
      </w:r>
      <w:bookmarkEnd w:id="1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أهل مكّة، وخرج إلى بعض الأمصار، ثمّ رجع إليها وحَجّ حَجّة الإسلام، وجب عليه الإحرام من الميقات، بلا خلاف فيه ولا إشكال، لأنّ المواقيت مواقيت لمن يمرّ عليها، ويشهد به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بن يحيى‌،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وقّت المواقيت لأهلها، ومن أتى عليها من غير أهلها، وفيها رخصةٌ لمن كانت به علّة، فلا تجاوز الميقات إلّامن علّة</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ونحوه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النوع الذي يحرم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الشيخ</w:t>
      </w:r>
      <w:r>
        <w:rPr>
          <w:rStyle w:val="FootnoteAnchor"/>
          <w:rtl w:val="true"/>
        </w:rPr>
        <w:footnoteReference w:id="583"/>
      </w:r>
      <w:r>
        <w:rPr>
          <w:rFonts w:ascii="Amiri" w:hAnsi="Amiri" w:eastAsia="Amiri" w:cs="Amiri"/>
          <w:color w:val="111111"/>
          <w:sz w:val="28"/>
          <w:sz w:val="28"/>
          <w:szCs w:val="28"/>
          <w:rtl w:val="true"/>
          <w:lang w:bidi="ar-SA"/>
        </w:rPr>
        <w:t xml:space="preserve">في جملةٍ من كتبه،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xml:space="preserve">وغيرها أنّه يجوز له التمتّع،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نسبته إلى الأكثر، بل في غيرها إلى المشهور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ابن أبي عقيل</w:t>
      </w:r>
      <w:r>
        <w:rPr>
          <w:rStyle w:val="FootnoteAnchor"/>
          <w:rtl w:val="true"/>
        </w:rPr>
        <w:footnoteReference w:id="589"/>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xml:space="preserve">، وعن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وغيرهم، أنّه لا يجوز له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الأوّل</w:t>
      </w:r>
      <w:r>
        <w:rPr>
          <w:rStyle w:val="FootnoteAnchor"/>
          <w:rtl w:val="true"/>
        </w:rPr>
        <w:footnoteReference w:id="592"/>
      </w:r>
      <w:r>
        <w:rPr>
          <w:rFonts w:ascii="Amiri" w:hAnsi="Amiri" w:eastAsia="Amiri" w:cs="Amiri"/>
          <w:color w:val="111111"/>
          <w:sz w:val="28"/>
          <w:sz w:val="28"/>
          <w:szCs w:val="28"/>
          <w:rtl w:val="true"/>
          <w:lang w:bidi="ar-SA"/>
        </w:rPr>
        <w:t xml:space="preserve">قد اكتفى بردّ القول المشهور، وأنّ الخبر الذي استدلّ به لا يدلّ عليه، أمّا المحقّق الثاني فقد توقّف في الحكم، وهو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لاكتفائه بنقل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لما نُسب إلى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عبد الرحمن بن الحجّاج،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من أهل مكّة يخرج إلى بعض الأمصار، ثمّ يرجع إلى مكّة، فيمرّ ببعض المواقيت، ألَهُ أن يتمتّع‌؟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أزعم أنّ ذلك ليس له، لو فعل وكان الإهلال أحبّ إليَّ‌</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عبد الرحمن بن أعين، وعبد الرحمن بن الحجّاج،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أبا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أهل مكّة خرج إلى بعض الأمصار، ثمّ رجع فمرَّ ببعض المواقيت التي وقّت رسول اللّه صلى الله عليه و آله، له أن يتمتّع‌؟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أزعم أنّ ذلك ليس له، والإهلال بالحَجّ أحبّ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مَن سأل أبا جعفر عليه السلام وذلك أوّل ليلةٍ من شهر رمضان، فقال 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إنّي قد نويت أن أصوم بالمدينة‌؟ قال عليه السلام تصوم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نويتُ أن أحَجّ عنك أو عن أبيك فكيف أصنع‌؟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ربما مَنَّ عَليّ بزيارة رسوله صلى الله عليه و آله وزيارتك، والسَّلام عليك، وربما حَجَجتُ عنك وربما حَجَجتُ عن أبيك، وربما حَجَجتُ عن بعض إخواني، أو عن نفسي فكيف أصنع‌؟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فردَّ عليه القول ثلاث مرّات،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مُقيمٌ بمكّة وأهلي بها،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فسأله بعد ذلك رجلٌ من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أن أفرد عمرة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أهلي ومنزلي بالمدينة، ولي بمكّة أهلٌ ومنزل وبينهما أهلٌ ومنازل‌؟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ضياعاً حول مكّة، واُريد أن أخرج حلالاً، فإذا كان أبان الحَجّ حَجَجتُ‌</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يدلّان بإطلاقهما الشامل للحَجّ الإسلامي على أنّ أهل مكّة إذا خرجوا إلى بعض الأمصار جاز لهم التمتّع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 على الاستدلال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ورد في ذيل الخبر الثاني وهو السؤال الذي رواه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من سأل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مورده الندب،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صراحته في ذلك، وهو يصلح قرينةً لاختصاص ذلك بالحَجّ الندبي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إلى بعض الأعاظم من المعاصرين</w:t>
      </w:r>
      <w:r>
        <w:rPr>
          <w:rStyle w:val="FootnoteAnchor"/>
          <w:rtl w:val="true"/>
        </w:rPr>
        <w:footnoteReference w:id="597"/>
      </w:r>
      <w:r>
        <w:rPr>
          <w:rFonts w:ascii="Amiri" w:hAnsi="Amiri" w:eastAsia="Amiri" w:cs="Amiri"/>
          <w:color w:val="111111"/>
          <w:sz w:val="28"/>
          <w:sz w:val="28"/>
          <w:szCs w:val="28"/>
          <w:rtl w:val="true"/>
          <w:lang w:bidi="ar-SA"/>
        </w:rPr>
        <w:t>في تقريب هذا الإيراد، أنّ استشهاد أبي الحسن عليه السلام لجواز حَجّ التمتّع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مَن سأل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اختصاص الصّدر أيضاً بالحَجّ الندبي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من سأل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موسى بن القاسم الثقة الجليل الذي هو من أصحاب الإمامين الرِّضا والجواد عليهما السلام، ومراده أبو جعفر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عليه السلام لا الإمام أبي الحسن موسى عليه السلام، لأنّ أبا جعفر الباقر عليه السلام توفّي في سنة مائة وأربع عشر، أو مائة وست عشر، أو مائة وسبع عشرة، وولد الإمام أبي الحسن موسى عليه السلام سنة مائة وثمان وعشرين، أو مائة وتسع وعشرين، وعليه فكيف يمكن أنْ يروي عنه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من سأل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فهو رواية أُخرى اُقحمت في الرواية الاُولى‌، وإحدى الروايتين مرويّة عن الإمام موسى بن جعفر عليه السلام، والاُخرى عن الإمام أبي جعفر الثاني عليه السلام، وراوي الأُولى عبد الرحمن بن الحجّاج، وابن أعين، وراوي الثانية موسى بن القاسم، فكيف يصلح أن تكون إحداهما قرينةً على الاُخرى؟</w:t>
      </w:r>
    </w:p>
    <w:p>
      <w:pPr>
        <w:pStyle w:val="BookText"/>
        <w:rPr/>
      </w:pPr>
      <w:r>
        <w:rPr>
          <w:rFonts w:ascii="Amiri" w:hAnsi="Amiri" w:eastAsia="Amiri" w:cs="Amiri"/>
          <w:color w:val="111111"/>
          <w:sz w:val="28"/>
          <w:sz w:val="28"/>
          <w:szCs w:val="28"/>
          <w:rtl w:val="true"/>
          <w:lang w:bidi="ar-SA"/>
        </w:rPr>
        <w:t>بل 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فسأله بعد ذلك رجلٌ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رواية ثالثة راويها موسى بن القاسم، وسائله غير السائل في الخبر الثاني، ومورده أيضاً الحَجّ الندبي، إلّاأنّه عن ذي المنزلين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يورد على الصحيحين بأنّ ما في ذيل الصحيح الثاني وإنْ كان خبراً آخر، وما في صدره والصحيح الآخر مطلقان، إلّاأنّه يُقيّد إطلاقهما به؛ لأنّ في إيراد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في ذيل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ما في صدره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بأنّ موسى بن القاسم فهم منهما اتّحاد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مثبتان، ولا يُحمل المطلق على المقيّد فيهما، وفهم موسى اتّحاد الموضوع لا يصلح قرينةً عليه؛ لعدم حجيّة فهمه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يورد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بقاء المكّى بغير حَجّ إلى أن يخرج ويرجع ممّا يُستبعد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الاستبعاد لا يصلح مقيّداً لإطلاق النّص</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الصحيحان مطلقان شاملان للحَجّ الإسلامي، ويؤيّد الإطلاق ما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من أنّ حملهما على الحَجّ الندبي، مخالفٌ لما اتّفق عليه النّص والفتوى من استحباب التمتّع في المندوب، وجه كون ذلك مؤيّداً لا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الجائز خروج هذا المورد عن عموم ما دلّ على أفضليّة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والنسبه بين الصحيحين على هذا، وبين ما 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متعة لأهل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من وجه، لأنّهما أعمٌّ لشمولهما للمندوب أيضاً، وهو أعمّ لشموله لمن لم يخرج منها، والمجمع هو الحَجّ الإسلامي لمن خرج منها، وحيثُ أنّ المختار في تعارض العامين من وجه هو الرجوع إلى أخبار الترجيح والتخيّير، وأوّل المرجّحات هي الشهرة، وهي لم تثبت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نُسب إلى المشهور من جواز التمتّع غير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صفات الراوي، وهما فيها متساويان، ثمّ 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فحيث أنّ ما دلّ على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متعة لأهل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موافقٌللكتاب، فيقدّم على الصحيحين، ويخصّصان بالمندوب، فما ذهب إليه ابن أبي عقيل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الثقة الجليل والفقيه المتتبّع حينما ينسب جواز التمتّع إلى المشهور، وإخباره بالشهرة حجّة قطعاً، بناءً على ما هو الحقّ من حجيّة خبر الواحد فى الموضوعات، وإذاً فالصحيحان لموافقتهما للشهرة التي هي أوّل المرجّحات يقدّمان، ممّا يقتضي أن يكون ما نُسب إلى المشهور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في حَجّة الإسلام اختيار غير التمتّع، لجوازه قطعاً، والشكّ في جواز التمتّع وإنْ كان مقتضى الدليل ذلك، ففي الحَجّ الإسلامي يختار غير التمتّع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69" w:name="pg11805_168022"/>
    </w:p>
    <w:p>
      <w:pPr>
        <w:pStyle w:val="Heading3"/>
        <w:numPr>
          <w:ilvl w:val="2"/>
          <w:numId w:val="1"/>
        </w:numPr>
        <w:rPr/>
      </w:pPr>
      <w:bookmarkStart w:id="170" w:name="__RefHeading___Toc10670501_73709187"/>
      <w:bookmarkStart w:id="171" w:name="_Toc58"/>
      <w:bookmarkEnd w:id="169"/>
      <w:bookmarkEnd w:id="170"/>
      <w:r>
        <w:rPr>
          <w:rtl w:val="true"/>
        </w:rPr>
        <w:t>حكم الآفاقي إذا صار مُقيماً بمكّة</w:t>
      </w:r>
      <w:bookmarkEnd w:id="1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أنّ الآفاقي إذا صار مُقيماً بمكّة، لا ينتقل فرضه إلى فرض المكّي، ما لم يقم مدّة تُوجب انتقال الفريضة إلى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نصّاً وفتوىً في عدم انتقاله عن فرض النائي بمجرّد المجاورة، وإنْ لم يكن قد وجب عليه سابقاً، بل لعلّه إجماعي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أن يحجّ حَجّة الإسلام، يحرم للتمتّع وجوباً إجماعاً نصّاً وفتوى، للاستصحاب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النصوص الآتية، ولا إشكال ولا كلام أيضاً نصّاً وفتوى في أنّه ينتقل فرضه إلى فرض المكّي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الحَدّ الذي به يتحقّق الانقلاب، وفيه أقوالٌ ووجوه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w:t>
      </w:r>
      <w:r>
        <w:rPr>
          <w:rStyle w:val="FootnoteAnchor"/>
          <w:rtl w:val="true"/>
        </w:rPr>
        <w:footnoteReference w:id="601"/>
      </w:r>
      <w:r>
        <w:rPr>
          <w:rFonts w:ascii="Amiri" w:hAnsi="Amiri" w:eastAsia="Amiri" w:cs="Amiri"/>
          <w:color w:val="111111"/>
          <w:sz w:val="28"/>
          <w:sz w:val="28"/>
          <w:szCs w:val="28"/>
          <w:rtl w:val="true"/>
          <w:lang w:bidi="ar-SA"/>
        </w:rPr>
        <w:t>في كتابى الأخبار، والفاضلين</w:t>
      </w:r>
      <w:r>
        <w:rPr>
          <w:rStyle w:val="FootnoteAnchor"/>
          <w:rtl w:val="true"/>
        </w:rPr>
        <w:footnoteReference w:id="602"/>
      </w:r>
      <w:r>
        <w:rPr>
          <w:rFonts w:ascii="Amiri" w:hAnsi="Amiri" w:eastAsia="Amiri" w:cs="Amiri"/>
          <w:color w:val="111111"/>
          <w:sz w:val="28"/>
          <w:sz w:val="28"/>
          <w:szCs w:val="28"/>
          <w:rtl w:val="true"/>
          <w:lang w:bidi="ar-SA"/>
        </w:rPr>
        <w:t>، والشهيدين</w:t>
      </w:r>
      <w:r>
        <w:rPr>
          <w:rStyle w:val="FootnoteAnchor"/>
          <w:rtl w:val="true"/>
        </w:rPr>
        <w:footnoteReference w:id="603"/>
      </w:r>
      <w:r>
        <w:rPr>
          <w:rFonts w:ascii="Amiri" w:hAnsi="Amiri" w:eastAsia="Amiri" w:cs="Amiri"/>
          <w:color w:val="111111"/>
          <w:sz w:val="28"/>
          <w:sz w:val="28"/>
          <w:szCs w:val="28"/>
          <w:rtl w:val="true"/>
          <w:lang w:bidi="ar-SA"/>
        </w:rPr>
        <w:t xml:space="preserve">وغيرهم،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xml:space="preserve">وغيرها أنّه المشهور بين الأصحاب،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نَسَبه غير واحدٍ إلى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ربما عُزي إلى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مُضيّ سنتين كاملتين على إقامته في البلد المذكور، والدخول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من أنّ الحَدّ هو مُضيّ سنة كاملة والدخول في الثانية، ولكن ظاهر كلامه التردّد في المسألة لأنّه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أقام النائي بمكّة سنتين، انتقل فرضه إليها في الثالثة،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أكثر الروايات أنّه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الميل إليه بل تقويته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0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610"/>
      </w:r>
      <w:r>
        <w:rPr>
          <w:rFonts w:ascii="Amiri" w:hAnsi="Amiri" w:eastAsia="Amiri" w:cs="Amiri"/>
          <w:color w:val="111111"/>
          <w:sz w:val="28"/>
          <w:sz w:val="28"/>
          <w:szCs w:val="28"/>
          <w:rtl w:val="true"/>
          <w:lang w:bidi="ar-SA"/>
        </w:rPr>
        <w:t>، والإسكافي</w:t>
      </w:r>
      <w:r>
        <w:rPr>
          <w:rStyle w:val="FootnoteAnchor"/>
          <w:rtl w:val="true"/>
        </w:rPr>
        <w:footnoteReference w:id="611"/>
      </w:r>
      <w:r>
        <w:rPr>
          <w:rFonts w:ascii="Amiri" w:hAnsi="Amiri" w:eastAsia="Amiri" w:cs="Amiri"/>
          <w:color w:val="111111"/>
          <w:sz w:val="28"/>
          <w:sz w:val="28"/>
          <w:szCs w:val="28"/>
          <w:rtl w:val="true"/>
          <w:lang w:bidi="ar-SA"/>
        </w:rPr>
        <w:t>والحِلّي</w:t>
      </w:r>
      <w:r>
        <w:rPr>
          <w:rStyle w:val="FootnoteAnchor"/>
          <w:rtl w:val="true"/>
        </w:rPr>
        <w:footnoteReference w:id="612"/>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من مُضيّ ثلاث سنين والدخول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خمسة أشهر أو ستّة أشهر، ولم يُذكر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إمكان الجمع بين النصوص بالتخيّير بعد السنة والستّة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الاختلاف النصوص، فإنّها على طوائف</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ظاهراً في القول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بمكّة سنتين فهو من أهل مكّة لا متعة له</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يزيد،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المجاور بمكّة يتمتّع بالعُمرة إلى الحَجّ إلى سنتين، فإذا جاوز سنتين كان قاطناً وليس له أن يتمتّع</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ظاهراً في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لأهل مكّة أن يتمتّعوا؟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فالقاطنين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أقاموا سنة أو سنتين صنعوا كما يصنع أهل مكّة، فإذا أقاموا شهراً فإنّ لهم أن يتمتّعوا</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حمّاد،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أهل مكّة أيتمتّعون‌؟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فالقاطنُ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سنة أو سنتين صَنَع صُنع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مكث الشهر؟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حريز،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بحجّةٍ عن غيره، ثمّ أقام سنة فهو مكّي</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ظاهراً في القول الرابع</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حفص بن البُختري،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المجاور بمكّة، يخرج إلى أهله، ثمّ يرجع إلى مكّة، بأيّ شيء يدخل‌؟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بمكّة أكثر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ستّة أشهر فلا يتمتّع، وإنْ كان أقلّ من ستّة أشهر فله أن يتمتّع</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عثمان، عمّن ذكره،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 بمكّة خمسة أشهر، فليس له أن يتمتّع</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مقام الجمع بينها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من حمل غير الأُولى على الجواز، والأُولى على اللّزوم، فالنتيجة هو التخيّير بين الفرض من خمسة أشهر إلى السنتين، وبعد سنتين يتعيّن فرض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التأمّل في الأخبار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خصوص أخبار خمسة أشهر أو ستّة أشهر، أو هي مع أخبار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منها سوى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معنى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يتمّ في أكثر تلك النصوص، ولا يتمّ في جميعها،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في صحيح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بمكّة ستّة أشهر فلا يتمتّع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لزوم فرض المكّي، والجمع بينه وبين نصوص السنتين بما ذكر جمعٌ لا شاهد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قوله في خبر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المجاور بمكّة سنة يعمل عمل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تعيّن الوظيفة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في صحيح حفص واردٌ مورد توهم اللّزوم، فقوله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ظاهراً في أكثر من نفي التعيّن، ويشهد به ما ورد من قوله عليه السلام فى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أقلّ من ستّة أشهر فله أن يتمتّع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الأمر في خبر ابن سنان، فإنّه واردٌ مورد توهم المنع، فلا يستفاد منه أزيد من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ظهور بقيّة النصوص فى الجواز فواضح،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أقام سنةً أو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 وخبر حمّاد معلومٌ‌، يُراد منه جواز فعل التمتّع، وليس في مقام بيان حَدّ الانقلاب، وإلّا لم يعقل التحديد بين الناقص والزائد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حريز والحسين بن عثمان، فهما ضعيفان للإرسال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 النصوص يقتضي البناء على التخيّير بين الفرضين من بعد المقام ستّة أشهر إلى الإقامة سنتين، وبعد ذلك يتعيّن فرض المكّي، إلّاأنّه لعدم عمل الأصحاب بنصوص السنة والستّة أشهر، وإعراضهم عنها، يتعيّن طرحها والعمل بخصوص نصوص السنتين، ومع ذلك فالاحتياط يقتضي التمتّع بالأدون لجوازه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من أنْ يُراد من الإقامة والمجاورة سنتين، الدخول في الثانية، فإنّ نصوص السنة كخبر عبد اللّه ومرسل حريز ونصوص السنة أو السنتين كصحيح الحلبي وخبر حمّاد، إذا انضمّتا إلى نصوص السنتين، تصلحان قرينةً على إرادة ذلك منها، سيّما مع احتمالهما لسنتي الحَجّ بمضيّ زمان يسع حَجّتين وهو سنة، كما أنّ شهر الحيض ثلاثة عشر يوماً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كلّ حال، فجميع نصوص السنة والسنتين،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والسنة أو السنتين حينئذٍ على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نصوص ستّة أشهر، فقال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تُحمل على التقيّة، أو على اعتبار مُضيّ ذلك في إجراء حكم الوطن لمن قصد التوطّن، أو على إرادة بيان حكم ذي الوطنين بالنسبة إلى قيام الستّة أشهر،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أخيراً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بانَ لكَ قوّة هذا القول المزبور</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نصوص السنتين على إرادة الدخول في الثانية، لا يعدّ جمعاًعرفيّاً، فإنّه كيف يمكن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جاوز 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بمكّة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الدخول في الثانية، وأيّ فرقٍ بينهما وبين قوله في خبر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بمكّة سنة فهو 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لم يُحمل أحد إرادة الدخول في السنة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جمعنا هاتين الجملتين في كلامٍ واحد، لا يشكّ أهل العرف في التهافت بينهما، ولا يرون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ليس جمعاً عرفيّاً، كما أنّ حملهما على إرادة سنتي الحَجّ يكون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 نصوص الستّة أشهر على التقيّة، فلا وجه له إذ لم يظهر كون ذلك مذهب المخالفين، وحملها على المَحملَين الآخرين يعدّ صَرفاً للّفظ عن ظاهره بلا قرينة عرفيّة عليه،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ما في سائر وجوه الجمع المذكورة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 لانقلاب الفرض من التمتّع إلى الإفراد أو القِران، هو تمام السنتين، والدخول في الثالثة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 قد يكون إقامة المُقيم بمكّة للتوطّن، وقد تكون بقصد المجاروة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خاصّة، فهل الحكم يعمّ الموردين، أم يختصّ بالأوّل، أو الثاني‌؟</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 وعن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بل المنسوب إلى الأصحاب هو الأوّل، وأنّه عام للموردين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بعد نقل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قيد بالثاني، أي قصد المجاورة،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من القولين نظر، لأنّ بين إطلاقيهما عموماً وخصوصاً من وجه، لتواردهما في المجاور سنتين بنيّة الدّوام، وافترق الأوّل عن الثاني في المجاور سنتين بغير نيّة، والعكس فيما نحن فيه، فترجيح أحدهما على الآخر، وجعل القيد له غير ظاهر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القول في المقام أنّ لنا أدلّة ثلاثة، يقع التعارض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ليس لأهل مكّة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النائي غير حاضري المسجد الحرام لابدّ له وأن يتمتّع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المقام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حَمَلناها على الأعمّ من قصد المجاورة أو التوطّن، وقعت المعارضة بينها وبين كلّ من الدليلين الأولين بالعموم من وجه، فإنّها تدلّ على أنّ المُقيم بمكّة ولو بقصد التوطّن، وصدق كونه من أهل مكّة، يتمتّع إلى سنتين، فهي أخصّ من الأوّل، للاختصاص بسنتين، وأعمّ منه لشمولها للمُقيم بقصد المجاورة، كما أنّها تدلّ على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لا يتمتّع بعد السنتين، ولو كان المقام بقصد المجاورة، فيقع التعارض بينها وبين الثاني والنسبة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المختار في تعارض العامين من وجه، هو الرجوع إلى المرجّحات السنديّة، كما أنّ المختار في تعارض أكثر من دليلين، هو ملاحظة النسبة بين الجميع، أي كلّ واحدٍ من الأدلّة مع معارضة من دون ملاحظة الثالث، بحيث قد يلزم منه طرح أحد الأدلّة رأساً، ففي المقام إذا لاحظنا ذلك نرى تقديم نصوص الباب على كلا الدليلين، للشهرة التي هي أوّل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بأنفسها مختصّة بصورة قصد المجاروة؛ لقوله في الصحيح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من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في الصحيح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قاطناً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قرينتان على أنّ محطّ النظر في هذه النصوص، بيان حكم غير المتوطّن، فإنّ المتوطّن من أهل مكّة، ويكون قاطناً قبل أن تتمّ إقامة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بلحاظ خصوص هذا الحكم، كما يشهد به تعقيبه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متعة له، وليس له أن يتمتّع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قرينة على الاختصاص بغير المتوطّن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من الإشكال في صدق المجاور على المتوطّن، فإنّ الصحيح الأوّل متضمّنٌ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يصدق عليه لغةً وعرفاً، فالحقّ شمول الحكم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الآفاقي المُقيم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استطاعته للحَجّ قبل إقامته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بعد إقامته، وقبل مُضيّ سنتين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بعد مُضيّ سنتين من 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والمتيقّن من النصوص هو الأخير، والظاهر شمول إطلاقها للقسمين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في شرح 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أقام من فرضه التمتّع بمكّة سنةً أو سنتين لم ينتقل فرضه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نصّاً وفتوىً‌، بل لعلّه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xml:space="preserve">، وصريحهما الإجماع على عدم ثبوت الحكم في القسم الأوّل،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عدمه في القسم الثاني أيضاً، ولكنّه قدس سره تأمّل في كليهما، نظراً إلى إطلاق نصوص السنتين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واستحسنه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وأفتى بثبوته فيهما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 النصوص مطلقة، وتدلّ على أنّ المُقيم بمكّة بعد سنتين إذا أراد الحَجّ‌، ليس له أن يتمتّع سواءٌ أكانت استطاعته قبل أو بعد، فإنْ ثبت إجماعٌ تعبّدي فهو المقيّد لإطلاق النصوص، والظاهر ثبوته في القسم الأوّل، واللّه العالم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في الحكم بين الاستطاعة من بلده، أو الاستطاعة من مكّة، وبين الاستطاعة للرجوع إلى بلده وعدمه، وذلك لما عرفت في مبحث الاستطاعة</w:t>
      </w:r>
      <w:r>
        <w:rPr>
          <w:rStyle w:val="FootnoteAnchor"/>
          <w:rtl w:val="true"/>
        </w:rPr>
        <w:footnoteReference w:id="634"/>
      </w:r>
      <w:r>
        <w:rPr>
          <w:rFonts w:ascii="Amiri" w:hAnsi="Amiri" w:eastAsia="Amiri" w:cs="Amiri"/>
          <w:color w:val="111111"/>
          <w:sz w:val="28"/>
          <w:sz w:val="28"/>
          <w:szCs w:val="28"/>
          <w:rtl w:val="true"/>
          <w:lang w:bidi="ar-SA"/>
        </w:rPr>
        <w:t>من أنّ الاستطاعة من البلد لا تعتبر في الحَجّ‌، بل الآفاقي الواجب عليه التمتّع إذا كان في بلدٍ قريب مكّة، وكان يستطيع الحَجّ من ذلك البلد، ولا يستطيع من بلده، وجب عليه الحَجّ‌، لأنّ المعتبر الاستطاعة للحَجّ لا الاستطاعة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البلد، كما أنّ الاستطاعة للرجوع إلى بلده في وجوب الحَجّ إنّما تعتبر إذا أراد الرجوع، وإلّا فلا تعتبر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يظهر أنّ المُقيم بمكّة والذي لا ينوي الرجوع إلى بلده، يجب عليه الحَجّ ولو الحَجّ التمتّعي، وإنْ لم يستطع من بلده، ولم يستطع الرجوع إليه، 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في صورة الانقلاب، يلحقه حكم المكّي بالنسبة إلى الاستطاعة،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من عدم الانقلاب، وكذا في غيرهما من كتب الفقهاء، لا أفهم له وجهاً صحيحاً، ولعلّه لقصور فهمي، وعليك بالتأمّل في كلماتهم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72" w:name="pg11805_168032"/>
    </w:p>
    <w:p>
      <w:pPr>
        <w:pStyle w:val="Heading3"/>
        <w:numPr>
          <w:ilvl w:val="2"/>
          <w:numId w:val="1"/>
        </w:numPr>
        <w:rPr/>
      </w:pPr>
      <w:bookmarkStart w:id="173" w:name="__RefHeading___Toc10670503_73709187"/>
      <w:bookmarkStart w:id="174" w:name="_Toc59"/>
      <w:bookmarkEnd w:id="172"/>
      <w:bookmarkEnd w:id="173"/>
      <w:r>
        <w:rPr>
          <w:rtl w:val="true"/>
        </w:rPr>
        <w:t>ميقات التمتّع المُقيم بمكّة</w:t>
      </w:r>
      <w:bookmarkEnd w:id="1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المُقيم بمكّة التمتّع، والخروج إلى الميقات لإحرام عمرة التمتّع بلا إشكال، وقد اختلفوا في تعيّين ميقاته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مَهلّ أرضه، أي يجب عليه أن يحرم من الميقات الذي كان يمرّ عليه إذا جاء من بلده، 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6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xml:space="preserve">وموضع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أحد المواقيت المخصوصة، مخيّراً بينها، اختاره جماعة كأصحاب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6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6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6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6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6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أدنى الحِلّ‌، وهو المحكي عن الحلبي</w:t>
      </w:r>
      <w:r>
        <w:rPr>
          <w:rStyle w:val="FootnoteAnchor"/>
          <w:rtl w:val="true"/>
        </w:rPr>
        <w:footnoteReference w:id="656"/>
      </w:r>
      <w:r>
        <w:rPr>
          <w:rFonts w:ascii="Amiri" w:hAnsi="Amiri" w:eastAsia="Amiri" w:cs="Amiri"/>
          <w:color w:val="111111"/>
          <w:sz w:val="28"/>
          <w:sz w:val="28"/>
          <w:szCs w:val="28"/>
          <w:rtl w:val="true"/>
          <w:lang w:bidi="ar-SA"/>
        </w:rPr>
        <w:t xml:space="preserve">، ومالَ إليه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استحسانه، وعن المحقّق الأردبيلي استظهاره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الكلام في ثلاثة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الاُصول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الأخبار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النصوص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للقول الأوّل بالاستصحاب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الفرض لم ينتقل فرضه عن فرض إقليمه، وكان يجب عليه سابقاً أن يكون ميقاته ميقات أهل إقليمه، ويشكّ في ارتفاع ذلك، والأصل بقاؤه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الاستصحاب التعليقي، فإنّه كان يجب عليه الإحرام منه على تقدير المرور عليه، كما أنّه كان يجب عليه الإحرام من ميقاتٍ آخر لو كان يمرّ منه، وهو لا يجري، وعلى فرض جريانه تكون نتيجة الإستصحابين المشار إليهما هو التخيّير لا التعيّين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الأصل في المقام هو البراءة عن تعيّين ميقات أهله إن اتّفق على الصحّة، مع المخالفة لما يوجب عليه، ووجوب الأخذ بالمبرّئ للذمّة منها يقيناً، إنْ كان ما يوجب عليه شرطاً، فالذي ينبغي تحصيله تشخيص محلّ النزاع من تعيّين الوقت، أهو أمرٌ تكليفي خاصّة أو 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جريان البراءة على تقدير كون تعيّين الوقت تكليفيّاً واضح، وأمّا ما أفاده على القول الآخر من وجوب الأخذ بالمبرّئ لا يتمّ‌، فإنّه وإنْ دار الأمر في التكليف الشرطى بين تعيّين ميقات أهله والتخيّير بين المواقيت، لكن الحقّ جريان أصالة البراءة في موارد دوران الأمر بين التعيّين والتخيّير عن التعيّين، فتكون نتيجة الأصل هو التخيّير بين المواقيت، والظاهر كون تعيّين الوقت شرطيّاً، إذ الأوامر المتعلّق بأجزاء المركّب الاعتباري ظاهرة في الإرشاد إلى الجزئيّة أو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يستدلّ على الأوّل بعموم ما دلّ على تعيّين الميقات الخاص على أهل إقليمٍ هو منهم،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6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 ينتقل فرضه عن فرض إقليمه، فيلزمه الإحرام من ميقاته لا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على أهل إقليمه هو الإحرام من الميقات الخاص على فرض المرور عليه لا مطلقاً، إذ لا شَكّ في صحّة إحرام من مَرّ من أهل إقليمٍ على ميقات أهل إقليمٍ آخر وأحرم منه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بأخبار المواقيت للقول الثاني، بدعوى أنّها تدلّ على أنّ المارّ على كلّ ميقاتٍ عليه أن يحرم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مختصّة بالنائي العابر على الميقات إلى مكّة، ولا تشمل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المأخوذ في تلك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على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وصول المجاور إلى الميقات يصدق عليه أنّه أتى عليه، فيكون ميقاتاً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محلّ الكلام عن وظيفته قبل أن يأتي عليه، وأنّه الإتيان على كلّ ميقاتٍ‌، أو ميقاتٍ خاص، أو أدنى الحِلّ؟</w:t>
      </w:r>
    </w:p>
    <w:p>
      <w:pPr>
        <w:pStyle w:val="BookText"/>
        <w:rPr/>
      </w:pPr>
      <w:r>
        <w:rPr>
          <w:rFonts w:ascii="Amiri" w:hAnsi="Amiri" w:eastAsia="Amiri" w:cs="Amiri"/>
          <w:color w:val="111111"/>
          <w:sz w:val="28"/>
          <w:sz w:val="28"/>
          <w:szCs w:val="28"/>
          <w:rtl w:val="true"/>
          <w:lang w:bidi="ar-SA"/>
        </w:rPr>
        <w:t>فإنْ قلنا بأنّ‌الواجب هو الخروج إلى ميقاتٍ خاص، لم يجزه الخروج إلى‌غيره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الإتيان عليه هو المرور به، وهو لا يصدق على الواصل إلى أحد المواقيت من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للقول الأوّل بالأخبار الدالّة على أنّ من دخل مكّة ناسياً الإحرام أو جاهلاً به؛ فإنّه يجب عليه الخروج إلى ميقات أهل أرضه، كصحيح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نسى الإحرام حتّى دخل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ميقات أهل بلده الذي يحرمون منه، فإن خشي أن يفوته الحَجّ‌، فليحرم من مكانه، وإنْ استطاع أن يخرج من الحرم فليخرج</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ونحوه غيره، بدعوى أنّها تدلّ على أنّ الجاهل والناسي، يجبُ عليهما الرجوع إلى ميقات بلدهما، وما ذاك إلّامن حيث أنّ الواجب على الآفاقي الخروج إلى مَهلّ أرضه، والظاهر أنّ خصوصيّة الجهل والنسيان غير معتبرة وإنْ وقع السؤال عن ذلك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 عن مورد النّص يتوقّفُ على إحراز المناط، ومجرّد عدم تعقّل الخصوصيّة لا يكفي، بل لابدّ وأن يتعقّل عدم الخصوصيّة، وحيث إنّا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نحتمل وجداناً دخل العنوانين في الحكم، لا أقلّ من دخل عنوان المرور على الميقات الذي كان يجب عليه الإحرام منه في هذا الحكم، ففي الحقيقة يكون حينئذٍ بقاء للحكم المتحقّق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يظهر الفرق بين موردها وما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يستفاد من الأخبار العامّة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الخاصّة الواردة في المقام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الأوّل، وهو خبر سماعة،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المجاور، ألهُ أن يتمتّع بالعُمرة إلى الحَجّ؟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يخرج إلى مَهلّ أرضه فيلبي إنْ شاء</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ضعيف سنداً بمعلّى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معلّى من مشائخ الإجازة، كما صرّح به المجلسي رحمه الله، وكون الشخص شيخ إجازة يُغنيه عن التوثيق، ومجرّد روايته عن الضعفاء لا يضرّ بما يرويه عن الثقات، كما أنّ فساد مذهبه لم يثبت، فالحقّ الاعتماد على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 السند لو كان فهو ينجبر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الحكم بضعف الدلالة من جهة ما قاله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ظاهر في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بادئ النظر يُحتمل 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قيداً للتلبية، أو كونه قيداً للتمتّع، أو كونه قيداً للخروج إلى مهلّ أرضه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عدم كونه قيداً للتلبية، لوجوبها على كلّ تقدير، فيدور الأمر بين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قيداً للتمتّع، كان مفاد الخبر أنّ المجاور إذا أراد التمتّع، وجب عليه الخروج إلى مهلّ أرضه، فتتمّ دلالته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قيداً للخروج إلى مهلّ أرضه، كان ظاهراً في جواز ذلك لا 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رجوعه إلى الأوّل، وذلك يظهر بعد ملاحظة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إلى الميقات واجبٌ عليه على كلّ تقدير، غاية الأمر إمّا خصوص مهلّ أرضه، أو التخيّير بينه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طرفٍ من طرفي الواجب التخيّيري إنّما يجوز تركه إلى بدلٍ‌، لا أنّه يجوز بقول مطلق، وهذا بخلاف المستحبّ‌، فإنّه يجوز بقول مطلق، فإنّه في الخبر إن أرجعنا القيد إلى التمتّع، كان صحيحاً لا محذور فيه، وإن أرجعناه إلى الخروج إلى مهلّ أرضه، لم يصحّ‌، فإنّه لا يجوز تركه بقول مطلق، بل على فرض التخيّير يجوز تركه إلى البدل، والخبر حينئذٍ يدلّ على جواز تركه مطلقاً، فهذه قرينة على أنّه إنّما يكون قيداً للتمتّع، فتأمّل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مختصٌّ بالحَجّ المستحبّ‌،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والتعدّي إلى الحَجّ الواجب 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وجب الخروج إلى ميقات خاص في المستحبّ الذي هو أولى بأن يوسع فيه، فهو أولى بالوجوب في الحَجّ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التعليق على المشيئة يحسن إذا كان بعض الأفراد مستحبّاً، فلا مقيّد لإطلاقه الشامل للمستحبّ والواجب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أيضاً، من احتمال كون المراد الاحتراز من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الاحتمال لايضرّ بالاستدلال، بعد كونه ظاهراً فى الخصوصيّة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الجملة الخبريّة في الوجوب، ولا يخفى بطلانه لأنّ الجملة الخبريّة أظهر في الوجوب من صيغة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ممّا ذكرنا أنّه لا إشكال في الخبر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للقول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حريز، عمّن أخبره،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بحجّة عن غيره، ثمّ أقام سنة فهو مكّي، فإذا أراد أن يحجّ عن نفسه، أو أراد أن يعتمر بعدما انصرف من عرفة، فليس له أن يحرم من مكّة، ولكن يخرج إلى الوقت، وكلما حَوّل رجع إلى الوقت</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معتمراً في شوّال، وفي نيّته أن يعتمر ويرجع إلى بلاده، فلا بأس بذلك، وإنْ هو أقام إلى الحَجّ‌، فهو يتمتّع، لأنّ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وذو الحِجّة، من اعتمر فيهنّ وأقام إلى الحَجّ فهي متعة، ومن رجع إلى بلاده ولم يقم إلى الحَجّ فهي عمرة، وإنْ اعتمر في شهر رمضان أو قبله، وأقام إلى الحَجّ‌، فليس بمتمتّع، وإنّما هو مجاور أفرد العُمرة، فإنْ هو أحبّ أن يتمتّع في أشهر الحَجّ بالعُمرة إلى الحَجّ‌، فليخرج منها حتّى يجاوز ذات عِرْق وعَسفان فيدخل بالعُمرة متمتّعاً بالعُمرة إلى الحَجّ‌، فإنْ هو أحبّ أن يفرد الحَجّ فليخرج إلى الجِعرانه فيُلبّي منها</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المُقيم بمكّة يجرّد الحَجّ أو يتمتّع مرّة أُخرى؟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أحبّ إليّ‌، وليكن إحرامه من مسيرة ليلة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ليلتين</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للإرسال، مع أنّه في العُمرة المفردة التي لا إشكال في عدم لزوم الإحرام لها من الميقات، أضف إلى ذلك أنّه مطلق يُقيّد إطلاقه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سماعة 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عسفان ليس من المواقيت، فإنّه على ما تقدّم على مرحلتين من مكّة لمن قصد المدينة بين مكّة والجُحفة، فالموثّق مخالفٌ للإجماع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لم يقل أحدٌ بخصوصيّةٍ في الموضعين، 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التصرّف فيه بالحمل على أنّ الميزان هو الميقات أي ميقات كان، وذكرهما من باب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الحمل على أنّ المخاطب كان من النائي الذي مَهلّه ذات عِرق وعسفان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ويتعيّن الثاني ولو من باب الجمع بينه وبين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أبقيناه على ظهوره، كان مخالفاً للإجماع، وإنْ حملناه على إرادة المواقيت المختلفة بالقُرب والبُعد،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فيها ما يكون مسير ليلة، راجع كلماتهم في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حينئذٍ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ختلاف المواقيت في المسافة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حينئذٍ يمكن حمله على إرادة مسير ليلة، لمن كان ميقاته على ذلك، ومسير ليلتين لمن كان ميقاته على مسير ليلتين، فيتعيّن ذلك حينئذٍ جمعاً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للقول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يزيد،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يخرج من مكّة ليعتمر، أحرم من الجِعرانة أو الحُديبيّة أو ما أشبههما</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حمّاد،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أهل مكّة أيتمتّعون‌؟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فالقاطن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مكث الشهر؟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الحرم</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أقاموا شهراً، فإنّ لهم أن يتمتّعوا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يهلّون بالحَجّ؟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نحواً ممّا يقول النّاس</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مطلقان قابلان لأنْ يُقيّدان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 أهل الأرض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صورة تعذّر المصير إليهما، للاتّفاق على الجواز حينئذٍ، وهذا هو مقتضى الجمع بينهما وبين موثّق سماعة الدالّ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مطلقٌ قابلٌ للحمل على العُمرة المفردة، لو لم يكن ظاهراً فيها، وقد دلّت المستفيضة على ذلك فيها، فيقيّد بها لموثّق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اختصاصه بالعُمرة المتمتّع بها إلى الحَجّ‌، يقع التعارض بينه وبين الموثّق، والترجيح مع الموثّق للشهرة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الجمع العرفي بينهما بحمل الموثّق على الاستحباب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جمعاً عرفيّاً في المقام، بل يراهما العرف متعارضين،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من الجِعرانه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 في الموثّق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إلى مهلّ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أحدهما قرينةً عرفيّة على الآخر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لإعراض المشهور عنه لابدّ من طرحه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النصوص الخاصّة، هو القول الأوّل، فتدبّر في أطراف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الموثّق، أنّه لا فرق بين أن يكون تمتّع المجاور واجباً أم مستحبّاً، ففي كليهما يخرج إلى مهلّ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إذا أرادو أن يتمتّعوا استحباباً أو واجباً بنذرٍ أو نحوه، فهل يجب عليهم الخروج إلى أحد المواقيت المخصوصة، أم يحرمون من منازلهم، أم من أدنى الحِلّ؟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عدم شمول الموثّق لتمتّعهم، وأمّا نصوص المواقيت، فقد مرّ أنّها مختصّة بالنائي المارّ على الميقات، والبناء على الإحرام من المنزل لإطلاق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منزله دون الميقات أحرم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شموله لأهل مكّة، مخالفٌ لما هو المتسالم عليه بين الأصحاب، فيتعيّن الأخير، ويشهد به صحيح عمرو ابن يزيد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يَخرج من مكّة ليعتمر، أحرم من الجِعرانة أو الحُديبيّة أو 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لعمومه لمطلق العُمرة كما هو ظاهر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المجاور بمكّة إذا لم يتمكّن من الإحرام من المواقيت، يكفيه الرجوع إلى أدنى الحِلّ‌، للمستفيضة الدالّة عليه، وستأتي، وظاهرهم التسالم عليه، وقد صرّح جمعٌ بأنّه ممّا قطع به الأصحاب</w:t>
      </w:r>
      <w:r>
        <w:rPr>
          <w:rFonts w:eastAsia="Amiri" w:cs="Amiri" w:ascii="Amiri" w:hAnsi="Amiri"/>
          <w:color w:val="111111"/>
          <w:sz w:val="28"/>
          <w:szCs w:val="28"/>
          <w:rtl w:val="true"/>
          <w:lang w:bidi="ar-SA"/>
        </w:rPr>
        <w:t>.</w:t>
      </w:r>
      <w:bookmarkStart w:id="175" w:name="pg11805_168042"/>
    </w:p>
    <w:p>
      <w:pPr>
        <w:pStyle w:val="Heading3"/>
        <w:numPr>
          <w:ilvl w:val="2"/>
          <w:numId w:val="1"/>
        </w:numPr>
        <w:rPr/>
      </w:pPr>
      <w:bookmarkStart w:id="176" w:name="__RefHeading___Toc10670505_73709187"/>
      <w:bookmarkStart w:id="177" w:name="_Toc60"/>
      <w:bookmarkEnd w:id="175"/>
      <w:bookmarkEnd w:id="176"/>
      <w:r>
        <w:rPr>
          <w:rtl w:val="true"/>
        </w:rPr>
        <w:t>حَجّ الإفراد والقِران</w:t>
      </w:r>
      <w:bookmarkEnd w:id="177"/>
    </w:p>
    <w:p>
      <w:pPr>
        <w:pStyle w:val="BookText"/>
        <w:rPr/>
      </w:pPr>
      <w:r>
        <w:rPr>
          <w:rFonts w:ascii="Amiri" w:hAnsi="Amiri" w:eastAsia="Amiri" w:cs="Amiri"/>
          <w:color w:val="111111"/>
          <w:sz w:val="28"/>
          <w:sz w:val="28"/>
          <w:szCs w:val="28"/>
          <w:rtl w:val="true"/>
          <w:lang w:bidi="ar-SA"/>
        </w:rPr>
        <w:t>ثمّ إنّه قد عرفت أنّ وظيفة أهل مكّة هي حَجّ الإفراد والقِران، وقد مرّ جملة ممّا يتعلّق بهما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وظيفة الحاضر، المحدّد في النصوص بمن كان منزله مكّة أو ما حولها إلى ثمانية وأربعين ميلاً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لمن وظيفته ذلك تعيّيناً الرجوع إلى التمتّع، وإنّما يجوز ذلك لمن يتعيّن أحدهما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وظيفة المكّي إذا خرج إلى بعض الأمصار ورجع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له وطنان خارج الحَدّ وداخله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تعيّين الإفراد أو القِران عليهم إنّما هو في الحَجّ الإسلامي، دون المندوب، وأنّه يجوز للحاضر التمتّع بل 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وستأتي جملة أُخرى من المسائل الخاصّة بهما في مبحث المواقيت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كتعيين الميقات، وما شاكل، وفي غيره من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المقام نتعرّض لبعض المسائل المتعلّقة بهما، الذى لم يرد لها ذكرٌ فى غيره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صورتهما إجمالاً، فالإفراد هو أن يحرم بالحَجّ من المحلّ المعيّن الذي ستعرفه في مبحث المواقيت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يمضي إلى عرفات فيقف بها، ثمّ‌إلى المشعر فيقف به، ثمّ يأتي مِنى فيقضي مناسكه بها، ثمّ يأتي مكّة فيه أو بعده إلى آخر ذي الحجّة فيطوف بالبيت، ويُصلّى ركعتين، ويَسعى بين الصفا والمروة، ويطوف طواف النساء، ويُصلّي ركعتين، بلا خلافٍ‌أجده في شيء من ذلك نصّاً وفتوىً‌،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تمام البحث عن جميع هذه الأُمور، كما ستعرف جواز تقديم الطواف والسعي على الموقفين على 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والمُفرِد يُقدّم الحَجّ ثمّ يعتمر عُمرة مفردة بعد الإحلال، والقارِن كذلك، لكنّه يسوق الهَدْي عند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والمُفْرِد يقدِّم الحَجّ ثمّ يعتمر عُمرة مفردة بعد الإحلال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 إنْ كانت قد وجبت عليه، وإلّا فإنْ شاء فَعَلها بلا خلافٍ في ذلك،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ظاهر الأصحاب الاتّفاق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6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اختيار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غيره دعوى الإجماع عليه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والقارِن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القارن في أفعاله كالمُفرد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يسوق الهَدْي عند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المشهور،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عليه عامّة من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أبن أبي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القارن كالمتمتّع غير أنّه يسوق الهَدْي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xml:space="preserve">موافقة جمعٍ من الأصحاب له،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أنّ سياق الهَدْي يتميّز به القارِن عن المُفرِد على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القارِن من ساق وجَمَع بين الحَجّ والعُمرة، فلا يتحلّل منها حتّى يحلّ من الحَجّ‌، فهو عنده بمثابة المتمتّع إلّافي سوق الهَدْي، وتأخّر التحلّل وتعدّد السعي، وأنّ القارِن عنده يكفيه سعيه الأوّل عن سعيه في طواف الزيارة، وظاهره وظاهر الصدوقين الجمع بين النسكين بنيّة واحدة، وصرّح ابن الجُنيد بأنّه يجمع بينهما، فإنْ ساق وَجَب عليه الطواف والسعي قبل الخروج إلى عرفات، ولا يتحلّل، وإنْ لم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يسق جَدّد الإحرام بعد الطواف، ولا تحلّ له النساء، وإن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القارِن كالمتمتّع، غير أنّه لا يَحلّ حتّى يأتي بالحَجّ للسياق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يتحلّل من أتمّ أفعال العُمرة أذا لم يكن ساق، فإنْ كان قد ساق، لم يصحّ له التمتّع، ويكون قارناً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أنّ المتمتّع السائق قارنٌ‌، وحكاه الفاضلان ساكتين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للمشهور كثير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القارِن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قِران إلّابسياق الهَدْي، وعليه طوافٌ بالبيت، وركعتان عند مقام إبراهيم، وسعيٌ بين الصفا والمروة، وطوافٌ بعد الحَجّ وهو طواف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المفرد للحَجّ فعليه طوافٌ بالبيت، وركعتان عند مقام إبراهيم، وسعيٌ بين الصفا والمروة، وطواف الزيارة وهو طواف النساء، وليس عليه هدى ولا اُضحية</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نُسُك الذي يقرن بين الصفا والمروة مثل نُسك المفرد، ليس بأفضل منه إلّابسياق الهَدْي، وعليه طوافٌ بالبيت، وصلاة ركعتين خلف المقام، وسعيٌ واحد بين الصفا والمروة، وطوافٌ بالبيت بعد الحَجّ‌،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قرن بين الحَجّ والعُمرة، فلا يصلح إلّاأن يسوق الهَدْي قد أشعره أو قلّده، والإشعار أن يطعن في سنامها بحديدة حتّى يُدميها، وإن لم يسق الهَدْي فليجعلها متعة</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بعد نقل الخبر الوارد فيه أنّه يقرن بين الصَّفا والمروة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وجدناه في النسخ التي رأيناها، ويشبه أن يكون وهماً من الراوي، إذ لا معنى للقران بين الصفا والمروة، ولعلّ الصواب يقرن بين الحَجّ والعُمرة، كما قاله في آخر الحديث، ويكون معناه أن يكون في نيّته الإتيان بهما جميعاً مقدّماً للحَجّ لا بأحدهما مفرداً دون الآخر، وليس المراد أنّ يجمعهما في نيّة واحدة، ويتمتّع بالعُمرة إلى الحَجّ‌، فإنّه التمتّع وليس فيه سياقُ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الفُضيل بن يسار،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القارِن الذي يسوق الهَدْي عليه طوافان، بالبيت وسعيٌ واحد بين الصفا والمروة، وينبغي له أن يشترط على رَبّه إنْ لم تكن حَجّة فعُمرة</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منصور بن حازم،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القارن إلّابسياق الهَدْي، وعليه طوافان بالبيت، وسعيٌ بين الصفا والمروة كما يفعل المفرد، فليس بأفضل من المفرد إلّابسياق الهَدْي</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النصوص الكثيرة الصريحة في ذلك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المتضمّنة لحجّ النبيّ صلى الله عليه و آله المشتملة على طوافه وصلاة الركعتين، وسعيه بين الصفا والمروة حين قدومه مكّة، وكذا أصحابه حيث لم يحلّ من إحرامه صلى الله عليه و آله لكونه سائقاً، وأمر غيره ممّن لم يسق الهَدي بالإحلال، وجعلها عُمرة، وقال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استقبلتُ ما استدبرتُ لفعلتُ كما أمرتكم، ولكنّىُ سقتُ الهَدْي وليس لسائق الهَدْي أن يحِلّ حتّى يبلغ الهَدْي محلّه، وشبّك بين أصابعه بعضها إلى بعض،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تأييد هذا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النصوص خالية أجمع عن اعتمار النبيّ صلى الله عليه و آله بعد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إلى فضيل بن عياض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الصادق عليه السلام عن الاختلاف في الحَجّ‌، فبعضهم يقول خرج رسول اللّه صلى الله عليه و آله مهلّاً بالحَجّ‌، وقال بعضهم مهلّاً بالعُمرة، وقال بعضهم خرج قارناً، وقال بعضهم ينتظر أمر اللّه تعالى؟</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عَزَّ وَجَلّ أنّها حَجّة لا يحجّ بعدها، فجمع اللّه له ذلك كلّه في سفرةٍ واحدة، ليكون جميع ذلك سُنّة لاُمّته، فلمّا طاف بالبيت وبالصفا والمروة أمره جبرائيل أن يجعلها عمرة، إلّامن كان معه هَدي، فهو محبوسٌ على هَديه لا يحِلّ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اَلْهَدْيُ مَحِلَّهُ‌</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فجُمعت له العُمرة والحَجّ‌، وكان خرج على خروج العرب الأوّل، لأنّ العرب كانت لا تعرف الحَجّ وهو في ذلك ينتظر أمر اللّه تعالى‌،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أمر جاهليّتهم إلّاما غيّره الإسلام، وكانوا لا يرون العُمرة في أشهر الحَجّ‌، وهذا الكلام من رسول اللّه صلى الله عليه و آله إنّما كان في الوقت الذي أمرهم بفسخ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 وشبّك بين أصابعه يعني في أشهر الحَجّ‌</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وبالمرسل المتضمّن إنكار عثمان على أمير المؤمنين عليه السلام بقرنه بين الحَجّ والعُمرة،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بحجّةٍ وعُمرة معاً</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الحلبي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خبر معاوية المتقدّم الوارد في حجّة الوداع أنّه صلى الله عليه و آله لبّى بالحَجّ مفرداً وساق الهَدْي، وفي صحيح الحلبي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بالحَجّ وساق مائة بدنة، وأحرم النّاس كلّهم بالحَجّ‌، لا ينوون عُمرة، ولا يدرون ما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صريحان خصوصاً الأوّل منهما في أنّه لَبّى بالحَجّ مفرداً، بل عرفت أنّ المتعة إنّما شُرِّعت في تلك السنه بعد أن حَجّوا أي في أثناء الحَجّ‌، فلا محالة كان صلى الله عليه و آله مفرداً لا متمتّعاً، وعدم اعتماره في تلك السنة من جهة أنّه كان اعتمر عمراتٍ متفرّقة، وحينئذٍ فما فعله من الطواف والسعي حين قدومه لم يكن إلّاالحَجّ‌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حمله على أنّ اللّه تعالى أراد الجمع بين االنسكين، ولو لاُمّته لا له نفسه، إذ النصوص صريحة في أنّه صلى الله عليه و آله لم يطف بالبيت طوافين غير طواف النساء، كما هو مقتضى الجمع بين الحَجّ والعُمرة، بل قوله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جبرائيل أن يجعلها عُمرة إلّامن كان معه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إرساله، أنّ المراد به أنّ أمير المؤمنين عليه السلام قد أهلَّ بحَجّ التمتّع الذي هو حَجّة وعمرة، وإنّما أنكر عليه عثمان لمخالفته عليه السلام لرأي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حاله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فيها عن كيفيّة تحقّق إحرام القارِن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بين الأصحاب أنّ القارِن يتخيّر في عقد إحرامه بالتلبية والإشعار والتقليد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السيّد</w:t>
      </w:r>
      <w:r>
        <w:rPr>
          <w:rStyle w:val="FootnoteAnchor"/>
          <w:rtl w:val="true"/>
        </w:rPr>
        <w:footnoteReference w:id="684"/>
      </w:r>
      <w:r>
        <w:rPr>
          <w:rFonts w:ascii="Amiri" w:hAnsi="Amiri" w:eastAsia="Amiri" w:cs="Amiri"/>
          <w:color w:val="111111"/>
          <w:sz w:val="28"/>
          <w:sz w:val="28"/>
          <w:szCs w:val="28"/>
          <w:rtl w:val="true"/>
          <w:lang w:bidi="ar-SA"/>
        </w:rPr>
        <w:t>وابن إدريس</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ينعقد إحرامه إلّابالتلبية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6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ينعقد إحرامه بالإشعار والتقليد إلّاعند العجز عن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 الإحرام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والإشعار والتقليد، فإذا فعل شيئاً من هذه الثلاثة فقد أحرم</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يزيد،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أشعر بدنته فقد أحرم، وإنْ لم يتكلّم بقليلٍ ولا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إذا أشعرها وقلّدها وجب عليه الإحرام، وهو بمنزلة التلبية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عليها وبالتأسّي، فإنّه صلى الله عليه و آله لَبّى بالاتّفاق، مع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منهما بالنصوص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الجمع بين النصوص،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القارِن إذا لَبّى استحبّ له إشعار ما يسوقه من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لإطلاق الأمر بهما، وإلّا فلم نقف في ذلك على أمرٍ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خبر ابن عمّار،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ساق هَدْياً ولم يقلّده، ولم يُشعره‌؟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أجزأ عنه ما أكثر ما لا يشعر ولا يقلد</w:t>
      </w:r>
      <w:r>
        <w:rPr>
          <w:rFonts w:eastAsia="Amiri" w:cs="Amiri" w:ascii="Amiri" w:hAnsi="Amiri"/>
          <w:color w:val="111111"/>
          <w:sz w:val="28"/>
          <w:szCs w:val="28"/>
          <w:rtl w:val="true"/>
          <w:lang w:bidi="ar-SA"/>
        </w:rPr>
        <w:t>»</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الإشعار على ما يستفاد من مجموع النصوص، وكلمات الأصحاب، هي أنْ يقوم الرّجل من الجانب الأيسر ويشقّ ويطعن سنامه بحديدة من الجانب الأيمن باركاً معقولاً مستقبلاً بها القبلة، ويلطخ صفحته بدمه، وإنْ كان معه بُدنٌ كثيرة دخل ما بين اثنين منها وأشعر يميناً أوّلاً وشمالاً ثانياً، كما صرّح بذلك في صحيح حريز</w:t>
      </w:r>
      <w:r>
        <w:rPr>
          <w:rStyle w:val="FootnoteAnchor"/>
          <w:rtl w:val="true"/>
        </w:rPr>
        <w:footnoteReference w:id="694"/>
      </w:r>
      <w:r>
        <w:rPr>
          <w:rFonts w:ascii="Amiri" w:hAnsi="Amiri" w:eastAsia="Amiri" w:cs="Amiri"/>
          <w:color w:val="111111"/>
          <w:sz w:val="28"/>
          <w:sz w:val="28"/>
          <w:szCs w:val="28"/>
          <w:rtl w:val="true"/>
          <w:lang w:bidi="ar-SA"/>
        </w:rPr>
        <w:t>وصحيح جميل</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له أيضاً التقليد، وهو أن يعلّق في رقبة المسوق نعلاً خَلِقاً قد صَلّى فيه، هذا حال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الغنم والبقر، فلا إشعار فيهما، ويختصّان بالتقليد لضعفهما عن الإشعار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78" w:name="pg11805_168050"/>
    </w:p>
    <w:p>
      <w:pPr>
        <w:pStyle w:val="BookText"/>
        <w:rPr/>
      </w:pPr>
      <w:bookmarkEnd w:id="178"/>
      <w:r>
        <w:rPr>
          <w:rFonts w:ascii="Amiri" w:hAnsi="Amiri" w:eastAsia="Amiri" w:cs="Amiri"/>
          <w:color w:val="111111"/>
          <w:sz w:val="28"/>
          <w:sz w:val="28"/>
          <w:szCs w:val="28"/>
          <w:rtl w:val="true"/>
          <w:lang w:bidi="ar-SA"/>
        </w:rPr>
        <w:t>وشرط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0670507_73709187"/>
      <w:bookmarkStart w:id="180" w:name="_Toc61"/>
      <w:bookmarkEnd w:id="179"/>
      <w:r>
        <w:rPr>
          <w:rtl w:val="true"/>
        </w:rPr>
        <w:t>شرائط حَجّ التمتّع</w:t>
      </w:r>
      <w:bookmarkEnd w:id="1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البحث فيها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طفحت كلماتهم بذلك، ولكن اختلفوا في المراد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الإرادة المحرّكة للعضلات نحو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الخلوص والقرابة كما في كلّ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نيّة الحَجّ بجملته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نيّة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سلّار</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نيّة الخروج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معرفة الحقّ على المراد من النيّة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اُريد بالنيّة الإرادة المحرّكة، فاعتبارها من الواضحات، إذ لا شبهة في أنّ الحَجّ والعُمرة من العبادات المطلوبة شرعاً، كما لا شبهة في اعتبارها فيها، إذ الفعل غير الصادر عن الاختيار لا يتّصف بالحُسن ولا بالقُبح، ولا يتعلّق به الأمر، فانطباق المطلوب على المأتيّ به يتوقّف على أن يكون الفعل صادراً عن الاختيار والإرادة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بها الخلوص والقُربة، فاعتبارها أيضاً ظاهر، إذ لا شبهة في أنّهما من العبادات، واعتبارها في العبادات من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إذ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صريحاً على أنّه يجب إيقاعهما خالصين للّه، لا للرّياءوالسُّمعة، ولا لقصد المعاش، وحيث إنّهما مركّبان من عدّة أجزاء، فالآية الشريفة دالّة على اعتبارها في كلّ فعلٍ من أفعالها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بها نيّة الحَجّ بجملته، بحيث يكون عنوان المتعة من العناوين القصديّة المعتبرة في المأمور به، كعنوان الظهريّة والعصريّة لصلاة الظهر والعصر، فإنّه إذا أتى بأربع ركعات لا بقصد الظهر لا تقع صحيحةً‌، فكذلك في المقام، لابدَّ وأن يقصد عنوان حَجّ التمتّع، فهو في نفسه لا مانع عنه، إلّاأنّه يحتاج إلى دليل، ويشهد لاعتبارها بهذا المعنى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متمتّع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العُمرة ويحرم بالحَجّ‌</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أصنع إذا أردتُ التمتّع‌؟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بالحَجّ وأنو المتعة</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اسحاق بن عمّار، عن أبي إبراهيم عليه السلام، في حديثٍ‌،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انو المتعة</w:t>
      </w:r>
      <w:r>
        <w:rPr>
          <w:rFonts w:eastAsia="Amiri" w:cs="Amiri" w:ascii="Amiri" w:hAnsi="Amiri"/>
          <w:color w:val="111111"/>
          <w:sz w:val="28"/>
          <w:szCs w:val="28"/>
          <w:rtl w:val="true"/>
          <w:lang w:bidi="ar-SA"/>
        </w:rPr>
        <w:t>»</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81" w:name="pg11805_168052"/>
    </w:p>
    <w:p>
      <w:pPr>
        <w:pStyle w:val="BookText"/>
        <w:rPr/>
      </w:pPr>
      <w:bookmarkEnd w:id="181"/>
      <w:r>
        <w:rPr>
          <w:rFonts w:ascii="Amiri" w:hAnsi="Amiri" w:eastAsia="Amiri" w:cs="Amiri"/>
          <w:color w:val="111111"/>
          <w:sz w:val="28"/>
          <w:sz w:val="28"/>
          <w:szCs w:val="28"/>
          <w:rtl w:val="true"/>
          <w:lang w:bidi="ar-SA"/>
        </w:rPr>
        <w:t>ولا يعارضها النصوص الآتية الدالّة على أنّه لو اعتمر بعمرة مفردة في أشهر الحَجّ‌، جاز أن يتمتّع بها، فإنّها دالّة على أنّ نيّة الخلاف في بعض الموارد لا تضرّ، كما لا تضرّ في الصلاة بالعدول في جملةٍ من الموارد عن الصلاة التي قُصد عنوانها إلى صلاة أُخرى التي لها عنوانٌ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قضيّة إهلال عليّ عليه السلام بما أهلَّ به النبيّ صلى الله عليه و آله، فنمنع كونه عليه السلام جاهلاً بإهلاله صلى الله عليه و آله، بل الظاهر كونه عالماً به، فالأظهر اعتبارها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بها نيّة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المراد اعتبار الإرادة المحرّكة للعضلات، أو اعتبار الخلوص، فاعتبارها واضحٌ كما مرّ، ويتمّ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من أنّه كالمستغنى عنه، فإنّه من جملة الأفعال، وكما تجب النيّة له، تجب لغيره، ولم يتعرّضوا لها في غيره على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قصد عنوان الإحرام، فلا دليل على اعتبار قصده زائداً عن قصد عنوان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بها نيّة الخروج إلى مكّة، فلا ريب في دخلها في ترتّب الثواب على المسير بهذه النيّة، ولكن لا تعتبر في صحّة الحَجّ والعُمرة قطعاً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ممّا ذكرناه أنّه يعتبر قصد نوع الحَجّ من المتعة أو غيرها، فلو نوى غير المتعة مثلاً، أو لم ينو شيئاً، أو تردّد في نيّته بينها وبين غيرها، لم يصحّ‌</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0670509_73709187"/>
      <w:bookmarkStart w:id="183" w:name="_Toc62"/>
      <w:bookmarkEnd w:id="182"/>
      <w:r>
        <w:rPr>
          <w:rtl w:val="true"/>
        </w:rPr>
        <w:t>التمتّع بالعُمرة المفردة</w:t>
      </w:r>
      <w:bookmarkEnd w:id="18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جملةٍ من الروايات أنّه لو أتى بعمرة مفردة في أشهر الحَجّ جاز </w:t>
      </w:r>
    </w:p>
    <w:p>
      <w:pPr>
        <w:pStyle w:val="BookText"/>
        <w:rPr/>
      </w:pPr>
      <w:r>
        <w:rPr>
          <w:rFonts w:ascii="Amiri" w:hAnsi="Amiri" w:eastAsia="Amiri" w:cs="Amiri"/>
          <w:color w:val="111111"/>
          <w:sz w:val="28"/>
          <w:sz w:val="28"/>
          <w:szCs w:val="28"/>
          <w:rtl w:val="true"/>
          <w:lang w:bidi="ar-SA"/>
        </w:rPr>
        <w:t>أن يتمتّع بها، وأفتى بذلك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7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عقد عن غيره أو تطوّعاً وعليه فرضه وقع عن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xml:space="preserve">، 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أجده فيه، بل الإجماع محكيٌّ عليه صريحاً وظاهراً في جملةٍ من الكتب كالخلاف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Style w:val="FootnoteAnchor"/>
          <w:rtl w:val="true"/>
        </w:rPr>
        <w:footnoteReference w:id="7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عن جماعةٍ دعوى استحباب ذلك، كما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7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اعتمر في أشهر الحَجّ استحبّ له الإقامة ليحجّ ويجعلها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غيره، بل عن القاضي وجوبه إذا بقى إلى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هذا الحكم، جملة من النصوص</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معتمراً في شوّال، ومن نيّته أن يعتمر ويرجع إلى بلاده، فلا بأس بذلك، وإن هو أقام إلى الحَجّ فهو يتمتّع، لأنّ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وذو الحِجّة، فمن اعتمر فيهنّ وأقام إلى الحَجّ‌، فهي متعة، ومن رجع إلى بلاده ولم يقم إلى الحَجّ فهي عمرة، وإن اعتمر في شهر رمضان أو قبله فأقام إلى الحَجّ‌، فليس بمتمتّعٍ‌، وإنّما هو مجاور أفرد العُمرة، فإنْ هو أحبّ أن يتمتّع في أشهر الحَجّ بالعُمرة إلى الحَجّ‌، فليخرج منها حتّى يجاوز ذات عِرق، أو يتجاوز عَسفان، فيدخل متمتّعاً بعُمرةٍ إلى الحَجّ‌، فإنْ هو أحبّ أن يفرد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الحَجّ فليخرج إلى الجِعرانة فيُلبّي منها</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يزيد،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معتمراً مفرداً للعمرة فقضى عمرته، ثمّ خرج كان له ذلك، وإن أقام إلى أن يدركه الحَجّ‌، كانت عمرته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تكون متعة إلّافي أشهر الحَجّ‌</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عمر بن يزيد،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مكّة بعمرة فأقام إلى هلال ذي الحِجّة، فليس له أن يخرج حتّى يحجّ مع النّاس</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بإسناده عن عمر بن يزيد،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اعتمر عمرة مفردة، فله أن يخرج إلى أهله متى شاء، إلّاأن يدركه خروج النّاس يوم التروية</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يعقوب بن شعيب،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المعتمر في أشهر الحَجّ؟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متعة</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وهيب بن حفص،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أبو بصير وأنا حاضر عمّن أهلَّ بالعُمرة في أشهر الحَجّ له أن يرجع‌؟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أشهر الحَجّ عمرة، يرجع منها إلى أهله، ولكنّه يحتبس بمكّة حتّى يقضي حجّة، لأنّه إنّما أحرم لذلك</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الأخبار الكثيرة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هذه النصوص أنّه إذا نوى العُمرة المفردة، وأقام إلى الحَجّ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انقلبت عمرته إلى التمتّع قهراً، ولكن تُحمل على إرادة القلب لا الإقلاب القهري، لعدم القائل بالانقلاب القهري،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714"/>
      </w:r>
      <w:r>
        <w:rPr>
          <w:rFonts w:ascii="Amiri" w:hAnsi="Amiri" w:eastAsia="Amiri" w:cs="Amiri"/>
          <w:color w:val="111111"/>
          <w:sz w:val="28"/>
          <w:sz w:val="28"/>
          <w:szCs w:val="28"/>
          <w:rtl w:val="true"/>
          <w:lang w:bidi="ar-SA"/>
        </w:rPr>
        <w:t xml:space="preserve">، ولأنّه لو كان كذلك لزم الحَجّ‌، وسيأتي ما يدلّ على عدم وجوبه، ولما سيأتي من النصوص المتوهّم دلالتها على عدم جواز ذلك، ولأجل ذلك تُحمل النصوص على إرادة القلب، كما أنّ الظاهر من خبري وهيب ويعقوب بن شعيب لزوم أن يتمتّع، إلّاأنّهما يُحملان على من دخل لعمرة التمتّع، ثمّ أراد إفرادهما، كما عن الشيخ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موثّق عمر بن يزيد لزوم أن يتمتّع بها إذا بقى إلى ذي الحِجّة، لكنّه يُحمل على الندب لعدم القائل بوجوبه، ولما سيأتي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صحيحي ابن يزيد، هو ما عن ابن البرّاج من وجوب التمتّع إذا بقى إلى يوم التروية، ولكنّهما يُحملان على الاستحباب أيضاً لدلالة جملةٍ من النصوص على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إبراهيم بن عمر اليماني،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خرج في أشهر الحَجّ معتمراً، ثمّ خرج إلى بلاده‌؟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وإن حَجّ من عامه ذلك وأفرد الحَجّ‌، فليس عليه دم، وانّ الحسين بن علي عليهما السلام خرج يوم التروية إلى العراق وكان معتمراً</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افترق المتمتّع والمعتمر؟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المتمتّع مرتبطٌ بالحَجّ‌، والمعتمر إذا فرغ منها ذهب حيث شاء،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اعتمر الحسين عليه السلام في ذي الحِجّة، ثمّ راح يوم التروية إلى العراق، والنّاس يروحون إلى مِنى‌، ولا بأس بالعُمرة في ذي الحِجّة لا يريد الحَجّ‌</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وغيره من احتمال الضرورة في فعل سيّد الشهداء سلام اللّه عليه، يدفعها ظاهر الخبرين حيث أنّ الإمام عليه السلام احتجّ بفعله على جواز ترك الحَجّ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كتب المقاتل من أنّه عليه السلام كان عمرته عمرة التمتّع، وعَدَل بها إلى الإفراد، لا يعتمد عليه في مقابل هذه النصوص، 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معلّقاً على هذه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القدر المتيقّن منها هو الحَجّ الندبي، ففيها إذا وجب عليه التمتّع فأتى بعمرة مفردة ثمّ أراد أن يجعلها عمرة التمتّع يشكل الاجتزاء بذلك عمّا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وعلّله بعض الأعاظم من المعاصرين</w:t>
      </w:r>
      <w:r>
        <w:rPr>
          <w:rStyle w:val="FootnoteAnchor"/>
          <w:rtl w:val="true"/>
        </w:rPr>
        <w:footnoteReference w:id="720"/>
      </w:r>
      <w:r>
        <w:rPr>
          <w:rFonts w:ascii="Amiri" w:hAnsi="Amiri" w:eastAsia="Amiri" w:cs="Amiri"/>
          <w:color w:val="111111"/>
          <w:sz w:val="28"/>
          <w:sz w:val="28"/>
          <w:szCs w:val="28"/>
          <w:rtl w:val="true"/>
          <w:lang w:bidi="ar-SA"/>
        </w:rPr>
        <w:t>بأنّ النصوص إنّما تضمّنت الأمر بجعل العُمرة المفردة متعة، وليس لها نظر إلى تنزيله منزلة حَجّ التمتّع الواجب، وكونه مصداقاً مطلقاً، فتفرغ به الذمّة، وحينئذٍ يتعيّن الإقتصار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في مقام جعل العُمرة المفردة، العُمرة المتمتّع بها، ومقتضى إطلاقها عدم الفرق بين الواجب والمندوب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طائفة من النصوص، قد يتوهّم منافاتها للنصوص المتقدّمة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حمران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جعفر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أهللت بالحَجّ‌، ونويت المتعة، فصارت عمرتك كوفيّة وحجّتك مكيّة، ولو كنتَ نويت المتعة وأهللت بالحَجّ كانت حجّتك وعمرتك كوفيّتين</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وأفضل العُمرة عمرة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للعمرة إنْ اعتمر ثمّ أقام للحَجّ بمكّة، كانت عمرته تامّة، وحجّته ناقصة مكيّة</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أقام بمكّة إلى الحَجّ فعمرته تامّة وحجّته ناقصة</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أنّ من نوى العُمرة المفردة، وحَجّ بعدها، لا يكون حَجّه حَجّ التمتّع بل يعدّ إفراداً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تُحمل هذه النصوص على من نوى العُمرة المفردة، وبعدها لم ينو كونها العُمرة المتمتّع بها، وعليه فتكون هذه النصوص قرينة على ما اخترناه من عدم الانقلاب القهري، واللّه العالم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84" w:name="pg11805_168058"/>
    </w:p>
    <w:p>
      <w:pPr>
        <w:pStyle w:val="BookText"/>
        <w:rPr/>
      </w:pPr>
      <w:bookmarkEnd w:id="184"/>
      <w:r>
        <w:rPr>
          <w:rFonts w:ascii="Amiri" w:hAnsi="Amiri" w:eastAsia="Amiri" w:cs="Amiri"/>
          <w:color w:val="111111"/>
          <w:sz w:val="28"/>
          <w:sz w:val="28"/>
          <w:szCs w:val="28"/>
          <w:rtl w:val="true"/>
          <w:lang w:bidi="ar-SA"/>
        </w:rPr>
        <w:t>ووقوعه في أشهر الحَجّ‌، وهي</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0670511_73709187"/>
      <w:bookmarkStart w:id="186" w:name="_Toc63"/>
      <w:bookmarkEnd w:id="185"/>
      <w:r>
        <w:rPr>
          <w:rtl w:val="true"/>
        </w:rPr>
        <w:t>اعتبار وقوع النسكين في أشهر الحَجّ‌</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شرائط حَجّ 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وقوع مجموع عمرته وحجّه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ويشهد به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يزيد المتقدّم،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يكون متعة إلّا في أشهر الحَجّ‌</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المتقدّم في مسألة التمتّع بالعُمرة المفردة</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تحديد أشهر الحَجّ على أقوال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المفيد في مبحث أركان الحجّ‌</w:t>
      </w:r>
      <w:r>
        <w:rPr>
          <w:rStyle w:val="FootnoteAnchor"/>
          <w:rtl w:val="true"/>
        </w:rPr>
        <w:footnoteReference w:id="727"/>
      </w:r>
      <w:r>
        <w:rPr>
          <w:rFonts w:ascii="Amiri" w:hAnsi="Amiri" w:eastAsia="Amiri" w:cs="Amiri"/>
          <w:color w:val="111111"/>
          <w:sz w:val="28"/>
          <w:sz w:val="28"/>
          <w:szCs w:val="28"/>
          <w:rtl w:val="true"/>
          <w:lang w:bidi="ar-SA"/>
        </w:rPr>
        <w:t xml:space="preserve">، والشيخ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وابني الجُنيد</w:t>
      </w:r>
      <w:r>
        <w:rPr>
          <w:rStyle w:val="FootnoteAnchor"/>
          <w:rtl w:val="true"/>
        </w:rPr>
        <w:footnoteReference w:id="729"/>
      </w:r>
      <w:r>
        <w:rPr>
          <w:rFonts w:ascii="Amiri" w:hAnsi="Amiri" w:eastAsia="Amiri" w:cs="Amiri"/>
          <w:color w:val="111111"/>
          <w:sz w:val="28"/>
          <w:sz w:val="28"/>
          <w:szCs w:val="28"/>
          <w:rtl w:val="true"/>
          <w:lang w:bidi="ar-SA"/>
        </w:rPr>
        <w:t>وإدريس</w:t>
      </w:r>
      <w:r>
        <w:rPr>
          <w:rStyle w:val="FootnoteAnchor"/>
          <w:rtl w:val="true"/>
        </w:rPr>
        <w:footnoteReference w:id="73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نسبته إلى أكثر علمائنا، وفي المتن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شوّال وذو القعدة وذو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المرتضى</w:t>
      </w:r>
      <w:r>
        <w:rPr>
          <w:rStyle w:val="FootnoteAnchor"/>
          <w:rtl w:val="true"/>
        </w:rPr>
        <w:footnoteReference w:id="732"/>
      </w:r>
      <w:r>
        <w:rPr>
          <w:rFonts w:ascii="Amiri" w:hAnsi="Amiri" w:eastAsia="Amiri" w:cs="Amiri"/>
          <w:color w:val="111111"/>
          <w:sz w:val="28"/>
          <w:sz w:val="28"/>
          <w:szCs w:val="28"/>
          <w:rtl w:val="true"/>
          <w:lang w:bidi="ar-SA"/>
        </w:rPr>
        <w:t>، وسلّار</w:t>
      </w:r>
      <w:r>
        <w:rPr>
          <w:rStyle w:val="FootnoteAnchor"/>
          <w:rtl w:val="true"/>
        </w:rPr>
        <w:footnoteReference w:id="733"/>
      </w:r>
      <w:r>
        <w:rPr>
          <w:rFonts w:ascii="Amiri" w:hAnsi="Amiri" w:eastAsia="Amiri" w:cs="Amiri"/>
          <w:color w:val="111111"/>
          <w:sz w:val="28"/>
          <w:sz w:val="28"/>
          <w:szCs w:val="28"/>
          <w:rtl w:val="true"/>
          <w:lang w:bidi="ar-SA"/>
        </w:rPr>
        <w:t>، وابن أبي عقيل</w:t>
      </w:r>
      <w:r>
        <w:rPr>
          <w:rStyle w:val="FootnoteAnchor"/>
          <w:rtl w:val="true"/>
        </w:rPr>
        <w:footnoteReference w:id="734"/>
      </w:r>
      <w:r>
        <w:rPr>
          <w:rFonts w:ascii="Amiri" w:hAnsi="Amiri" w:eastAsia="Amiri" w:cs="Amiri"/>
          <w:color w:val="111111"/>
          <w:sz w:val="28"/>
          <w:sz w:val="28"/>
          <w:szCs w:val="28"/>
          <w:rtl w:val="true"/>
          <w:lang w:bidi="ar-SA"/>
        </w:rPr>
        <w:t>وغيرهم أنّها شوّال وذو القعدة وعشر من ذي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w:t>
      </w:r>
      <w:r>
        <w:rPr>
          <w:rStyle w:val="FootnoteAnchor"/>
          <w:rtl w:val="true"/>
        </w:rPr>
        <w:footnoteReference w:id="7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من أنّه شوّال وذو القعدة وتسع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739"/>
      </w:r>
      <w:r>
        <w:rPr>
          <w:rFonts w:ascii="Amiri" w:hAnsi="Amiri" w:eastAsia="Amiri" w:cs="Amiri"/>
          <w:color w:val="111111"/>
          <w:sz w:val="28"/>
          <w:sz w:val="28"/>
          <w:szCs w:val="28"/>
          <w:rtl w:val="true"/>
          <w:lang w:bidi="ar-SA"/>
        </w:rPr>
        <w:t>من أنّها الشهران وتسع من ذي الحجّة إلى طلوع الفجر من يوم النحر، وعن ابن إدريس</w:t>
      </w:r>
      <w:r>
        <w:rPr>
          <w:rStyle w:val="FootnoteAnchor"/>
          <w:rtl w:val="true"/>
        </w:rPr>
        <w:footnoteReference w:id="740"/>
      </w:r>
      <w:r>
        <w:rPr>
          <w:rFonts w:ascii="IRNazanin" w:hAnsi="IRNazanin" w:eastAsia="IRNazanin"/>
          <w:color w:val="111111"/>
          <w:sz w:val="28"/>
          <w:sz w:val="28"/>
          <w:szCs w:val="28"/>
          <w:rtl w:val="true"/>
          <w:lang w:bidi="fa-IR"/>
        </w:rPr>
        <w:t>إلى طلوع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أنّها ثلاثة، من جهة أنّ أقلّ الجمع ثلاثة، فضلاً عن صريح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مسألة التمتّع بالعُمرة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وهي شوّال وذو القعدة وذو الحِجّة</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شوّال وذو القعدة وذو الحِجّة</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الأخبار الواردة عنهم عليهم السلام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التحديد بطلوع الفجر،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فِيهِنَّ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 فرضه بعد طلوع الفجر من يوم النحر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سائغٌ يوم النحر متى تحلّل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الكليني، عن علي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أشهر الحَجّ شوّال وذو القعدة وعشر من ذي الحجّة</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7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يتعلّق بهذا الاختلاف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لا فائدة كثيرة في هذا النزاع، للإجماع على أنّه لو فاته الموقفان، فقد فاته الحَجّ‌، وأنّه يصحّ كثير من أفعال الحَجّ يوم العاشر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واستحسنه من تأخر عنه، وهو كذلك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87" w:name="pg11805_168061"/>
    </w:p>
    <w:p>
      <w:pPr>
        <w:pStyle w:val="Heading3"/>
        <w:numPr>
          <w:ilvl w:val="2"/>
          <w:numId w:val="1"/>
        </w:numPr>
        <w:rPr/>
      </w:pPr>
      <w:bookmarkStart w:id="188" w:name="__RefHeading___Toc10670513_73709187"/>
      <w:bookmarkStart w:id="189" w:name="_Toc64"/>
      <w:bookmarkEnd w:id="187"/>
      <w:bookmarkEnd w:id="188"/>
      <w:r>
        <w:rPr>
          <w:rtl w:val="true"/>
        </w:rPr>
        <w:t>العُمرة قبل أشهر الحَجّ‌</w:t>
      </w:r>
      <w:bookmarkEnd w:id="1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بالعُمرة قبل أشهر الحَجّ بقصد عمرة التمتّع، فقد عرفت أنّها لا تقع تمتّعاً، وهل تصحّ مفردة كما في العكس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الأوّل جماعة، بل ظاهر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فيه،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ينعقد بالعُمرة المتمتّع بها قبل أشهر الحَجّ‌، فإن أحرم بها في غيرها انعقد للعمرة المبتولة</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 xml:space="preserve">اختيار الثاني،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الترديد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ذهب إليه من بطلان ما أتى به، بأنّه لا يقع عن المنويّ لعدم حصول شرطه، ولا عن غيره لعدم نيّته، ونيّة المقيّد لا تستلزم نيّة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بعد نقل ذلك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البطلان بمقتضى القواعد العامّة</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ما لو أتى بالعُمرة بقصد المتعة، جاهلاً عدم صحّتها أو غافلاً عن اعتبار وقوعها في أشهر الحَجّ أو نحو ذلك، ممّا يلزم منه التشريع المحرّم، وإلّا فهي باطلة لذلك، وحينئذٍ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فتارةً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المتعة ليس من العناوين القصديّة، بل حقيقة حَجّ التمتّع عبارة عن الحَجّ الواقع عقيب العُمرة الواقعة في أشهر الحَجّ‌، فلا ينبغي الإشكال في صحّة العُمرة في المقام، ووقوعها عمرة مفردةً صحيحة، للإتيان بالمأمور به بجميع حدوده وقيوده مضافاً إلى اللّه تعالى‌، والتقيّيد بعنوان المتعة لا يستلزم عدم نيّة المطلق، إذ المطلق هو عنوان العُمرة نفسها، وهو مقصود، غاية الأمر منضمّاً إلى عنوان المتعة، لا أنّه غير مقصودٍ أصلاً، وقصد عنوان العُمرة بنفسه ليس من الموانع والمبطلات، فلا محالة تكون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نبني كما هو الحقّ على أنّ عنوان المتعة من العناوين القصديّة الدخيلة في العُمرة المتمتّع بها إلى الحَجّ‌، والظاهر أنّه على هذا أيضاً لابدّ من البناء على الصحّة، فإنّ هذا دخيلٌ في التمتّع لا في العُمرة المفردة، بل هي لا دليل على دخل عنوان قصدي فيها، وعليه، فالأظهر أنّ مقتضى القاعدة هي الصحّة،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xml:space="preserve">وغيرهما من تسليم أنّ مقتضى القاعدة هو ما أفاده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من البطلان، غير تامّ‌، بل مقتضى القاعدة هي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استدلّوا للصحّة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أبي جعفر الأحول،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فرض الحَجّ في غير أشهر الحَجّ؟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يجعلها عُمرة</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سعيد الأعرج،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تمتّع في أشهر الحَجّ ثمّ أقام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بمكّة حتّى يحضر الحج من قابل، فعليه شاة، ومن تمتّع في غير أشهر الحَجّ‌، ثمّ جاور حتّى يحضر الحَجّ‌، فليس عليه دم، إنّما هي حجّة مفردة، وإنّما الأضحى على أهل الأمصار</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المفروض فيه الحَجّ في غير أشهر الحَجّ لا العُمرة، فلا يكون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يتعدّى حينئذٍ إلى العُمرة بالأولويّة، مع أنّ الحَجّ مركّبٌ من العُمرة والحَجّ‌، فبالإطلاق يشمل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إنّ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يُنشئ عُمرةً لا أن يكون عمرة كما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دلّ على انقلاب عمرة التمتّع إلى العُمرة المفردة، إلّا أنّه من جهة عدم وجوب حَجّ التمتّع على المجاور لا من جهة وقوعها في غير أشهر الحَجّ‌، فيكون منافياً للنصوص والإجماعات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متضمّنٌ 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المتمتّع أي من أتى بعمرة التمتّع في غير أشهر الحَجّ‌، تصحّ عمرته، والدالّ عليه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تمتّع في غير أشهر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كانت فاسدة لم يصحّ هذا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عليه الحجّة المفردة، والثاني مخالفٌ للإجماعات والنصوص، والأوّل هو محلّ الكلام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أتي بعمرة التمتّع فى غير أشهرالحَجّ تكون عمرته مفردة وتصحّ‌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90" w:name="pg11805_168064"/>
    </w:p>
    <w:p>
      <w:pPr>
        <w:pStyle w:val="BookText"/>
        <w:rPr/>
      </w:pPr>
      <w:bookmarkEnd w:id="190"/>
      <w:r>
        <w:rPr>
          <w:rFonts w:ascii="Amiri" w:hAnsi="Amiri" w:eastAsia="Amiri" w:cs="Amiri"/>
          <w:color w:val="111111"/>
          <w:sz w:val="28"/>
          <w:sz w:val="28"/>
          <w:szCs w:val="28"/>
          <w:rtl w:val="true"/>
          <w:lang w:bidi="ar-SA"/>
        </w:rPr>
        <w:t>وإتيان الحَجّ والعُمرة في عام واحد</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0670515_73709187"/>
      <w:bookmarkStart w:id="192" w:name="_Toc65"/>
      <w:bookmarkEnd w:id="191"/>
      <w:r>
        <w:rPr>
          <w:rtl w:val="true"/>
        </w:rPr>
        <w:t>اعتبار كون الحَجّ والعُمرة في سنة واحدة</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 الشرائط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إتيان الحَجّ والعُمرة في 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بينهم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xml:space="preserve">، بل بلا خلافٍ فيه بين العلماء كافّة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 xml:space="preserve">، وعن غيرهما، 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بعد ذكر هذا الشرط وما قبله من الشرطين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الشرائط الثلاثة عندنا شرائط في التمتّع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وظاهره قيام الإجماع عليه، بل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اعتمر في أشهر الحَجّ‌، ولم يحجّ في ذلك العام، بل حَجّ من العام المقبل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يكون متمتّعاً، وهو قول عامّة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له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تكرّر منّا من أنّ الإجماع غير التعبّدي ليس بحجّة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توقيفيّة العبادات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توقيفتها لا تنافي البناء على عدم دخل شيء فيها جزءً أو شرطاً، للإطلاق أو الأصل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الاحتياط، للشكّ في أنّ العُمرة في سنة والحَجّ في سنةٍ أُخرى‌ </w:t>
      </w:r>
    </w:p>
    <w:p>
      <w:pPr>
        <w:pStyle w:val="BookText"/>
        <w:rPr/>
      </w:pPr>
      <w:r>
        <w:rPr>
          <w:rFonts w:ascii="Amiri" w:hAnsi="Amiri" w:eastAsia="Amiri" w:cs="Amiri"/>
          <w:color w:val="111111"/>
          <w:sz w:val="28"/>
          <w:sz w:val="28"/>
          <w:szCs w:val="28"/>
          <w:rtl w:val="true"/>
          <w:lang w:bidi="ar-SA"/>
        </w:rPr>
        <w:t>مجزيتان أم لا؟ والاشتغال اليقيني يستدعي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في محلّه أنّ الأصل عند الشكّ في الأقلّ والأكثر الارتباطيين هو البراءة لا الاحتياط، فلو شَكّ في اعتبار إيقاع النُسكين في سنةٍ واحدة وعدمه، فإنّ الأصل يقتضي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الدالّة على دخول العُمرة في الحَجّ‌، وارتباطها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تقدّم ذكره والمروي عن معاوية بن عمّار، عن الإمام الصادق عليه السلام عن افتراق المتمتّع والمعتمر،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المتمتّع مرتبط بالحَجّ والمعتمر إذا فرغ منها ذهب حيث شاء الحديث</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وغيره المتضمّن لبيان حَجّه صلى الله عليه و آله في حَجّة الوداع، وقد تقدّم، وفيه بعد بيان التمتّع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شبك صلى الله عليه و آله أصابعه بعضها إلى بعض،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بالحَجّ إلى يوم القيامة</w:t>
      </w:r>
      <w:r>
        <w:rPr>
          <w:rFonts w:eastAsia="Amiri" w:cs="Amiri" w:ascii="Amiri" w:hAnsi="Amiri"/>
          <w:color w:val="111111"/>
          <w:sz w:val="28"/>
          <w:szCs w:val="28"/>
          <w:rtl w:val="true"/>
          <w:lang w:bidi="ar-SA"/>
        </w:rPr>
        <w:t>)</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المراد بالارتباط والدخول، ليس هو الاتّصال، ولذا لو أتى بالعُمرة في أوّل شوّال، ثمّ حَجّ في موقعه، يكون حَجّه تمتّعاً، فليكن الفصل بسنة أيضاً كذلك، بل المراد به وحدة النسكين، وأنّهما ليسا عملين مستقلّين بل كلّ منهما مرتبطٌ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الدالّة على أنّ المعتمر بعمرة التمتّع مرتهنٌ بالحَجّ ومحتبس، لايجوز له الخروج عن مكّة ما لم يأتِ بالحَجّ‌، كصحيح زرارة، عن أبي جعفر عليه السلام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أتمتّع‌؟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الوقت فيُلبّي بالحَجّ فإذا أتى مكّة طاف وسعى أحلَّ من كلّ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شيء، وهو محتبس، وليس له أن يخرج من مكّة حتّى يحجّ‌</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جواز الخروج أعمٌّ من إيقاع الحَجّ في تلك السنة، إذ له أن يجاور مكّة إلى القابل فيحجّ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عدم جواز الخروج قبل الحَجّ التتابع بين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كما يلتزم مع الفصل بينهما بشهرين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اعتمر في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كذلك مع الفصل بسنة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المبيّنة لكيفيّة حَجّ التمتّع مطلقاً، أو مع خوف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جواز إيقاعهما في سنة واحدة، ومن تلك النصوص لا يستفاد تعيّن ذلك زائداً على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المتضمّنة للأفعال البيانيّة، فإنّه لم يرد خَبرٌ عن معصومٍ‌، ولم يسمع أحد إتيان واحدٍ منهم بالتمتّع مفرّقاً بين النُسكين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التفريق أعمٌّ من عدم جوازه ولزوم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أنّه كان أصحاب رسول اللّه صلى الله عليه و آله يعتمرون في أشهر الحَجّ‌، فإذا لم يحجّوا من عامهم ذلك لم يهدوا</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 فيرد عليه أنّ عدم تمتعهم أعمٌّ من عدم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التي تدلّ على ذهاب المتعة بزوال يوم التروية، أو زوال يوم عرفة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يقطين، عن 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والمرأة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يتمتّعان بالعُمرة إلى الحَجّ‌، ثمّ يدخلان مكّة يوم عرفة، 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يجعلانها حَجّة مفردة، وحَدّ المتعة إلى يوم التروية</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عبد اللّه،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إذا قدم ليلة عرفة فليس له متعة، يجعلها حَجّة مفردة، إنّما المتعة إلى يوم التروية</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من النصوص الكثيرة الآتية في المسألة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الاستدلال بها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لم يعتبر في المتعة اتّحاد سنة النسكين، لم يصحّ ذلك النفي والحكم بالذهاب والأمر بالعدول على الإطلاق، بل مطلقاً، والتقيّيد بمن أراد الحَجّ في سنة العُمرة أو من لم يتمكّن من البقاء إلى عامٍ آخر تقيّيد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في مقام بيان جواز العدول من التمتّع إلى الإفراد، ومتضمّنة لبيان حَدّ ذلك، وأنّه يجوز في ذلك الحَدّ، وليست في مقام بيان بطلان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سعيد الأعرج،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تمتّع في أشهر الحَجّ‌، ثمّ أقام بمكّة حتّى يحضر الحَجّ من قابل فعليه شاة</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يدلّ على عدم اعتبار ذلك، فإنّه يدلّ على أنّ من أتى بالعُمرة في وقتها ثمّ أقام بمكّة وحَجّ في السنة اللّاحقة فعليه شاة، أي عليه حجّة تمتّع، إذ المراد من الشاة الهَدْي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يذكر الموصوف بقابل، ولعلّه الشهر، ومع الإطلاق يُقيّد بما تقدّم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تمّ دلالته، ولكن قد عرفت ضعف الجميع، ومقتضى الأصل عدم الاعتبار، إلّا أنّه من جهة تسالم الأصحاب، وتراكم الظنون الحاصلة من النصوص المشار إليها، لو لم نفت بعدم جواز إيقاعهما في سنتين، فلا نتأمّل في وجوب الاحتياط، وعلى ذلك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من احتمال الصحّة لو بقي بعد العُمرة في مكّة وعلى إحرام عمرته قوي، إذ لا يظهر تسالمٌ من الأصحاب على عدم الجواز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كونهما في سنة واحدة، هو أن يوقعا في أشهر الحَجّ من سنةٍ واحدة، لا أن لا يكون بينهما أزيد من سنة، بحيث لو أتى بالعُمرة في آخر ذي الحجّة صحّ منه أن يأتي بحجّه في السنة اللّاحقة وهو واضح</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93" w:name="pg11805_168069"/>
    </w:p>
    <w:p>
      <w:pPr>
        <w:pStyle w:val="BookText"/>
        <w:rPr/>
      </w:pPr>
      <w:bookmarkEnd w:id="193"/>
      <w:r>
        <w:rPr>
          <w:rFonts w:ascii="Amiri" w:hAnsi="Amiri" w:eastAsia="Amiri" w:cs="Amiri"/>
          <w:color w:val="111111"/>
          <w:sz w:val="28"/>
          <w:sz w:val="28"/>
          <w:szCs w:val="28"/>
          <w:rtl w:val="true"/>
          <w:lang w:bidi="ar-SA"/>
        </w:rPr>
        <w:t>وإنشاء إحرام الحَجّ من مكّة</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0670517_73709187"/>
      <w:bookmarkStart w:id="195" w:name="_Toc66"/>
      <w:bookmarkEnd w:id="194"/>
      <w:r>
        <w:rPr>
          <w:rtl w:val="true"/>
        </w:rPr>
        <w:t>اعتبار كون إحرام الحَجّ من مكّة</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الشرائط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إنشاء إحرام الحَجّ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7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علماؤنا، ولا نعرف فيه خلافاً إلّافي رواية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7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أجمع علماؤنا كافّة على أنّ ميقات حَجّ التمتّع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7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أحرم بحَجّ التمتّع من غير مكّة لم يجزه، ولو دخل مكّة على الأشبه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يوهم وقوع الخلاف فيه، إلّاأنّ الشهيد الثاني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نقل عن شارح تردّدات الكتاب</w:t>
      </w:r>
      <w:r>
        <w:rPr>
          <w:rStyle w:val="FootnoteAnchor"/>
          <w:rtl w:val="true"/>
        </w:rPr>
        <w:footnoteReference w:id="777"/>
      </w:r>
      <w:r>
        <w:rPr>
          <w:rFonts w:ascii="Amiri" w:hAnsi="Amiri" w:eastAsia="Amiri" w:cs="Amiri"/>
          <w:color w:val="111111"/>
          <w:sz w:val="28"/>
          <w:sz w:val="28"/>
          <w:szCs w:val="28"/>
          <w:rtl w:val="true"/>
          <w:lang w:bidi="ar-SA"/>
        </w:rPr>
        <w:t>أنّه أنكر ذلك، ونقل عن شيخه أنّ المحقّق قد يشير في كتابه إلى خلاف الجمهور، وإلى ما يختاره من غير أن يكون خلافه مذهباً لأحدٍ من الأصحاب، فيظنّ أن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للحكم نصوص</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 في القاطنين بمكّة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أقاموا شهراً، </w:t>
      </w:r>
    </w:p>
    <w:p>
      <w:pPr>
        <w:pStyle w:val="BookText"/>
        <w:rPr/>
      </w:pPr>
      <w:r>
        <w:rPr>
          <w:rFonts w:ascii="Amiri" w:hAnsi="Amiri" w:eastAsia="Amiri" w:cs="Amiri"/>
          <w:color w:val="111111"/>
          <w:sz w:val="28"/>
          <w:sz w:val="28"/>
          <w:szCs w:val="28"/>
          <w:rtl w:val="true"/>
          <w:lang w:bidi="ar-SA"/>
        </w:rPr>
        <w:t>فإنّ لهم أن يتمتّعوا؟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يهلّون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نحواً ممّا يقول النّاس</w:t>
      </w:r>
      <w:r>
        <w:rPr>
          <w:rFonts w:eastAsia="Amiri" w:cs="Amiri" w:ascii="Amiri" w:hAnsi="Amiri"/>
          <w:color w:val="111111"/>
          <w:sz w:val="28"/>
          <w:szCs w:val="28"/>
          <w:rtl w:val="true"/>
          <w:lang w:bidi="ar-SA"/>
        </w:rPr>
        <w:t>»</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خبر حمّاد</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ذيلهما يوجبُ الإشكال في دلالتهما،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عمرو بن حُريث الصيرفي،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أهلُّ بالحَجّ؟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مِنْ رحلك، وإنْ شئت من الكعبة، وإنْ شئت من الطريق</w:t>
      </w:r>
      <w:r>
        <w:rPr>
          <w:rFonts w:eastAsia="Amiri" w:cs="Amiri" w:ascii="Amiri" w:hAnsi="Amiri"/>
          <w:color w:val="111111"/>
          <w:sz w:val="28"/>
          <w:szCs w:val="28"/>
          <w:rtl w:val="true"/>
          <w:lang w:bidi="ar-SA"/>
        </w:rPr>
        <w:t>»</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الترويه إنْ شاء اللّه تعالى فاغتسل، ثمّ البس ثوبيك، وادخل المسجد حافياً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فأحرم بالحَجّ‌</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واشتمال هذه النصوص على كثيرٍ من المستحبّات، لا ينافي ظهورها في الوجوب بالنسبة إلى الإحرام من مكّة، الذي لم يدلّ دليلٌ على عدم لزومه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يعارض هذه النصوص خبر اسحاق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المتمتّع يجيء فيقضي متعته، ثمّ تبدو له الحاجة، فيخرج إلى المدينة، وإلى ذات عرق أو إلى بعض المعادن‌؟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مكّة إنْ كان في غير الشهر الذي تمتّع فيه، لأنّ لكلّ شهرٍ عمرة، وهو مرتهن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دخل في الشهر الذي خرج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مجاوراً ها هنا فخرج يتلقّى بعض هؤلاء، فلمّا رجع فبلغ ذات عِرق أحرم من ذات عِرق بالحَجّ‌، ودخل محرم بالحَجّ‌</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لما أفاده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من أنّه عليه السلام أحرم مفرداً لا متمتّعاً، إذ يرد عليه أنّه لا يناسب مع السؤال الذي هو عن المتمتّع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 جهة حمله على التقيّة، إذ لا يناسب ذلك مع التعبير عن المخالفين بما هو ظاهرٌ في التوهين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 جهة أنّه عليه السلام جدّد الإحرام من مكّة من جهة كونه مخالفاً للإطلاق وعدم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من أنّ المراد بالحَجّ عمرته، حيث أنّها أوّل أعماله، إذ الخبر ظاهر في أنّ الإحرام كان بالحَجّ مقابل العُمرة، ولو تأمّلت فيه وجدته كالصريح ولو بمؤونة ما فيه من التعليل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جهة خصوصيّة المورد، فإنْ أمكن تقيّيد ما تقدّم من النصوص به فيقيّد، وإلّا فيطرح لعدم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المسجد أحرم يوم التروية‌؟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المسجد شئت</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 المتوهم كونه معارضاً لما تقدّم، فظاهره أنّ السؤال عن الإحرام من أيّ الموضع من المسجد الحرام لا أيّ مسجدٍ من مساجد مكّة وخارجها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اعتبار كون الإحرام من مكّة، نعم يتخيّر في الإحرام من أيّ موضعٍ منها كان، لإطلاق النصوص، ولصحيح عمرو بن حريث المتقدّم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من رحلك، وإنْ شئت من الكعبة، وإنْ شئت من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سكك مكّة، وأفضل مواضعها المسجد، للإجماع، ولكونه أشرف الأماكن، ولاستحباب كون الإحرام بعد الصلاة التي هي في المسجد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مواضع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أو الحِجْر مخيّراً بينهما،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معاوية المتقدّم، المتضمّن للأمر بصلاة ركعتين عند مقام إبراهيم، أو في الحجر، والقعود إلى أن تزول الشمس، ثمّ الإحرام من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والمحكيّ عن المصنّف</w:t>
      </w:r>
      <w:r>
        <w:rPr>
          <w:rStyle w:val="FootnoteAnchor"/>
          <w:rtl w:val="true"/>
        </w:rPr>
        <w:footnoteReference w:id="788"/>
      </w:r>
      <w:r>
        <w:rPr>
          <w:rFonts w:ascii="Amiri" w:hAnsi="Amiri" w:eastAsia="Amiri" w:cs="Amiri"/>
          <w:color w:val="111111"/>
          <w:sz w:val="28"/>
          <w:sz w:val="28"/>
          <w:szCs w:val="28"/>
          <w:rtl w:val="true"/>
          <w:lang w:bidi="ar-SA"/>
        </w:rPr>
        <w:t>في جملةٍ من كتبه، وكذا 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والشهيد</w:t>
      </w:r>
      <w:r>
        <w:rPr>
          <w:rStyle w:val="FootnoteAnchor"/>
          <w:rtl w:val="true"/>
        </w:rPr>
        <w:footnoteReference w:id="789"/>
      </w:r>
      <w:r>
        <w:rPr>
          <w:rFonts w:ascii="Amiri" w:hAnsi="Amiri" w:eastAsia="Amiri" w:cs="Amiri"/>
          <w:color w:val="111111"/>
          <w:sz w:val="28"/>
          <w:sz w:val="28"/>
          <w:szCs w:val="28"/>
          <w:rtl w:val="true"/>
          <w:lang w:bidi="ar-SA"/>
        </w:rPr>
        <w:t>وغيرهم</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التخيّير بين المقام وتحت الميزاب الذي هو بعض من الحِجْر، ولم أظفر بدليله بالخصوص</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أحرم بحَجّ التمتّع اختياراً من غير مكّة، لم يُجزئ عنه، وكان عليه العود إلى مكّة لإنشاء الإحرام، كما هو المعروف من مذهب الأصحاب،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xml:space="preserve">وغيرهما، بل عليه الإجماع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لتوقّف الواجب عليه، ولا يكفي دخولها مُحْرِماً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نسى الإحرام منها، فإنْ أمكن أن يعود عاد إليها، وأنشأ الإحرام منها، وإن تعذّر ذلك، ولو لضيق الوقت، أحرم من موضعه ولو كان بعرفات، كما صرّح به جماعة، ويشهد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علي بن جعفر، عن أخيه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نسي الإحرام بالحَجّ فذكر وهو بعرفات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على كتابك وسنّة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 إحرامه، فإنْ جهل أن يحرم يوم التروية بالحَجّ حتّى رجع إلى بلده إنْ كان قضى مناسكه كلّها فقد تمّ حجّه</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فرق في ذلك بين ترك الإحرام رأساً، أو الإتيان به من غيرها، خلافاً للشيخ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حيث التزموا بالإجزاء بالإحرام من غيرها مع تعذّر العود إليها، واستدلّوا له بالأصل ومساواة ما فعله لما يستأنف في الكون من غير مكّة وفي العذر، لأنّ النسيان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يقتضي الفساد لا الصحّة، فإنّ إجزاء غير المأمور به عن الأمر خلاف الأصل، وقد دلّ الدليل عليه مع استئناف الإحرام، وبدونه يبقى على مقتضى الأصل، ودعوى المساواة ليست إلّاالقياس</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القول بالاكتفاء بالإحرام المصادف للعذر واقعاً، كما لو نسي وأحرم من موضعٍ يتعذّر عليه العود إلي مكّة منه حين الإحرام، لمصادفة الأمر به واقعاً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 الإحرام منها جهلاً فذكره وهو بعرفات، فهل يلحق بنسيانه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أظهرهما الإلحاق، لفحوى ما دلّ على الإحرام من موضعه لو جهل الإحرام من المواقيت الاُخر، كما في موثّق زرارة</w:t>
      </w:r>
      <w:r>
        <w:rPr>
          <w:rStyle w:val="FootnoteAnchor"/>
          <w:rtl w:val="true"/>
        </w:rPr>
        <w:footnoteReference w:id="798"/>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الاستدلال بعموم العلّه في الموثّق، إذ فيه بعد السؤال عن إمرأةٍ تركت الإحرام جهلاً حتّى قدمت مكّة‌؟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من مكانها قد علم اللّه 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ذيل صحيح علي المتقدّم في خصوص الجهل، يدلّ على كونه عذراً، فلا حاجة إلى هذه التكلّفات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بقرينة الصدور وبقرينة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يرجع إلى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النسيان، ولذا استدلّوا به لما ذهب إليه الشيخ في طائفةٍ من كتبه، وابن حمزة من صحّة حَجّ من نسى الإحرام بالحَجّ حتّي رجع إلي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عليهم الحِلّي</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خبرٌ واحد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ظهر أنّه لا يبعد التعدّي عن النسيان إلى كلّ عذرٍ، لعموم العلّة، ولإلغاء الخصوصيّة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96" w:name="pg11805_168075"/>
    </w:p>
    <w:p>
      <w:pPr>
        <w:pStyle w:val="Heading3"/>
        <w:numPr>
          <w:ilvl w:val="2"/>
          <w:numId w:val="1"/>
        </w:numPr>
        <w:rPr/>
      </w:pPr>
      <w:bookmarkStart w:id="197" w:name="__RefHeading___Toc10670519_73709187"/>
      <w:bookmarkStart w:id="198" w:name="_Toc67"/>
      <w:bookmarkEnd w:id="196"/>
      <w:bookmarkEnd w:id="197"/>
      <w:r>
        <w:rPr>
          <w:rtl w:val="true"/>
        </w:rPr>
        <w:t>اعتبار كون النسكين من واحدٍ عن واحد</w:t>
      </w:r>
      <w:bookmarkEnd w:id="19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أنّه لا يعتبر في حَجّ التمتّع غير هذه الشرائط الأربعة، لكن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800"/>
      </w:r>
      <w:r>
        <w:rPr>
          <w:rFonts w:ascii="Amiri" w:hAnsi="Amiri" w:eastAsia="Amiri" w:cs="Amiri"/>
          <w:color w:val="111111"/>
          <w:sz w:val="28"/>
          <w:sz w:val="28"/>
          <w:szCs w:val="28"/>
          <w:rtl w:val="true"/>
          <w:lang w:bidi="ar-SA"/>
        </w:rPr>
        <w:t xml:space="preserve">بعد اعترافه بذلك، نقل عن بعض الشافعية اعتبار أمرٍ آخر فيه، وهو كون مجموع عمرته وحَجّه من واحد عن واحد، فلو حَجّ اثنان عن ميّتٍ‌، أحدهما أتى بعمرته والآخر بحجّه، لم يُجزئ عنه، كما أنّه لو حَجّ شخصٌ واحد ولكن جعل عمرته عن شخصٍ وحَجّه عن شخص آخر، لم يصحّ‌، وقد توقّف فيه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بل رجَّح عدم 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فقد تأمّل فيه، ثمّ استظهر من خبر محمّد بن مسلم صحّة نيابة شخص واحدٍ في العملين عن 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وحدة العمل في حَجّ التمتّع، وأنّ الحَجّ والعُمرة مرتبطان، وليسا واجبين مستقلّين، ولكن لم يقم دليلٌ على عدم جواز نيابة شخصين عن واحد في هذا العمل الوحداني، بأن يأتي ببعضه واحد وبالآخر غيره، وقياسه بإتيان شخصين لصلاةٍ واحدة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حيث ثبت أنّ النيابة على خلاف الأصل، ففي كلّ مورد دلّ الدليل على جوازها نلتزم به، وفي غير ذلك المرجع هو الأصل، وحيث لا دليل يدلّ ولو بإطلاقه على جواز مثل هذه النيابة فالأظهر عدم جوازها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بخبر جابر،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وصل قريباً بحجّة أو عمرة كَتَب اللّه له حَجّتين وعمرتين</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إطلاقه يشمل العُمرة المفردة، والعُمرة المتمتّع بها، وكذلك الحجّة، وعليه فتجوز جميع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يحجّ عن أبيه أيتمتّع‌؟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المتعة له، والحَجّ عن أبيه</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على الاستدلال به للجواز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يحتمل أن يكون المراد به أنّه يحجّ التمتّع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أن يكون المراد أنّه يتمتّع لنفسه زائداً على عمرته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أن يكون المراد به أنّه يعتمر عن أبيه ويحجّ عن نفسه، والاستدلال يتوقّف على ثبوت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يكون المراد إهداء الثواب دون النيابة في خصوص الحَجّ‌، بأن يكون متعته له وحجّه عن أبيه، حيث لم يرد تفصيلٌ في الحديث بين الحَجّ الواجب والمستحبّ‌، ومن المعلوم أنّه لو فرض وجوب الحَجّ على أبيه لم تبرأ ذمّته بذلك قطعاً، إذ لو كانت ذمّته مشغولة بحَجّ الإفراد، يكون ما قد قام به من حَجّ التمتّع وإنْ كانت مشغولة بحَجّ التمتّع، لكنّه فاقد لعمرته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يعيّن الأخير، ويدلّ على وقوع العُمرة عن نفسه، والحَجّ عن أبيه، وأمّا احتمال كونه من باب إهداء الثواب، فهو خلاف ظاهر قوله في السؤال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 عن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وعدم كونه مُبرّءاً لذمّة الميّت لا ينافي ذلك، لعدم كون السؤال والجواب في مقام بيان فراغ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أفاده بعض الأعاظم</w:t>
      </w:r>
      <w:r>
        <w:rPr>
          <w:rStyle w:val="FootnoteAnchor"/>
          <w:rtl w:val="true"/>
        </w:rPr>
        <w:footnoteReference w:id="804"/>
      </w:r>
      <w:r>
        <w:rPr>
          <w:rFonts w:ascii="Amiri" w:hAnsi="Amiri" w:eastAsia="Amiri" w:cs="Amiri"/>
          <w:color w:val="111111"/>
          <w:sz w:val="28"/>
          <w:sz w:val="28"/>
          <w:szCs w:val="28"/>
          <w:rtl w:val="true"/>
          <w:lang w:bidi="ar-SA"/>
        </w:rPr>
        <w:t>من أنّه علي تقدير الظهور لامجال للأخذ به فى مقابل النصوص الدالّة على الارتباط، قد عرفت جوابه، وأنّه لا ينافي الارتباطيّة، والذي يوقفنا ويمنعنا عن الإفتاء عدم ثبوت عمل الأصحاب بالخبر، والاحتياط حسن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99" w:name="pg11805_168078"/>
    </w:p>
    <w:p>
      <w:pPr>
        <w:pStyle w:val="Heading3"/>
        <w:numPr>
          <w:ilvl w:val="2"/>
          <w:numId w:val="1"/>
        </w:numPr>
        <w:rPr/>
      </w:pPr>
      <w:bookmarkStart w:id="200" w:name="__RefHeading___Toc10670521_73709187"/>
      <w:bookmarkStart w:id="201" w:name="_Toc68"/>
      <w:bookmarkEnd w:id="199"/>
      <w:bookmarkEnd w:id="200"/>
      <w:r>
        <w:rPr>
          <w:rtl w:val="true"/>
        </w:rPr>
        <w:t>خروج المُعتمر عن مكّة قبل الحَجّ‌</w:t>
      </w:r>
      <w:bookmarkEnd w:id="2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الخروج من مكّة بعد الإحلال من عمرة التمتّع، وقبل القيام بأعمال الحجّ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إلى المشهور</w:t>
      </w:r>
      <w:r>
        <w:rPr>
          <w:rStyle w:val="FootnoteAnchor"/>
          <w:rtl w:val="true"/>
        </w:rPr>
        <w:footnoteReference w:id="805"/>
      </w:r>
      <w:r>
        <w:rPr>
          <w:rFonts w:ascii="Amiri" w:hAnsi="Amiri" w:eastAsia="Amiri" w:cs="Amiri"/>
          <w:color w:val="111111"/>
          <w:sz w:val="28"/>
          <w:sz w:val="28"/>
          <w:szCs w:val="28"/>
          <w:rtl w:val="true"/>
          <w:lang w:bidi="ar-SA"/>
        </w:rPr>
        <w:t>من عدم جواز الخروج إلّاأن يحرم بالحَجّ‌، فيخرج مُحرِماً به، وإن خرج مُحلّاً ورجع بعد شهرٍ فعليه أن يَحرم بالعُمرة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808"/>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810"/>
      </w:r>
      <w:r>
        <w:rPr>
          <w:rFonts w:ascii="Amiri" w:hAnsi="Amiri" w:eastAsia="Amiri" w:cs="Amiri"/>
          <w:color w:val="111111"/>
          <w:sz w:val="28"/>
          <w:sz w:val="28"/>
          <w:szCs w:val="28"/>
          <w:rtl w:val="true"/>
          <w:lang w:bidi="ar-SA"/>
        </w:rPr>
        <w:t xml:space="preserve">، وموضعٍ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 xml:space="preserve">وموضعٍ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814"/>
      </w:r>
      <w:r>
        <w:rPr>
          <w:rFonts w:ascii="Amiri" w:hAnsi="Amiri" w:eastAsia="Amiri" w:cs="Amiri"/>
          <w:color w:val="111111"/>
          <w:sz w:val="28"/>
          <w:sz w:val="28"/>
          <w:szCs w:val="28"/>
          <w:rtl w:val="true"/>
          <w:lang w:bidi="ar-SA"/>
        </w:rPr>
        <w:t>من عدم حرمة الخروج، وجوازه مُحِلّاً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الخروج ما لم يتمّ الحَجّ وإنْ أحرم به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الخروج قبل أن يتمّ حجّه مع عدم الحاجة، وجوازه بعد أن يحرم به معها، وهناك وجوهٌ اُخر ستطّلع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الاختلاف كالعادة من اختلاف النصوص، وهي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المنع من الخروج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أتمتّع‌؟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الوقت فيلبّى بالحَجّ‌، فإذا أتى مكّة طاف وسعى وأحَلّ من كلّ شيء، وهو محتبسٌ وليس له أن يخرج من مكّة حتّى يحجّ‌</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 اللّه عليه السلام في حديثٍ‌،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 فهو واللّه أفضل،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عمرته عراقيّة وحجّته 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وكذبوا، أو ليس هو مرتبطاً بحجّه لا يخرج حتّى يقضيه</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جواز الخروج قبل الإحرام، وبعده يجوز إلى ما يقرب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قدم متمتّعاً ثمّ أحلّ قبل يوم التروية ألَهُ الخروج‌؟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حتّى يحرم بالحَجّ‌، ولا يجاوز الطائف وشبهها</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رجل قدم مكّة متمتّعاً، فأحلّ أيرجع‌؟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حتّى يحرم بالحَجّ‌، ولا يجاوز الطائف وشبهها، مخافة أن لا يُدرك الحَجّ‌، فإنْ أحبّ أن يرجع إلى مكّة رجع، وإنْ خاف أن يفوته الحَجّ مضى على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وجهه إلى عرفات</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ظاهراً في كراهة الخروج إلى الطائف وما شابهها بدون الإحرام، وعدم جواز الخروج إلى مسافة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أو حسنه،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يتمتّع بالعُمرة إلى الحَجّ‌، يريد الخروج إلى الطائف‌؟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 بالحَجّ من مكّة، وما أحبُّ أن يخرج منها إلّامُحرِماً، ولا يتجاوز الطائف إنّها قريبة من مكّة</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الخروج مع الإحرام بالحَجّ‌، إذا كان له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 بن عيسى أو حسنه،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متمتّعاً في أشهر الحَجّ‌، لم يكن له أن يخرج حتّى يقضى الحَجّ‌، فإنْ عرضت له حاجة إلى عسفان أو إلى الطائف أو إلى ذات عِرق، خرج مُحرماً ودخل مُلبّياً بالحَجّ‌، فلا يزال على إحرامهم، فإنْ رجع إلى مكّة رجع مُحرماً ولم يقرب البيت حتّى يخرج مع النّاس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جهل فخرج إلى المدينة، أو إلى نحوها بغير إحرامٍ‌، ثمّ رجع في أبان الحَجّ في أشهر الحَجّ يريد الحَجّ‌، فيدخلها مُحرماً أو بغير إحرام‌؟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في شهره دخل بغير إحرام، وإنْ دخل في غير الشهر دخل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الإحرامين والمتعتين، متعة الأُولى أو الأخيرة‌؟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 هي عمرته، وهي المحتبس بها التي وصلت بحجّته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بين المفردة وبين عمرة المتعة إذا دخل في أشهر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بالحَجّ وهو ينوي العُمرة، ثمّ أحلّ منها، وليس عليه دم، ولم يكن محتبساً، لأنّه لا يكون ينوي الحَجّ‌</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حفص بن البختري،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قضى متعته وعرضت له حاجة، أراد أن يمضي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فليغتسل للإحرام وليهلّ بالحَجّ وليمض في حاجته، فإنْ لم يقدر على الرجوع إلى مكّة مضى إلى عرفات</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أبان بن عثمان،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محتبسٌ لا يخرج من مكّة حتّى يخرج إلى الحَجّ‌، إلّاأن يأبق غلامه، أو تضلّ راحلته، فيخرج مُحرماً ولا يجاوز إلّا على قدر ما لا تفوته عرفة</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يجوز الخروج بغير إحرام حتّى إلى مسافة بعيدة، إذا علم أنّه لا يفوته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الفقيه،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المتمتّع الخروج من مكّة إلى بعض المواضع، فليس له ذلك لأنّه مرتبطٌ بالحَجّ حتّى يقضيه، إلّاأن يعلم أنّه لا يفوته الحَجّ‌، وإنْ علم وخرج وعاد في الشهر الذي خرج، دخل مكّة مُحِلّاً وإن دخلها في غير ذلك الشهر دخلها مُحرِماً</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الجمع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بأنّه يقتضي البناء على الكراهة، بقرينة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أحبُّ أن يخرج منها إلّامُحرِماً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لا يخلو عن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صرّح فيه في خصوص الخروج إلى المسافة القريبة، والمسافة البعيدة بعدم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8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المنساق من جميع الأخبار المانعة، أنّ ذلك للتحفّظ عن عدم إدراك الحَجّ وفوته، لكون الخروج في معرض ذلك، وعلى هذا فيمكن دعوى عدم الكراهة أيضاً مع علمه بعدم فوات الحَجّ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خبر أبان أمرٌ بأن يحرم بالحَجّ‌، ويخرج ولايجاوز مايفوته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يُلائم مع الجمل المتتابعة المتضمّنة للمنع من الخروج إلّا للضرورة، وأنّه على تقدير الضرورة والحاجة لا يخرج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النصوص يقتضي البناء على عدم جواز الخروج إلّا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إلى ما يقرب من مكّة كالطائف، فإنّه يجوز الخروج إليه حتّى بدون الإحرام، ومع كراهة فيه، وذلك لأنّ الطائفة الثانية تخصّص الطائفة الأُولى، وهي وإنْ تضمّنت الخروج مُحرِماً، إلّاأنّ الطائفة الثالثة بقرينة تضمّنها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حمل النهي عن الخروج بغير الإحرام في الثانية على الكراهة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عرضت له حاجة، فإنّه يجوز أن يخرج منها مُحرِماً على قدر لا يفوته عرفة، فإنّ الطائفة الرابعة التي هي أخصّ من الأُولى تقتضي ذلك،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فتخصّص الأُولى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الخامسة تدلّ على جواز الخروج بدون الإحرام مع عدم الحاجة أيضاً إذا علم بأنّه لا يفوته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الرابعة الدالّة على عدم جواز الخروج بدون الحاجة، وجوازه مُحرماً معها، موردها صورة العلم بعدم فوت الحَجّ‌، فإنّه بعد الأمر بالخروج مُحرماً في صورة الحاجة،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رجع إلى مكّة رجع مُحرِماً، ولم يقرب البيت حتّى يخرج مع النّاس إلى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فيها من المفهوم، وهو عدم جواز الخروج بدون القيدين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الحاجة والإحلال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تقيّيد هذه الطائفة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أورد على مرسل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ضعيفٌ للإرسال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تكرّر منّا بأنّ المرسل على قسمين؛ قسمٌ يُعبّر فيه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وقسمٌ يعبّر فيه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يسند فيه الخبر إلى المعصوم جزماً، وقسمٌ لا يسنده إليه، والذي لا يكون حجّة إذا كان الراوي ثقة هو القسم الأوّل، وأمّا القسم الثاني الذي يُنسب فيه الخبر إلى المعصوم جزماً فهو حجّة، فإنّ من إسناد الخبر إليه يُستكشف كون الواسطة كان ثقة عنده، وثبت لديه صدوره من المعصوم، وإلّا لزم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لعلّ ثبوت ذلك كان مستنداً إلى مقدّمات حدسيّة اجتهاديّة لا يُعتمد عليها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علمنا اتّحاد مسلك الراوي معنا في ما هو ضابط حجيّة الخبر، لا يعتنى بمثل هذه الاحتمالات البعيدة، كما لا يخفى‌</w:t>
      </w:r>
      <w:r>
        <w:rPr>
          <w:rFonts w:eastAsia="Amiri" w:cs="Amiri" w:ascii="Amiri" w:hAnsi="Amiri"/>
          <w:color w:val="111111"/>
          <w:sz w:val="28"/>
          <w:szCs w:val="28"/>
          <w:rtl w:val="true"/>
          <w:lang w:bidi="ar-SA"/>
        </w:rPr>
        <w:t xml:space="preserve">. </w:t>
      </w:r>
      <w:bookmarkStart w:id="202" w:name="pg11805_168084"/>
    </w:p>
    <w:p>
      <w:pPr>
        <w:pStyle w:val="Heading3"/>
        <w:numPr>
          <w:ilvl w:val="2"/>
          <w:numId w:val="1"/>
        </w:numPr>
        <w:rPr/>
      </w:pPr>
      <w:bookmarkStart w:id="203" w:name="__RefHeading___Toc10670523_73709187"/>
      <w:bookmarkStart w:id="204" w:name="_Toc69"/>
      <w:bookmarkEnd w:id="202"/>
      <w:bookmarkEnd w:id="203"/>
      <w:r>
        <w:rPr>
          <w:rtl w:val="true"/>
        </w:rPr>
        <w:t>تنبيهات خروج المعتمر</w:t>
      </w:r>
      <w:bookmarkEnd w:id="204"/>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بالحاجة الموجبة لجواز الخروج، هي الحاجة العادية، لا خصوص الحاجة الضروريّة الموجب فوتها العُسر والحَرَج، لإطلاق صحيح حمّاد وخبر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مرسل أبان الظاهر في أنّ الحاجة المسوّغة، هي ما كان من قبيل أن يأبق غلامه، أو أن تضلّ راحلته، فمضافاً إلى ضعف سنده، لا يصلح للتقيّيد، إذ منطوقه أعمّ من صحيح حمّاد وخبر حفص، فيخصّص بهما، ومفهومه معهما من قبيل المتوافقين، لا يحمل المطلق على المقيّد فيهما،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المعتمر من مكّة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مورد جوازه أو للضرورة أو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عليه الإحرام لدخول مكّة بعمرة أُخرى أو لا يجب ذلك‌؟</w:t>
      </w:r>
    </w:p>
    <w:p>
      <w:pPr>
        <w:pStyle w:val="BookText"/>
        <w:rPr/>
      </w:pPr>
      <w:r>
        <w:rPr>
          <w:rFonts w:ascii="Amiri" w:hAnsi="Amiri" w:eastAsia="Amiri" w:cs="Amiri"/>
          <w:color w:val="111111"/>
          <w:sz w:val="28"/>
          <w:sz w:val="28"/>
          <w:szCs w:val="28"/>
          <w:rtl w:val="true"/>
          <w:lang w:bidi="ar-SA"/>
        </w:rPr>
        <w:t xml:space="preserve">ذهب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إلى الثاني،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ظاهر النصوص الآمرة بالعُمرة إذا دخلها بعد الشهر الذي خرج فيه، أنّه من جهة أنّ لكلّ شهرٍ عُمرة، ومعلوم أنّ العُمرة التي هي وظفية كلّ شهر ليست واجبة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المتمتّع يجيء فيقضي متعة، ثمّ تبدو له الحاجة فيخرج إلى المدينة أو إلى ذات عِرق أو إلى بعض المعادن‌؟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مكّة بعمرة إنْ كان في غير الشهر الذي تمتّع فيه، لأنّ لكلّ شهرٍ عمرة، وهو مرتهن بالحَجّ‌</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فإنّه صريح في أنّ علّة الأمر بالعُمرة، هي أن لكلّ شهرٍ عمرة، فالمأمور به هو الوظيفة المستحبّة المتوجّهة إلى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تنبّه إليه قدس سره من أنّ صحيح حمّاد وغيره الآمرة بالعُمرة، إنّما تدلّ على أنّ المدار على الدخول في شهر الخروج أو بعده، ومعلومٌ أنّ شهر الخروج قد لا يكون شهر الاعتمار، ولا وجه للحمل على الغالب من كون الخروج بعد الاعتمار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منع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فمورد التعليل غير مورد النصوص، فلا يصلح للحكومة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فالجمع بين خبر إسحاق وما تقدّم، يقتضي أن يقال إنّ هناك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مقتضية لاستحباب العُمرة، وهي ما لو دخل بعد شهر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مقتضية لوجوبها، وهي ما لو دخل بعد شهر الخروج، فلو دخل بعد شهر الخروج وشهر التمتّع، يجتمع الجهتان فيبني على الوجوب، مضافاً إلى محبوبيّتها من جهةٍ 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الإحرام للعمرة إذا دخلها بعد شهر الخروج، وبذلك يرتفع نزاعٌ آخر، وهو أنّه هل المدار على شهر الخروج أو على شهر التمتّع‌؟</w:t>
      </w:r>
    </w:p>
    <w:p>
      <w:pPr>
        <w:pStyle w:val="BookText"/>
        <w:rPr/>
      </w:pPr>
      <w:r>
        <w:rPr>
          <w:rFonts w:ascii="Amiri" w:hAnsi="Amiri" w:eastAsia="Amiri" w:cs="Amiri"/>
          <w:color w:val="111111"/>
          <w:sz w:val="28"/>
          <w:sz w:val="28"/>
          <w:szCs w:val="28"/>
          <w:rtl w:val="true"/>
          <w:lang w:bidi="ar-SA"/>
        </w:rPr>
        <w:t xml:space="preserve">وقد أطال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مباحث الإحرام في حكم دخول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ذلك، واستشهد لكون المدار على شهر الخروج بالنصوص المتقدّمة، وأيّده بكلمات الأساطين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وأشكل عليه الأمر في خبر إسحاق، وطعن فيه بالإجمال</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على ما بيّناه لا مورد لهذا النزاع أصلاً، فإنّ المدار في استحباب العُمرة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شهر التمتّع، وفي وجوبها شهر الخروج،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في الشهر الذي خرج فيه، دخلها مُحلّاً كما صرّح بذلك في النصوص المتقدّمة، وأفتى به الأصحاب، فهل يجوز أن يحرم من الميقات بالحَجّ؟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للجواز ما في ذيل خبر إسحاق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دخل في الشهر الذي خرج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مجاوراً هاهنا فخرج يتلقّى بعض هؤلاء، فلمّا رجع بلغ ذات عِرق أحرم من ذات عِرق بالحَجّ‌، ودخل وهو محرم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بعد البحث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هذا، فلو خرج من مكّة بغير إحرام، وعاد في الشهر الذي خرج فيه، استحبّ أن يدخلها مُحرماً بالحَجّ‌، ويجوز له أن يدخلها بغير إحرام على ما تقدّم، روى الشيخ في الصحيح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الحديث إلى آخره كما تقدّم،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الشيخ رحمه الله واستدلاله، وفيه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بيّنا أنّه لا يجوز إحرام الحَجّ للمتمتّع إلّامن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8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رجع في شهره دخلها مُحلّاً، فإنْ أحرم فيه من الميقات بالحَجّ‌، فالمروي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فعله من ذات عِرق، وكان قد خرج من مكّة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إحرام حَجّ التمتّع لا يجوز إلّامن مكّة، وأفتى بذلك الأصحاب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لولا عدم إفتاء الأصحاب، لكنّا ملتزمين بتخصيص تلك الأدلّة بمصحّح إسحاق لكونه أخصّ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الصادق عليه السلام كان هو الإحرام بالعُمرة المتمتّع بها لا الإحرام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بعدما حكم باستحباب العُمرة لمن دخلها في غير الشهر الذي تمتّع فيه، سأله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دخل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السؤال عن أنّه هل العُمرة مستحبّة حتّى ولو كان دخوله في الشهر الذي خرج فيه‌؟ والإمام عليه السلام في مقام الجواب عن ذلك اكتفى بنقل فعل الصادق عليه السلام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من ذات عِرق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حَجّ التمتّع، وعليه فلا ينافي المصحّح النصوص الدالّة على أنّ إحرام حَجّ التمتّع لابدّ وأن يكون من مكّة، فتدبّر فإنّه حقيق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مكّة بعد شهرٍ بإحرام، فهل عمرة التمتّع هي العُمرة الأُولى أو الأخيرة‌؟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أظهرهما الثاني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اتّفاقي، ويشهد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حمّاد أو حسنة المتقدّم،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الإحرامين والمتعتين متعته، الأُولى أو الأخيرة‌؟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 هي عمرته وهي المحتبس بها التي وصلت بحجّته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فهل يجب طواف النساء في الأُولى التي وقعت مفردةً‌،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xml:space="preserve">؟ أم لا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33"/>
      </w:r>
      <w:r>
        <w:rPr>
          <w:rFonts w:ascii="IRNazanin" w:hAnsi="IRNazanin" w:eastAsia="IRNazanin"/>
          <w:color w:val="111111"/>
          <w:sz w:val="28"/>
          <w:sz w:val="28"/>
          <w:szCs w:val="28"/>
          <w:rtl w:val="true"/>
          <w:lang w:bidi="fa-IR"/>
        </w:rPr>
        <w:t>، وعن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834"/>
      </w:r>
      <w:r>
        <w:rPr>
          <w:rFonts w:ascii="Amiri" w:hAnsi="Amiri" w:eastAsia="Amiri" w:cs="Amiri"/>
          <w:color w:val="111111"/>
          <w:sz w:val="28"/>
          <w:sz w:val="28"/>
          <w:szCs w:val="28"/>
          <w:rtl w:val="true"/>
          <w:lang w:bidi="ar-SA"/>
        </w:rPr>
        <w:t>نقل الوجهين من غير اختيار لأحدهما؟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استدلّ به لعدم وجوبه في مقابل إطلاق ما دلّ على لزومه في العُمرة المفردة، أنّه بعدما أحلّ من الأُولى بالتقصير، ربما يأتي النساء قبل الخروج، وهو جائزٌ عليه، فإنْ قلنا بوجوبه بعد ذلك، لزم حرمة النساء عليه قبل الإتيان به، ولازم ذلك حرمتهنّ من غير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أحرم للعمرة الثانية، ينكشف أنّه من الأوّل لم تكن العُمرة المأتي بها عمرة التمتّع، بل كانت مفردة، فكان مباشرته النساء حلالاً ظاهراً لا واقعاً، فلا تكون حرمتهنّ بعد ذلك بلا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الاستبعادات في مقابل النّص تعدّ اجتهادات في مقابلها ولا يعتنى بها، فالأظهر وجوبه ولكن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بعدم الوقوف على قائلٍ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الإحرام بعد الدخول في شهر آخر، مع كونه واجباً عليه، فهل لا يكون ذلك موجباً لبطلان عمرته السابقة، فيصحّ حجّه‌؟ أم يكون موجباً لذلك فلا يصحّ حجّه‌؟</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35"/>
      </w:r>
      <w:r>
        <w:rPr>
          <w:rFonts w:ascii="Amiri" w:hAnsi="Amiri" w:eastAsia="Amiri" w:cs="Amiri"/>
          <w:color w:val="111111"/>
          <w:sz w:val="28"/>
          <w:sz w:val="28"/>
          <w:szCs w:val="28"/>
          <w:rtl w:val="true"/>
          <w:lang w:bidi="ar-SA"/>
        </w:rPr>
        <w:t>بعد أن يذكر عدم تعرّض الأصحاب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الذي يقوى في النظر الأوّل، لعدم الدليل على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بعض الأعاظم</w:t>
      </w:r>
      <w:r>
        <w:rPr>
          <w:rStyle w:val="FootnoteAnchor"/>
          <w:rtl w:val="true"/>
        </w:rPr>
        <w:footnoteReference w:id="836"/>
      </w:r>
      <w:r>
        <w:rPr>
          <w:rFonts w:ascii="Amiri" w:hAnsi="Amiri" w:eastAsia="Amiri" w:cs="Amiri"/>
          <w:color w:val="111111"/>
          <w:sz w:val="28"/>
          <w:sz w:val="28"/>
          <w:szCs w:val="28"/>
          <w:rtl w:val="true"/>
          <w:lang w:bidi="ar-SA"/>
        </w:rPr>
        <w:t>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يبعد أن يكون الأمر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بالعُمرة الثانية إرشاداً إلى بطلان العُمرة الأُولى‌، والاحتياج إلى الثانية في صحّة الحَجّ بملاحظة أنّ الأمر والنّهي في أمثال هذه الموارد إرشاديّان إلى الشرطيّة والمانعيّة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ما دلّ على أنّه لو رجع قبل شهرٍ جاز له الدخول مُحِلّاً، لإمكان اختصاص البطلان بخصوص صورة وجوب الإحرام للعمرة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يتعلّق الأمر بالعُمرة الثانية في ضمن الحَجّ‌، ولم ينه عن الحَجّ بدونها كي يكون ذلك إرشاداً إلى الشرطيّة أو المانعيّة، وإنّما أمر بالعُمرة نفسها، وبضميمة مطلوبيّة العُمرة في نفسها يمنع عن ظهوره في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أنّ عمرته هي العُمرة الثانية، إنّما يدلّ على أنّه بعد تحقّق العُمرتين، تكون عمرته المتمتّع بها هي الثانية لاتّصالها بالحَجّ‌، وذلك لا يدلّ على قابليّة الأُولى‌، لكونها كذلك في صورة الانفراد، سيّما وكونها صحيحة على التقديرين، لوقوعها مفردة على التقدير الآخر لا أنّها باطلة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لا يبطل حجّه، ولو تركه فعليه الإثم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النصوص، عدم الفرق في الأحكام المذكورة بين الحَجّ الواجب والمستحبّ‌، فلو نوى التمتّع مستحبّاً، ثمّ أتى بعُمرته، يكون مرتهناً بالحَجّ‌، ويكون حاله في الخروج مُحرِماً أو مُحِلّاً والدخول كذلك كالحَجّ الواجب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مكّة بعد العُمرة والخروج عنها بغير إحرام للحَجّ‌، فهل يكون سقوط العُمرة عنه على وجه الرخصة، ليجوز أن يعتمر مع فرض مُضيّ أقلّ زمان يعتبر فاصلاً بين العمرتين، أخذاً بإطلاق ما دلّ على مشروعيّة العُمرة، أم يكون على وجه العزيمة‌؟ وجهان</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أظهرهما الثاني، وذلك لأنّه بناءً على ما هو صريح النّص من كون الثانية عمرة التمتّع، يشكّ في مشروعيّتها قبل مُضيّ شهر، والأصل عدمها، بل يشهد لعدم الجواز ما في صحيح جميل من الأمر بدخول مكّة مُحِلّاً إن دخل في الشهر الذي خرج، فتأمّل</w:t>
      </w:r>
      <w:r>
        <w:rPr>
          <w:rFonts w:eastAsia="Amiri" w:cs="Amiri" w:ascii="Amiri" w:hAnsi="Amiri"/>
          <w:color w:val="111111"/>
          <w:sz w:val="28"/>
          <w:szCs w:val="28"/>
          <w:rtl w:val="true"/>
          <w:lang w:bidi="ar-SA"/>
        </w:rPr>
        <w:t>.</w:t>
      </w:r>
      <w:bookmarkStart w:id="205" w:name="pg11805_168091"/>
    </w:p>
    <w:p>
      <w:pPr>
        <w:pStyle w:val="Heading3"/>
        <w:numPr>
          <w:ilvl w:val="2"/>
          <w:numId w:val="1"/>
        </w:numPr>
        <w:rPr/>
      </w:pPr>
      <w:bookmarkStart w:id="206" w:name="__RefHeading___Toc10670525_73709187"/>
      <w:bookmarkStart w:id="207" w:name="_Toc70"/>
      <w:bookmarkEnd w:id="205"/>
      <w:bookmarkEnd w:id="206"/>
      <w:r>
        <w:rPr>
          <w:rtl w:val="true"/>
        </w:rPr>
        <w:t>حَدّ الضيق المسوّغ للعدول عن التمتّع</w:t>
      </w:r>
      <w:bookmarkEnd w:id="2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في أنّ مَنْ فرضه التمتّع، ليس له العدول إلى غيره اختياراً،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 وجملة من كتب المصنّف رحمه الله دعوى الإجماع عليه، ودليله واضح، فإنّ من فرضه التمتّع لو عدل إلى غيره لم يكن آتياً بالمأمور به، فلا يجزيه، وقد صرّح في بعض الأخبار المتقدّمة بأنّه ليس لأحدٍ إلّاأن يتمتّع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ذلك مع ضيق الوقت عن إدراك أفعال الحَجّ‌، لو أتمّ العُمرة المتمتّع بها، فمن أحرم للعمرة، وضاق وقته عن الإتيان بمناسكها، وإدراك الحَجّ بمناسكه، عدل عن نيّة التمتّع إلى الإفراد، وإنْ كان ممّن تعيّن عليه التمتّع ثمّ مضى كما هو إلى الموقف، وبعد إتمام الحَجّ يأتي بعمرة مفردة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غير واحدٍ دعوى الإجماع عليه،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لعلّ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الأخبار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الخلاف في حَدّ الضيق المسوغ للعدول، واختلفوا فيه على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والد الصدوق</w:t>
      </w:r>
      <w:r>
        <w:rPr>
          <w:rStyle w:val="FootnoteAnchor"/>
          <w:rtl w:val="true"/>
        </w:rPr>
        <w:footnoteReference w:id="839"/>
      </w:r>
      <w:r>
        <w:rPr>
          <w:rFonts w:ascii="Amiri" w:hAnsi="Amiri" w:eastAsia="Amiri" w:cs="Amiri"/>
          <w:color w:val="111111"/>
          <w:sz w:val="28"/>
          <w:sz w:val="28"/>
          <w:szCs w:val="28"/>
          <w:rtl w:val="true"/>
          <w:lang w:bidi="ar-SA"/>
        </w:rPr>
        <w:t>وعن المفيد</w:t>
      </w:r>
      <w:r>
        <w:rPr>
          <w:rStyle w:val="FootnoteAnchor"/>
          <w:rtl w:val="true"/>
        </w:rPr>
        <w:footnoteReference w:id="840"/>
      </w:r>
      <w:r>
        <w:rPr>
          <w:rFonts w:ascii="Amiri" w:hAnsi="Amiri" w:eastAsia="Amiri" w:cs="Amiri"/>
          <w:color w:val="111111"/>
          <w:sz w:val="28"/>
          <w:sz w:val="28"/>
          <w:szCs w:val="28"/>
          <w:rtl w:val="true"/>
          <w:lang w:bidi="ar-SA"/>
        </w:rPr>
        <w:t>من زوال يوم التروية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والمفيد في المقنعة</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من غروب يوم التروية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 والإسكافي</w:t>
      </w:r>
      <w:r>
        <w:rPr>
          <w:rStyle w:val="FootnoteAnchor"/>
          <w:rtl w:val="true"/>
        </w:rPr>
        <w:footnoteReference w:id="845"/>
      </w:r>
      <w:r>
        <w:rPr>
          <w:rFonts w:ascii="Amiri" w:hAnsi="Amiri" w:eastAsia="Amiri" w:cs="Amiri"/>
          <w:color w:val="111111"/>
          <w:sz w:val="28"/>
          <w:sz w:val="28"/>
          <w:szCs w:val="28"/>
          <w:rtl w:val="true"/>
          <w:lang w:bidi="ar-SA"/>
        </w:rPr>
        <w:t xml:space="preserve">، والقاضي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 xml:space="preserve">، وابن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 xml:space="preserve">،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xml:space="preserve">، والفاضل الخراساني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من زوال الشمس من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إدريس</w:t>
      </w:r>
      <w:r>
        <w:rPr>
          <w:rStyle w:val="FootnoteAnchor"/>
          <w:rtl w:val="true"/>
        </w:rPr>
        <w:footnoteReference w:id="851"/>
      </w:r>
      <w:r>
        <w:rPr>
          <w:rFonts w:ascii="Amiri" w:hAnsi="Amiri" w:eastAsia="Amiri" w:cs="Amiri"/>
          <w:color w:val="111111"/>
          <w:sz w:val="28"/>
          <w:sz w:val="28"/>
          <w:szCs w:val="28"/>
          <w:rtl w:val="true"/>
          <w:lang w:bidi="ar-SA"/>
        </w:rPr>
        <w:t>و محتمل الحلبي</w:t>
      </w:r>
      <w:r>
        <w:rPr>
          <w:rStyle w:val="FootnoteAnchor"/>
          <w:rtl w:val="true"/>
        </w:rPr>
        <w:footnoteReference w:id="852"/>
      </w:r>
      <w:r>
        <w:rPr>
          <w:rFonts w:ascii="Amiri" w:hAnsi="Amiri" w:eastAsia="Amiri" w:cs="Amiri"/>
          <w:color w:val="111111"/>
          <w:sz w:val="28"/>
          <w:sz w:val="28"/>
          <w:szCs w:val="28"/>
          <w:rtl w:val="true"/>
          <w:lang w:bidi="ar-SA"/>
        </w:rPr>
        <w:t>من خوف فوت اضطراري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الحلبيّين</w:t>
      </w:r>
      <w:r>
        <w:rPr>
          <w:rStyle w:val="FootnoteAnchor"/>
          <w:rtl w:val="true"/>
        </w:rPr>
        <w:footnoteReference w:id="853"/>
      </w:r>
      <w:r>
        <w:rPr>
          <w:rFonts w:ascii="Amiri" w:hAnsi="Amiri" w:eastAsia="Amiri" w:cs="Amiri"/>
          <w:color w:val="111111"/>
          <w:sz w:val="28"/>
          <w:sz w:val="28"/>
          <w:szCs w:val="28"/>
          <w:rtl w:val="true"/>
          <w:lang w:bidi="ar-SA"/>
        </w:rPr>
        <w:t>وابني إدريس</w:t>
      </w:r>
      <w:r>
        <w:rPr>
          <w:rStyle w:val="FootnoteAnchor"/>
          <w:rtl w:val="true"/>
        </w:rPr>
        <w:footnoteReference w:id="854"/>
      </w:r>
      <w:r>
        <w:rPr>
          <w:rFonts w:ascii="Amiri" w:hAnsi="Amiri" w:eastAsia="Amiri" w:cs="Amiri"/>
          <w:color w:val="111111"/>
          <w:sz w:val="28"/>
          <w:sz w:val="28"/>
          <w:szCs w:val="28"/>
          <w:rtl w:val="true"/>
          <w:lang w:bidi="ar-SA"/>
        </w:rPr>
        <w:t>وسعيد</w:t>
      </w:r>
      <w:r>
        <w:rPr>
          <w:rStyle w:val="FootnoteAnchor"/>
          <w:rtl w:val="true"/>
        </w:rPr>
        <w:footnoteReference w:id="855"/>
      </w:r>
      <w:r>
        <w:rPr>
          <w:rFonts w:ascii="Amiri" w:hAnsi="Amiri" w:eastAsia="Amiri" w:cs="Amiri"/>
          <w:color w:val="111111"/>
          <w:sz w:val="28"/>
          <w:sz w:val="28"/>
          <w:szCs w:val="28"/>
          <w:rtl w:val="true"/>
          <w:lang w:bidi="ar-SA"/>
        </w:rPr>
        <w:t xml:space="preserve">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من فوات الرّكن من الوقوف الاختياري في وقوف عرفة، وهو المسمّى منه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857"/>
      </w:r>
      <w:r>
        <w:rPr>
          <w:rFonts w:ascii="Amiri" w:hAnsi="Amiri" w:eastAsia="Amiri" w:cs="Amiri"/>
          <w:color w:val="111111"/>
          <w:sz w:val="28"/>
          <w:sz w:val="28"/>
          <w:szCs w:val="28"/>
          <w:rtl w:val="true"/>
          <w:lang w:bidi="ar-SA"/>
        </w:rPr>
        <w:t>من خوف فوات الاختياري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وقوف 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58"/>
      </w:r>
      <w:r>
        <w:rPr>
          <w:rFonts w:ascii="Amiri" w:hAnsi="Amiri" w:eastAsia="Amiri" w:cs="Amiri"/>
          <w:color w:val="111111"/>
          <w:sz w:val="28"/>
          <w:sz w:val="28"/>
          <w:szCs w:val="28"/>
          <w:rtl w:val="true"/>
          <w:lang w:bidi="ar-SA"/>
        </w:rPr>
        <w:t>عن بعض متأخّري المتأخّرين من التخيّير بعد زوال يوم التروية بين العدول والإتمام إذا لم يخف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الاختلاف كالعادة اختلاف النصوص، فإنّها مختلفة وعلي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الحَدّ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يقطين، عن 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والمرأة يتمتّعان بالعُمرة إلى الحَجّ‌، ثمّ يدخلان مكّة يوم عرفة، 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يجعلانها حجّة مفردة وحَدّ المتعة إلى يوم التروية</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عبد اللّه،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المتعة إلى يوم التروية</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أرسلتُ إلى أبي عبداللّه عليه السلام أنّ بعض من معنا من صرورة النساء قد اعتللن فكيف نصنع‌؟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ما بينها وبين التروية، فإن طهرت فلتهلّ‌، وإلّا فلا يدخلنّ عليها التروية إلّاوهي مُحرمة</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في ذلك صحيح جميل في خصوص الحائض</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التحديد بزوال الشمس من يوم التروية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بزيغ،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المرأة تدخل مكّة متمتّعة، فتحيض قبل أن تحلّ‌، متى تذهب متعتها؟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الشمس من يوم التروية، وكان موسى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الصبح من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عامّة مواليك يدخلون يوم التروية، ويطوفون ويسعون ثمّ يحرمون بالحَجّ؟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الشمس، فذكرت له رواية عجلان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هذه الرواية في المسألة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زالت الشمس ذهبت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إحرامها أو تجدّد إحرامها للحَجّ؟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على إحرامها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فعليها هَدي‌؟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تحب أن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فإذا رأينا هلال ذي الحجّة قبل أن نحرم فاتتنا المتعة</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التحديد بإدراك النّاس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مرازم بن 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يدخل ليلة عرفة مكّة، أو المرأة الحائض، متى يكون لها المتعة‌؟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أدركوا النّاس بمنى‌</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أبي بكير، عن بعض أصحابنا، وقد سأل عن أبي عبداللّه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المتعة متى تكون‌؟ قال عليه السلام يتمتّع ما ظنّ أنّه يدرك النّاس بمنى‌</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يطوف بالبيت ويسعى بين الصفا والمروة ما أدرك النّاس بمنى‌</w:t>
      </w:r>
      <w:r>
        <w:rPr>
          <w:rFonts w:eastAsia="Amiri" w:cs="Amiri" w:ascii="Amiri" w:hAnsi="Amiri"/>
          <w:color w:val="111111"/>
          <w:sz w:val="28"/>
          <w:szCs w:val="28"/>
          <w:rtl w:val="true"/>
          <w:lang w:bidi="ar-SA"/>
        </w:rPr>
        <w:t>»</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التحديد بسَحَر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يكون للحاجّ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السحر من ليلة عرفة</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التحديد بأوّل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الرّجل يكون في يوم عرفة، وبينة وبين مكّة ثلاثة أميال، وهو متمتّع بالعُمرة إلى الحَجّ؟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التلبية تلبية المتعة، ويهلّ بالحَجّ بالتلبية إذا صَلّى الفجر، ويمضي إلى عرفات، فيقف مع النّاس، ويقضي جميع المناسك، ويُقيم بمكّة حتّي يعتمر عُمرة المحرم، ولا شيء عليه</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زكريا بن آدم،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المتمتّع إذا دَخَل يوم عرفة‌؟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متعة له يجعلها عمرة مفردة</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التحديد بغروب يوم التروية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عيص بن القاسم،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المتمتّع يقدم مكّة يوم التروية صلاة العصر، تفوته المتعة‌؟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بينه وبين غروب الشمس،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 ذلك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يزيد،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قدمت مكّة يوم التروية، وأنتَ متمتّع، فلك ما بينك وبين الليل أن تطوف باللّيل وتسعى وتجعلها متعة</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التحديد بزوال الشمس من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بن درّاج،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له المتعة إلى زوال الشمس من يوم عرفة، وله الحَجّ إلى زوال الشمس من يوم النحر</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سهل بن زياد،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متمتّعٍ دخل يوم عرفة‌؟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متعته تامّة إلى أن يقطع التلبية</w:t>
      </w:r>
      <w:r>
        <w:rPr>
          <w:rFonts w:eastAsia="Amiri" w:cs="Amiri" w:ascii="Amiri" w:hAnsi="Amiri"/>
          <w:color w:val="111111"/>
          <w:sz w:val="28"/>
          <w:szCs w:val="28"/>
          <w:rtl w:val="true"/>
          <w:lang w:bidi="ar-SA"/>
        </w:rPr>
        <w:t>»</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التلبية كناية عن زوال الشمس من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المناط خوف فوت الوقوف بعرفة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للمتمتّع إنْ لم يحرم من ليلة التروية متى ما تيسّر له ما لم يخف فوت الموقفين</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يحرم من ليلة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يحرم من ليلة التروية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سرو</w:t>
      </w:r>
      <w:r>
        <w:rPr>
          <w:rStyle w:val="FootnoteAnchor"/>
          <w:rtl w:val="true"/>
        </w:rPr>
        <w:footnoteReference w:id="8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رجل متمتّع بالعُمرة إلى الحَجّ وافى غَداة عرفة، وخرج النّاس من منى إلى عرفات، أعمرته قائمة، أو قد ذهبت منه‌؟ إلى أيّ وقت عمرته قائمة إذا كان متمتّعاً بالعُمرة إلى الحَجّ‌، فلم يواف يوم التروية، ولا ليلة التروية، فكيف يصنع‌؟</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يدخل مكّة إنْ شاء اللّه تعالى يطوف ويُصلّي ركعتين ويسعى ويقصّر، ويخرج بحجّته ويمضي إلى الموقف، ويفيض مع الإمام</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أهلّ بالحَجّ والعُمرة جميعاً ثمّ قدم مكّة والنّاس بعرفات، فخشى إنْ هو طاف وسعى بين الصفا والمروة أن يفوته الموقف‌؟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العُمرة، فإذا أتمّ حجّه صنع كما صنعت عائشة، ولا هَدي عليه</w:t>
      </w:r>
      <w:r>
        <w:rPr>
          <w:rFonts w:eastAsia="Amiri" w:cs="Amiri" w:ascii="Amiri" w:hAnsi="Amiri"/>
          <w:color w:val="111111"/>
          <w:sz w:val="28"/>
          <w:szCs w:val="28"/>
          <w:rtl w:val="true"/>
          <w:lang w:bidi="ar-SA"/>
        </w:rPr>
        <w:t>»</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النصوص المختلفة الواردة في المقام، وللأصحاب في مقام الجمع بينها مسالك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جماعةٍ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xml:space="preserve">من حمل الطوائف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الطائفة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عدم إمكان الإدراك إلّاقبل هذه الأوقات، فإنّه مختلف باختلاف الأوقات والأحوال والأشخاص، فإنّ بعض الأشخاص لا يصل إلى عرفات في أوّل زوال الشمس من عرفة إلّاإذا خرج إليها من أوّل يوم التروية، ومنهم من لا يصل إليها إلّاإذا خرج من أوّل ليلتها، ومنهم من لا يصل إليها إلّاإذا خرج من سحر عرفة، وهكذا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أشخاص لا يصلون في أوّل زوال الشمس إلى عرفات إذا لم يخرجوا ليلة التروية أو يومها، وما شاكل نادرٌ جدّاً، إنْ لم يكن مجرّد فرض، والالتزام بأنّ النصوص الكثيرة واردة في مقام بيان حكم هذه الطبقة من الحجّاج، ومع ذلك لو لم تكون مطلقة، كما ترى‌، مع أنّ بعض النصوص المتقدّمة لا يصلح للحمل على ذلك، لو لم يكن ممتنعاً، أضف إليه أنّه جمعٌ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النصوص على اختلاف مراتب الفضل، فالأفضل الإحرام بالحَجّ بعد الفراغ من العُمرة عند الزوال يوم التروية، فإنْ لم يفرغ عنده من العُمرة، كان الأفضل العدول إلى الحَجّ‌، ثمّ ليلة عرفة ثمّ يومها إلى الزوال السابق منها أفضل من اللّاحق، وإنْ كانت مشتركة في التخيّير، وعند الزوال يوم عرفة يتعيّن العدول، لفوات الموقف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الحَجّ مندوباً لا فيما إذا كان هو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واستجوده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وبعض الأعاظم من المعاصرين، ثمّ قال بعد نقل ما عن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ويشهد لهذا الجمع ما في ذيل صحيح ابن بزيع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نحن فإذا رأينا هلال ذي الحجّة قبل أن نحرم فاتتنا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به فوت أفضل الأفراد، لجواز الإتيان بالعُمرة المتمتّع بها في شهر ذي الحجّة قطعاً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هذا الوجه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للتخصيص بالحَجّ المندوب بعد فرض عموم الأخبار للجميع، بل صحيح ابن الحجّاج المتقدّم في التحديد بيوم التروية، مورده صرورة النساء، فيكون حجّهن حَجّ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يصحّ الجمع بين الطائفة الأُولى المتضمّنة أن من يدخل مكّة يوم عرفة تتبدّل وظيفته إلى الإفراد، وأنّه لا متعة له بعد يوم التروية، وبين ما يدلّ على بقاء وقت المتعة إلى يوم عرفة، سيّما مثل صحيح محمّد بن ميمون المتضمّن لقدوم أبي الحسن متمتّعاً ليلة عرفة، ثمّ إهلاله بالحَجّ والخروج، فإنّ فعله عليه السلام لو لم يدلّ على أنّه أفضل، لا نقاش في الدلالة على أنّ غيره ليس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طوائف من النصوص المتقدّمة آبية عن الحمل على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 ممّا ذكره الشيخ رحمه الله الأخبار المختلفة على بيان أنّ لعمرة التمتّع أوقاتٌ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الإضطراري، وهو بعد زوال الشمس من يوم عرفة إلى أن يدرك المُسمّى من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الاختياري الإجزائي، وهو يوم عرفة ما قبل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الفضيلة، وله 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زوال الشمس من يوم التروية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غروبها من يوم التروية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سحر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تبرّعيٌ لا شاهد له، ومجرّد الاختلاف بين الأخبار لايصلح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من حمل جميع الطوائف غير الأخيرة على التقيّة، إذا لم يخرجوا مع النّاس يوم التروية، فيكون التقيّة في عمل المكلّف</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المخالفين غير مفتين بما تضمّنته تلك النصوص المختلفة، كي تُحمل على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موافقة العامّة من مرجّحات إحدى الحجّتين على الاُخرى بعد فرض فقد جملةٍ من المرجّحات، لا من مميّزات الحجّة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أنّا لو أغمضنا عن الأخبار من جهة شدّة اختلافها وتعارضها، نقول مقتضى القاعدة هو ما ذكرناه، لأنّ المفروض أنّ الواجب عليه هو التمتّع، فما دام ممكناً لا يجوز العدول عنه، والقدر المسلّم من جواز العدول صورة عدم إمكان إدراك الحَجّ‌، واللّازم إدراك الاختياري من الوقوف، فإنّ كفاية الاضطراري منه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وجود النصوص لا مجال للرجوع إلى القاعدة، إذ لو أمكن الجمع العرفي بين النصوص تعيّن، ومع عدم إمكانه إنْ كان لبعض الأطراف مرجّحٌ من المرجّحات المنصوصة يقدّم ذلك، وإلّا تخيّر في العمل بأيّها شاء، فعلى جميع التقادير لا يصل الدور إلى الرجوع إلى القاعدة إلّاأن يكون مراده من القاعدة ما يستفاد من الكتاب والسُنّة، ويجعل ذلك مرجّحاً للنصوص الدالّة على ما اختاره، ولا بأس به حينئذٍ إذا لم يمكن الجمع العرفي بين النصوص، وكانت المرجّحات التي قبل موافقة الكتاب مفقودة، وسيمرّ عليك 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الأُولى والثالثة والرابعة والخامسة من الطوائف الثمان المتقدّمة لم يَعمل بها الأصحاب، فهي مطروحة، للإعراض</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يعمل بها إلّاابن بابويه، وذلك لا يُخرجها عن الشذوذ الموهن لها، أضف إلى ذلك أنّ نصوصها واردة في الحائض، والتعدّي إلى غيرها كما هو المطلوب يحتاج إلى دليلٍ مفقود، مع أنّ الثانية أشهر، ورواياتها أصحّ وأكثر، فتقدّم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الطائفة السادسة، فإنّه لم يعمل بها غير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أيضاً مهجورة عند بقيّة الأصحاب، ومعارضة بما هو أصحّ سنداً، وأشهر منها، فيبقى من الطوائف المتقدّمة الطائفتان الأخيرتان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الوقوف الواجب هو المسمّى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أفتى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بين الطائفتين، فإنّ من أتمّ مناسك العُمرة عند زوال الشمس من يوم عرفة، وأحرم بالحَجّ فإنّه بحسب الغالب يدرك النّاس بعرفات أواخر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الواجب هو جميع ما بين الزوال إلى الغروب، فقد يقال إنّه تتعارض الطائفتان، ولكن لا يبعد القول بظهور فوت الموقف، سيّما بقرينة نصوص التحديد بزوال يوم عرفة، وفهم الأصحاب، لعدم إفتاء أحد منهم بأنّ المدار على خوف فوت تمام الواجب، بل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على خوف فوت المسمّى منه، إرادة خوف فوت المسمّى منه الذي هو 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فوت الموقف تماماً، وعليه فلا تعارض بينهما، وعليه فما هو المشهور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ذلك، فلا محالة يقع التعارض بينهما، والترجيح مع نصوص التحديد بزوال عرفة، لكونها أشهر، بل على هذا لا قائل بنصوص التحديد بخوف فوت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أنّ حَدّ الضيق المسوّغ للعدول عن التمتّع إلى الإفراد، هو فوات الركن من الوقوف الاختياري، وهو المسمّى منه، وإنْ حاولنا تحديد آخر المتعة فلابدّ من تحديده بزوال الشمس من يوم عرفة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 المقام ما استدلّ به للقول بأنّ المدار على درك الوقوف </w:t>
      </w:r>
    </w:p>
    <w:p>
      <w:pPr>
        <w:pStyle w:val="BookText"/>
        <w:rPr/>
      </w:pPr>
      <w:r>
        <w:rPr>
          <w:rFonts w:ascii="Amiri" w:hAnsi="Amiri" w:eastAsia="Amiri" w:cs="Amiri"/>
          <w:color w:val="111111"/>
          <w:sz w:val="28"/>
          <w:sz w:val="28"/>
          <w:szCs w:val="28"/>
          <w:rtl w:val="true"/>
          <w:lang w:bidi="ar-SA"/>
        </w:rPr>
        <w:t>الاضطراري من وقوف عرفة، حيث استدلّ له بالأخبار الدالّة على أنّ من أتى بعد إفاضة النّاس من عرفات وأدركها ليلة النحر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النصوص واردة فيمن لا يدرك الوقوف الاختياري، ومحلّ الكلام ما يمكن إدراكه إلّاأنّه من جهة كونه في أثناء العُمرة يحتمل أن يكون ذلك بحكم عدم الإدراك، فما نحن فيه أجنبيٌ عن مورد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المتقدّمة كالنص في إرادة الاختياري منه، لاحظ قوله عليه السلام في خبر محمّد بن سرو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ويفيض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 أنّ إتمام العُمرة إنّما هو بإدراك الإمام في عرفات، وقوله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والنّاس بعرفات فخشي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يفوته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الوقوف بعرفات مع النّاس هو الاختياري منه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bookmarkStart w:id="208" w:name="pg11805_168103"/>
    </w:p>
    <w:p>
      <w:pPr>
        <w:pStyle w:val="Heading3"/>
        <w:numPr>
          <w:ilvl w:val="2"/>
          <w:numId w:val="1"/>
        </w:numPr>
        <w:rPr/>
      </w:pPr>
      <w:bookmarkStart w:id="209" w:name="__RefHeading___Toc10670527_73709187"/>
      <w:bookmarkStart w:id="210" w:name="_Toc71"/>
      <w:bookmarkEnd w:id="208"/>
      <w:bookmarkEnd w:id="209"/>
      <w:r>
        <w:rPr>
          <w:rtl w:val="true"/>
        </w:rPr>
        <w:t>تنبيهات حَدّ الضيق المسوّغ للعدول</w:t>
      </w:r>
      <w:bookmarkEnd w:id="210"/>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اختصاص هذا الحكم بالحَجّ الواجب، بل يشمل المندوب أيضاً لإطلاق النصوص، وقد مرّ أنّ الشيخ قدس سره حمل نصوص التحديد بغير الضيق على المندوب، ممّا يوجب أن يكون الحكم فيه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فهل يجب عليه العُمرة بعد الحَجّ‌، كما في الحَجّ الواجب، نظراً إلى الأمر بها في النصوص الظاهر في الوجوب،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الثاني، لأنّ الظاهر منها أنّ الأمر بالعُمرة إنّما يكون إرشاديّاً إلى بقاء الأمر بها وتغيّير مكانها، وأنّ ما أمر به قبل الحَجّ يكون أمره باقياً بعده، فيؤتي به بعد ذلك، وعليه فإنْ كان أمر العُمرة وجوبيّاً، كان كذلك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الإفراد عن التمتّع في الضيق، بحيث لو كان الواجب عليه حَجّ التمتّع فأتى بالإفراد ليكون التكليف بالحَجّ ساقطاً عنه،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بالمرسل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إذا فاتته عُمرة المتعة أقام إلى هلال المحرّم واعتمر، فأجزأت عنه مكان عمرة المتعة</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خبر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يجب عليه حَجّ الإفراد، للنصوص المتقدّمة، ولا يجب الحَجّ في العمر إلّامرّة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فلإرساله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إطلاق له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وجوب الحَجّ أكثر من مرّة إنّما هو بمقتضى التشريع الأصلي، وذلك لا ينافي وجوبه بعنوان آخر كالنذر واليمين، والشروع في الحَجّ الموجب لإتمامه، ولعلّ المقام من ذلك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يستدلّ للإجزاء، بأنّ الظاهر من النصوص تبدّل الوظيفة، وتغيّير مكان العُمرة الواجبة عليه، لا أنّ ما يأتي به واجبٌ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فظاهر نصوص الباب هو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دخل في العُمرة بنيّة التمتّع في سعة الوقت، وأخَّر الطواف والسعي متعمّداً إلى أن ضاق الوقت، فهل يجوز له العدول ويكفيه عن الواجب عليه‌؟</w:t>
      </w:r>
    </w:p>
    <w:p>
      <w:pPr>
        <w:pStyle w:val="BookText"/>
        <w:rPr/>
      </w:pPr>
      <w:r>
        <w:rPr>
          <w:rFonts w:ascii="Amiri" w:hAnsi="Amiri" w:eastAsia="Amiri" w:cs="Amiri"/>
          <w:color w:val="111111"/>
          <w:sz w:val="28"/>
          <w:sz w:val="28"/>
          <w:szCs w:val="28"/>
          <w:rtl w:val="true"/>
          <w:lang w:bidi="ar-SA"/>
        </w:rPr>
        <w:t>أم يجبُ عليه إتمام العُمرة والإجتزاء في فعل الحَجّ بإدراك المَشعر؟</w:t>
      </w:r>
    </w:p>
    <w:p>
      <w:pPr>
        <w:pStyle w:val="BookText"/>
        <w:rPr/>
      </w:pPr>
      <w:r>
        <w:rPr>
          <w:rFonts w:ascii="Amiri" w:hAnsi="Amiri" w:eastAsia="Amiri" w:cs="Amiri"/>
          <w:color w:val="111111"/>
          <w:sz w:val="28"/>
          <w:sz w:val="28"/>
          <w:szCs w:val="28"/>
          <w:rtl w:val="true"/>
          <w:lang w:bidi="ar-SA"/>
        </w:rPr>
        <w:t>أم لا يكفي ذلك عن الحَجّ الواجب عليه‌؟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بإطلاق نصوص الباب، وأيّده بعض بملاحظة نظائر المقام من موارد الأبدال الاضطراريّة، فإنّ من أراق ماء الوضوء عملاً صحَّ تيمّمه، ومن أخّر الصلاة حتّى أدرك ركعة من الوقت صحّت صلاته، ومن أعجز نفسه عن القيام في الصلاة صَحّت صلاته، إلى غير ذلك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نصوص الباب كغيره من موارد الأبدال الاضطراريّة، أنّ الموضوع هو عدم الإدراك طبعاً لا اختياراً، ولذا في مسألة من أخّر الصلاة حتّى أدرك ركعةً بنينا على سقوط التكليف بالصلاة، وأنّ حكمه حكم من لم يُدرك ركعة، وفي مسألة من أراق ماء الوضوء عمداً أفتى المفيد قدس سره والشهيد</w:t>
      </w:r>
      <w:r>
        <w:rPr>
          <w:rStyle w:val="FootnoteAnchor"/>
          <w:rtl w:val="true"/>
        </w:rPr>
        <w:footnoteReference w:id="885"/>
      </w:r>
      <w:r>
        <w:rPr>
          <w:rFonts w:ascii="Amiri" w:hAnsi="Amiri" w:eastAsia="Amiri" w:cs="Amiri"/>
          <w:color w:val="111111"/>
          <w:sz w:val="28"/>
          <w:sz w:val="28"/>
          <w:szCs w:val="28"/>
          <w:rtl w:val="true"/>
          <w:lang w:bidi="ar-SA"/>
        </w:rPr>
        <w:t>رحمه الله بوجوب إعادة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الصلاة وإنْ كان فيه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النصوص الاختصاص بغير العامد، نعم في خصوص الصلاة من جهة ما دلّ على أنّها لا تسقط بحال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الوقوف بالمشعر فقد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أوردناه على سابقه، وعلى هذا فيدور الأمر بين 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إتمام العُمرة والحَجّ من قابل، أو الإتيان بحَجّ الإفراد وتأخير العُمرة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ومقتضى الا ستصحاب هو الأوّل</w:t>
      </w:r>
      <w:r>
        <w:rPr>
          <w:rFonts w:eastAsia="IRNazanin" w:cs="IRNazanin"/>
          <w:color w:val="111111"/>
          <w:sz w:val="28"/>
          <w:szCs w:val="28"/>
          <w:rtl w:val="true"/>
          <w:lang w:bidi="fa-IR"/>
        </w:rPr>
        <w:t>.</w:t>
      </w:r>
      <w:bookmarkStart w:id="211" w:name="pg11805_168106"/>
    </w:p>
    <w:p>
      <w:pPr>
        <w:pStyle w:val="Heading3"/>
        <w:numPr>
          <w:ilvl w:val="2"/>
          <w:numId w:val="1"/>
        </w:numPr>
        <w:rPr/>
      </w:pPr>
      <w:bookmarkStart w:id="212" w:name="__RefHeading___Toc10670529_73709187"/>
      <w:bookmarkStart w:id="213" w:name="_Toc72"/>
      <w:bookmarkEnd w:id="211"/>
      <w:bookmarkEnd w:id="212"/>
      <w:r>
        <w:rPr>
          <w:rtl w:val="true"/>
        </w:rPr>
        <w:t>حكم الحائض والنفساء إذا ضاق وقتهما عن إتمام العُمرة</w:t>
      </w:r>
      <w:bookmarkEnd w:id="2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المرأة المتمتّعة أو نفست، ومنعها العذر من الطواف وبقيّة أفعال عمرتها، لضيق الوقت عن التربّص للطهر، ففيها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تعدل إلى الإفراد، ثمّ تأتي بعُمرةٍ بعد الحَجّ‌، وهو الأشهر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وشرحه، بل في الأخيرين كاد أن يكون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المشهور شهرة عظيمة،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علي 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والحلبي</w:t>
      </w:r>
      <w:r>
        <w:rPr>
          <w:rStyle w:val="FootnoteAnchor"/>
          <w:rtl w:val="true"/>
        </w:rPr>
        <w:footnoteReference w:id="894"/>
      </w:r>
      <w:r>
        <w:rPr>
          <w:rFonts w:ascii="Amiri" w:hAnsi="Amiri" w:eastAsia="Amiri" w:cs="Amiri"/>
          <w:color w:val="111111"/>
          <w:sz w:val="28"/>
          <w:sz w:val="28"/>
          <w:szCs w:val="28"/>
          <w:rtl w:val="true"/>
          <w:lang w:bidi="ar-SA"/>
        </w:rPr>
        <w:t>، وابن زُهرة</w:t>
      </w:r>
      <w:r>
        <w:rPr>
          <w:rStyle w:val="FootnoteAnchor"/>
          <w:rtl w:val="true"/>
        </w:rPr>
        <w:footnoteReference w:id="895"/>
      </w:r>
      <w:r>
        <w:rPr>
          <w:rFonts w:ascii="Amiri" w:hAnsi="Amiri" w:eastAsia="Amiri" w:cs="Amiri"/>
          <w:color w:val="111111"/>
          <w:sz w:val="28"/>
          <w:sz w:val="28"/>
          <w:szCs w:val="28"/>
          <w:rtl w:val="true"/>
          <w:lang w:bidi="ar-SA"/>
        </w:rPr>
        <w:t>، والإسكافي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أنّه مع الضيق لا تعدل، بل تؤخّر طواف العُمرة، </w:t>
      </w:r>
    </w:p>
    <w:p>
      <w:pPr>
        <w:pStyle w:val="BookText"/>
        <w:rPr/>
      </w:pPr>
      <w:r>
        <w:rPr>
          <w:rFonts w:ascii="Amiri" w:hAnsi="Amiri" w:eastAsia="Amiri" w:cs="Amiri"/>
          <w:color w:val="111111"/>
          <w:sz w:val="28"/>
          <w:sz w:val="28"/>
          <w:szCs w:val="28"/>
          <w:rtl w:val="true"/>
          <w:lang w:bidi="ar-SA"/>
        </w:rPr>
        <w:t>فتسعى ثمّ تحرم بالحَجّ وتقضي طواف العُمرة مع طواف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الإسكافي</w:t>
      </w:r>
      <w:r>
        <w:rPr>
          <w:rStyle w:val="FootnoteAnchor"/>
          <w:rtl w:val="true"/>
        </w:rPr>
        <w:footnoteReference w:id="89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احتمله بعض متأخّري المتأخّرين</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90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902"/>
      </w:r>
      <w:r>
        <w:rPr>
          <w:rFonts w:ascii="Amiri" w:hAnsi="Amiri" w:eastAsia="Amiri" w:cs="Amiri"/>
          <w:color w:val="111111"/>
          <w:sz w:val="28"/>
          <w:sz w:val="28"/>
          <w:szCs w:val="28"/>
          <w:rtl w:val="true"/>
          <w:lang w:bidi="ar-SA"/>
        </w:rPr>
        <w:t>، من أنّه إن أحرمت هي بالمتعة قبل الحيض تمتعت كما في القول الثاني، وإنْ حاضت قبل الإحرام أفردت كما في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تستنيب للطواف، ثمّ تتمّ العُمرة، وتأتي بالحَجّ‌، ويبدو أنّ هذا مجرّد قول احتمله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دون أن ينسبه إلى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ظاهراً في القول الأوّل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الحائض إذا قَدِمت مكّة يوم التروية‌؟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كما هي إلى عرفات فتجعلها حجّة، ثمّ تُقيم حتّى تطهر، فتخرج إلى التنعيم فتحرم فتجعلها عُمرة</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إسحاق بن عمّار،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تجيء متمتّعة فتطمث قبل أن تطوف بالبيت، حتّى تخرج إلى عرفات‌؟ قال عليه السلام تصير حَجّة مفردة وعليها دم اُضحيتها</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 المتقدّم في المسألة السابقة، الدالّ على التحديد بزوال الشمس من يوم التروية، وقد تؤيّد أو تُعضَد ببعض الأخبارالآتية فى المسألة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العلاء بن صبيح، وعبد الرحمن بن الحجّاج، وعلي بن رئاب، وعبيد اللّه بن صالح، كلّهم يروونه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المتمتّعة إذا قَدِمت مكّة ثمّ حاضت، تُقيم ما بينها وبين التروية، فإنْ طهرت طافت بالبيت وَسَعتْ‌، وإنْ لم تطهر إلى يوم التروية اغتسلت واحتشت، ثمّ سعت بين الصفا والمروة، ثمّخرجت إلي مِني‌، فإذا قضت المناسك وزارت البيت، وطافت بالبيت طوافاً لعُمرتها، ثمّ طافت طوافاً للحَجّ‌، ثمّ خرجت فسعت، فإذا فعلت ذلك فقد أحلّت من كلّ شى ءيَحلّ منه المُحرم إلّافراش زوجها، فإذا طافت اُسبوعاً آخر حَلَّ لها فراش زوجها</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عجلان أبي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متمتّعة قَدِمت مكّة فرأت الدم كيف تصنع‌؟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بين الصفا والمروة، وتجلس في بيتها، فإنْ طهرت طافتْ بالبيت، وإنْ لم تطهر فإذا كان يوم التروية، أفاضت عليها الماء، وأهلت بالحَجّ‌، وخرجت إلى منى فقضت المناسك كلّها، فإذا قَدِمت مكّة طافت بالبيت طوافين، ثمّ سعت بين الصفا والمروة، فإذا فعلت ذلك فقد حَلَّ لها كلّ شيء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عدا فراش 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أنا وعبد اللّه بن صالح سمعنا هذا الحديث في المسجد، فدخل عبيداللّه على أبي الحسن عليه السلام فخرج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أبا الحسن عليه السلام عن رواية عجلان فحدّثنا بنحو ما سمعنا عن عن عجلان</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خبراه الآخران</w:t>
      </w:r>
      <w:r>
        <w:rPr>
          <w:rStyle w:val="FootnoteAnchor"/>
          <w:rtl w:val="true"/>
        </w:rPr>
        <w:footnoteReference w:id="908"/>
      </w:r>
      <w:r>
        <w:rPr>
          <w:rFonts w:ascii="Amiri" w:hAnsi="Amiri" w:eastAsia="Amiri" w:cs="Amiri"/>
          <w:color w:val="111111"/>
          <w:sz w:val="28"/>
          <w:sz w:val="28"/>
          <w:szCs w:val="28"/>
          <w:rtl w:val="true"/>
          <w:lang w:bidi="ar-SA"/>
        </w:rPr>
        <w:t>، وقريبٌ منها مرسل يونس بن يعقوب</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ظاهره القول الرابع، وهو 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المتمتّعة إذا أحرمت وهي طاهر، ثمّ حاضت قبل أن تقضي متعتها، سعت ولم تطف حتّى تطهر، ثمّ تقضي طوافها وقد تمّت متعتها، وإنْ هي أحرمت وهي حائض لم تسع ولم تطف حتّى تطهر</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الجمع بين هذه الطوائف من النصوص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911"/>
      </w:r>
      <w:r>
        <w:rPr>
          <w:rFonts w:ascii="Amiri" w:hAnsi="Amiri" w:eastAsia="Amiri" w:cs="Amiri"/>
          <w:color w:val="111111"/>
          <w:sz w:val="28"/>
          <w:sz w:val="28"/>
          <w:szCs w:val="28"/>
          <w:rtl w:val="true"/>
          <w:lang w:bidi="ar-SA"/>
        </w:rPr>
        <w:t>من أنّ خبر أبي بصير يصلح شاهداً للجمع بين الطائفتين، وبه تُحمل الأُولى الدالّة على العدول إلى الإفراد على ما إذا أحرمت وهي حائض، وتُحمل الثانية الدالّة على البقاء على المتعة وقضاء طواف العُمرة بعد المناسك على ما إذا أحرمت وهي طاهر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وأيّد بعضهم ذلك بوجهين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الصورة الأُولى لم تُدرك شيئاً من أفعال العُمرة طاهرةً‌، فعليها العدول إلى الإفراد، وفي الصورة الثانية أدركت بعض أفعالها طاهرةً‌، فتبني عليها وتقضي الطواف بعد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للمجلسي</w:t>
      </w:r>
      <w:r>
        <w:rPr>
          <w:rStyle w:val="FootnoteAnchor"/>
          <w:rtl w:val="true"/>
        </w:rPr>
        <w:footnoteReference w:id="912"/>
      </w:r>
      <w:r>
        <w:rPr>
          <w:rFonts w:ascii="Amiri" w:hAnsi="Amiri" w:eastAsia="Amiri" w:cs="Amiri"/>
          <w:color w:val="111111"/>
          <w:sz w:val="28"/>
          <w:sz w:val="28"/>
          <w:szCs w:val="28"/>
          <w:rtl w:val="true"/>
          <w:lang w:bidi="ar-SA"/>
        </w:rPr>
        <w:t>، 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الصورة الأُولى لا تقدر على نيّة العُمرة، لأنّها تعلم أنّها لا تطهر للطواف ولا تدرك الحَجّ‌، بخلاف الصورة الثانية، فإنّها حيث كانت طاهرة وقعت منها النيّة والدخول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أنّ خبر أبي بصير شاذٌّ لم يعمل به الأصحاب، فهو موهونٌ بعدم العمل، فلا يصلح مقيّداً لإطلاق ما تقدّم من الطائفتين، مع أنّ جملة من نصوص العدول إلى الإفراد ظاهرة في كون الحيض بعد الإحرام، لاحظ مصحّح إسحاق، فإنّ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تجيء متمتّعة فتطمث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بقرينة العطف بالفاء الدالّة على الترتيب، في كون الحيض بعد دخول مكّة، ومن المعلوم أنّ دخول مكّة للتمتّع إنّما يكون بعد الإحرام، وكذا صحيح ابن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مطلقٌ من حيث حدوث الحيض قبل الطواف، أو بعد أربعة أشواط منه، ولذا حمله الشيخ قدس سره على ما بعدها، واستشهد به عليه، وعليه فيقيّد إطلاقه بما سيأتي من النصوص في المسألة اللّاحقة، ويُحمل البقاء على المتعة على ما إذا حاضت بعد أربعة أشواط من الطواف</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التأييد فيرد عليه أنّ مجرّد دركها بعض أفعال العُمرة طاهرةً لا يكفي في الحكم بوجوب إتمامها، كما أنّ مجرّد عدم إدراكها لا يكفي في وجوب العدول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أنّه إذا تمّ دلالة النّص على البقاء على المتعة، وقضاء الطواف بعد الحَجّ‌، تكون قادرة على نيّة العُمرة في الصورة الأُولى‌، مع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مراده عدم القدرة على النيّة الجزميّة فيها، ففي الصورة الثانية مع احتمال طروّ الحيض لا تقدر على النيّة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عدم القدرة على النيّة الإحتماليّة، والإتيان بقصد الرجاء، فعدم القدرة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قدس سره قال بعد نقل صحيحة العلاء والجماعة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تسليم السَّند والدلالة، يجبُ الجمع بينها وبين الروايات السابقة المتضمّنة للعدول إلى الإفراد بالتخيّير بين الأمرين، ومتى ثبت ذلك، كان العدول أولى‌، لصحّة مستنده وصراحة دلالته، وإجماع الأصحاب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إنْ‌اُريد بالتخيّير التخيّير في المسألة الفرعيّة، بدعوى أنّ ذلك مقتضى الجمع العرفي بين الطائفتين، فيرد عليه أنّ أهل العرف يرون الطائفتين المتضمّن كلٌّ منهما لتعيّن الوظيفة في شيء معيّن متعارضتين، ولا يفهمون منهما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التخيّير في المسألة الاُصوليّة، وهو الأخذ بإحدى الطائفتين، فهو يتوقّف على فقد المرجّحات، وسيمرّ عليك أنّها تقتضي ترجيح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الطائفة الأُولى تتضمّن التحديد بزوال يوم التروية، وقد سبق أنّ الأخبار المقتضية لذلك مردودة، لا مجال للعمل بها كغيرها من التحديدات التي لم يقل بها المشهور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ابن بزيع وإنْ كان كذلك، إلّاأنّ مصحّح إسحاق خالٍ عنه، وصحيح جميل مورده صورة استمرار الحيض إلى ما بعد قضاء المناسك، لقوله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تُقيم حتّى تطهر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مانع من خروج المرأة يوم التروية إلى عرفات، بعد عدولها إلى الحَجّ في تلك الصورة، وفيهما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الطائفة الثانية إمّا أن تُحمل على ما إذا حاضت بعد أربعة أشواط من الطواف أو تُطرح، وذلك لأنّ مرسل أبي إسحاق صاحب 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عمّن أجمعت العصابة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المتمتّعة إذا طافت بالبيت أربعة أشواط ثمّ حاضت فمتعتها تامّة</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إبراهيم بن إسحاق، 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هي لم تطف إلّاثلاثة أشواط، فلتستأنف الحَجّ‌، فإنْ أقام بها جِمالها بعد الحَجّ‌، فلتخرج إلى الجعرانة أو إلى التنعيم فلتعتمر</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مفهوم الأوّل أنّه قبل أربعة أشواط لا تكون متعتها تامّة، ودلالة الثاني على ذلك واضحة، وبهما يُقيّد إطلاق تلك النصوص، وتختصّ بذلك، ثمّ بتلك النصوص يُقيّد إطلاق النصوص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القول بانقلاب النسبة في أمثال هذا المورد الذي يكون هناك طائفتان متعارضتان، ولإحداهما مقيّدٌ لو قيّدت به انقلب نسبتها مع معارضتها إلى العموم المطلق</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القول بعدم الانقلاب كما هو المختار، فالطائفتان متعارضتان، وحيثُ أنّ الأصحاب عملوا بالأُولى‌، وهي أشهر من حيث العمل والاستناد، والشهرة أوّل المرجّحات، فتقدّم هي لذلك، وتُطرح الطائفة، وممّا يؤيّد الطرح اشتمال ما هو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الصحيح منها من حيث السند، كصحيح عبد الرحمن وعلي بن رئاب على التحديد بيوم التروية، ولأجل ذلك لا مجال للاعتماد عليه، وغير المشتمل منها على ذلك ضعيفٌ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القول الأوّل المشهور بين الأصحاب، وبما ذكرناه ظهر مدرك القول الثاني والثالث والرابع، والجواب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الخامس فلم يذكر له وجه ولا عرف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والمناط للحائض والنفساء أيضاً ما مرّ في مَن ضاق وقته، وهو إدراك الركن من الموقف الاختياري، كما مرّ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الفاضل الخراساني</w:t>
      </w:r>
      <w:r>
        <w:rPr>
          <w:rStyle w:val="FootnoteAnchor"/>
          <w:rtl w:val="true"/>
        </w:rPr>
        <w:footnoteReference w:id="9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المناط فيهما زوال الشمس من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أنّه اختار في المسألة السابقة أنّ المدار على زوال الشمس من يوم عرفة الذي قد عرفت إمكان انطباقه على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على كلامه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خرقُ الإجماع المركّب، ونسبة هذا القول إلى علي بن بابويه والمفيد لا تفيد، لأنّهما قالا بذلك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له بصحيحي ابن بزيع وجميل، ولكن صحيح جميل قد عرفت ظهوره في بقاء الحيض واستمراره إلى ما بعد قضاء المناسك، وكذا صحيح ابن بزيع ظاهرٌ في ذلك، فإنّه صرّح فيه بأنّها تحيضُ بعد دخول مكّة، وبأنّ عامّة الموالي يدخلونها يوم التروية، ولازم ذلك أنّ تحيّضها لم يتقدّم على التروية، فلا تطهر قبل غروب الشمس من يوم عرفة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14" w:name="pg11805_168114"/>
    </w:p>
    <w:p>
      <w:pPr>
        <w:pStyle w:val="Heading3"/>
        <w:numPr>
          <w:ilvl w:val="2"/>
          <w:numId w:val="1"/>
        </w:numPr>
        <w:rPr/>
      </w:pPr>
      <w:bookmarkStart w:id="215" w:name="__RefHeading___Toc10670531_73709187"/>
      <w:bookmarkStart w:id="216" w:name="_Toc73"/>
      <w:bookmarkEnd w:id="214"/>
      <w:bookmarkEnd w:id="215"/>
      <w:r>
        <w:rPr>
          <w:rtl w:val="true"/>
        </w:rPr>
        <w:t>حدوث الحيض</w:t>
      </w:r>
      <w:bookmarkEnd w:id="2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الحيض وهي في أثناء طواف عمرة التمتّع،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بين الأصحاب شهرة عظيمة</w:t>
      </w:r>
      <w:r>
        <w:rPr>
          <w:rStyle w:val="FootnoteAnchor"/>
          <w:rtl w:val="true"/>
        </w:rPr>
        <w:footnoteReference w:id="918"/>
      </w:r>
      <w:r>
        <w:rPr>
          <w:rFonts w:ascii="Amiri" w:hAnsi="Amiri" w:eastAsia="Amiri" w:cs="Amiri"/>
          <w:color w:val="111111"/>
          <w:sz w:val="28"/>
          <w:sz w:val="28"/>
          <w:szCs w:val="28"/>
          <w:rtl w:val="true"/>
          <w:lang w:bidi="ar-SA"/>
        </w:rPr>
        <w:t>من أنّ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قبل تمام أربعة أشواط بطل طوافها، وحينئذٍ إنْ كان الوقت موسّعاً أتمّت عُمرتها بعد الطهر، وإلّا فيجري عليها حكم الحائض والنفساء المتقدّم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بعد تمام أربعة أشواط، تقطع الطواف، وبعد الطهر تأتي بالثلاثة الباقية، وتسعى وتقصّر مع سعة الوقت، ومع ضيقه تأتي بالسّعي وتقصّر ثمّ تحرم للحَجّ‌، وتأتي بأفعاله، ثمّ تقضي بقيّة طوافها، وحجّها صحيح تمتّعاً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الصدوق</w:t>
      </w:r>
      <w:r>
        <w:rPr>
          <w:rStyle w:val="FootnoteAnchor"/>
          <w:rtl w:val="true"/>
        </w:rPr>
        <w:footnoteReference w:id="919"/>
      </w:r>
      <w:r>
        <w:rPr>
          <w:rFonts w:ascii="Amiri" w:hAnsi="Amiri" w:eastAsia="Amiri" w:cs="Amiri"/>
          <w:color w:val="111111"/>
          <w:sz w:val="28"/>
          <w:sz w:val="28"/>
          <w:szCs w:val="28"/>
          <w:rtl w:val="true"/>
          <w:lang w:bidi="ar-SA"/>
        </w:rPr>
        <w:t>قدس سره فإنّه صحّح الطواف والمتعة، وإنْ حاضت قبل أربعة أشواط، قال قدس سره بعد نقل ما سيأتي من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مصنّف هذا الكتاب رضى الله عنه، وبهذا الحديث أفتي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الحِلّي</w:t>
      </w:r>
      <w:r>
        <w:rPr>
          <w:rStyle w:val="FootnoteAnchor"/>
          <w:rtl w:val="true"/>
        </w:rPr>
        <w:footnoteReference w:id="920"/>
      </w:r>
      <w:r>
        <w:rPr>
          <w:rFonts w:ascii="Amiri" w:hAnsi="Amiri" w:eastAsia="Amiri" w:cs="Amiri"/>
          <w:color w:val="111111"/>
          <w:sz w:val="28"/>
          <w:sz w:val="28"/>
          <w:szCs w:val="28"/>
          <w:rtl w:val="true"/>
          <w:lang w:bidi="ar-SA"/>
        </w:rPr>
        <w:t>من بطلان المتعة وإنْ كان الحيض بعد أربعة أشواط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رحمه الله للأوّل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ما دلّ على إحراز الطواف بإحراز الأربعة منه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حاضت المرأة وهي بالطواف </w:t>
      </w:r>
    </w:p>
    <w:p>
      <w:pPr>
        <w:pStyle w:val="BookText"/>
        <w:rPr/>
      </w:pPr>
      <w:r>
        <w:rPr>
          <w:rFonts w:ascii="Amiri" w:hAnsi="Amiri" w:eastAsia="Amiri" w:cs="Amiri"/>
          <w:color w:val="111111"/>
          <w:sz w:val="28"/>
          <w:sz w:val="28"/>
          <w:szCs w:val="28"/>
          <w:rtl w:val="true"/>
          <w:lang w:bidi="ar-SA"/>
        </w:rPr>
        <w:t>بالبيت وبين الصفا والمروة، فجازت النصف، فعلّمت ذلك الموضع، فإذا طهرت رجعت فأتمّت بقيّة طوافها من الموضع الذي علّمته، فإنْ هي قطعت طوافها في أقلّ من النصف، فعليها أن تستأنف الطواف من أوّله</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أحمد بن عمر الحلال عن أبي الحسن عليه السلام</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بمجاوزة النصف، بلوغ الأربع فما زاد، بقرينة غيره من النّص والفتوى، وذكر الصفا والمروة لا ينافي حجّيتهما فيه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في هذه المسألة ليس بطلان الطواف وصحّته، إنّما الكلام في أنّها تعدل إلى الإفراد وتأتي بعمرة مفردة بعد الحَجّ؟ أو أنّ عليها أن تأتي بحَجّ التمتّع، وتقضي ما لم تأتِ به من أفعال العُمرة بعد الحَجّ‌، وما ذكر من العمومات والخصوصات تفيد في المسألة الأُولى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يستدلّ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ابن مسكان، عن أبي إسحاق صاحب اللؤلؤ،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المتمتّعة إذا طافت بالبيت أربعة أشواط ثمّ حاضت، فمتعتها تامّة، وتقضي ما فاتها من الطواف بالبيت وبين الصفا والمروة، وتخرج إلى منى قبل أن تطوف الطواف الآخر</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فمتعتها تامّة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مفهومه عدم تماميّة المتعة إذا طافت أقلّ من ذلك، وإرساله لا يضرّ بعد كون الراوي من أصحاب الإجماع، مضافاً إلى استناد الأصحاب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المراد بالطواف الآخر الطواف المقضيّ‌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ومرسل إبراهيم بن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عمّن أجمعت العصابة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سأل أبا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طافت أربعة أشواط وهي معتمرة، ثمّ طمثت‌؟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طوافها، وليس عليها غيره، ومتعتها تامّة، ولها أن تطوف بين الصفا والمروة، لأنّها زادت على النصف وقد قضت متعتها، فلتستأنف بعد الحَجّ‌، وإنْ هي لم تطف إلّاثلاثة أشواط فلتستأنف الحَجّ‌، فإن أقام بها جمالها فلتخرج إلى الجعرانة أو إلى التنعيم فلتعتمر</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الخبرين أنّ بقيّة الطواف وما بعده من الأعمال تأتي بها بعد الحَجّ‌، ولكن 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9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طافت أربعاً فحاضت سعت وقصّرت، وصحّت متعتها، وقضت باقي المناسك وأتمّت بعد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ذلك أنّها تسعى وتقصّر في حال الحيض، وأنّ المأتي به من الأشواط الأربعة بمنزلة الطواف التامّ‌، ولعلّه يشهد بجواز السعي مرسل إبراهيم المتقدّم، ولها أن تطوف بين الصفا والمروة، ولكن الأولى الإتيان به بعد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الخبرين عدم الفرق في ذلك بين سعة الوقت وضيقه، وفي كليهما لها أن تحرم للحَجّ وتقضيي ما بقي من عمرتها بعد الحَجّ‌، وهو الظاهر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لإطلاقها، سيّما وأنّه رحمه الله عقّب عبارته بقوله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أقلّ‌، فحكمها حكم من لم تطف، فتنتظر الطهر، فإن حضر وقت الوقوف ولم تطهر خرجت إلى عرفة، وصارت حجّتها مفردة، وإنْ طهرت وتمكّنت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طواف العُمرة وأفعالها صحّت متعتها، وإلّا صارت 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تفصيله في هذا المورد، كالصريح في عدم التفصيل في المورد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 أحد الخبرين المتقدّمين مورده ضيق الوقت، وآلاخر غير خالٍ عن التشويش، ففي صورة السّعة لا مخرج عمّا دلّ على اعتبار الترتيب بين العُمرة والحَجّ‌، وبين الطواف والسعي، فلابدّ في تلك الصورة من أن تنتظر حتّى تطهر، ثمّ تأتي ببقيّة أشواط الطواف، ثمّ تسعى بين الصفا والمروة وتقصّر، ثمّ تحرم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أيضاً حيث أنّه رحمه الله جعل ذلك أولى وأحوط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إمرأة طافت ثلاثة أشواط أو أقلّ من ذلك ثمّ رأت دماً؟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مكانها، فإذا طهرت طافت واعتدّت بما مضى‌</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يعارض الخبران المتقدّمان الدالّان على بطلان الطواف إنْ حدث الحيض قبل أربعة أشواط، وحيث إنّه مطلق وهما مختصّان بالمتمتّعة، فيقيّد إطلاقه بهما، سيّما بعد تأييدهما بخبري أبي بصير وأحمد المتقدّمين، ولهذا حمله الشيخ</w:t>
      </w:r>
      <w:r>
        <w:rPr>
          <w:rStyle w:val="FootnoteAnchor"/>
          <w:rtl w:val="true"/>
        </w:rPr>
        <w:footnoteReference w:id="930"/>
      </w:r>
      <w:r>
        <w:rPr>
          <w:rFonts w:ascii="Amiri" w:hAnsi="Amiri" w:eastAsia="Amiri" w:cs="Amiri"/>
          <w:color w:val="111111"/>
          <w:sz w:val="28"/>
          <w:sz w:val="28"/>
          <w:szCs w:val="28"/>
          <w:rtl w:val="true"/>
          <w:lang w:bidi="ar-SA"/>
        </w:rPr>
        <w:t>رحمه الله على طواف النافلة،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انقلاب الفرض إلى الإفراد، أو بقاء ما عليه من العُمرة وسقوط الترتيب بين بقيّة الأفعال والحَجّ الذي هو محلّ الكلام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w:t>
      </w:r>
      <w:r>
        <w:rPr>
          <w:rStyle w:val="FootnoteAnchor"/>
          <w:rtl w:val="true"/>
        </w:rPr>
        <w:footnoteReference w:id="931"/>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تقتضيه الأدلّة أنّه إذا جاء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الحيض قبل جميع الطواف فلا متعة لها، وإنّما ورد بما قاله شيخنا أبو جعفر خبران مرسلان فعمل عليهما، وقد بيّنا أنّه لا يُعمل بالأخبار الآحاد، وإنْ كانت مسندة فكيف بالمراسيل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واستحسنه السيّد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عملاً باشتراط الترتيب بين السعي وتمام الطواف، وبين أفعال الحَجّ وتمام أفعال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وبصحيح ابن بزيع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عرفت أنّ المرسلين المتقدّمين حُجّتان، لصحّة السند ولعمل الأصحاب بهما، فبهما نرفع اليد عن القواعد ونقيّد إطلاق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ظهر حكم ما لو حدث الحيض بعد الطواف وقبل صلاته، فإنّه لا إشكال ولا كلام في صحّة طوافها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الصباح الكناني،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سالتُ أبا عبد اللّه عليه السلام عن امرأة طافت بالبيت في حَجٍّ أو عمرة، ثمّ حاضت قبل أن تُصلّي الركعتين‌؟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فلتصلِّ ركعتين عند مقام إبراهيم عليه السلام وقد قضت طوافها</w:t>
      </w:r>
      <w:r>
        <w:rPr>
          <w:rFonts w:eastAsia="Amiri" w:cs="Amiri" w:ascii="Amiri" w:hAnsi="Amiri"/>
          <w:color w:val="111111"/>
          <w:sz w:val="28"/>
          <w:szCs w:val="28"/>
          <w:rtl w:val="true"/>
          <w:lang w:bidi="ar-SA"/>
        </w:rPr>
        <w:t>»</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مضمر زرارة</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ففي السعة تنتظر الطهر عملاً بالقواعد، وفي الضيق تخرج للحَجّ وتأتي ببقيّة أعمال العُمرة بعد الحَجّ‌، لا للخبرين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كما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الدلالة نظر، وفي الحكم إشكال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للأولويّة من الصورة السابقة التي كان الحيض فيها قبل تمام الطواف، واللّه العالم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17" w:name="pg11805_168119"/>
    </w:p>
    <w:p>
      <w:pPr>
        <w:pStyle w:val="BookText"/>
        <w:rPr/>
      </w:pPr>
      <w:bookmarkEnd w:id="217"/>
      <w:r>
        <w:rPr>
          <w:rFonts w:ascii="Amiri" w:hAnsi="Amiri" w:eastAsia="Amiri" w:cs="Amiri"/>
          <w:color w:val="111111"/>
          <w:sz w:val="28"/>
          <w:sz w:val="28"/>
          <w:szCs w:val="28"/>
          <w:rtl w:val="true"/>
          <w:lang w:bidi="ar-SA"/>
        </w:rPr>
        <w:t>وشرط الباقييّن النيّة، ووقوعه في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الإحرام من الميقات، أو من منزله إنْ كان دون الميقات</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0670533_73709187"/>
      <w:bookmarkStart w:id="219" w:name="_Toc74"/>
      <w:bookmarkEnd w:id="218"/>
      <w:r>
        <w:rPr>
          <w:rtl w:val="true"/>
        </w:rPr>
        <w:t>شرائط حَجّ الإفراد والقِران</w:t>
      </w:r>
      <w:bookmarkEnd w:id="21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شرائط حَجّ 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الباقيين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حجّ الإفراد والقِران فثلاثة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 في حَجّ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ووقوعه في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بيننا،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9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اتّفاق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العمومات كتاباً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والفرض التلبية والإشعار والتقليد، فأيّ ذلك فعل فقد فرض الحَجّ‌، ولا يفرض الحَجّ إلّافي هذه الشهور التي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شوّال وذو القعدة وذو الحِجّة</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وذو الحِجّة، ليس لأحدٍ أن يحرم بالحَجّ فيما سواه</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من الأخبار الكثيرة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وعقد الإحرام من الميقات، أو من منزله إنْ كان دون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بلاخلافٍ‌ </w:t>
      </w:r>
    </w:p>
    <w:p>
      <w:pPr>
        <w:pStyle w:val="BookText"/>
        <w:rPr/>
      </w:pPr>
      <w:r>
        <w:rPr>
          <w:rFonts w:ascii="Amiri" w:hAnsi="Amiri" w:eastAsia="Amiri" w:cs="Amiri"/>
          <w:color w:val="111111"/>
          <w:sz w:val="28"/>
          <w:sz w:val="28"/>
          <w:szCs w:val="28"/>
          <w:rtl w:val="true"/>
          <w:lang w:bidi="ar-SA"/>
        </w:rPr>
        <w:t>فيه أيضاً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اعتبار الأقربيّة إلى مكّة، كما في أكثر الأخبار، أو إلى عرفة، وسيجيء الكلام فيه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رابع، وهو الحَجّ من سنته،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إيماءٌ إلى أنّه لو فاته الحَجّ انقلب إلى العُمرة، فلا يحتاج إلى قلبه عمرة في صورة 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يقول بالبطلان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20" w:name="pg11805_168121"/>
    </w:p>
    <w:p>
      <w:pPr>
        <w:pStyle w:val="BookText"/>
        <w:rPr/>
      </w:pPr>
      <w:bookmarkEnd w:id="220"/>
      <w:r>
        <w:rPr>
          <w:rFonts w:ascii="Amiri" w:hAnsi="Amiri" w:eastAsia="Amiri" w:cs="Amiri"/>
          <w:color w:val="111111"/>
          <w:sz w:val="28"/>
          <w:sz w:val="28"/>
          <w:szCs w:val="28"/>
          <w:rtl w:val="true"/>
          <w:lang w:bidi="ar-SA"/>
        </w:rPr>
        <w:t>ويجوز لهما الطواف قبل المُضيّ إلى عرفات</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0670535_73709187"/>
      <w:bookmarkStart w:id="222" w:name="_Toc75"/>
      <w:bookmarkEnd w:id="221"/>
      <w:r>
        <w:rPr>
          <w:rtl w:val="true"/>
        </w:rPr>
        <w:t>الطواف قبل المُضيّ إلى عرفات</w:t>
      </w:r>
      <w:bookmarkEnd w:id="22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 الأصحاب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للقارن والمُفرِد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المُضيّ إلى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 xml:space="preserve">الظاهر الاتّفاق على جوازه،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9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له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بالأصل السالم عن المعارض، ومراده عموم ما دلّ على رجحانه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بحسن معاوية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المفرِد للحَجّ‌، هل يطوف بالبيت بعد طواف الفريضة‌؟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 ويجدّد التلبية بعد الركعتين، والقارن بتلك المنزلة يعقدان ما أحلّا من الطواف بالتلبية</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عقد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ذكر فيه حديثين،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ويأتي ما يدلّ‌ </w:t>
      </w:r>
    </w:p>
    <w:p>
      <w:pPr>
        <w:pStyle w:val="BookText"/>
        <w:rPr/>
      </w:pP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عن تقديم الطواف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 xml:space="preserve">أنّه قول الأكثر، وعزاه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إلى فتوى الأصحاب، لكن نُقل عن ابن إدريس</w:t>
      </w:r>
      <w:r>
        <w:rPr>
          <w:rStyle w:val="FootnoteAnchor"/>
          <w:rtl w:val="true"/>
        </w:rPr>
        <w:footnoteReference w:id="953"/>
      </w:r>
      <w:r>
        <w:rPr>
          <w:rFonts w:ascii="Amiri" w:hAnsi="Amiri" w:eastAsia="Amiri" w:cs="Amiri"/>
          <w:color w:val="111111"/>
          <w:sz w:val="28"/>
          <w:sz w:val="28"/>
          <w:szCs w:val="28"/>
          <w:rtl w:val="true"/>
          <w:lang w:bidi="ar-SA"/>
        </w:rPr>
        <w:t xml:space="preserve">المنع من التقديم محتجّاً بإجماع علمائنا على وجوب الترتيب، وأجاب عنه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الشيخ ادّعى الإجماع على جواز التقديم، فكيف يصحّ له دعوى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أعرف بمواضع الوفاق والخلاف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 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مفرد الحَجّ أيعجِّل طوافه أو يؤخّره‌؟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سواءٌ عجّله أو أخّره</w:t>
      </w:r>
      <w:r>
        <w:rPr>
          <w:rFonts w:eastAsia="Amiri" w:cs="Amiri" w:ascii="Amiri" w:hAnsi="Amiri"/>
          <w:color w:val="111111"/>
          <w:sz w:val="28"/>
          <w:szCs w:val="28"/>
          <w:rtl w:val="true"/>
          <w:lang w:bidi="ar-SA"/>
        </w:rPr>
        <w:t>»</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أخبارٌ اُخر موثّقات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958"/>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Pr>
        <w:footnoteReference w:id="959"/>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الإعتراض على هذه الأخبار باحتمال إرادة التعجيل بعد مناسك مِنى قبل انقضاء أيّام من التشريق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يشهد به النصوص الصحيحة الواردة فى حَجّة الوداع الصريحة فى ذلك</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مفرد الحَجّ‌، يقدِّم طوافه أو يؤخّره‌؟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شيخي لم يفعل ذلك، كان إذا قَدِم أقام بفخّ حتّى إذا رجع الناسِ إلى منى راح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شيخك‌؟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الحسين عليه السلام، فسألت عن الرّجل فإذا هو أخو علي بن الحسين عليه السلام لاُمّه</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عمّار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المفرد للحَجّ إذا طاف بالبيت وبالصّفا والمروة، أيعجّل طواف النساء؟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طواف النساء بعدما يأتي من منى‌</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المتقدّم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أحرمت بالعُمرة فقدمت يوم التروية، فلا متعة لك، فاجعلها حجّة مفردة تطوف بالبيت وتسعى بين الصفا والمروة، ثمّ تخرج إلى منى ولا هَدي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64"/>
      </w:r>
      <w:r>
        <w:rPr>
          <w:rFonts w:ascii="Amiri" w:hAnsi="Amiri" w:eastAsia="Amiri" w:cs="Amiri"/>
          <w:color w:val="111111"/>
          <w:sz w:val="28"/>
          <w:sz w:val="28"/>
          <w:szCs w:val="28"/>
          <w:rtl w:val="true"/>
          <w:lang w:bidi="ar-SA"/>
        </w:rPr>
        <w:t>عدم الكراهة أيضاً، كما هو ظاهر المتن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الكراهة، واستدلّ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بالشبهة الناشئة من خلاف الحِلّي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زرارة المتقدّم الوارد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رجلٌ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شيخي لم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الحِلّي واضحُ الفساد، فإنّه 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وبالاحتياط للإجماع على الصحّة مع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ابن اُذينة،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وهؤلاء الذين يفردون الحَجّ إذا قدموا مكّة وطافوا بالبيت أحلّوا، وإذا لبّوا أحرموا، فلا يزال يحلّ ويعقد حتّى يخرج إلى مِنى بلا حَجّ ولا عُمرة</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زرارة، عن أبي جعفر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يلي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يفعله النّاس اليوم يفردون الحَجّ‌، فإذا قدموا مكّة وطافوا بالبيت أحلّوا، وإذا لبّوا أحرموا، فلا يزال يحلّ ويعقد حتّى يخرج إلى مِنى بلا حَجّ ولا عُمرة</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ظاهرهما إرادة بطلان حجّهم بتقديم طوافه، المقتضي للتحلّل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للرجوع إليهما مع النصوص الخاصّة الدالّة على جواز التقديم، وعلى الأخيرين ما ستعرف في تجديد التلبية في ذيل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زرارة، فهو على عدم الكراهة أدلّ‌، لقول أبي جعفر عليه السلام فيه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أنّ مجرّد نقل تأخير عليّ بن الحسين عليهما السلام لا يصلح دليلاً على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كراهة التقديم، فالأظهر عدم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المفرد والقارن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الطواف المندوب على الوقوف بعرفات إذا أحرم بالحَجّ‌، وفيه قولان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الأشهر المنع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جماعةٍ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أتى المسجد الحرام وقد أزمع بالحَجّ‌، أيطوف بالبيت‌؟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يحرم</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حمله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على الكراهة،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لقوّة إطلاق ما دلّ على جوازه، بل بموثّق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يحرم بالحَجّ من مكّة، ثمّ يرى البيت خالياً، فيطوف قبل أن يخرج، عليه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 بناءً‌على ظهوره في إرادة نفي أن يكون عليه شيء لا النهي عن الطواف، خصوصاً بعد خبر عبد الحميد بن سعيد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أحرم يوم التروية من عند المقام بالحَجّ‌، ثمّ طاف بالبيت بعد إحرامه، وهو لا يرى أنّ ذلك لا ينبغي، أينقض طوافه بالبيت إحرامه‌؟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يمضي على إحرامه</w:t>
      </w:r>
      <w:r>
        <w:rPr>
          <w:rFonts w:eastAsia="Amiri" w:cs="Amiri" w:ascii="Amiri" w:hAnsi="Amiri"/>
          <w:color w:val="111111"/>
          <w:sz w:val="28"/>
          <w:szCs w:val="28"/>
          <w:rtl w:val="true"/>
          <w:lang w:bidi="ar-SA"/>
        </w:rPr>
        <w:t>)</w:t>
      </w:r>
      <w:r>
        <w:rPr>
          <w:rStyle w:val="FootnoteAnchor"/>
          <w:rtl w:val="true"/>
        </w:rPr>
        <w:footnoteReference w:id="97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مهما بلغ إطلاقه في القوّة، لا يصلح لمعارضة المقيّد، وهو يكون مقدّماً، إلّاأنّ الموثّق ظاهر في الجواز كما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بعضٌ من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الطواف قبل الخروج، خلاف الظاهر، ويؤيّده خبر عبد الحميد، وعليه فالأظهر هو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الطواف الواجب للحَجّ على الوقوف بعرفات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 الأصحاب المنع، بل لا خلاف فيه ظاهراً،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97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97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دعوى إجماع العلماء عليه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استثنوا من ذلك صورة الضرورة والعُذر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حسن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 xml:space="preserve">،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76"/>
      </w:r>
      <w:r>
        <w:rPr>
          <w:rFonts w:ascii="IRNazanin" w:hAnsi="IRNazanin" w:eastAsia="IRNazanin"/>
          <w:color w:val="111111"/>
          <w:sz w:val="28"/>
          <w:sz w:val="28"/>
          <w:szCs w:val="28"/>
          <w:rtl w:val="true"/>
          <w:lang w:bidi="fa-IR"/>
        </w:rPr>
        <w:t>الجواز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977"/>
      </w:r>
      <w:r>
        <w:rPr>
          <w:rFonts w:ascii="Amiri" w:hAnsi="Amiri" w:eastAsia="Amiri" w:cs="Amiri"/>
          <w:color w:val="111111"/>
          <w:sz w:val="28"/>
          <w:sz w:val="28"/>
          <w:szCs w:val="28"/>
          <w:rtl w:val="true"/>
          <w:lang w:bidi="ar-SA"/>
        </w:rPr>
        <w:t>المنع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المتمتّع يهلّ بالحَجّ‌، ثمّ يطوف ويسعى بين الصفا والمروة قبل خروجه إلى منى؟ قال عليه السلام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يتمتّع ثمّ يهلّ بالحجّ‌، فيطوف بالبيت ويَسعى بين الصّفا والمروة قبل خروجه إلى 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المنع كذلك، كخبر أبي بصير،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كان متمتّعاً وأهلَّ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يطوف بالبيت حتّى يأتي عرفات، فإنْ هو طاف قبل أن يأتي منى من غير علّةٍ‌، فلا يَعتدّ بذلك الطواف</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التفصيل بين ذوي الأعذار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إسماعيل بن عبد الخالق،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يعجِّل الشيخ الكبير والمريض والمرأة والمعلول طواف الحَجّ قبل أن يخرج إلى مِنى‌</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المتمتّع إذا كان شيخاً كبيراً أو امرأة تخاف الحيض، يعجّل طواف الحَجّ قبل أن يأتي منى؟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كان هكذا يعجّل</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الحلبي ومعاوية بن عمّار، جميعاً عن أبي عبد اللّه عليه السلام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بتعجيل الطواف للشيخ الكبير، والمرأة تخاف الحيض قبل أن تخرج إلى منى‌</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بإسناده عن موسى بن القاسم، عن صفوان بن يحيى الأزرق،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تمتّعت بالعُمرة إلى الحَجّ ففرغت من طواف العُمرة، وخافت الطمث يوم النحر، أيصلح لها أن تعجّل طوافها طواف الحَجّ قبل أن تأتي 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خافت أن تضطرّ إلى ذلك فعلت</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المجوّزون مطلقاً بالطائفة الأُولى‌، والمانعون كذلك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لما هو المشهور بأنّ الطائفة الثالثة تقيّد كلّاً من الأُولى والثانية، لكونها أخصّ مطلق منهما، فتكون النتيجة هو التفصيل بين صورة العذر وعدمه، ويجوز في الأُولى خاصّة، ولكن بما أنّ الطائفة الثالثة لا مفهوم لشيء من أخبارها غير الأخير، بناءً على ما هو الحقّ من عدم المفهوم للوصف، كي يُقيّد به نصوص الجواز ومنطوقها، لا يصلح للتقيّيد، لكونه معها من قبيل المتوافقين، ولا يحمل المطلق على المقيّد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 فالظاهر أنّه تصحيفٌ‌، والصواب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صفوان بن يحيى من الآحاد، لم يرد في ترجمته قيد الأزرق، ويحيى الأزرق حاله مجهول، نعم إنْ كان الراوي عنه صفوان بن عثمان الذي هو من أصحاب الإجماع لاعتمدنا عليه، لكنّه غير معلوم، فالخبر ساقط عن الحجيّة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موثّق أسحاق من جهة تضمّنه للقضيّة الشرطيّة، يدلّ على المنع في غير صورة العذر، فإنّ القضيّة الشرطيّة مذكورة في السؤال، وفي الجواب بيّن الإمام عليه السلام الحكم بغير صورة القضيّة الشرطيّة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يُقيّد خبر المنع بنصوص العُذر، ويختصّ بغير صورة العذر، فتقيّد به أخبار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يتوقّف على القول بانقلاب النسبة، وهو ما لا نقول به، وعلى هذا فما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الروايات أظهر، فإنّه بواسطة نصوص الجواز يُحمل خبر المنع على الكراهة، ولكن لعدم إفتاء الأصحاب بذلك لا يترك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الأصحاب أنّه لا يجوز تقديمه اختياراً، ويجوز مع الضرورة،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 xml:space="preserve">دعوى الاتّفاق على ذلك، لكن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جواز التقديم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الحِلّي</w:t>
      </w:r>
      <w:r>
        <w:rPr>
          <w:rStyle w:val="FootnoteAnchor"/>
          <w:rtl w:val="true"/>
        </w:rPr>
        <w:footnoteReference w:id="987"/>
      </w:r>
      <w:r>
        <w:rPr>
          <w:rFonts w:ascii="Amiri" w:hAnsi="Amiri" w:eastAsia="Amiri" w:cs="Amiri"/>
          <w:color w:val="111111"/>
          <w:sz w:val="28"/>
          <w:sz w:val="28"/>
          <w:szCs w:val="28"/>
          <w:rtl w:val="true"/>
          <w:lang w:bidi="ar-SA"/>
        </w:rPr>
        <w:t>عدم الجواز ولو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عليّ بن يقطين، عن الإمام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بتعجيل طواف الحَجّ وطواف النساء قبل الحَجّ يوم التروية، قبل خروجه إلى منى‌، وكذلك من خاف أمراً لا يتهيّأ له، الانصراف إلى مكّة أن يطوف ويودّع البيت، ثمّ يمرّ كما هو من مِنى إذا كان خائفاً</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كما ترى ظاهرٌ في جواز التقديم اختياراً،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فالاستدلال به للقول باختصاص الجواز بصورة الضرورة كما عن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الروايات التي استدلّوا بها لاختصاص الجواز بصورة الضرورة، فهي في غير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بإزاء ذلك روايتان تدلّان على المنع مطلقاً،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المفرِد للحَجّ إذا طاف بالبيت وبالصّفا والمروة، أيعجّل طواف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طواف النساء بعدما يأتي من مِنى‌</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ومورده وإنْ كان حَجّ الإفراد إلّاأنّ الجواب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أبي حمزة،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يدخل مكّة ومعه نساء، وقد أمرهنّ فتمتعن قبل التروية بيومٍ أويومين أوثلاثة، فخشي على بعضهنّ الحيض‌؟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فرغن من متعتهنّ وأحللن، فلينظر إلى التي يخافُ عليها الحيض، فيأمرها فتغتسل وتهلّ بالحَجّ من مكانها، ثمّ تطوف بالبيت وبالصفا والمروه، فإنْ حَدَث بها شيءٌ قَضَت بقيّة المناسك وهي طامث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بقي طواف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مرتهنة حتّى تفرغ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يتركها حتّى تقضي مناسكها؟ قال عليه السلام يبقى عليها منسكٌ واحد أهون عليها من أن يبقى عليها المناسك كلّها مخافة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الجمّال أن يقيم عليها والرفقة‌؟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تستعدي عليهم حتّى يقيم عليها حتّى تطهر وتقضي مناسكها</w:t>
      </w:r>
      <w:r>
        <w:rPr>
          <w:rFonts w:eastAsia="Amiri" w:cs="Amiri" w:ascii="Amiri" w:hAnsi="Amiri"/>
          <w:color w:val="111111"/>
          <w:sz w:val="28"/>
          <w:szCs w:val="28"/>
          <w:rtl w:val="true"/>
          <w:lang w:bidi="ar-SA"/>
        </w:rPr>
        <w:t>»</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ذلك المنع حتّى في صورة العذر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الخبر ضعيف، لأنّ المشهور بين الأصحاب أنّ علي بن أبي حمزة ضعيف، فقد قال عنه ابن الغضائري</w:t>
      </w:r>
      <w:r>
        <w:rPr>
          <w:rStyle w:val="FootnoteAnchor"/>
          <w:rtl w:val="true"/>
        </w:rPr>
        <w:footnoteReference w:id="9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أبي حمزة لعنه اللّه أصل الوقف، وأشدّ الخلق عداوةً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روى الكشي</w:t>
      </w:r>
      <w:r>
        <w:rPr>
          <w:rStyle w:val="FootnoteAnchor"/>
          <w:rtl w:val="true"/>
        </w:rPr>
        <w:footnoteReference w:id="993"/>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عليّ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حمزة كذّاب ملعون، وقد رويتُ عنه أحاديث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إلّاأنّي لا استحلّ أن أروي عنه حديثاً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كلمات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هو الأوّل، وعلى هذا فإنْ أمكن الجمع بين النصوص بحمل خبر المنع على الكراهة، وعُدَّ ذلك جمعاً عرفيّاً، لزم منه البناء على الجواز مطلقاً، وإلّا فالمرجع إلى المرجّحات، ويقدّم خبر المنع للشهرة، ولازمه البناء على المنع مطلقاً، فلا دليل على الجواز في صورة العذر، إلّاأن يستدلّ له حينئذٍ بإطلاق نصوص جواز تقديم الطواف في صورة العذر، الشامل لطواف الحَجّ وطواف النساء المتقدّم بعضها، وهو محلّ تأمّل، واللّه تعالى أعلم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23" w:name="pg11805_168132"/>
    </w:p>
    <w:p>
      <w:pPr>
        <w:pStyle w:val="BookText"/>
        <w:rPr/>
      </w:pPr>
      <w:bookmarkEnd w:id="223"/>
      <w:r>
        <w:rPr>
          <w:rFonts w:ascii="Amiri" w:hAnsi="Amiri" w:eastAsia="Amiri" w:cs="Amiri"/>
          <w:color w:val="111111"/>
          <w:sz w:val="28"/>
          <w:sz w:val="28"/>
          <w:szCs w:val="28"/>
          <w:rtl w:val="true"/>
          <w:lang w:bidi="ar-SA"/>
        </w:rPr>
        <w:t>لكنّهما يجدّدان التلبية عند كلِّ طوافٍ‌</w:t>
      </w:r>
    </w:p>
    <w:p>
      <w:pPr>
        <w:pStyle w:val="Heading3"/>
        <w:numPr>
          <w:ilvl w:val="2"/>
          <w:numId w:val="1"/>
        </w:numPr>
        <w:rPr/>
      </w:pPr>
      <w:bookmarkStart w:id="224" w:name="__RefHeading___Toc10670537_73709187"/>
      <w:bookmarkStart w:id="225" w:name="_Toc76"/>
      <w:bookmarkEnd w:id="224"/>
      <w:r>
        <w:rPr>
          <w:rtl w:val="true"/>
        </w:rPr>
        <w:t>تجديد التلبية</w:t>
      </w:r>
      <w:bookmarkEnd w:id="22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ممّا ذكرنا أنّ للقارن والمفرد الطواف مندوباً وواجباً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لكنّهما يجدّدان التلبية عند كلّ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وإنّما الكلام في أنّه هل يجب ذلك، أم يكون مستحبّاً؟</w:t>
      </w:r>
    </w:p>
    <w:p>
      <w:pPr>
        <w:pStyle w:val="BookText"/>
        <w:rPr/>
      </w:pPr>
      <w:r>
        <w:rPr>
          <w:rFonts w:ascii="Amiri" w:hAnsi="Amiri" w:eastAsia="Amiri" w:cs="Amiri"/>
          <w:color w:val="111111"/>
          <w:sz w:val="28"/>
          <w:sz w:val="28"/>
          <w:szCs w:val="28"/>
          <w:rtl w:val="true"/>
          <w:lang w:bidi="ar-SA"/>
        </w:rPr>
        <w:t>وعلى 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يحلّ بالطواف دون النيّة أم لا؟ وفي ذلك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 xml:space="preserve">، والشهيدين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الفتوى به مشهورة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أنّه يجب تجديد التلبية عند كلّ طواف لئلّا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 xml:space="preserve">، وعن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 من أنّه إنّما يحلّ المفرِد دون القارِن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المرتضى</w:t>
      </w:r>
      <w:r>
        <w:rPr>
          <w:rStyle w:val="FootnoteAnchor"/>
          <w:rtl w:val="true"/>
        </w:rPr>
        <w:footnoteReference w:id="1001"/>
      </w:r>
      <w:r>
        <w:rPr>
          <w:rFonts w:ascii="Amiri" w:hAnsi="Amiri" w:eastAsia="Amiri" w:cs="Amiri"/>
          <w:color w:val="111111"/>
          <w:sz w:val="28"/>
          <w:sz w:val="28"/>
          <w:szCs w:val="28"/>
          <w:rtl w:val="true"/>
          <w:lang w:bidi="ar-SA"/>
        </w:rPr>
        <w:t>والمفيد</w:t>
      </w:r>
      <w:r>
        <w:rPr>
          <w:rStyle w:val="FootnoteAnchor"/>
          <w:rtl w:val="true"/>
        </w:rPr>
        <w:footnoteReference w:id="1002"/>
      </w:r>
      <w:r>
        <w:rPr>
          <w:rFonts w:ascii="Amiri" w:hAnsi="Amiri" w:eastAsia="Amiri" w:cs="Amiri"/>
          <w:color w:val="111111"/>
          <w:sz w:val="28"/>
          <w:sz w:val="28"/>
          <w:szCs w:val="28"/>
          <w:rtl w:val="true"/>
          <w:lang w:bidi="ar-SA"/>
        </w:rPr>
        <w:t>وهو عكس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الحِلّي</w:t>
      </w:r>
      <w:r>
        <w:rPr>
          <w:rStyle w:val="FootnoteAnchor"/>
          <w:rtl w:val="true"/>
        </w:rPr>
        <w:footnoteReference w:id="100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04"/>
      </w:r>
      <w:r>
        <w:rPr>
          <w:rFonts w:ascii="IRNazanin" w:hAnsi="IRNazanin" w:eastAsia="IRNazanin"/>
          <w:color w:val="111111"/>
          <w:sz w:val="28"/>
          <w:sz w:val="28"/>
          <w:szCs w:val="28"/>
          <w:rtl w:val="true"/>
          <w:lang w:bidi="fa-IR"/>
        </w:rPr>
        <w:t>، واختاره المصنّف</w:t>
      </w:r>
      <w:r>
        <w:rPr>
          <w:rStyle w:val="FootnoteAnchor"/>
          <w:rtl w:val="true"/>
        </w:rPr>
        <w:footnoteReference w:id="1005"/>
      </w:r>
      <w:r>
        <w:rPr>
          <w:rFonts w:ascii="IRNazanin" w:hAnsi="IRNazanin" w:eastAsia="IRNazanin"/>
          <w:color w:val="111111"/>
          <w:sz w:val="28"/>
          <w:sz w:val="28"/>
          <w:szCs w:val="28"/>
          <w:rtl w:val="true"/>
          <w:lang w:bidi="fa-IR"/>
        </w:rPr>
        <w:t>وولده</w:t>
      </w:r>
      <w:r>
        <w:rPr>
          <w:rStyle w:val="FootnoteAnchor"/>
          <w:rtl w:val="true"/>
        </w:rPr>
        <w:footnoteReference w:id="1006"/>
      </w:r>
      <w:r>
        <w:rPr>
          <w:rFonts w:ascii="Amiri" w:hAnsi="Amiri" w:eastAsia="Amiri" w:cs="Amiri"/>
          <w:color w:val="111111"/>
          <w:sz w:val="28"/>
          <w:sz w:val="28"/>
          <w:szCs w:val="28"/>
          <w:rtl w:val="true"/>
          <w:lang w:bidi="ar-SA"/>
        </w:rPr>
        <w:t xml:space="preserve">، من أنّه لا يحلّان إلّابالنيّة، ولكن مع ذلك يجدّدان التلبية عقيب صلاة الطواف وهو المراد بقولهم عند كلّ 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xml:space="preserve">نسبته إلى المتأخّرين، بل ظاهر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الإجماع ممّن عدا الشيخ على القول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لوجوب التلبية وأنّهما يحلّان بدون النيّة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معاوية بن عمّار المتقدّم،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المفرِد للحَجّ‌، هل يطوف بالبيت بعد طواف الفريضة‌؟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 ويجدّد التلبية بعد الركعتين، والقارِن بتلك المنزلة يعقدان ما أحلّا من الطواف بالتلبية</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جوار مكّة 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كلّ من طاف بالبيت وسعى بين الصفا والمروه فقد أحَلّ؟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تعقد بالتلبية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كلمّا طِفت طوافاً، وصلّيت ركعتين، فاعقد طوافاً بالتلبية</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المفرِد يطوف بالبيت ويقصّر، ثمّ ذكر بعدما قصّر أنّه مُفرِد؟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إذا صَلّى فليجدّد التلبية</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وبالصّفا والمروة أحلّ‌، أحبّ أو كره</w:t>
      </w:r>
      <w:r>
        <w:rPr>
          <w:rFonts w:eastAsia="Amiri" w:cs="Amiri" w:ascii="Amiri" w:hAnsi="Amiri"/>
          <w:color w:val="111111"/>
          <w:sz w:val="28"/>
          <w:szCs w:val="28"/>
          <w:rtl w:val="true"/>
          <w:lang w:bidi="ar-SA"/>
        </w:rPr>
        <w:t>»</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وبإزاء هذه النصوص طائفتان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اختصاص ذلك بالمفرِد، وعدم ثبوته للقارن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زرارة المتقدّم آنفاً على ما رواه الصدوق،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نقل الخبر كما تقدّم،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اعتمر في عامه ذلك أو ساق الهَدْي وأشعره وقلّده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أبي جعفر عليه السلام وهو خلف المقام،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قرنتُ بين حَجّة وعمرة‌؟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طفت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سُقتَ الهَدْي‌؟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أبو جعفر بشعره، وقال أحللت واللّه</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لمَن طاف بالبيت أن يحلّ‌، ويجعل ما أتى به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عدم الإحلال به بدون النيّة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 بن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السرّاج روى عنك أنّه سألك عن الرّجل يهلّ بالحَجّ‌، ثمّ يدخل مكّة فطاف بالبيت سبعاً وسعى بين الصفا والمروة، فيفسخ ذلك ويجعلها متعة،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سألني عن ذلك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وله أن يحلّ ويجعلها متعة</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لبّى بالحَجّ مفرداً، فقدم مكّة وطاف بالبيت وصَلّى ركعتين عند مقام إبراهيم، وسعى بين الصفا والمروة‌؟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فليحلّ وليجعلها متعة، إلّاأن يكون ساق الهَدْي</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يحلّ بالطواف بدون النيّة، هذه هي نصوص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الجمع بين هذه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0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النصوص الصريحة في أنّ القارن لا يحلّ حتّى يبلغ الهَدْي مَحلّه وإنْ طاف ولم يُلبِّ لا معارض لها سوى حسن ابن عمّارالمتقدّم، الذي جعل فيه القِران بمنزلة المفرِد، ويمكن إرادة العازم على الحَجّ والعُمرة من القارن فيه، مع أنّه متّحدٌ لا يعارض المتعدّد المعتضد بالأصل وبغيره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المستبعد جدّاً الإحلال قهراً، والانقلاب عمرةً كذلك، خصوصاً في الطواف المندوب الذي قد عرفت جوازه من القارن المفرد، وخصوصاً فيمن كان فرضه ذلك، فإنّ الأدلّة المزبورة لا تصلح لإثبات الانقلاب القهري، خصوصاً بعد معلوميّة توقّف الإحلال على التقصير نصّاً وفتوىً‌، واحتمال تخصيص ذلك بما هنا ليس بأولى من العكس على معنى أنّ له الإحلال إنْ شاء به في مقامٍ يجوز العدول إلى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قدس سره مواقع للنظر والمناقشة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المحمل لحسن ابن عمّار، فإنّ قوله عليه السلام في 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والقارن بتلك المنزلة، يعقدان ما أحلّا به من الطواف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أنّه متّحدٌ لا يعارض المتعدّد المعتضد بالأصل، فإنّه يرد عليه أنّ التعدّد وكذا الإعتضاد بالأصل ليس من المرجّحات الموجبة لتقديم واجدها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الإستبعادات، فإنّه يرد عليه أنّ تلك الإستبعادات لا توجبُ رفع اليد عن ظهور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الأخيرة إنّما هي في مقام بيان أنّ له أنْ يجعل ما أتى به عمرة ويجعل حجّته متعة،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يبقى على الإحلال ولا يعقد بالتلبية، ثمّ يأتي بالحَجّ ويصير ذلك تمتّعاً، وله أن يعقد ويتمّها إفراداً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معارضة مع حسن معاوية، فإنْ كان الجمع بينهما ممكناً، بأن تُحمل الطائفة الثانية على إرادة عدم صحّة العدول إلى التمتّع من جهة ما فيها من استشناء القارن عن الإحلال فهو، وإلّا فالمرجع إلى المرجّحات، والترجيح مع تلك الطائفة الموافقة للكتاب والسُنّة الدالّين على أنّ القارن لا يَحلّ حتّى يبلغ الهَدْي محلّه وحتّى يقصّر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فالمتعيّن هو الأخذ بظاهر النصوص الأُولى‌، الدالّة على أنّ المُفرِد يحلّ بالطواف، وأنّه يجبُ عليه العقد بالتلبية، وإذا انضمّ إليها نصوصُ جواز العدول إلى التمتّع، تكون النتيجة هو وجوب العقد بالتلبية، إلّاإذا جاز له العدول إلى التمتّع وقصد ذلك</w:t>
      </w:r>
      <w:r>
        <w:rPr>
          <w:rFonts w:eastAsia="Amiri" w:cs="Amiri" w:ascii="Amiri" w:hAnsi="Amiri"/>
          <w:color w:val="111111"/>
          <w:sz w:val="28"/>
          <w:szCs w:val="28"/>
          <w:rtl w:val="true"/>
          <w:lang w:bidi="ar-SA"/>
        </w:rPr>
        <w:t xml:space="preserve">. </w:t>
      </w:r>
      <w:bookmarkStart w:id="226" w:name="pg11805_168137"/>
    </w:p>
    <w:p>
      <w:pPr>
        <w:pStyle w:val="Heading3"/>
        <w:numPr>
          <w:ilvl w:val="2"/>
          <w:numId w:val="1"/>
        </w:numPr>
        <w:rPr/>
      </w:pPr>
      <w:bookmarkStart w:id="227" w:name="__RefHeading___Toc10670539_73709187"/>
      <w:bookmarkStart w:id="228" w:name="_Toc77"/>
      <w:bookmarkEnd w:id="226"/>
      <w:bookmarkEnd w:id="227"/>
      <w:r>
        <w:rPr>
          <w:rtl w:val="true"/>
        </w:rPr>
        <w:t>تنبيهات التلبية</w:t>
      </w:r>
      <w:bookmarkEnd w:id="228"/>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السيّد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نقل بعض ما تقدّم من الروايات، وبعد نقل ما عن الشهيد رحمه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دليل التحلّل ظاهرٌ، والفتوى به مشهورة، والمعارض منتفٍ‌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كذلك، لكن ليس في الروايات دلالة على صيرورة الحجّة مع التحلّل عمرة، كما ذكره الشيخ رحمه الله وأتباعه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صحيح معاوية أو حسنه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فليحلّ وليجعلها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العقد بالتلبية، الواجب عليه الإحلال والعدول إلى التمتّع، وإذا انضمّ إلى ذلك الأخبار الواردة في حجّة الوداع المتضمّنة لأمر اللّه عَزَّ وَجَلّ بأنّ من لم يسق الهَدْي يجبُ عليه العدول إلى التمتّع بعد الطواف والسعي، يستنتج أنّ كلّ من أحرم مفرداً وطاف وسعى ولم يسق الهَدْي، ولم يعقد إحرامه بالتلبية، فإنّه يصير مُحِلّاً، ويجبُ عليه أن يجعل ما أتى به عمرة يتمتّع به إلى الحَجّ‌</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فإنّ‌السيّد رحمه الله لايدّعي أنّه لايجوزالعدول، بل مدّعاه أنّ‌النصوص لا تدلّ على الانقلاب القهري، وهو متينٌ‌، وما أفاده لايدلّ على الانقلاب القهري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المحقّق ومن قال بمقالته من النيّة هو أنّ المُفرِد لا يحلّ إلّابنيّة العدول إلى العُمرة، فيتحلّل مع العدول بإتمام أفعالها، وعلى هذا فلا يتحقّق التحلّل بالنيّة إلّافي موردٍ يسوغ فيه العدول إلى العُمرة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صحّة ما أفاده، وعليه فلا يرد على هؤلاء ما أورده المحقّق الثاني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جَعل مرادهم من النيّة نيّة التحلّل بالطواف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 النيّة لا </w:t>
      </w:r>
    </w:p>
    <w:p>
      <w:pPr>
        <w:pStyle w:val="BookText"/>
        <w:rPr/>
      </w:pPr>
      <w:r>
        <w:rPr>
          <w:rFonts w:ascii="Amiri" w:hAnsi="Amiri" w:eastAsia="Amiri" w:cs="Amiri"/>
          <w:color w:val="111111"/>
          <w:sz w:val="28"/>
          <w:sz w:val="28"/>
          <w:szCs w:val="28"/>
          <w:rtl w:val="true"/>
          <w:lang w:bidi="ar-SA"/>
        </w:rPr>
        <w:t>يكاد يتحقّق، لأنّ الطواف منهيٌّ عنه إذا قصد به التحلّل، فيكون فاسداً فلا يَعتدّ به في كونه مُحِلّاً، لعدم صدق الطواف الشرعي حينئذٍ، والرواية بالفرق بين القارن والمفرد ضعيفة، فالأصحّ عدم الفرق، ولكن على هذا القول يوتر كالتلبية، فالذي يلزمهما في الرواية وعبارة الشيخ أنّ حجّهما يصير عمرة فينقلب تمتّعاً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هل يحتاج إلى طوافٍ آخر للعمرة أم لا؟ كلٌّ منهما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 احتيج إليه، لم يكن لهذا الطواف أثرٌ في الإحلال،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إجزاءه عن طواف العُمرة بغير نيّة أيضاً معلومُ البطلان</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المحقّق الثاني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الطواف بقصد التحلّل في المورد لا يكون منهيّاً عنه كما تقدّم، مع أنّ إجزاء ما أتى به عن الطواف للعُمرة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دلالة أخبار حجّة الوداع، حيث إنّه لم يذكر في شيء من تلك الأخبار أنّهم أعادوا الطواف بعد أمر الرسول صلى الله عليه و آله لهم بالإحلال من حجّهم وجعله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اتّفاق النّص والفتوى على أنّه بعد الطواف والسعي على الحاجّ أن يعقد الإحرام بالتلبية، ليصبح حجّه صحيحاً، إلّاأنّ هناك خبرين صريحين في بطلان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اُذينة أو حسنه،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الذين يفردون الحَجّ إذا قَدِموا مكّة وطافوا بالبيت أحلّوا، وإذا لبّوا أحرموا، فلا يزال يحلّ ويعقد حتّى يخرج إلى مِنى بلا حَجّ ولا عُمرة</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المُحدِّث الكاشاني رحمه الله في توضيح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يقدّمون الطواف والسعي على مناسك منى‌، وربما يكرّرون، فحكم ببطلان حجّهم بذلك، وذلك لأنّ طواف البيت وسعيه موجب للإحلال، لأنّها آخر الأفعال، فإذا طاف قبل الإتيان بمناسك منى‌، فقد أحلّ من حجّه قبل تمامه، فإذا جدّد التلبية فقد أحرم إحراماً آخر، وإنْ لم يطف بعد ذلك، فقد بقي حجّه بلا طواف، فلا حجّة ولا عُمرة له أيضاً، لعدم نيّته لها، وعدم إتمامه إيّاها، لأنّه لم يأتِ بالتقصير بعد فقد خرج منها قبل كمالها فبطلت، ثمّ إذا كرّر الطواف والتلبية فقد كرّر الحلّ والعقد</w:t>
      </w:r>
      <w:r>
        <w:rPr>
          <w:rFonts w:eastAsia="Amiri" w:cs="Amiri" w:ascii="Amiri" w:hAnsi="Amiri"/>
          <w:color w:val="111111"/>
          <w:sz w:val="28"/>
          <w:szCs w:val="28"/>
          <w:rtl w:val="true"/>
          <w:lang w:bidi="ar-SA"/>
        </w:rPr>
        <w:t>)</w:t>
      </w:r>
      <w:r>
        <w:rPr>
          <w:rStyle w:val="FootnoteAnchor"/>
          <w:rtl w:val="true"/>
        </w:rPr>
        <w:footnoteReference w:id="102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قدس سره 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ولأجل ذلك يحمل حسن معاوية المتقدّم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يلي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يفعله النّاس اليوم، يفردون الحَجّ فإذا قدموا مكّة وطافوا بالبيت أحلّوا، وإذا لبّوا أحرموا، فلايزال يحلّ ويعقد حتّى يخرج إلى مِنى بلا حَجّ ولا عُمرة</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ذلك توقّف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رحمه الله في الحكم،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فالمسألة عندي محلّ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ووجهه أنّ الخبرين صريحان في بطلان الحَجّ‌، ولازم ذلك حمل النصوص المتقدّمة على التقيّة، ولكن الأصحاب عملوا بها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الجمع بينهما وبين ما تقدّم فلابدّ من طرحهما، لأنّ الشهرة مع معارضهما، وهي أوّل المرجّحات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29" w:name="pg11805_168140"/>
    </w:p>
    <w:p>
      <w:pPr>
        <w:pStyle w:val="BookText"/>
        <w:rPr/>
      </w:pPr>
      <w:bookmarkEnd w:id="229"/>
      <w:r>
        <w:rPr>
          <w:rFonts w:ascii="Amiri" w:hAnsi="Amiri" w:eastAsia="Amiri" w:cs="Amiri"/>
          <w:color w:val="111111"/>
          <w:sz w:val="28"/>
          <w:sz w:val="28"/>
          <w:szCs w:val="28"/>
          <w:rtl w:val="true"/>
          <w:lang w:bidi="ar-SA"/>
        </w:rPr>
        <w:t>ويجبُ على المتمتّع الهَدْي،</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الأخبار المتقدّمة أنّ الطواف موجبٌ للإحلال،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طاف بالبيت والصفا والمروة أحدٌ إلّاأحلّ‌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الحجّاج، في جواب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من طاف بالبيت وسعى بين الصفا والمروة فقد أحلّ؟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تعقد بالتلبية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 في حسن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يعقدان ما أحلّا من الطواف بالتلبية، وأنّ التلبية توجب عقد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وناقشه المحقّق الأردبيلي</w:t>
      </w:r>
      <w:r>
        <w:rPr>
          <w:rStyle w:val="FootnoteAnchor"/>
          <w:rtl w:val="true"/>
        </w:rPr>
        <w:footnoteReference w:id="1023"/>
      </w:r>
      <w:r>
        <w:rPr>
          <w:rFonts w:ascii="Amiri" w:hAnsi="Amiri" w:eastAsia="Amiri" w:cs="Amiri"/>
          <w:color w:val="111111"/>
          <w:sz w:val="28"/>
          <w:sz w:val="28"/>
          <w:szCs w:val="28"/>
          <w:rtl w:val="true"/>
          <w:lang w:bidi="ar-SA"/>
        </w:rPr>
        <w:t xml:space="preserve">بأنّ حصول الإحرام الجديد بالتلبية مستلزمٌ لتوالٍ فاسدة، لأنّ المتجدّد ليس بإحرام بالحَجّ ولا بالعُمرة، لسبق بعض عمل الحَجّ‌، وعدم فعل العُمرة، حيث لم يُذكر له وقتٌ ولا ميقات، كما لم يذكر له نيّة ولا قال به أحدٌ، مع أنّه لابدّ في العبادات كلّها من النيّة، ولأجل ذلك التزم بأنّ المراد من الأخبار أنّه إنْ لبّى لا يحصل الإحلال بالطواف، وأنّ التلبية مانعة عنه، وتبعه على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الالتزام بالإحلال بالطواف، وأنّ التلبية توجبُ تجديد الإحرام الأوّل، لا أنّه إنشاء إحرامٍ جديد، ولا استبعاد في ذلك، وعليه فلا صارف عن ظهور الروايات</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0670541_73709187"/>
      <w:bookmarkStart w:id="231" w:name="_Toc78"/>
      <w:bookmarkEnd w:id="230"/>
      <w:r>
        <w:rPr>
          <w:rtl w:val="true"/>
        </w:rPr>
        <w:t>وجوب الهَدْي على المتمتّع</w:t>
      </w:r>
      <w:bookmarkEnd w:id="23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على المتمتّع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بالإجماعين والكتاب والسُنّة، كذا في </w:t>
      </w:r>
    </w:p>
    <w:p>
      <w:pPr>
        <w:pStyle w:val="BookText"/>
        <w:rPr/>
      </w:pPr>
      <w:r>
        <w:rPr>
          <w:rFonts w:ascii="Amiri" w:hAnsi="Amiri" w:eastAsia="Amiri" w:cs="Amiri"/>
          <w:color w:val="111111"/>
          <w:sz w:val="28"/>
          <w:sz w:val="28"/>
          <w:szCs w:val="28"/>
          <w:rtl w:val="true"/>
          <w:lang w:bidi="ar-SA"/>
        </w:rPr>
        <w:t>ولا يجبُ على الباقين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025"/>
      </w:r>
      <w:r>
        <w:rPr>
          <w:rFonts w:ascii="Amiri" w:hAnsi="Amiri" w:eastAsia="Amiri" w:cs="Amiri"/>
          <w:color w:val="111111"/>
          <w:sz w:val="28"/>
          <w:sz w:val="28"/>
          <w:szCs w:val="28"/>
          <w:rtl w:val="true"/>
          <w:lang w:bidi="ar-SA"/>
        </w:rPr>
        <w:t>، والدليل عليه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اَلْهَدْيِ فَمَنْ لَمْ يَجِدْ فَصِيامُ ثَلاثَةِ أَيّامٍ فِي اَلْحَجِّ وَ سَبْعَةٍ إِذا رَجَعْتُمْ تِلْكَ عَشَرَةٌ كامِلَةٌ ذلِكَ لِمَنْ لَمْ يَكُنْ أَهْلُهُ حاضِرِي اَلْمَسْجِدِ اَلْحَرامِ‌</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النصوص الكثيرة الدالّة على ذلك، وسيأتي الكلام في ذلك مفصّلاً،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ستعرف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على الباقين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32" w:name="pg11805_168142"/>
    </w:p>
    <w:p>
      <w:pPr>
        <w:pStyle w:val="BookText"/>
        <w:rPr/>
      </w:pPr>
      <w:bookmarkEnd w:id="232"/>
      <w:r>
        <w:rPr>
          <w:rFonts w:ascii="IRNazanin" w:hAnsi="IRNazanin" w:eastAsia="IRNazanin"/>
          <w:color w:val="111111"/>
          <w:sz w:val="28"/>
          <w:sz w:val="28"/>
          <w:szCs w:val="28"/>
          <w:rtl w:val="true"/>
          <w:lang w:bidi="fa-IR"/>
        </w:rPr>
        <w:t>الباب الثالث</w:t>
      </w:r>
    </w:p>
    <w:p>
      <w:pPr>
        <w:pStyle w:val="BookText"/>
        <w:rPr/>
      </w:pPr>
      <w:r>
        <w:rPr>
          <w:rFonts w:ascii="Amiri" w:hAnsi="Amiri" w:eastAsia="Amiri" w:cs="Amiri"/>
          <w:color w:val="111111"/>
          <w:sz w:val="28"/>
          <w:sz w:val="28"/>
          <w:szCs w:val="28"/>
          <w:rtl w:val="true"/>
          <w:lang w:bidi="ar-SA"/>
        </w:rPr>
        <w:t>في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يصحّ من الميقات</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0670543_73709187"/>
      <w:bookmarkStart w:id="234" w:name="_Toc79"/>
      <w:bookmarkEnd w:id="233"/>
      <w:r>
        <w:rPr>
          <w:rtl w:val="true"/>
        </w:rPr>
        <w:t>المواقيت</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يصحّ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الأمكنة المعيّنة شرعاً للإحرام، فإنّ الإحرام لا ينعقد إلّامن المكان المعيّن الذي قرّره الشارع بالإجماع والأخبار التي ستمرّ عليك، وإطلاقه على ذلك المكان إنّما يكون من باب إطلاق الكلّي على الفرد،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فانقلبت الواو ياءً‌، لأنّ ما قبلها مكسور، ويكون للزمان والمكان، فميقات الصلاة الزمان، وميقات الحَجّ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من أنّ الميقات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الوقت، والجمع مواقيت، وقد استعير الوقت للمكان،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مواقيت الحَجّ موضع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w:t>
      </w:r>
      <w:r>
        <w:rPr>
          <w:rStyle w:val="FootnoteAnchor"/>
          <w:rtl w:val="true"/>
        </w:rPr>
        <w:footnoteReference w:id="1028"/>
      </w:r>
      <w:r>
        <w:rPr>
          <w:rFonts w:ascii="Amiri" w:hAnsi="Amiri" w:eastAsia="Amiri" w:cs="Amiri"/>
          <w:color w:val="111111"/>
          <w:sz w:val="28"/>
          <w:sz w:val="28"/>
          <w:szCs w:val="28"/>
          <w:rtl w:val="true"/>
          <w:lang w:bidi="ar-SA"/>
        </w:rPr>
        <w:t>،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Style w:val="FootnoteAnchor"/>
          <w:rtl w:val="true"/>
        </w:rPr>
        <w:footnoteReference w:id="10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1030"/>
      </w:r>
      <w:r>
        <w:rPr>
          <w:rFonts w:ascii="Amiri" w:hAnsi="Amiri" w:eastAsia="Amiri" w:cs="Amiri"/>
          <w:color w:val="111111"/>
          <w:sz w:val="28"/>
          <w:sz w:val="28"/>
          <w:szCs w:val="28"/>
          <w:rtl w:val="true"/>
          <w:lang w:bidi="ar-SA"/>
        </w:rPr>
        <w:t>من أنّ الميقات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المضروب للفعل والموضع،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ميقات أهل الشام للموضع الذي يحرمون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المواقيت اُطلقت على المواضع المعيّنة للإحرام مجازاً أو حقيقة متشرّعيّة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ريب في أنّه لابدّ وأن يَحرم الحاجّ والمعتمر من مكان معيّن، وقد قرّر الشارع الأقدس لكلّ طائفة موضعاً خاصّاً، وباعتبار تعدّد الطوائف تكثرّت المواقيت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كلمات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ومنهم من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من قال إنّها سبعة، ومنهم من ذكر عشرة، وليس ذلك اختلافاً في الحكم، بل هم متّفقون على جواز الإحرام من الجميع، بل لكلّ واحدٍ منهم سببٌ في تعيّين العدد بحسب نظره، ولكن المشهور بين الأصحاب أنّ المواقيت هي الستّة</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أيضاً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المذكور في بعضها ستّة كصحيح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الحَجّ والعُمرة أن تحرم من المواقيت التي وقّتها رسول اللّه صلى الله عليه و آله، لا تجاوزها إلّا وأنتَ محرم، فإنّه وقّت لأهل العراق ولم يكن يومئذٍ عراقٌ‌، بطن العقيق من قبل أهل العراق، ووقّت لأهل اليمن يلملم، ووقّت لأهل الطائف قَرن المنازل، ووقّت لأهل المغرب الجُحفة وهي مهيعة، ووقّت لأهل المدينة ذا الحُليفة، ومن كان منزله خلف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المواقيت ممّا يلي مكّة فوقته منزله</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والمذكور في بعض الأخبار خمسة، كصحيح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الإحرام من مواقيت خمسة وقّتها رسول اللّه صلى الله عليه و آله، لا ينبغي لحاجّ ولا معتمر أن يحرم قبلها ولا بعدها، ووقّت لأهل المدينة ذا الحُليفة وهو مسجد الشجرة، يصلّي فيه، ويفرض الحَجّ‌، ووقّت لأهل الشام الجُحفة، ووقّت لأهل نجد العقيق، ووقّت لأهل الطائف قَرن المنازل، ووقّت لأهل اليمن يلملم، ولا ينبغي لأحدٍ أن يرغب عن مواقيت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هذه النصوص، لكن المستفاد من مجموع النصوص، وما عليه فتوى الفقهاء، هو أنّ المواضع التي يجوز الإحرام منها عشرة، كما سيمرّ عليك عند ذكرها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35" w:name="pg11805_168145"/>
    </w:p>
    <w:p>
      <w:pPr>
        <w:pStyle w:val="BookText"/>
        <w:rPr/>
      </w:pPr>
      <w:bookmarkEnd w:id="235"/>
      <w:r>
        <w:rPr>
          <w:rFonts w:ascii="Amiri" w:hAnsi="Amiri" w:eastAsia="Amiri" w:cs="Amiri"/>
          <w:color w:val="111111"/>
          <w:sz w:val="28"/>
          <w:sz w:val="28"/>
          <w:szCs w:val="28"/>
          <w:rtl w:val="true"/>
          <w:lang w:bidi="ar-SA"/>
        </w:rPr>
        <w:t>لأهل العراق العقيق</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0670545_73709187"/>
      <w:bookmarkStart w:id="237" w:name="_Toc80"/>
      <w:bookmarkEnd w:id="236"/>
      <w:r>
        <w:rPr>
          <w:rtl w:val="true"/>
        </w:rPr>
        <w:t>ميقاتُ أهل العراق</w:t>
      </w:r>
      <w:bookmarkEnd w:id="237"/>
    </w:p>
    <w:p>
      <w:pPr>
        <w:pStyle w:val="BookText"/>
        <w:rPr/>
      </w:pPr>
      <w:r>
        <w:rPr>
          <w:rFonts w:ascii="Amiri" w:hAnsi="Amiri" w:eastAsia="Amiri" w:cs="Amiri"/>
          <w:color w:val="111111"/>
          <w:sz w:val="28"/>
          <w:sz w:val="28"/>
          <w:szCs w:val="28"/>
          <w:rtl w:val="true"/>
          <w:lang w:bidi="ar-SA"/>
        </w:rPr>
        <w:t>الميقات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الميقات المضروب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والنجديّين، ومن يمرّ عليه من غيرهم،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وكسر ثانيه وقافين بينهما ياء مثنّاة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المستند</w:t>
      </w:r>
      <w:r>
        <w:rPr>
          <w:rStyle w:val="FootnoteAnchor"/>
          <w:rtl w:val="true"/>
        </w:rPr>
        <w:footnoteReference w:id="10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اللّغة كلّ وادٍ عقّه السَّيل، أي شقّه فأنهره ووسّعه، وسمّيت به أربعة أودية في بلاد العرب،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الميقات، وهو وادٍ يندفق سيله في غوري تهامة كما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 xml:space="preserve">، وله طرفان ووسط، فأوّله المَسْلح، الميم وكسرها،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 ثمّ بالمهملتين كما عن فخر المحقّقين</w:t>
      </w:r>
      <w:r>
        <w:rPr>
          <w:rStyle w:val="FootnoteAnchor"/>
          <w:rtl w:val="true"/>
        </w:rPr>
        <w:footnoteReference w:id="10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 أي الموضع العالي، أو مكان أخذ السلاح، ولبس لامَة الحرب، ويناسبه تسميته ببريد البعث أيضاً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بالخاء المعجمة كما حكاه الشهيد الثاني عن بعض الفقهاء</w:t>
      </w:r>
      <w:r>
        <w:rPr>
          <w:rStyle w:val="FootnoteAnchor"/>
          <w:rtl w:val="true"/>
        </w:rPr>
        <w:footnoteReference w:id="1040"/>
      </w:r>
      <w:r>
        <w:rPr>
          <w:rFonts w:ascii="Amiri" w:hAnsi="Amiri" w:eastAsia="Amiri" w:cs="Amiri"/>
          <w:color w:val="111111"/>
          <w:sz w:val="28"/>
          <w:sz w:val="28"/>
          <w:szCs w:val="28"/>
          <w:rtl w:val="true"/>
          <w:lang w:bidi="ar-SA"/>
        </w:rPr>
        <w:t>، أي موضع النزع، سمّي به لأنّه تُنزع فيه الثياب للإحرام، ومقتضى ذلك تأخير التسمية عن وضعه ميقاتاً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وأوسطه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بالمعجمة، ثمّ الميم الساكنة،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ثمّ المهملة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منهلة من مناهل طريق مكّة، وهي فصل ما بين نجد وتهامة كما عن الأزهري</w:t>
      </w:r>
      <w:r>
        <w:rPr>
          <w:rStyle w:val="FootnoteAnchor"/>
          <w:rtl w:val="true"/>
        </w:rPr>
        <w:footnoteReference w:id="10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1042"/>
      </w:r>
      <w:r>
        <w:rPr>
          <w:rFonts w:ascii="Amiri" w:hAnsi="Amiri" w:eastAsia="Amiri" w:cs="Amiri"/>
          <w:color w:val="111111"/>
          <w:sz w:val="28"/>
          <w:sz w:val="28"/>
          <w:szCs w:val="28"/>
          <w:rtl w:val="true"/>
          <w:lang w:bidi="ar-SA"/>
        </w:rPr>
        <w:t>، سمّيت به، لزحمة النّاس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عِرْق بالمهملة المكسورة، ثمّ المهملة الساكنة، وهو الجبل الصغير، سُمّيت بها، لأنّه كان بها عِرْقٌ من الماء، أي قليل،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قرية فخربت</w:t>
      </w:r>
      <w:r>
        <w:rPr>
          <w:rFonts w:eastAsia="Amiri" w:cs="Amiri" w:ascii="Amiri" w:hAnsi="Amiri"/>
          <w:color w:val="111111"/>
          <w:sz w:val="28"/>
          <w:szCs w:val="28"/>
          <w:rtl w:val="true"/>
          <w:lang w:bidi="ar-SA"/>
        </w:rPr>
        <w:t>)</w:t>
      </w:r>
      <w:r>
        <w:rPr>
          <w:rStyle w:val="FootnoteAnchor"/>
          <w:rtl w:val="true"/>
        </w:rPr>
        <w:footnoteReference w:id="10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لكون أوّل العقيق المسلح،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العقيق ما بين المسلخ إلى عقبة غمرة</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المسلخ وآخره ذات عِرق</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رسول اللّه صلى الله عليه و آله لأهل العراق العقيق، وأوّله المسلخ، ووسطه غمرة، وآخره ذات عِرق، وأوّله أفضل</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بعض النصوص أوّل العقيق بريد البعث، كصحيح معاوية بن عمّار،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العقيق بريد البعث، وهو دون المسلخ بستة أميال ممّا يلي العراق، وبينه وبين غمرة أربعة وعشرون ميلاً بريدان</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الخبر كما ينافي الأخبار المتقدّمة، وما صرّح به الأصحاب من أنّ أوّل العقيق المَسلخ، كذلك ينافيهما من جهة أنّ لازم ذلك كون آخره غمرة، لما دلّ من النصوص على أنّ مسافة العقيق بريدان، ما بين بريد البعث إلى غمرة بريدين، وقد صرّح بذلك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صحيح عمر بن يزيد،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رسول اللّه صلى الله عليه و آله لأهل المشرق العقيق نحواً من بريدان ما بين البعث إلى غمرة، الحديث</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أُخرى أنّ آخر العقيق أوطاس، وهي جمع وطس؛ اسم وادٍ في بلاد هوازن، كانت فيه وقعة حُنين،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العقيق بريد أوطاس</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في مرسل ابن فضّال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أوطاس ليس من العقيق</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يحضرني الآن شيء يمكن أن يجمع به بين هذه النصوص المختلفة في تعيّين حدود العقيق، وأمّا من ناحية الإحرام فسيأتي الكلام فيه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الفيّومي</w:t>
      </w:r>
      <w:r>
        <w:rPr>
          <w:rStyle w:val="FootnoteAnchor"/>
          <w:rtl w:val="true"/>
        </w:rPr>
        <w:footnoteReference w:id="1051"/>
      </w:r>
      <w:r>
        <w:rPr>
          <w:rFonts w:ascii="Amiri" w:hAnsi="Amiri" w:eastAsia="Amiri" w:cs="Amiri"/>
          <w:color w:val="111111"/>
          <w:sz w:val="28"/>
          <w:sz w:val="28"/>
          <w:szCs w:val="28"/>
          <w:rtl w:val="true"/>
          <w:lang w:bidi="ar-SA"/>
        </w:rPr>
        <w:t>فهي ما ارتفع من الأرض، والجمع نجود، سُمّي به بلاد معروفة من جزيرة العرب، أوّلها من ناحية الحجاز ذات عِرْق، وآخرها سواد العراق، ولهذا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العراق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10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اسمٌ لما دون الحجاز ممّا يلي العراق، أعلاه تهامة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واليمن، وأسفله العراق والشام، وأوّله من جهة الحِجاز ذات عِرْق، وهو مؤذنٌ بدخول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العقيق ميقاتاً لمن ذُكر، ممّا لا خلاف فيه، وقد 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الإجماع المستفيض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لكونه ميقاتاً لأهل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الحَجّ والعُمرة أن تحرم من المواقيت التي وقّتها رسول اللّه صلى الله عليه و آله، لا تجاوزها إلّاوأنتَ مُحرم، فإنّه وقّت لأهل العراق ولم يكن يومئذٍ عراق، بطن العقيق من قبل أهل العراق</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عمر بن يزيد،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رسول اللّه صلى الله عليه و آله لأهل المشرق العقيق نحواً من بريدين</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أهل الكوفة وخراسان وما يليهم فمن العقيق</w:t>
      </w:r>
      <w:r>
        <w:rPr>
          <w:rFonts w:eastAsia="Amiri" w:cs="Amiri" w:ascii="Amiri" w:hAnsi="Amiri"/>
          <w:color w:val="111111"/>
          <w:sz w:val="28"/>
          <w:szCs w:val="28"/>
          <w:rtl w:val="true"/>
          <w:lang w:bidi="ar-SA"/>
        </w:rPr>
        <w:t>»</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لكونه ميقاتاً لأهل 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أبي أيّوب الخزّاز،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 لأهل نجد العقيق وما انجدت</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علي بن رئاب،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ولأهل نجد العقيق</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الإحرام من مواقيت خمسة وقّتها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لأهل نجد العقيق</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رفاعة بن موسى‌،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رسول اللّه صلى الله عليه و آله العقيق لأهل نجد،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وقتٌ لما انجدت الأرض وأنتَ منهم</w:t>
      </w:r>
      <w:r>
        <w:rPr>
          <w:rFonts w:eastAsia="Amiri" w:cs="Amiri" w:ascii="Amiri" w:hAnsi="Amiri"/>
          <w:color w:val="111111"/>
          <w:sz w:val="28"/>
          <w:szCs w:val="28"/>
          <w:rtl w:val="true"/>
          <w:lang w:bidi="ar-SA"/>
        </w:rPr>
        <w:t>»</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لكون العقيق ميقاتاً لمن يمرّ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المتقدّمة، كصحيح عمر بن يزيد، وصحيح الخزّار، وصحيح رفاعة،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انجدت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وجوب الإحرام من هذا الميقات على من مرّ به، وإنْ لم يكن من أهل نجد، لأنّ الإنجاد الدخول في أرض نجد، وتأنيث الضمير باعتبار الأرض المفهومة من السياق في صحيح الخزّاز، والمصرّح بها في صحيح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تمام الكلام في ذلك عند تعرّض المصنّف رحمه الله لهذه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النصوص المتقدّمة أنّ رسول اللّه صلى الله عليه و آله وقّت لأهل العراق ذلك، وقد ذهب إلى ذلك طائفةٌ من أهل السُنّة، ورووا في ذلك روايات، ولكن عن جماعةٍ منهم أنّه وقّته عمر بن الخطّاب، وعن جماعةٍ آخرين منهم أنّه ثبت قياساً، واستدلّوا له بأنّ أهل العراق كانوا مشركين في زمن النبيّ صلى الله عليه و آله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 ذلك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61"/>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حجّة فيه، لعلمه صلى الله عليه و آله بأنّهم يَسْلمون أو يمرّ على هذا الميقات مُسلمٌ كما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صحيح معاوية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وأفضله المسلخ، وأوسطه غمرة، وآخره 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بين الأصحاب أنّه يجوز الإحرام اختياراً من كلّ من المسلخ وغَمرة وذات 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أفضله المسْلَخ، وأوسطه غَمرة، وآخره 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وقد تقدّمت، لاحظ خبر أبي بصير، ومرسل الصدوق وخبر إسحاق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هنا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دلالة جملة من النصوص كخبر أبي بصير وصحيح عمر بن يزيد وصحيح ابن عمّار المتقدّمة، على أنّ أوّل العقيق بريد البعث وهو دون المسلخ بستة أميال، وقد مرّ أنّه لا يمكن لنا الجمع بينها وبين النصوص والكلمات المصرّحة بأنّ أوّل العقيق المسلخ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إنّ هذه الستّة أميال وإنْ كانت من العقيق، ولكنّها خارجة عن بطنه الذي هو الميقات، كما نص عليه في صحيحة ابن عمّار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الجمع وإنْ كان يتمّ بالنسبة إلى صحيح معاوية الثاني، ولكن لا يتمّ بالنسبة إلى صحيح عمر بن يزيد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رسول اللّه صلى الله عليه و آله لأهل المشرق العقيق نحواً من بريدين ما بين بريد البعث إلى غمرة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فالمتعيّن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لإعراض الأصحاب عن هذه النصوص، يتعيّن طرحها، إذ الظاهر أنّ عدم جواز تقديم الإحرام على المسلخ إجماعيٌ‌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0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وادّعى بعضهم الاتّفاق عليه، وعلى فرض عدم سقوطها بالإعراض الموهن، ومعارضتها مع النصوص الاُخر، تقدّم تلك النصوص، للشهرة التي هي أوّل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التأخير إلى ذات عِرق اختياراً، كما هو المشهور، بل قيل كاد أن يكون إجماعاً،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لا يجوز التأخير إليها إلّالمرضٍ أو تقيّةٍ‌،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 xml:space="preserve">، ووالد الصدوق، 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الميل إليه‌؟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ومرسل الصدوق، وخبر إسحاق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عمربن يزيد، وصحيح معاوية، وخبر أبي بصير المتقدّمة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بين الطائفتين إنّما يكون بحمل نصوص المشهور على التقيّة، بشهادة ما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جعفر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إلى صاحب الأمر أرواحنا فداه، يسأله عن الرّجل يكون مع</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هؤلاء، ويكون متّصلاً بهم، يحجّ ويأخذ عن الجادة، ولا يحرم هؤلاء من المسلخ، فهل يجوز لهذا الرّجل أن يؤخّر إحرامه إلى ذات عِرق، فيحرم معهم، لما يخاف من الشهرة، أم لا يجوز إلّاأن يحرم من المسلخ‌؟</w:t>
      </w:r>
    </w:p>
    <w:p>
      <w:pPr>
        <w:pStyle w:val="BookText"/>
        <w:rPr/>
      </w:pPr>
      <w:r>
        <w:rPr>
          <w:rFonts w:ascii="Amiri" w:hAnsi="Amiri" w:eastAsia="Amiri" w:cs="Amiri"/>
          <w:color w:val="111111"/>
          <w:sz w:val="28"/>
          <w:sz w:val="28"/>
          <w:szCs w:val="28"/>
          <w:rtl w:val="true"/>
          <w:lang w:bidi="ar-SA"/>
        </w:rPr>
        <w:t>فكتب إليه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ميقاته، ثمّ يلبس الثياب، ويُلبّي في نفسه فإذا بلغ إلى ميقاتهم أظهره</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التوقيع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دلّ على تعيّن الإحرام من المسلخ، فهو ممّا لم يفتِ به أحدٌ، فلابدّ من رَدّ علمه إلى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دلّ على الفضل، وأنّ مراد السائل من يجوز ولا يجوز من جهة ترك الأفضل، فهو لا يصلح شاهداً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الجمع بذلك، فهو في نفسه مخدوشٌ من جهات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1073"/>
      </w:r>
      <w:r>
        <w:rPr>
          <w:rFonts w:ascii="Amiri" w:hAnsi="Amiri" w:eastAsia="Amiri" w:cs="Amiri"/>
          <w:color w:val="111111"/>
          <w:sz w:val="28"/>
          <w:sz w:val="28"/>
          <w:szCs w:val="28"/>
          <w:rtl w:val="true"/>
          <w:lang w:bidi="ar-SA"/>
        </w:rPr>
        <w:t xml:space="preserve">الجمع بين النصوص بنحوٍ آخر، وارتضاه 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0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075"/>
      </w:r>
      <w:r>
        <w:rPr>
          <w:rFonts w:ascii="Amiri" w:hAnsi="Amiri" w:eastAsia="Amiri" w:cs="Amiri"/>
          <w:color w:val="111111"/>
          <w:sz w:val="28"/>
          <w:sz w:val="28"/>
          <w:szCs w:val="28"/>
          <w:rtl w:val="true"/>
          <w:lang w:bidi="ar-SA"/>
        </w:rPr>
        <w:t>، وحاصله أنّه يجوز الإحرام من أيّ جهةٍ من جهات العقيق، إلّاأنّ له ثلاثة 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المَسْلخ، وهو أفضلها عند ارتفاع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غَمرة، وهي ممّا يلي المسلخ في الفضل عند ارتفاع التقيّة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عِرق، وهي أدونها في الفضل إلّاعند التقيّة والشناعة والخوف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فذات عِرق هي أفضلها في هذا الحال، وحينئذٍ فما في مكاتبة الحميري تعليمٌ للجمع بين مراعاة الفضل والتقيّة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جمعٌ تبرّعي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الدالّة على عدم جواز التأخير إلى ذات عِرق مع كثرتها، وصحّة أسانيدها، معرضٌ عنها عند الأصحاب، فهي موهونة بذلك لابدّ من طرحها، لسقوطها عن الحجيّة، وقد حُقّق في محلّه أنّ الخبر كلّما ازداد صحّةً ازداد ضعفاً بالإعراض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الأصحاب عملوا بها وأفتوا بمضمونها، فلا تكون معرضاً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تأثير لعمل نفرٍ قليل في مقابل إعراض الجُلّ‌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تلك النصوص من جهة تضمّنها أنّ أوّل العقيق هو بريد البعث لم يفتِ أحدٌ بمضمونها، فهي مطروحة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إفتاء الشيخ وابني بابويه بذلك، لاحظ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رسول اللّه صلى الله عليه و آله لكلّ قومٍ ميقاتاً على حسب طُرُقهم، فوقّت لأهل العراق ومن حَجّ على طريقهم العقيق، وله ثلاثة 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المَسْلخ وهو أفضلها، ولا ينبغي أن يؤخّر الإنسان الإحرام منه إلّا عند الضرورة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يجوز عبورها إلّامُحرِماً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عِرْق، ولا يجعل إحرامه من ذات عِرق إلّاعند الضرورة والتقيّة، لا يتجاوز ذات عِرق إلّامُحْرِماً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0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ولأهل العراق العقيق، وأوّل العقيق المسلخ، ووسطه غمرة، وآخره ذات عِرق، ولا يؤخّر الإحرام إلى ذات عِرق إلّامن علّةٍ‌، وأوّله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الكلمات أنّ ذات عرق من العقيق، غاية الأمر أنّ الأفضل أن لا يؤخّر الإحرام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وأصرّح من ذلك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 فإذاً هذه النصوص مخالفة للإجماع، ولم يثبت إفتاء أحدٍ بمضمونها، فالأقوى ما عليه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والمتّفق عليه بين الأصحاب كون آخره ذات 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عبورها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 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النصوص المتقدّمة، فما في بعض النصوص المتقدّمة من أنّ آخر العقيق أوطاس، فلمخالفته للإجماع والاتّفاق لابدّ من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مواضع العقيق بِرْكة الشريف، وهي بِرْكة مربّعة في يمين من يذهب من العراق إلى مكّة في حواليها أشجار الشوك الكثيرة، ولم يذكر لذلك دليلٌ سوى كونها أوّل المسلخ، وقد دلّ النّص على أنّ أوّل العقيق أفضل، ولكن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المستنند</w:t>
      </w:r>
      <w:r>
        <w:rPr>
          <w:rFonts w:eastAsia="Amiri" w:cs="Amiri" w:ascii="Amiri" w:hAnsi="Amiri"/>
          <w:color w:val="111111"/>
          <w:sz w:val="28"/>
          <w:szCs w:val="28"/>
          <w:rtl w:val="true"/>
          <w:lang w:bidi="ar-SA"/>
        </w:rPr>
        <w:t>»</w:t>
      </w:r>
      <w:r>
        <w:rPr>
          <w:rStyle w:val="FootnoteAnchor"/>
          <w:rtl w:val="true"/>
        </w:rPr>
        <w:footnoteReference w:id="10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يظهر لي ذلك بعد التفحّص</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38" w:name="pg11805_168155"/>
    </w:p>
    <w:p>
      <w:pPr>
        <w:pStyle w:val="BookText"/>
        <w:rPr/>
      </w:pPr>
      <w:bookmarkEnd w:id="238"/>
      <w:r>
        <w:rPr>
          <w:rFonts w:ascii="Amiri" w:hAnsi="Amiri" w:eastAsia="Amiri" w:cs="Amiri"/>
          <w:color w:val="111111"/>
          <w:sz w:val="28"/>
          <w:sz w:val="28"/>
          <w:szCs w:val="28"/>
          <w:rtl w:val="true"/>
          <w:lang w:bidi="ar-SA"/>
        </w:rPr>
        <w:t>ولأهل المدينة مسجد الشجرة</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0670547_73709187"/>
      <w:bookmarkStart w:id="240" w:name="_Toc81"/>
      <w:bookmarkEnd w:id="239"/>
      <w:r>
        <w:rPr>
          <w:rtl w:val="true"/>
        </w:rPr>
        <w:t>ميقات أهل المدينة</w:t>
      </w:r>
      <w:bookmarkEnd w:id="24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الميقات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8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1082"/>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108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العلم والعمل</w:t>
      </w:r>
      <w:r>
        <w:rPr>
          <w:rFonts w:eastAsia="IRNazanin" w:cs="IRNazanin"/>
          <w:color w:val="111111"/>
          <w:sz w:val="28"/>
          <w:szCs w:val="28"/>
          <w:rtl w:val="true"/>
          <w:lang w:bidi="fa-IR"/>
        </w:rPr>
        <w:t>»</w:t>
      </w:r>
      <w:r>
        <w:rPr>
          <w:rStyle w:val="FootnoteAnchor"/>
          <w:rtl w:val="true"/>
        </w:rPr>
        <w:footnoteReference w:id="108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08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08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8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08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09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09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9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09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09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09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بل جميع كتب الشيخ</w:t>
      </w:r>
      <w:r>
        <w:rPr>
          <w:rStyle w:val="FootnoteAnchor"/>
          <w:rtl w:val="true"/>
        </w:rPr>
        <w:footnoteReference w:id="1099"/>
      </w:r>
      <w:r>
        <w:rPr>
          <w:rFonts w:ascii="IRNazanin" w:hAnsi="IRNazanin" w:eastAsia="IRNazanin"/>
          <w:color w:val="111111"/>
          <w:sz w:val="28"/>
          <w:sz w:val="28"/>
          <w:szCs w:val="28"/>
          <w:rtl w:val="true"/>
          <w:lang w:bidi="fa-IR"/>
        </w:rPr>
        <w:t>والصدوق</w:t>
      </w:r>
      <w:r>
        <w:rPr>
          <w:rStyle w:val="FootnoteAnchor"/>
          <w:rtl w:val="true"/>
        </w:rPr>
        <w:footnoteReference w:id="1100"/>
      </w:r>
      <w:r>
        <w:rPr>
          <w:rFonts w:ascii="Amiri" w:hAnsi="Amiri" w:eastAsia="Amiri" w:cs="Amiri"/>
          <w:color w:val="111111"/>
          <w:sz w:val="28"/>
          <w:sz w:val="28"/>
          <w:szCs w:val="28"/>
          <w:rtl w:val="true"/>
          <w:lang w:bidi="ar-SA"/>
        </w:rPr>
        <w:t>والقاضي</w:t>
      </w:r>
      <w:r>
        <w:rPr>
          <w:rStyle w:val="FootnoteAnchor"/>
          <w:rtl w:val="true"/>
        </w:rPr>
        <w:footnoteReference w:id="1101"/>
      </w:r>
      <w:r>
        <w:rPr>
          <w:rFonts w:ascii="Amiri" w:hAnsi="Amiri" w:eastAsia="Amiri" w:cs="Amiri"/>
          <w:color w:val="111111"/>
          <w:sz w:val="28"/>
          <w:sz w:val="28"/>
          <w:szCs w:val="28"/>
          <w:rtl w:val="true"/>
          <w:lang w:bidi="ar-SA"/>
        </w:rPr>
        <w:t>والديلمي</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طوائف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الميقات هو مسجد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 الإمام الصادق عليه السلام المتضمّن لبيان حَجّ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انتهى إلى ذي الحُليفة فزالت الشمس، اغتسل ثمّ خرج حتّى أتى المسجد الذي عند الشجرة فصلّى فيه الظهر وعزم بالحَجّ‌</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الفضلاء،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في مسجد الشجرة فقل وأنت قاعد في دَبر الصلاة قبل أن تقوم ما يقول المُحرم، ثمّ قُم فامش حتّى تبلغ المِيل وتستوي بك البيداء، فإذا استوت بك فلبّه</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بإسناده عن حَفص بن البُختري، ومعاوية بن عمّار، وعبد الرحمن بن الحجّاج، والحلبي كلّهم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من مسجدالشجرة، فلا تلبِّ حتّى تنتهي إلى البيداء</w:t>
      </w:r>
      <w:r>
        <w:rPr>
          <w:rFonts w:eastAsia="Amiri" w:cs="Amiri" w:ascii="Amiri" w:hAnsi="Amiri"/>
          <w:color w:val="111111"/>
          <w:sz w:val="28"/>
          <w:szCs w:val="28"/>
          <w:rtl w:val="true"/>
          <w:lang w:bidi="ar-SA"/>
        </w:rPr>
        <w:t>»</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أنّ‌الميقات ذو الحُليفة، ولكنّه قد فُسّر بمسجدالشجرة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الحلبى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لأهل المدينة ذا الحُليفة، وهو مسجد الشجرة</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صلى الله عليه و آله وقّت لأهل العراق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لأهل المدينة ذا الحُليفة وهو مسجد الشجرة</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ولأهل المدينة ذا الحُليفة وهو مسجد الشجرة</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الميقات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بالمدينة شهراً وهو يريد الحَجّ‌، ثمّ بدا له أن يخرج في غير طريق أهل المدينة الذين يأخذونه، فليكن إحرامه حِذاء الشجرة من البيداء</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المتعة في الحَجّ من أين أحرامها وإحرام الحَجّ؟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رسول اللّه صلى الله عليه و آله لأهل العراق من العقيق، ولأهل المدينة ومن يليها من الشجرة، الحديث</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في ذلك صحيح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المعلوم أنّ ليس المراد بالشجرة نفس الشجرة، بل الظاهر أنّ المراد بها مسجد الشجرة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الميقات هو ذو الحليفة، وفُسّر ذلك بالشجرة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رئاب،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الأوقات التي وقّتها رسول اللّه صلى الله عليه و آله للنّاس‌؟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وقّت لأهل المدينة ذا الحُليفة وهي الشجرة</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ينافي ذلك النصوص الدالّة على أنّه ذو الحُليفة من دون أن يفسّره الظاهر في بادئ النظر في أنّه المكان الذي فيه المسجد،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أبي أيّوب الخزّاز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لأهل المدينة ذا الحُليفة</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معاوية المتقدّم أيضاً،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 لأهل المدينة ذا الحُليفة</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ونحوهما غيرهما، لا لما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 xml:space="preserve">من أنّه يجبُ حمل المطلق على المقيّد، لأنّ نسبة المسجد إلى ذي الحليفة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المكان الذي فيه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الجزء إلى الكلّ‌، لا الجزئي إلى الكلّي، بل لأنّه فُسّر في النصوص الاُخر ذو الحُليفة بالمسجد، وعليه فما في جملةٍ من كلمات الفقهاء من أنّ ميقات أهل المدينة ذو الحُليفة، إنّما هو لأجل تبعيّة النصوص، وإلّا فمرادهم منه هو المسجد، وعليه فلا خلاف في هذا الميقات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مع ذلك الأقوى جواز الإحرام من خارج المسجد ولو اختياراً، وإنْ قلنا بأنّ ذا الحُليفة هو المسجد، وذلك لأنّ مع الإحرام من جوانب المسجد يصدق الإحرام منه عرفاً، إذ فرق بين الأمر بالإحرام من المسجد أو بالإحرام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مع إمكان دعوى أنّ المسجد حَدٌّ للإحرام، فيشمل جانبيه مع محاذاته، 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المحاذاة كافية ولو مع القرب</w:t>
      </w:r>
      <w:r>
        <w:rPr>
          <w:rFonts w:eastAsia="Amiri" w:cs="Amiri" w:ascii="Amiri" w:hAnsi="Amiri"/>
          <w:color w:val="111111"/>
          <w:sz w:val="28"/>
          <w:szCs w:val="28"/>
          <w:rtl w:val="true"/>
          <w:lang w:bidi="ar-SA"/>
        </w:rPr>
        <w:t>)</w:t>
      </w:r>
      <w:r>
        <w:rPr>
          <w:rStyle w:val="FootnoteAnchor"/>
          <w:rtl w:val="true"/>
        </w:rPr>
        <w:footnoteReference w:id="111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على ما أفاده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الإحرام من خارج المسجد لو صدق عليه الإحرام من المسجد، فإنّما هو من الجانب المتّصل به دون الجانب منه مع عدم الاتّصال، لأنّ الابتداء حينئذٍ ليس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النصوص خصوصيّة المسجد، لا أنّه أُخذ فى الموضوع بلحاظ البُعد عن مكّة، فيكفي جميع ما يحاذيه من المواضع المساوية له في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الكلام في الميقات التاسع، في أنّ كفاية المحاذاة هل تكون مختصّة بصورة البُعد، أم تشمل القريب من المسجد،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 اللّغويين بل الفقهاء في مقدار بُعد ذي الحُليفة عن المدينة المنوّرة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موضعٌ على ستّة أميال من المدينة، وهو ماءٌ لبني جُشَم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بضمّ الحاء المهملة، وفتح اللّام، وإسكان الياء المثناة من تحت وبالفاء، وهو على نحو ستّة أميال من المدينة، وقيل سبعة، وقيل أربعة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لعياض</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الحُليفة ماءٌ لبني جُشَم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41" w:name="pg11805_168160"/>
    </w:p>
    <w:p>
      <w:pPr>
        <w:pStyle w:val="BookText"/>
        <w:rPr/>
      </w:pPr>
      <w:bookmarkEnd w:id="241"/>
      <w:r>
        <w:rPr>
          <w:rFonts w:ascii="Amiri" w:hAnsi="Amiri" w:eastAsia="Amiri" w:cs="Amiri"/>
          <w:color w:val="111111"/>
          <w:sz w:val="28"/>
          <w:sz w:val="28"/>
          <w:szCs w:val="28"/>
          <w:rtl w:val="true"/>
          <w:lang w:bidi="ar-SA"/>
        </w:rPr>
        <w:t>وعند الضرورة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من مياه بني جُشَم، ثمّ سُمّي به الموضع، وهو ميقات أهل المدينة نحو مرحلة، ويُقال على ستّة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21"/>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عشرة أميال من مكّة وعن المدينة 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w:t>
      </w:r>
      <w:r>
        <w:rPr>
          <w:rStyle w:val="FootnoteAnchor"/>
          <w:rtl w:val="true"/>
        </w:rPr>
        <w:footnoteReference w:id="1123"/>
      </w:r>
      <w:r>
        <w:rPr>
          <w:rFonts w:ascii="Amiri" w:hAnsi="Amiri" w:eastAsia="Amiri" w:cs="Amiri"/>
          <w:color w:val="111111"/>
          <w:sz w:val="28"/>
          <w:sz w:val="28"/>
          <w:szCs w:val="28"/>
          <w:rtl w:val="true"/>
          <w:lang w:bidi="ar-SA"/>
        </w:rPr>
        <w:t>لفخر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لمسجد الشجرة ذو الحُليفة، وكان قبل الإسلام اجتمع فيه ناس وتحالفوا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أنّه لا فائدة في هذا النزاع والاختلاف، إذ مسجد الشجرة لم يزَل معروفاً من صدر الإسلام إلى اليوم،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 ووقوع الاختلاف المذكور من الغرائب</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0670549_73709187"/>
      <w:bookmarkStart w:id="243" w:name="_Toc82"/>
      <w:bookmarkEnd w:id="242"/>
      <w:r>
        <w:rPr>
          <w:rtl w:val="true"/>
        </w:rPr>
        <w:t>ميقات الجُحفة</w:t>
      </w:r>
      <w:bookmarkEnd w:id="24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بينهم في أنّه يجوز لأهل المدينة أن يحرموا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به النصوص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تعيّين حَدّ الجُحفة، وبيان المراد منها؟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أنّه هل يجوز تأخير الإحرام إليها اختياراً أم 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هل يختصّ الضرورة بالمرض والضعف أم تعمّ كلّ ضرورةٍ؟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أنّه هل يجوز الإحرام منها اختياراً إذا مشى من غير طريق ذي الحُليفة، فيختصّ المنع بمَن مشى من ذلك الطريق، أم لا يجوز؟</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أنّه بناءً على عدم جواز التأخير لو لم يحرم من ذي الحُليفة وجاوزه فأحرم من الجُحفة، هل يكون إحرامه صحيحاً، وإنْ عصى بالتأخير أم لا؟</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بالجيم المضمومة ثمّ المهملة الساكنة ثمّ الفاء المفتوحة، فناء على سبع مراحل من المدينة، وثلاث من مكّة كما عن بعض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بينها وبين البحر نحو ستّة أميال، وعن غيره ميلان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تناقض، لاختلاف البحر باختلاف الازمنة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مدينةً فخربت سُمّيت بها، لإجحاف السيل بها، أي ذهابه بها</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وسُمّيت مَهْيَعة بفتح الميم وسكون الهاء وفتح الياء المثناة التحتانيّة، ومعناه المكان الواسع</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11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قرية جامعة على اثنين ميلاً من مكّة، يُسمّى مَهيعة،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فنزل بها بنو عُبيد وهم إخوة عاد، وكان أخرجهم العماليق من يثرب، فجاءهم سيلٌ فاجتحفهم فسُمّيت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r>
        <w:rPr>
          <w:rStyle w:val="FootnoteAnchor"/>
          <w:rtl w:val="true"/>
        </w:rPr>
        <w:footnoteReference w:id="11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 بين مكّة ومدينة قريبٌ من رابغ بين بدر وخَليص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11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مكانٌ بين مكّة والمدينة، محاذية لذي الحُليفة من الجانب الشامي، قريبٌ من رابغ بين بدر وخَليص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ياقوت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قرية كبيرة ذات مبني على طريق المدينة من مكّة، على أربع مراحل، وهي ميقات مصر والشام إنْ لم يمرّوا على المدينة، وإنّما سُمّيت الجُحفة، لأنّ السيل اجتحفها، وحمل أهلها في بعض الأعوام، وهي الآن 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إنّها تبعد عن مكّة المكرّمة مسافة مائتين وعشرين 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شهرة عظيمة أنّه لايجوز التأخير إليها اختياراً، ولم يخالف إلّاالجُعفي</w:t>
      </w:r>
      <w:r>
        <w:rPr>
          <w:rStyle w:val="FootnoteAnchor"/>
          <w:rtl w:val="true"/>
        </w:rPr>
        <w:footnoteReference w:id="1131"/>
      </w:r>
      <w:r>
        <w:rPr>
          <w:rFonts w:ascii="Amiri" w:hAnsi="Amiri" w:eastAsia="Amiri" w:cs="Amiri"/>
          <w:color w:val="111111"/>
          <w:sz w:val="28"/>
          <w:sz w:val="28"/>
          <w:szCs w:val="28"/>
          <w:rtl w:val="true"/>
          <w:lang w:bidi="ar-SA"/>
        </w:rPr>
        <w:t xml:space="preserve">وابن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 فإنّهما جوّزا التأخير إليها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إبراهيم بن عبد الحميد، عن أبي الحسن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قوم قدموا المدينة فخافوا كثرة البرد وكثرة الأيّام يعني الإحرام من الشجرة،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وأرادوا أن ياخذوا منها إلى ذات عرق فيحرموا منها؟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المدينة فليس له أن يحرم إلّامن المدينة</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ميقات أهل المدينة، هو مسجد الشجرة، كما دلّ على ذلك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عابها عليك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أحرم من الجُحفة، ورسول اللّه صلى الله عليه و آله أحرم من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أحد الوقتين، فأخذتُ بأدناهما وكنتُ عليلاً</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أنّ وجه تأخيره كونه عليه السلام كان عليلاً، فيدلّ بالمفهوم على عدم جواز التأخير إلّاعند حدوث العلّة والمرض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بكر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بأهلي ماشياً فلم أهلّ حتّى أتيتُ الجحفة، وقد كنت شاكياً، فجعل أهل المدينة يسألون عنّي، فيقولون لقيناه وعليه ثيابه، وهم لا يعلمون وقد رَخّص رسول اللّه عليه السلام لمن كان مريضا أو ضعيفاً أن يحرم من الجُحفة</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ما تقدّم من النصوص المعيّنة لمسجد الشجرة لأهل المدينة الظاهرة في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بطائفة من النصوص</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إحرام أهل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الكوفة وأهل خراسان وما يليهم، وأهل الشام ومصر من 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الكوفة وخراسان وما يليهم فمن العقيق، وأهل المدينة من ذي الحُليفة والجُحفة، وأهل الشام ومصر من الجُحفة، وأهل اليمن من يَلملم، الحديث</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رجلٍ من أهل المدينة أحرم من الجُحفة‌؟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يحرم الرّجل إذا جاوز الشجرة‌؟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الجُحفة ولا يجاوز الجُحفة إلّامُحرماً</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دلالة هذه النصوص، الصريحة في الجواز، أي جواز الإحرام من الجُحفة اختياراً، حمل هذا القائل نصوص تعيّن مسجد الشجرة على إرادة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النصوص وإنْ كانت ظاهرة في الجواز، وصالحة للقرينيّة على حمل نصوص تعيّن مسجد الشجرة على إرادة الأفضليّة، وخبرين من أخبار عدم الجواز، قابلان للمناقشة فى دلالتهما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خبرا إبراهيم، وأبي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المحتمل إرادة الحصر بالإضافة إلى ذات عِرق، بل الجمع بينه وبين خبر أبي بصير المصرّح بأنّ الجُحفة أحد الوقتين، يقتضي ذلك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الجُحفة أحد الوقتين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 الاعابة كانت بلحاظ تركه الأفضل، واعتذاره بأنّه كان عليلاً عن ذلك، إلّاأنّ صحيح الحضرمي ظاهرٌ في اختصاص الترخيص بالمريض الضعيف، لتضمّنه معنى الشرط، فيدلّ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بالمفهوم على عدم الجواز في غير حال المرض والضعف، وهو يصلح قرينةً لحمل خبر علي بن جعفر عليه السلام على إرادة بيان أصل المشروعيّة، ولو في حال الاضطرار، وحمل صحيح معاوية على إرادة أنّ متوطّن المدينة له أن يحرم من الجُحفة ولو في بعض الموارد، دفعاً لتوهّم السائل أنّ أهل المدينة وإنْ مرّوا على طريق الشام، يتعيّن عليهم الإحرام من مسجد الشجرة، فليحملا على ذلك جمعاً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فالمفروض فيه التجاوز عن الشجرة، فلا يكون في مقام بيان حكم التجاوز عنها، وأنّه يجوز أم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المشهور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فالجمود على ظواهر النصوص، يقتضي البناء على الإختصاص بالمرض والضعف، للتصريح بهما في صحيح الحضرمي، وبالمرض في خبر أبي بصير، إلّاأنّ الأصحاب فهموا منهما إرادة المثال، وإلّا فالمدار على الضرورة، وهو حسنٌ‌، وطريق الاحتياط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13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14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141"/>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14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عدل عن طريقه ولو من المدينة في الابتداء جاز، وأحرم منها اختياراً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أحد الوقتين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بين النصوص اقتضى حمل ذلك على إرادة أحدهما في حال الضرورة لا مطلقاً، وعليه فالأولى أن يستدلّ له بعموم ما دلّ على أنّه يجوز الإحرام من أيّ ميقاتٍ اتّفق المرور عليه، ولو لغير أهله، وأنّ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كلّ 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يمرّ عليه، كما يشهد به مضافاً إلى وضوحه، صحيح معاوية المتقدّم الذي حملناه على إرادة ذلك، فلاحظه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لو أتى إلى ذي الحُليفة ورجع منه، ومشى من طريق آخر، له أن يحرم من الجُحفة، وأنّ ما دلّ على عدم جواز المرور عن الميقات بغير إحرام، ظاهرٌ في ارادة التجاوز عنه، والمفروض في المثال عدم التجاوز، فيشمله إطلاق ما دلّ على أنّ كلّ مَن مَرّ على ميقاتٍ له أن يحرم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إبراهيم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السند،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ثلاثة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1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أنّه يصحّ إحرام من أخّر الإحرام عن ذي الحُليفة من الجُحفة، وإنْ عصى بتأخير الإحرام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 أعاظم المعاصرين</w:t>
      </w:r>
      <w:r>
        <w:rPr>
          <w:rStyle w:val="FootnoteAnchor"/>
          <w:rtl w:val="true"/>
        </w:rPr>
        <w:footnoteReference w:id="1147"/>
      </w:r>
      <w:r>
        <w:rPr>
          <w:rFonts w:ascii="Amiri" w:hAnsi="Amiri" w:eastAsia="Amiri" w:cs="Amiri"/>
          <w:color w:val="111111"/>
          <w:sz w:val="28"/>
          <w:sz w:val="28"/>
          <w:szCs w:val="28"/>
          <w:rtl w:val="true"/>
          <w:lang w:bidi="ar-SA"/>
        </w:rPr>
        <w:t>عدم العصيان أيضاً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إحرامه حينئذٍ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1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التفصيل بالإمكان وعدم المشقّة، فلا يصحّ وإلّا فيصحّ‌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بصدق الإحرام من الميقات الذي هو وقتٌ لكلّ من يمرّ عليه، وإنْ كان آثماً أوّلاً عند المرور على الأوّل، إلّاأن ذلك لا يُخرجه عن صدق اسم المرور على الثاني، مضافاً إلى إطلاق نفي البأس عن الإحرام منه، وتقيّيد الحكم التكليفي لايقتضي تقيّيد الحكم الوضعى المستفاد من ظاهر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لذلك قال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القطع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دعوى اختصاص ما دلّ على أنّ كلّ من مرّ على ميقاتٍ فهو ميقاتٌ له بمن لم يمرّ على ميقات بلده، والشاهد على ذلك خبر صفوان فقد كتب إلى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قوماً من أهل البصرة يمرّون على بطن العقيق، ولا يحرمون منه، وإنّما يريدون الإحرام من منزلٍ وراء العقيق بخمسة عشر ميلاً؟</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وقّت المواقيت لأهلها، ومن أتى عليها من غير أهلها</w:t>
      </w:r>
      <w:r>
        <w:rPr>
          <w:rFonts w:eastAsia="Amiri" w:cs="Amiri" w:ascii="Amiri" w:hAnsi="Amiri"/>
          <w:color w:val="111111"/>
          <w:sz w:val="28"/>
          <w:szCs w:val="28"/>
          <w:rtl w:val="true"/>
          <w:lang w:bidi="ar-SA"/>
        </w:rPr>
        <w:t>....</w:t>
      </w:r>
      <w:r>
        <w:rPr>
          <w:rStyle w:val="FootnoteAnchor"/>
          <w:rtl w:val="true"/>
        </w:rPr>
        <w:footnoteReference w:id="1150"/>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نفي إطلاق البأس عن الإحرام منه، مقيّدٌ بصورة الإضطرار، ولم يُقيّد خصوص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وجهه، ويشهد به مضافاً إلى ذلك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إبراهيم بن عبد الحميد المتقدّم، فيمن أراد الإحرام من المدينة فأراد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يأخذ منها إلى ذات عِرق،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المدينة فليس له أن يُحرم إلّامن المدينة</w:t>
      </w:r>
      <w:r>
        <w:rPr>
          <w:rFonts w:eastAsia="Amiri" w:cs="Amiri" w:ascii="Amiri" w:hAnsi="Amiri"/>
          <w:color w:val="111111"/>
          <w:sz w:val="28"/>
          <w:szCs w:val="28"/>
          <w:rtl w:val="true"/>
          <w:lang w:bidi="ar-SA"/>
        </w:rPr>
        <w:t>»</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فإنّ الخبر ضعيف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ترك الإحرام حتّى دخل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 ميقات أهل بلاده الذى يحرمون منه، فيحرم، فإن خشي أن يفوته الحَجّ‌، فليحرم من مكانه، فإنْ استطاع أن يخرج من الحرم فليخرج</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ترك الإحرام حتّى انتهى إلى الحرم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ميقات أهل بلاده الذي يحرمون به فيحرم</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ودلالتهما على المدّعى واضحة، وبهما يُقيّد إطلاق ما دلّ على أنّ من مَرّ على ميقاتٍ فهو ميقاته، لو كان له إطلاقٌ شامل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 مدرك الاكتفاء في صورة المشقّة وعدم الإمكان، هو ما دلّ على أنّ الجُحفة ميقات لأهل المدينة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 عن المرض والضعف إلى مثل هذه الضرورة غير ظاهر، نعم إذا خاف فوت الحَجّ إن رجع إلى الميقات الأوّل، جاز له الإحرام منها لصحيح الحلبي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44" w:name="pg11805_168169"/>
    </w:p>
    <w:p>
      <w:pPr>
        <w:pStyle w:val="Heading3"/>
        <w:numPr>
          <w:ilvl w:val="2"/>
          <w:numId w:val="1"/>
        </w:numPr>
        <w:rPr/>
      </w:pPr>
      <w:bookmarkStart w:id="245" w:name="__RefHeading___Toc10670551_73709187"/>
      <w:bookmarkStart w:id="246" w:name="_Toc83"/>
      <w:bookmarkEnd w:id="244"/>
      <w:bookmarkEnd w:id="245"/>
      <w:r>
        <w:rPr>
          <w:rtl w:val="true"/>
        </w:rPr>
        <w:t>حكم إحرام الحائض والجُنُب من أهل المدينة</w:t>
      </w:r>
      <w:bookmarkEnd w:id="246"/>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المُحرم جُنُباً أو حائضاً، ولم يكن استعمال الماء ميسوراً له ولو لضيق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بجواز الإحرام من خارج المسجد، أو جواز الإحرام من الجُحفة اختياراً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اخترناه من لزوم كون الإحرام من داخل المسجد، وأنّه لا يُجزي الإحرام من الجُحفة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كلام إنْ أمكن له الإحرام في حال الاجتياز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يمكن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يحرمان من خارج المسجد، كما عن الشهيد الثاني</w:t>
      </w:r>
      <w:r>
        <w:rPr>
          <w:rStyle w:val="FootnoteAnchor"/>
          <w:rtl w:val="true"/>
        </w:rPr>
        <w:footnoteReference w:id="11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لوجوب قطع المسافة من المسجد إلى مكّة محرماً؟</w:t>
      </w:r>
    </w:p>
    <w:p>
      <w:pPr>
        <w:pStyle w:val="BookText"/>
        <w:rPr/>
      </w:pPr>
      <w:r>
        <w:rPr>
          <w:rFonts w:ascii="Amiri" w:hAnsi="Amiri" w:eastAsia="Amiri" w:cs="Amiri"/>
          <w:color w:val="111111"/>
          <w:sz w:val="28"/>
          <w:sz w:val="28"/>
          <w:szCs w:val="28"/>
          <w:rtl w:val="true"/>
          <w:lang w:bidi="ar-SA"/>
        </w:rPr>
        <w:t xml:space="preserve">أم يؤخّرانه إلى الجُحفة، لكون العذر ضرورة مبيحة للتأخير،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يحرمان من خارج المسجد، ويجدّدان الإحرام من الجُحفة أو محاذاتها؟</w:t>
      </w:r>
    </w:p>
    <w:p>
      <w:pPr>
        <w:pStyle w:val="BookText"/>
        <w:rPr/>
      </w:pPr>
      <w:r>
        <w:rPr>
          <w:rFonts w:ascii="Amiri" w:hAnsi="Amiri" w:eastAsia="Amiri" w:cs="Amiri"/>
          <w:color w:val="111111"/>
          <w:sz w:val="28"/>
          <w:sz w:val="28"/>
          <w:szCs w:val="28"/>
          <w:rtl w:val="true"/>
          <w:lang w:bidi="ar-SA"/>
        </w:rPr>
        <w:t>أم يفصّل بين الحائض غير المنقطع دمها، وبين الجُنُب والحائض التي انقطع دمها؟ وجوه وأقوال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الجُنُب والحائض المنقطع دمها يتيمّمان بدلاً عن غُسل </w:t>
      </w:r>
    </w:p>
    <w:p>
      <w:pPr>
        <w:pStyle w:val="BookText"/>
        <w:rPr/>
      </w:pPr>
      <w:r>
        <w:rPr>
          <w:rFonts w:ascii="Amiri" w:hAnsi="Amiri" w:eastAsia="Amiri" w:cs="Amiri"/>
          <w:color w:val="111111"/>
          <w:sz w:val="28"/>
          <w:sz w:val="28"/>
          <w:szCs w:val="28"/>
          <w:rtl w:val="true"/>
          <w:lang w:bidi="ar-SA"/>
        </w:rPr>
        <w:t>الجنابة والحيض، إمّا للصلاة، أو للكون في المسجد، فيدخلان المسجد ويُحرمان منه، ويصحّ إحرامهما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يشرع المكث في المسجد لها مع التيمّم،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جُنُباً إِلاّ عابِرِي سَبِيلٍ حَتَّى تَغْتَسِلُوا</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فجعل الغاية هو الغُسل، ولو أباحه التيمّم لكان أيضاً غايةً كما عن فخر المحقّقين</w:t>
      </w:r>
      <w:r>
        <w:rPr>
          <w:rStyle w:val="FootnoteAnchor"/>
          <w:rtl w:val="true"/>
        </w:rPr>
        <w:footnoteReference w:id="1159"/>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أجبنا عنها في مبحث التيمّم مفصّلاً</w:t>
      </w:r>
      <w:r>
        <w:rPr>
          <w:rStyle w:val="FootnoteAnchor"/>
          <w:rtl w:val="true"/>
        </w:rPr>
        <w:footnoteReference w:id="1160"/>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أدلّة بدليّة التيمّم حاكمة على الآية الكريمة كحكومتها على غيرها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أفاده بعض الأعاظم</w:t>
      </w:r>
      <w:r>
        <w:rPr>
          <w:rStyle w:val="FootnoteAnchor"/>
          <w:rtl w:val="true"/>
        </w:rPr>
        <w:footnoteReference w:id="1161"/>
      </w:r>
      <w:r>
        <w:rPr>
          <w:rFonts w:ascii="Amiri" w:hAnsi="Amiri" w:eastAsia="Amiri" w:cs="Amiri"/>
          <w:color w:val="111111"/>
          <w:sz w:val="28"/>
          <w:sz w:val="28"/>
          <w:szCs w:val="28"/>
          <w:rtl w:val="true"/>
          <w:lang w:bidi="ar-SA"/>
        </w:rPr>
        <w:t>من أنّ جعل المكث غايةً للغُسل أو التيمّم، لايخلو عن إشكالٍ‌، إذ المتوقّف عليها جواز المكث، لا نفس المكث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عنه في الأجزاء السابقة من هذا الشرح في مبحث وجوب إزالة النجاسة عن المسجد، فراجع</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الحائض قبل نقائها وانقطاع دمها، فلا يشرع لها التيمّم، لعدم اقتضاءه الإباحة فضلاً عن رفع الحَدَث منها، ولا وجه لإحرامها من خارج المسجد، باعتبار أنّ الميقات نفس المسجد، وكفاية المحاذاة إنّما هي مع البُعد، فلا تتمكّن من الإحرام قبل الجُحفة، فيجوز لها ترك الإحرام من هناك والتحرّم من الجُحفة، لا لكون ذلك عذراً، بل لعموم ما دلّ على أنّ من مَرّ على ميقاتٍ عليه أن يحرم منه،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وأنّه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كلّ ميقاتٍ مَن يمرّ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كفاية المحاذاة حتّى للقريب، يجب عليها أن تحرم من خارج المسجد، وسيمرّ عليك الكلام في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 وجه الاحتياط بأن تحرم من خارج المسجد، ثمّ تُجدّد الإحرام من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الحائض تريد الإحرام‌؟ قال عليه السلام تغتسل وتستثفر وتحتشي بالكُرسُف، وتلبس ثوباً دون ثياب إحرامها، وتستقبل القبلة، ولا تدخل المسجد، وتهلّ بالحَجّ بغير الصلاة</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 xml:space="preserve">، الذي استدلّ به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لوجوب إحرامها من خارج المسجد، فالظاهر كونه أجنبيّاً عن المقام، لوروده في خصوص إحرام الحَجّ دون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العُمرة جزء من الحَجّ‌، فيصحّ أن يقال إنّها تهلّ بالحَجّ في صورة الإهلال بالعُمرة،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الخبر يوجبُ صيرورة الاحتياط المتقدّم لزوميّاً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47" w:name="pg11805_168172"/>
    </w:p>
    <w:p>
      <w:pPr>
        <w:pStyle w:val="BookText"/>
        <w:rPr/>
      </w:pPr>
      <w:bookmarkEnd w:id="247"/>
      <w:r>
        <w:rPr>
          <w:rFonts w:ascii="Amiri" w:hAnsi="Amiri" w:eastAsia="Amiri" w:cs="Amiri"/>
          <w:color w:val="111111"/>
          <w:sz w:val="28"/>
          <w:sz w:val="28"/>
          <w:szCs w:val="28"/>
          <w:rtl w:val="true"/>
          <w:lang w:bidi="ar-SA"/>
        </w:rPr>
        <w:t>وهي ميقات أهل الشام اختياراً</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0670553_73709187"/>
      <w:bookmarkStart w:id="249" w:name="_Toc84"/>
      <w:bookmarkEnd w:id="248"/>
      <w:r>
        <w:rPr>
          <w:rtl w:val="true"/>
        </w:rPr>
        <w:t>ميقات أهل الشام ومصر والمغرب</w:t>
      </w:r>
      <w:bookmarkEnd w:id="249"/>
    </w:p>
    <w:p>
      <w:pPr>
        <w:pStyle w:val="BookText"/>
        <w:rPr/>
      </w:pPr>
      <w:r>
        <w:rPr>
          <w:rFonts w:ascii="Amiri" w:hAnsi="Amiri" w:eastAsia="Amiri" w:cs="Amiri"/>
          <w:color w:val="111111"/>
          <w:sz w:val="28"/>
          <w:sz w:val="28"/>
          <w:szCs w:val="28"/>
          <w:rtl w:val="true"/>
          <w:lang w:bidi="ar-SA"/>
        </w:rPr>
        <w:t>الميقات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الجُحفة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ميقات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ومصر، والمغرب، ومن يمرّ عليها من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 ذلك، ويشهد بالجميع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كونها ميقاتاً لأهل الشام، فيشهد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رفاعة بن موسى‌،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 رسول اللّه صلى الله عليه و آله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لأهل الشام الجُحفة ويقال لها المَهيعة</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 لأهل الشام الجُحفة</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كونها ميقاتاً لأهل مصر، فيشهد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علي بن جعفر، عن أخيه الإمام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الشام ومصر من الجُحفة</w:t>
      </w:r>
      <w:r>
        <w:rPr>
          <w:rFonts w:eastAsia="Amiri" w:cs="Amiri" w:ascii="Amiri" w:hAnsi="Amiri"/>
          <w:color w:val="111111"/>
          <w:sz w:val="28"/>
          <w:szCs w:val="28"/>
          <w:rtl w:val="true"/>
          <w:lang w:bidi="ar-SA"/>
        </w:rPr>
        <w:t>»</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كونها ميقاتاً لأهل المغرب، فيشهد به، صحيح أبي أيّوب الخزّاز، قال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العقيق أوقتٌ وقّته رسول اللّه صلى الله عليه و آله، أو شيءٌ‌ </w:t>
      </w:r>
    </w:p>
    <w:p>
      <w:pPr>
        <w:pStyle w:val="BookText"/>
        <w:rPr/>
      </w:pPr>
      <w:r>
        <w:rPr>
          <w:rFonts w:ascii="Amiri" w:hAnsi="Amiri" w:eastAsia="Amiri" w:cs="Amiri"/>
          <w:color w:val="111111"/>
          <w:sz w:val="28"/>
          <w:sz w:val="28"/>
          <w:szCs w:val="28"/>
          <w:rtl w:val="true"/>
          <w:lang w:bidi="ar-SA"/>
        </w:rPr>
        <w:t>صنعه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وقّت لأهل المدينة ذا الحُليفة، ووقّت لأهل المغرب الجُحفة، وهي عندنا مكتوبة مهيعة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لكونها ميقاتاً لمن يمرّ عليها من غيرهم، صحيح صفوان بن يحيى المتقدّم،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وقّت المواقيت لأهلها، ومن أتى عليها من غير أهلها، وفيها رخصة لمن كانت به علّة، فلا تجاوز الميقات إلّامن علّةٍ‌</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50" w:name="pg11805_168174"/>
    </w:p>
    <w:p>
      <w:pPr>
        <w:pStyle w:val="BookText"/>
        <w:rPr/>
      </w:pPr>
      <w:bookmarkEnd w:id="250"/>
      <w:r>
        <w:rPr>
          <w:rFonts w:ascii="Amiri" w:hAnsi="Amiri" w:eastAsia="Amiri" w:cs="Amiri"/>
          <w:color w:val="111111"/>
          <w:sz w:val="28"/>
          <w:sz w:val="28"/>
          <w:szCs w:val="28"/>
          <w:rtl w:val="true"/>
          <w:lang w:bidi="ar-SA"/>
        </w:rPr>
        <w:t>ولليمن يَلَمْلَم</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0670555_73709187"/>
      <w:bookmarkStart w:id="252" w:name="_Toc85"/>
      <w:bookmarkEnd w:id="251"/>
      <w:r>
        <w:rPr>
          <w:rtl w:val="true"/>
        </w:rPr>
        <w:t>ميقات أهل اليمن</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الميقات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والنصوص الدالّة عليه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الحلبي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 لأهل اليمن يَلَمْلَم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صحيح الخزّاز، وصحيح معاوية بن عمّار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واليمن 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سمّيت باليمن لتيامنهم، لمّا تفرّقت العرب من مكّة، كما سُمّيت الشام لأخذهم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والبحر يحيط بأرض اليمن من المشرق إلى الجنوب، ثمّ راجعاً إلى المغرب، يفصل بينهما وبين باقي جزيرة العرب خطٌّ يأخذ من بحر الهند إلى بحر اليمن عرضاً في البرية من المشرق إلى جهة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r>
        <w:rPr>
          <w:rStyle w:val="FootnoteAnchor"/>
          <w:rtl w:val="true"/>
        </w:rPr>
        <w:footnoteReference w:id="11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فخفّفت الهمزة،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وادٍ</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أو وادٍ يقال له يلملم، والملم، ويرموم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مرحلتين من مكّة، وقيل إنّه جبلٌ‌، ويبعدُ عن مكّة تقريباً أربعة وتسعون كيلومتراً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صنعاء إحدى وعشرون مرحلة، فأوّلها الملكان ثمّ يلملم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ياقوت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ويقال الملم وململم، المجموع موضعٌ على ليلتين من مكّة، وهو ميقات أهل اليمن، وفيه مسجد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من هذه الكلمات أنّه لا خلاف بينهم في محلّه، وإنّما الاختلاف في أنّه وادٍ أو جبل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53" w:name="pg11805_168176"/>
    </w:p>
    <w:p>
      <w:pPr>
        <w:pStyle w:val="BookText"/>
        <w:rPr/>
      </w:pPr>
      <w:bookmarkEnd w:id="253"/>
      <w:r>
        <w:rPr>
          <w:rFonts w:ascii="IRNazanin" w:hAnsi="IRNazanin" w:eastAsia="IRNazanin"/>
          <w:color w:val="111111"/>
          <w:sz w:val="28"/>
          <w:sz w:val="28"/>
          <w:szCs w:val="28"/>
          <w:rtl w:val="true"/>
          <w:lang w:bidi="fa-IR"/>
        </w:rPr>
        <w:t>وللطائف قَرن المنازل</w:t>
      </w:r>
      <w:r>
        <w:rPr>
          <w:rFonts w:eastAsia="IRNazanin" w:cs="IRNazanin"/>
          <w:color w:val="111111"/>
          <w:sz w:val="28"/>
          <w:szCs w:val="28"/>
          <w:rtl w:val="true"/>
          <w:lang w:bidi="fa-IR"/>
        </w:rPr>
        <w:t>.</w:t>
      </w:r>
    </w:p>
    <w:p>
      <w:pPr>
        <w:pStyle w:val="Heading3"/>
        <w:numPr>
          <w:ilvl w:val="2"/>
          <w:numId w:val="1"/>
        </w:numPr>
        <w:rPr/>
      </w:pPr>
      <w:bookmarkStart w:id="254" w:name="__RefHeading___Toc10670557_73709187"/>
      <w:bookmarkStart w:id="255" w:name="_Toc86"/>
      <w:bookmarkEnd w:id="254"/>
      <w:r>
        <w:rPr>
          <w:rtl w:val="true"/>
        </w:rPr>
        <w:t>ميقات أهل الطائف</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الميقات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 وسكون الراء المهملة، خلافاً للمحكي عن الجوهري</w:t>
      </w:r>
      <w:r>
        <w:rPr>
          <w:rStyle w:val="FootnoteAnchor"/>
          <w:rtl w:val="true"/>
        </w:rPr>
        <w:footnoteReference w:id="1175"/>
      </w:r>
      <w:r>
        <w:rPr>
          <w:rFonts w:ascii="Amiri" w:hAnsi="Amiri" w:eastAsia="Amiri" w:cs="Amiri"/>
          <w:color w:val="111111"/>
          <w:sz w:val="28"/>
          <w:sz w:val="28"/>
          <w:szCs w:val="28"/>
          <w:rtl w:val="true"/>
          <w:lang w:bidi="ar-SA"/>
        </w:rPr>
        <w:t>من فتحهما، وزعم أنّ أويسَ القرني منسوبٌ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1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إتّفق العلماء على تغليطه فيهما، وإنّما اُويس من بني قَرن، بطنٌ من مراد، بخلاف ما نحن فيه، فإنّه جبلٌ مشرف علي عرفات علي مرحلتين من مكّة، ويقال له قرن الثعالب، وقرن بلا إضافة، وعن بعض أنّ قرن الثعالب غيره، وأنّه جبلٌ مشرف على أسفل منى‌، بينه وبين مسجدها ألف وخمسمائة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قرن المنازل وهو قرنُ الثعالب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أهل نجد، تلقاء مكّة على يوم وليلة، وهو قرن أيضاً غير مضاف، وأصله الجبل الصغير المستطيل المنقطع عن الجبل الكبير، ورواه بعضهم قرن بفتح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 إنّما هو قبيلة من اليمن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11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والقرن موضعٌ‌، وهو ميقات أهل نجد، ومنه أويس القرني، ويُسمّى أيضاً قرن المنازل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ولحجّ التمتّع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 من اتّفاق العلماء على تغليط الجوهري في تحريكه، ونسبة أويس القرني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فالأمر سهلٌ بعد وضوح أنّه المكان المخصوص لدى المتردّدين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النصوص الصحيحة على أنّه ميقات أهل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الخزّاز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ولحجّ التمتّع مكّة، ومن كان منزله أقرب من الميقات، فمنزله ميقاته، ووقّت لأهل الطائف قرن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صحيح معاوية بن عمّار، وصحيح الحلبى المتقدّم جميعها،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ما في صحيح علي بن رئاب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 لأهل اليمن قرن المنازل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في صحيح عمر بن يزيد، عن الصادق عليه السلام وقد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ولأهل نجد قرن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لابدّ من حمل الثاني على التقيّة، أو على إرادة أنّ لنجد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يمرّ بالعقيق، والآخر يمرّ بقرن المنازل، كما أنّ الأوّل يُحمل على أنّ لليمن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بقرن المنازل، والآخر بيلملم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 تلك المواقيت الخمسة ذو الحُليفة، وهو على عشرة مراحل من مكّة على ميل من المدينة، ويليه في البُعد الجُحفة، والمواقيت الثلاثة الباقية على مساحة واحدة بينها وبين مكّة ليلتان قاصدتان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الميقات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تفصيل القول في أنّ الميقات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لحجّ التمتّع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الرابع من شروط حَجّ التمتّع، فلا نعيد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56" w:name="pg11805_168178"/>
    </w:p>
    <w:p>
      <w:pPr>
        <w:pStyle w:val="BookText"/>
        <w:rPr/>
      </w:pPr>
      <w:bookmarkEnd w:id="256"/>
      <w:r>
        <w:rPr>
          <w:rFonts w:ascii="Amiri" w:hAnsi="Amiri" w:eastAsia="Amiri" w:cs="Amiri"/>
          <w:color w:val="111111"/>
          <w:sz w:val="28"/>
          <w:sz w:val="28"/>
          <w:szCs w:val="28"/>
          <w:rtl w:val="true"/>
          <w:lang w:bidi="ar-SA"/>
        </w:rPr>
        <w:t>ومَنْ كان منزله أقرب من الميقات، فمنزله ميقاته</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0670559_73709187"/>
      <w:bookmarkStart w:id="258" w:name="_Toc87"/>
      <w:bookmarkEnd w:id="257"/>
      <w:r>
        <w:rPr>
          <w:rtl w:val="true"/>
        </w:rPr>
        <w:t>ميقات مَنْ منزله أقرب من الميقات</w:t>
      </w:r>
      <w:bookmarkEnd w:id="258"/>
    </w:p>
    <w:p>
      <w:pPr>
        <w:pStyle w:val="BookText"/>
        <w:rPr/>
      </w:pPr>
      <w:r>
        <w:rPr>
          <w:rFonts w:ascii="Amiri" w:hAnsi="Amiri" w:eastAsia="Amiri" w:cs="Amiri"/>
          <w:color w:val="111111"/>
          <w:sz w:val="28"/>
          <w:sz w:val="28"/>
          <w:szCs w:val="28"/>
          <w:rtl w:val="true"/>
          <w:lang w:bidi="ar-SA"/>
        </w:rPr>
        <w:t>الميقات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منزله أقرب من الميقات، فمنزله ميقاته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علمائنا أجمع، وهو قول أهل العلم كافّة إلّا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التذكره</w:t>
      </w:r>
      <w:r>
        <w:rPr>
          <w:rFonts w:eastAsia="Amiri" w:cs="Amiri" w:ascii="Amiri" w:hAnsi="Amiri"/>
          <w:color w:val="111111"/>
          <w:sz w:val="28"/>
          <w:szCs w:val="28"/>
          <w:rtl w:val="true"/>
          <w:lang w:bidi="ar-SA"/>
        </w:rPr>
        <w:t>»</w:t>
      </w:r>
      <w:r>
        <w:rPr>
          <w:rStyle w:val="FootnoteAnchor"/>
          <w:rtl w:val="true"/>
        </w:rPr>
        <w:footnoteReference w:id="11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بإجماع العلماء خلافاً 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كثيرٌ من الأخبار الواردة عنهم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منزله دون الوقت إلى مكّة، فليحرم من منزله</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روى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منزله دون الميقات إلى مكّة فليحرم من دويرة أهله</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w:t>
      </w:r>
    </w:p>
    <w:p>
      <w:pPr>
        <w:pStyle w:val="BookText"/>
        <w:rPr/>
      </w:pPr>
      <w:r>
        <w:rPr>
          <w:rFonts w:ascii="Amiri" w:hAnsi="Amiri" w:eastAsia="Amiri" w:cs="Amiri"/>
          <w:color w:val="111111"/>
          <w:sz w:val="28"/>
          <w:sz w:val="28"/>
          <w:szCs w:val="28"/>
          <w:rtl w:val="true"/>
          <w:lang w:bidi="ar-SA"/>
        </w:rPr>
        <w:t>عبداللّه عليه السلام عمّن كان منزله دون الجُحفة إلى 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منه</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مسمع،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منزل الرّجل دون ذات عِرق إلى مكّة، فليحرم من منزله</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النصوص كما ترى‌، متّفقة على أنّ المعتبر القُرب إلى مكّة كما أفتى المشهور بذلك، ولكن عن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 xml:space="preserve">اعتبار القُرب إلى عرفات،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 لكن النصوص تدفع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وأفاد بعض الأعاظم</w:t>
      </w:r>
      <w:r>
        <w:rPr>
          <w:rFonts w:eastAsia="IRNazanin" w:cs="IRNazanin"/>
          <w:color w:val="111111"/>
          <w:sz w:val="28"/>
          <w:szCs w:val="28"/>
          <w:rtl w:val="true"/>
          <w:lang w:bidi="fa-IR"/>
        </w:rPr>
        <w:t>:</w:t>
      </w:r>
      <w:r>
        <w:rPr>
          <w:rStyle w:val="FootnoteAnchor"/>
          <w:rtl w:val="true"/>
        </w:rPr>
        <w:footnoteReference w:id="1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القرب إلى مكّة، أنّه دون الميقات إلى جهة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يلازم كونه أقرب إلى عرفات من الميقات، فلا تفاوت بين العبارتين عملاً ولا خارجاً، وإنْ كان بينهما تفاوت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يهمّ التعرّض لما استدلّ به له في مقابل النّص، والإيراد بأنّه اجتهادٌ في مقابل النّص</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يشمل هذا الحكم أهل مكّة، إذا أرادوا أن يحجّوا حَجّ الإفراد أو القِران، كما هو المشهور بين الأصحاب،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1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بعضهم الخلاف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لا؟ وجهان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الصادق عليه السلام عن رجلٍ منزله خلف الجُحفة من أين يحرم‌؟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منزله</w:t>
      </w:r>
      <w:r>
        <w:rPr>
          <w:rFonts w:eastAsia="Amiri" w:cs="Amiri" w:ascii="Amiri" w:hAnsi="Amiri"/>
          <w:color w:val="111111"/>
          <w:sz w:val="28"/>
          <w:szCs w:val="28"/>
          <w:rtl w:val="true"/>
          <w:lang w:bidi="ar-SA"/>
        </w:rPr>
        <w:t>»</w:t>
      </w:r>
      <w:r>
        <w:rPr>
          <w:rStyle w:val="FootnoteAnchor"/>
          <w:rtl w:val="true"/>
        </w:rPr>
        <w:footnoteReference w:id="1191"/>
      </w:r>
      <w:r>
        <w:rPr>
          <w:rFonts w:ascii="Amiri" w:hAnsi="Amiri" w:eastAsia="Amiri" w:cs="Amiri"/>
          <w:color w:val="111111"/>
          <w:sz w:val="28"/>
          <w:sz w:val="28"/>
          <w:szCs w:val="28"/>
          <w:rtl w:val="true"/>
          <w:lang w:bidi="ar-SA"/>
        </w:rPr>
        <w:t>، فإنّ مقتضى إطلاقه ثبوت هذا الحكم لأهل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غير مرّة أنّ المرسل إذا كان مُرسِله ينسب ما تضمّنه إلى المعصوم عليه السلام يكون حجّة، وغير الحجّة هو ما كان 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وما شاكل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أبي نصر، عن أخيه رياح،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 إنّا نروي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تمام الحَجّ والعُمرة أن يحرم الرّجل من دويرة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 عليّ عليه السلام لمَن كان منزله خلف هذه المواقيت</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الاستدلال بالنصوص المتقدّمة بالتقريب الذى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المراد بها من كان منزله فى جميع ذلك الموضع المبتدأ بدون الميقات المنتهي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واستشكل بعضهم من جهة أنّ الأقربيّة إلى مكّة تقتضي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الأقرب إنّما ورد في كلام الأصحاب، دون أخبار الأطياب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الفاضل الخراساني</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الحكم، بأنّ في حديثين صحيحين ما يخالف ذلك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سالم الحنّاط،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مجاوراً بمكّة، فسألتُ أبا عبداللّه عليه السلام من أين أحرم بالحَجّ؟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أحرم رسول اللّه صلى الله عليه و آله من الجِعرانة، أتاه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المكان فتوح فتح الطائف وفتح خيبر والفتح</w:t>
      </w:r>
      <w:r>
        <w:rPr>
          <w:rStyle w:val="FootnoteAnchor"/>
          <w:rtl w:val="true"/>
        </w:rPr>
        <w:footnoteReference w:id="1195"/>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الجوار بمكّة، فكيف أصنع‌؟ فقال عليه السلام إذا رأيتَ الهلال هلال ذي الحجّة فاخرج إلى الجِعرانة فأحرم منها بالحَجّ‌</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منهما المجاور الذي لم ينتقل فرضه، فلا يشملان محلّ الكلام، وهو المجاور الذي انتقل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عليه السلام في ذيل صحيح ابن الحجّاج محاجّته مع سفيان، واعتراض سفيان بأنّ أصحاب رسول اللّه صلى الله عليه و آله أحرموا من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اُولئك كانوا متمتّعين في أعناقهم الدّماء، وإنّ هؤلاء قطنوا مكّة فصاروا كأنّه من أهل مكّة، وأهلُ مكّة لا متعة لهم‌؟ فأحببت أن يخرجوا من مكّة إلى بعض المواقيت وأن يستغبوا به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لو لم يكن صريحاً في أنّ مورده من انتقل فرضه، فلا أقلّ من كونه ظاهراً فيه، أو كونه المتيقّن، مع أنّ كون فردٍ متيقّناً لا يوجبُ تقيّيد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غيره، بأنّ الصحيحين مختصّان بالمجاور، ولا يعمّان المتوطّن، ومن المحتمل اختصاص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أنّ المجاور بعد إقامة سنتين بحكم أهل مكّة، وفي الصحيح</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من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اُريد بهما أنّه بحكمهم في عدم المتعة لا من جميع الجهات،</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فأهل مكّة يحرمون منها، والمجاور يحرم من الجِعرانة وهي أحد مواضع أدنى الحِلّ‌، والأحوط لأهل مكّة أيضاً أن يحرموا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حَجّ الإفراد والقِران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أراد المكّي التمتّع، فقد مرّ بيان ميقاته في مسألة ما لو صار الآفاقي مُقيماً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إحرام هؤلاء من منزلهم من باب الرخصة، ليجوز لهم الإحرام من أحد المواقيت، كما عن جماعةٍ‌،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2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2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الإحرام من الميقات أفضل‌؟</w:t>
      </w:r>
    </w:p>
    <w:p>
      <w:pPr>
        <w:pStyle w:val="BookText"/>
        <w:rPr/>
      </w:pPr>
      <w:r>
        <w:rPr>
          <w:rFonts w:ascii="Amiri" w:hAnsi="Amiri" w:eastAsia="Amiri" w:cs="Amiri"/>
          <w:color w:val="111111"/>
          <w:sz w:val="28"/>
          <w:sz w:val="28"/>
          <w:szCs w:val="28"/>
          <w:rtl w:val="true"/>
          <w:lang w:bidi="ar-SA"/>
        </w:rPr>
        <w:t>أم يكون من باب العزيمة، فلا يجوز؟</w:t>
      </w:r>
    </w:p>
    <w:p>
      <w:pPr>
        <w:pStyle w:val="BookText"/>
        <w:rPr/>
      </w:pPr>
      <w:r>
        <w:rPr>
          <w:rFonts w:ascii="Amiri" w:hAnsi="Amiri" w:eastAsia="Amiri" w:cs="Amiri"/>
          <w:color w:val="111111"/>
          <w:sz w:val="28"/>
          <w:sz w:val="28"/>
          <w:szCs w:val="28"/>
          <w:rtl w:val="true"/>
          <w:lang w:bidi="ar-SA"/>
        </w:rPr>
        <w:t>ظاهر النصوص هو الثاني، واستدلّ لأفضليّة الإحرام من الميقات كاشف اللّثام</w:t>
      </w:r>
      <w:r>
        <w:rPr>
          <w:rStyle w:val="FootnoteAnchor"/>
          <w:rtl w:val="true"/>
        </w:rPr>
        <w:footnoteReference w:id="1203"/>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ببُعد المسافة، وطول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إذا ذهبوا إلى أحد المواقيت، جاز لهم الإحرام منه، لصدق المرور على الميقات، كما لا يخفى‌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59" w:name="pg11805_168183"/>
    </w:p>
    <w:p>
      <w:pPr>
        <w:pStyle w:val="BookText"/>
        <w:rPr/>
      </w:pPr>
      <w:bookmarkEnd w:id="259"/>
      <w:r>
        <w:rPr>
          <w:rFonts w:ascii="Amiri" w:hAnsi="Amiri" w:eastAsia="Amiri" w:cs="Amiri"/>
          <w:color w:val="111111"/>
          <w:sz w:val="28"/>
          <w:sz w:val="28"/>
          <w:szCs w:val="28"/>
          <w:rtl w:val="true"/>
          <w:lang w:bidi="ar-SA"/>
        </w:rPr>
        <w:t>وفَخّ للصبيان</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0670561_73709187"/>
      <w:bookmarkStart w:id="261" w:name="_Toc88"/>
      <w:bookmarkEnd w:id="260"/>
      <w:r>
        <w:rPr>
          <w:rtl w:val="true"/>
        </w:rPr>
        <w:t>ميقات الصبيان</w:t>
      </w:r>
      <w:bookmarkEnd w:id="261"/>
    </w:p>
    <w:p>
      <w:pPr>
        <w:pStyle w:val="BookText"/>
        <w:rPr/>
      </w:pPr>
      <w:r>
        <w:rPr>
          <w:rFonts w:ascii="Amiri" w:hAnsi="Amiri" w:eastAsia="Amiri" w:cs="Amiri"/>
          <w:color w:val="111111"/>
          <w:sz w:val="28"/>
          <w:sz w:val="28"/>
          <w:szCs w:val="28"/>
          <w:rtl w:val="true"/>
          <w:lang w:bidi="ar-SA"/>
        </w:rPr>
        <w:t>الميقات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وتشديد الخاء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بئرٌ قريبة من مكّة، على نحو 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فَخّ كان أبو عبداللّه الحسين بن علي بن الحسن ابن عَمّ موسى الكاظم عليه السلام دعا إلى نفسه، وقال موسى بن جعفر عليهما السلام حين 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إنّك مقتولٌ فأجِد الضِّراب، فإنّ القوم فُسّاق، فقُتِل بفخّ كما أخبر به</w:t>
      </w:r>
      <w:r>
        <w:rPr>
          <w:rFonts w:eastAsia="Amiri" w:cs="Amiri" w:ascii="Amiri" w:hAnsi="Amiri"/>
          <w:color w:val="111111"/>
          <w:sz w:val="28"/>
          <w:szCs w:val="28"/>
          <w:rtl w:val="true"/>
          <w:lang w:bidi="ar-SA"/>
        </w:rPr>
        <w:t>)</w:t>
      </w:r>
      <w:r>
        <w:rPr>
          <w:rStyle w:val="FootnoteAnchor"/>
          <w:rtl w:val="true"/>
        </w:rPr>
        <w:footnoteReference w:id="120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بئرٌ معروف على نحو فرسخ من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موضعٌ على رأس فرسخ من مكّة، قُتِل فيه الحسين ابن بن الحسن بن الحسن بن عليّ أمير المؤمنين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موضع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موضعٌ عند مكّة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فهو 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حَجّ التمتّع، بمعنى جواز تأخير إحرامهم إلى هذا المكان، لا أنّه يتعيّن ذلك كما عليه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والصَّبي ميقاته هذه المواقيت، ويجوز أن يجرّد من فَخّ وأن يؤخّر إحرامه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2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ويجرّد الصبيان من فخّ‌، ويجوز أن يحرم لهم من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التأخير إلى فَخّ‌، فلأنّ إحرامهم مستحبٌّ فلا يجب الإحرام لهم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وعزاه بعضهم إلى الأكثر، ويظهر من آخر عدم الخلاف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213"/>
      </w:r>
      <w:r>
        <w:rPr>
          <w:rFonts w:ascii="Amiri" w:hAnsi="Amiri" w:eastAsia="Amiri" w:cs="Amiri"/>
          <w:color w:val="111111"/>
          <w:sz w:val="28"/>
          <w:sz w:val="28"/>
          <w:szCs w:val="28"/>
          <w:rtl w:val="true"/>
          <w:lang w:bidi="ar-SA"/>
        </w:rPr>
        <w:t>، والفاضل المقداد، والمحقّق الثاني</w:t>
      </w:r>
      <w:r>
        <w:rPr>
          <w:rStyle w:val="FootnoteAnchor"/>
          <w:rtl w:val="true"/>
        </w:rPr>
        <w:footnoteReference w:id="121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لابدَّ وأن يحرم لهم من الميقات، إنّما ينزعون الثياب من 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وتوقّف في الحكم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الطرفان بوجوه اعتباريّة لايعتني بها، وبالنصوص وهى العمدة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ما دلّ على المواقيت، فإنّه يعمّ الصبيان كما يعمّ البالغين، فإنّه متضمّنٌ لدخالة ذلك في الحَجّ‌، لا وجوب ذلك نفساً كي يُقال إنّ حديث رفع القلم يُقيّده بغير الصبيان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أنّه لا يجوز تأخير الإحرام عنها وضعاً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معاوية بن عمّار،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كان معكم من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الصبيان فقدّموه إلى الجُحفة أو إلى بطن مُرّ، ويصنع بهم ما يصنع بالمُحْرِم</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على خلافه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من جهة خروج بطن مُرّ من الميقات، فإنّه على مرحلة من مكّة، والمرحلة مسيرة يوم، واليوم عبارة عن أربعة وعشرين ميلاً، وقد تقدّم أنّ بين أقرب المواقيت ومكّة مرحلتين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يونس بن يعقوب،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صبية صغاراً وأنا أخاف عليهم البرد، من أين يحرمون‌؟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 بهم العرج فليحرموا منها، فإنّك إذا أتيت بهم العرج وقعتَ في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 عليهم فأت بهم الجُحفة</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ظاهر في مراعاة الميقات ولو ميقات الإضطرار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بإزاءهما 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أيّوب بن الحُرّ،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تُجرّد الصبيان‌؟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يُجرّدهم من فخ</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وهو صحيح علي بن جعفر عن أخيه موسى عليه السلام</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ينبغي التوقّف في أنّ المراد بالتجريد في الصحيحين هو الإحرام، كما أنّ الخبرين المتقدّمين، سيّما بملاحظة ما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أخاف عليهم البرد من أين يحرمون‌؟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ظاهران في الإحرام مع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حَجّ على طريق أحرم من ميقات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فالطائفتان متعارضتان، وحيثُ أنّ الأصحاب أفتوا بجواز تأخير التجريد إلى فَخّ‌، فالصحيحان أشهر ويقدّمان لذلك، وبهما يُقيّد إطلاق نصوص المواقيت، فتدبّر حتّى لا تبادر بالإشكال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تأخير إحرامهم إلى 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الدليل مختصٌّ بفخ، وحمله على إرادة المثال وأنّ المراد أدنى الحِلّ لا دليل عليه، فالمتعيّن الاقتصار عليه، فإذا سلكوا طريقاً لا يصل إلى فخ فاللّازم إحرامهم من الميقات، كما نصّ على ذلك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الميقات الثاني والثالث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على طريقٍ أحرم من ميقات أهله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62" w:name="pg11805_168187"/>
    </w:p>
    <w:p>
      <w:pPr>
        <w:pStyle w:val="Heading3"/>
        <w:numPr>
          <w:ilvl w:val="2"/>
          <w:numId w:val="1"/>
        </w:numPr>
        <w:rPr/>
      </w:pPr>
      <w:bookmarkStart w:id="263" w:name="__RefHeading___Toc10670563_73709187"/>
      <w:bookmarkStart w:id="264" w:name="_Toc89"/>
      <w:bookmarkEnd w:id="262"/>
      <w:bookmarkEnd w:id="263"/>
      <w:r>
        <w:rPr>
          <w:rtl w:val="true"/>
        </w:rPr>
        <w:t>محاذاة المواقيت</w:t>
      </w:r>
      <w:bookmarkEnd w:id="264"/>
    </w:p>
    <w:p>
      <w:pPr>
        <w:pStyle w:val="BookText"/>
        <w:rPr/>
      </w:pPr>
      <w:r>
        <w:rPr>
          <w:rFonts w:ascii="Amiri" w:hAnsi="Amiri" w:eastAsia="Amiri" w:cs="Amiri"/>
          <w:color w:val="111111"/>
          <w:sz w:val="28"/>
          <w:sz w:val="28"/>
          <w:szCs w:val="28"/>
          <w:rtl w:val="true"/>
          <w:lang w:bidi="ar-SA"/>
        </w:rPr>
        <w:t>الميقات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محاذاة أحد المواقيت الخمسة الأُولى‌، وهي ميقاتٌ لمَن لم يمرّ على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جمعٌ من الأصحاب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 xml:space="preserve">، بل المشهور بينهم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223"/>
      </w:r>
      <w:r>
        <w:rPr>
          <w:rFonts w:ascii="Amiri" w:hAnsi="Amiri" w:eastAsia="Amiri" w:cs="Amiri"/>
          <w:color w:val="111111"/>
          <w:sz w:val="28"/>
          <w:sz w:val="28"/>
          <w:szCs w:val="28"/>
          <w:rtl w:val="true"/>
          <w:lang w:bidi="ar-SA"/>
        </w:rPr>
        <w:t xml:space="preserve">، بل عليه الشهرة العظيمة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لم نجد مخالفاً في المسألة عدا الماتن في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25"/>
      </w:r>
      <w:r>
        <w:rPr>
          <w:rFonts w:ascii="Amiri" w:hAnsi="Amiri" w:eastAsia="Amiri" w:cs="Amiri"/>
          <w:color w:val="111111"/>
          <w:sz w:val="28"/>
          <w:sz w:val="28"/>
          <w:szCs w:val="28"/>
          <w:rtl w:val="true"/>
          <w:lang w:bidi="ar-SA"/>
        </w:rPr>
        <w:t xml:space="preserve">عدم كونه مخالفاً في أصل الحكم، وأنّ نسبته إلى القيل من جهة القيود الاُخر، ولذلك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ظاهر الأصحاب، ومع ذلك فقد خالف جماعة كالمحقّق الأردبيلي</w:t>
      </w:r>
      <w:r>
        <w:rPr>
          <w:rStyle w:val="FootnoteAnchor"/>
          <w:rtl w:val="true"/>
        </w:rPr>
        <w:footnoteReference w:id="1226"/>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27"/>
      </w:r>
      <w:r>
        <w:rPr>
          <w:rFonts w:ascii="Amiri" w:hAnsi="Amiri" w:eastAsia="Amiri" w:cs="Amiri"/>
          <w:color w:val="111111"/>
          <w:sz w:val="28"/>
          <w:sz w:val="28"/>
          <w:szCs w:val="28"/>
          <w:rtl w:val="true"/>
          <w:lang w:bidi="ar-SA"/>
        </w:rPr>
        <w:t>، والفاضل الخراساني</w:t>
      </w:r>
      <w:r>
        <w:rPr>
          <w:rStyle w:val="FootnoteAnchor"/>
          <w:rtl w:val="true"/>
        </w:rPr>
        <w:footnoteReference w:id="1228"/>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229"/>
      </w:r>
      <w:r>
        <w:rPr>
          <w:rFonts w:ascii="Amiri" w:hAnsi="Amiri" w:eastAsia="Amiri" w:cs="Amiri"/>
          <w:color w:val="111111"/>
          <w:sz w:val="28"/>
          <w:sz w:val="28"/>
          <w:szCs w:val="28"/>
          <w:rtl w:val="true"/>
          <w:lang w:bidi="ar-SA"/>
        </w:rPr>
        <w:t>، ولم يفتوا بكفايتها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ابن سنان، عن الإمام الصادق عليه السلام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 بالمدينة شهراً وهو يريد الحَجّ‌، ثمّ بدا أن يخرج من غير طريق أهل المدينة الذي يأخذونه، فليكن إحرامه من مسيرة ستّة أميال، فيكون حِذاء الشجرة من البيداء</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ورواه الصدوق بطريق آخر مع اختلافٍ يسير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من النصّين، فإنّه لا إشكال في ظهوره في كفاية المحاذاة، ولا يعارضه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الشجرة ثمّ يأخذ أيّ طريقٍ شاء</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خبر إبراهيم بن عبد الحميد المتقدّم، في مسألة عدم جواز تأخير أهل المدينة الإحرام إلى الجُحفة اختياراً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لضعفهما، وعدم عمل الأصحاب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الإشكال في التعدّي عن مورد الصحيح، فإنّه واردٌ في موردٍ خاصٍ وهو محاذاة مسجد الشجرة مع بعض القيود، مثل كونه مُقيماً في المدينة شهراً وهو عازم على الحَجّ‌، ويكون الإحرام من مسيرة ستّة أميال، وهذه القيود جميعها واردة في كلام المعصوم عليه السلام، الظاهر في أنّ لها خصوصيّة، فالتعدّي عنها إلى الفاقد لها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 من الإجماع، وعدم القول بالفصل، وفهم المثاليّة، والقطع بوحدة المناط، كما ترى‌، فإنّ الإجماع غير التعبّدي ليس بحجّة، وفهم المثاليّة غير ظاهر، والمناط غير معلوم حتّى يقطع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يستدلّ للإكتفاء بالمحاذاة بأنّ نصوص المواقيت مختصّة بأهلها ومن أتاها، ولا تشمل غيرهم، فمن لا يمرّ بميقات يشكّ في أنّه هل يجب عليه أن يحرم من الميقات، أم يكفي الإحرام من محاذاته‌؟ والمرجع أصالة البراءة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النصوص تدلّ على أنّ الإحرام لابدّ وأن يكون من الميقات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مواقيت خسمة وقّتها رسول اللّه صلى الله عليه و آله، لا ينبغي لحاجٍّ ولا معتمر أن يحرم قبلها ولا بعدها</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 وقد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الحَجّ والعُمرة أن تحرم من المواقيت التي وقّتها رسول اللّه صلى الله عليه و آله، لا تجاوزها إلّاوأنتَ محرم</w:t>
      </w:r>
      <w:r>
        <w:rPr>
          <w:rFonts w:eastAsia="Amiri" w:cs="Amiri" w:ascii="Amiri" w:hAnsi="Amiri"/>
          <w:color w:val="111111"/>
          <w:sz w:val="28"/>
          <w:szCs w:val="28"/>
          <w:rtl w:val="true"/>
          <w:lang w:bidi="ar-SA"/>
        </w:rPr>
        <w:t>»</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منها أنّه لابدّ وأن لا يقطع بقدر ما بين أحد المواقيت إلى مكّة من المسافة إلّامُحرِماً من أيّ جهةٍ دخل فيكفي المحاذاة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ذلك خلاف ظاهر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 عن مورد الصحيح، والقول بكفاية المحاذاة مشكلٌ جدّاً، وأظنّ أنّ قدماء الأصحاب غير متعرّضين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التعدّي، الأظهر لزوم الاقتصار على المحاذاة غير البعيدة والقريبة، فإنّ الدليل ورد في مورد خاص وهو المحاذاة للشجرة بمسيرة ستّة أميال عن المدينة، والمحاذاة الحاصلة من ذلك إنّما تكون محدودة بحَدٍّ خاصٍّ‌، فالتعدّي إلى طرفيه بأن يكفي المحاذاة مع الفصل عن الميقات بذراعٍ مثلاً، أو يكفى المحاذاة مع البُعد، يحتاج إلى دليلٍ مفقود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إحرام أهل العراق من العقيق، برغم محاذاتهم على الظاهر لمسجد الشجرة قبل وادي العقيق، ولا وجه له سوى عدم الاعتناء بالمحاذاة إذا كانت بعيدة، وكذا أهل الشام إذا جاؤوا إلى الجُحفة، فإنّهم يحاذون مسجد الشجرة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65" w:name="pg11805_168190"/>
    </w:p>
    <w:p>
      <w:pPr>
        <w:pStyle w:val="BookText"/>
        <w:rPr/>
      </w:pPr>
      <w:bookmarkEnd w:id="265"/>
      <w:r>
        <w:rPr>
          <w:rFonts w:ascii="Amiri" w:hAnsi="Amiri" w:eastAsia="Amiri" w:cs="Amiri"/>
          <w:color w:val="111111"/>
          <w:sz w:val="28"/>
          <w:sz w:val="28"/>
          <w:szCs w:val="28"/>
          <w:rtl w:val="true"/>
          <w:lang w:bidi="ar-SA"/>
        </w:rPr>
        <w:t>قبل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بالتعدّي إذا كان في طريق يُحاذي اثنين، هل يجب محاذاة أبعد الميقاتين، أو أقربهما، أم يتخيّر؟</w:t>
      </w:r>
    </w:p>
    <w:p>
      <w:pPr>
        <w:pStyle w:val="BookText"/>
        <w:rPr/>
      </w:pPr>
      <w:r>
        <w:rPr>
          <w:rFonts w:ascii="Amiri" w:hAnsi="Amiri" w:eastAsia="Amiri" w:cs="Amiri"/>
          <w:color w:val="111111"/>
          <w:sz w:val="28"/>
          <w:sz w:val="28"/>
          <w:szCs w:val="28"/>
          <w:rtl w:val="true"/>
          <w:lang w:bidi="ar-SA"/>
        </w:rPr>
        <w:t xml:space="preserve">ظاهر النّص هو الأوّل، وعن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2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235"/>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236"/>
      </w:r>
      <w:r>
        <w:rPr>
          <w:rFonts w:ascii="Amiri" w:hAnsi="Amiri" w:eastAsia="Amiri" w:cs="Amiri"/>
          <w:color w:val="111111"/>
          <w:sz w:val="28"/>
          <w:sz w:val="28"/>
          <w:szCs w:val="28"/>
          <w:rtl w:val="true"/>
          <w:lang w:bidi="ar-SA"/>
        </w:rPr>
        <w:t>اختيار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37"/>
      </w:r>
      <w:r>
        <w:rPr>
          <w:rFonts w:ascii="Amiri" w:hAnsi="Amiri" w:eastAsia="Amiri" w:cs="Amiri"/>
          <w:color w:val="111111"/>
          <w:sz w:val="28"/>
          <w:sz w:val="28"/>
          <w:szCs w:val="28"/>
          <w:rtl w:val="true"/>
          <w:lang w:bidi="ar-SA"/>
        </w:rPr>
        <w:t>بأنّه يجب الاقتصار فيما خالف الأصل على موضع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مراده أنّ الإحرام لابدّ وأن يكون من الميقات، فمن محاذاة أقرب المواقيت إلى مكّة يجب كونه مُحْرِماً اتّفاقاً، وفيما زاد عليه لا دليل على ذلك، والأصل عدمه، ولكنّه كما ترى 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1238"/>
      </w:r>
      <w:r>
        <w:rPr>
          <w:rFonts w:ascii="Amiri" w:hAnsi="Amiri" w:eastAsia="Amiri" w:cs="Amiri"/>
          <w:color w:val="111111"/>
          <w:sz w:val="28"/>
          <w:sz w:val="28"/>
          <w:szCs w:val="28"/>
          <w:rtl w:val="true"/>
          <w:lang w:bidi="ar-SA"/>
        </w:rPr>
        <w:t>اختيار الثالث، ولعلّه لإلغاء الخصوصيّة، وفهم إرادة المثاليّة ممّا في النّص للميقات، وهو غير بعيدٍ على فرض التعدّي عن مورد النّص</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0670565_73709187"/>
      <w:bookmarkStart w:id="267" w:name="_Toc90"/>
      <w:bookmarkEnd w:id="266"/>
      <w:r>
        <w:rPr>
          <w:rtl w:val="true"/>
        </w:rPr>
        <w:t>ما به تتحقّق المحاذاة</w:t>
      </w:r>
      <w:bookmarkEnd w:id="267"/>
    </w:p>
    <w:p>
      <w:pPr>
        <w:pStyle w:val="BookText"/>
        <w:rPr/>
      </w:pPr>
      <w:r>
        <w:rPr>
          <w:rFonts w:ascii="Amiri" w:hAnsi="Amiri" w:eastAsia="Amiri" w:cs="Amiri"/>
          <w:color w:val="111111"/>
          <w:sz w:val="28"/>
          <w:sz w:val="28"/>
          <w:szCs w:val="28"/>
          <w:rtl w:val="true"/>
          <w:lang w:bidi="ar-SA"/>
        </w:rPr>
        <w:t>وقع الخلاف في بيان ما به تتحقّق المحاذاة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239"/>
      </w:r>
      <w:r>
        <w:rPr>
          <w:rFonts w:ascii="Amiri" w:hAnsi="Amiri" w:eastAsia="Amiri" w:cs="Amiri"/>
          <w:color w:val="111111"/>
          <w:sz w:val="28"/>
          <w:sz w:val="28"/>
          <w:szCs w:val="28"/>
          <w:rtl w:val="true"/>
          <w:lang w:bidi="ar-SA"/>
        </w:rPr>
        <w:t>ذكر وجهين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الخطّ من موقفه إلى الميقات أقصر الخطوط في ذلك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 في طريقه إلى مكّة إلى موضعٍ يكون بينه وبين مكّة كما بين ذلك الميقات ومكّة بالخطّ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جماعة</w:t>
      </w:r>
      <w:r>
        <w:rPr>
          <w:rStyle w:val="FootnoteAnchor"/>
          <w:rtl w:val="true"/>
        </w:rPr>
        <w:footnoteReference w:id="1240"/>
      </w:r>
      <w:r>
        <w:rPr>
          <w:rFonts w:ascii="Amiri" w:hAnsi="Amiri" w:eastAsia="Amiri" w:cs="Amiri"/>
          <w:color w:val="111111"/>
          <w:sz w:val="28"/>
          <w:sz w:val="28"/>
          <w:szCs w:val="28"/>
          <w:rtl w:val="true"/>
          <w:lang w:bidi="ar-SA"/>
        </w:rPr>
        <w:t xml:space="preserve">، والظاهر أنّ إليه مرجع وجهي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 يكون للمحاذي موضعٌ من الطريق لو فرضنا دائرة تكون مكّة في مركزها، ويمرّ محيطها بالميقات، لمرّ بذلك الموضع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عدم تماميّة شيء من ذلك، فإنّ الشخص إذا كان على موضع من الدائرة المارة بالميقات، كان الخطّ الخارج منه ومن موضعه إلى الميقات خطّاً منحنياً لا خطّاً مستقيماً، فلا يكونا محاذيين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1241"/>
      </w:r>
      <w:r>
        <w:rPr>
          <w:rFonts w:ascii="Amiri" w:hAnsi="Amiri" w:eastAsia="Amiri" w:cs="Amiri"/>
          <w:color w:val="111111"/>
          <w:sz w:val="28"/>
          <w:sz w:val="28"/>
          <w:szCs w:val="28"/>
          <w:rtl w:val="true"/>
          <w:lang w:bidi="ar-SA"/>
        </w:rPr>
        <w:t>وتبعه جمع من أنّ ظابط المحاذاة أن تكون مكّة المشرّفة على جَبهة المُستقبِل، والميقات على جهة يمينه أو شماله بالخطّ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كفاية المحاذاة العرفيّة التي هي أوسع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إمكان العلم بالمحاذاة يتعيّن ذلك، لكن هل يكفي الظنّ حتّى معه أو بدونه، أم يفصل بين الظنّ الخاص وغيره‌؟ وجوه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24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2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24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4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247"/>
      </w:r>
      <w:r>
        <w:rPr>
          <w:rFonts w:ascii="Amiri" w:hAnsi="Amiri" w:eastAsia="Amiri" w:cs="Amiri"/>
          <w:color w:val="111111"/>
          <w:sz w:val="28"/>
          <w:sz w:val="28"/>
          <w:szCs w:val="28"/>
          <w:rtl w:val="true"/>
          <w:lang w:bidi="ar-SA"/>
        </w:rPr>
        <w:t>وغيرها اختيار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بانسباق إرادة الظنّ في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فيها وفي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249"/>
      </w:r>
      <w:r>
        <w:rPr>
          <w:rFonts w:ascii="IRNazanin" w:hAnsi="IRNazanin" w:eastAsia="IRNazanin"/>
          <w:color w:val="111111"/>
          <w:sz w:val="28"/>
          <w:sz w:val="28"/>
          <w:szCs w:val="28"/>
          <w:rtl w:val="true"/>
          <w:lang w:bidi="fa-IR"/>
        </w:rPr>
        <w:t>بلزوم الحرج، والأصل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2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الظنّ بالمحاذاة، لعدم حصول غير الظنّ إمّا مطلقاً أو غالباً، فلا يكون متعلّق التكليف إلّاالظنّ‌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مرجعه إلى الوجه الأوّل، وبه يندفع ما أُورد عليه بأنّ الانسباق غير ظاهر، فإنّه إذا كان الموضوع ممّا لا يتعلّق العلم به، فمن توجّه الخطاب إليه يفهم بالملازمة العرفيّة الاكتفاء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الامتثال إلّابه، حتّى يقال إنّه يمكن ذلك بالاحتياط بالطريق الآتي، أو نذر الإحرام من مكانٍ خاص، بناءً على جواز تقديم الإحرام بالنذر على الميقات، بل يكون ذلك من قبيل الدلالة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الاستدلال له بالوجهين الآخرين في غير محلّه، إذ لا يلزم الحرج من عدم اعتباره مع إمكان الاحتياط أو النذر، كما أنّ الأصل أيضاً غير 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الاكتفاء بالظنّ كما أفاده الأساطين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 سبيلٌ إلى الظنّ‌، فإن أخبر ثقة بها اكتفي بخبره، بناءً على حجيّة الخبر الواحد في الموضوعات، وإنْ لم يخبر بها،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أن يحرم من أوّل موضع احتماله، واستمرار النيّة والتلبية إلى آخر مواضعه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يمتنع تأخير الإحرام عن الميقات، كذلك يمتنع تقديمه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الإحرام حرمة تشريعيّة لا ذاتيّة، فلا بأس به إذا كان بعنوان الاحتياط، مع أنّه في كلّ موضع يحتمل قبل الميقات المحاذاة يدور الأمر فيه بين وجوب الإحرام منه وحرمته، والأصل يقتضي الجواز حينئذٍ، أضف إليه أنّ غايته احتمال الحرمة، وهو يُدفع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أمكن الذهاب إلى الميقات، والامتثال التفصيلي، لا يجزي الامتثال الإجمالي، لكونه في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محلّه من أنّه في عرضه لا في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عدم الوصول إلى المحاذاة، الاكتفاء بالإحرام من آخر مواضع احتمالها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يثبت بذلك المحاذاة المعتبرة في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أحرم في موضع الظنّ بالمحاذاة، ولم يتبيّن الخلاف، فلا إشكال، وإن تبيّن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تبيّن كونه بعد المحاذاة، فسيأتي الكلام فيه في أحكام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تبيّن كونه قبله، ولم يتجاوزه أعاد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تبيّن كونه قبله وقد 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أمكن العود والتجديد تعيّن ذلك لبطلان إحرامه، وما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251"/>
      </w:r>
      <w:r>
        <w:rPr>
          <w:rFonts w:ascii="Amiri" w:hAnsi="Amiri" w:eastAsia="Amiri" w:cs="Amiri"/>
          <w:color w:val="111111"/>
          <w:sz w:val="28"/>
          <w:sz w:val="28"/>
          <w:szCs w:val="28"/>
          <w:rtl w:val="true"/>
          <w:lang w:bidi="ar-SA"/>
        </w:rPr>
        <w:t>من الحكم بالإجزاء، غير تامّ‌، لعدم الإجزاء في الأحكام الظاهريّة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يمكن العود، يجدّد الإحرام في مكانه كما سيأتي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68" w:name="pg11805_168194"/>
    </w:p>
    <w:p>
      <w:pPr>
        <w:pStyle w:val="Heading3"/>
        <w:numPr>
          <w:ilvl w:val="2"/>
          <w:numId w:val="1"/>
        </w:numPr>
        <w:rPr/>
      </w:pPr>
      <w:bookmarkStart w:id="269" w:name="__RefHeading___Toc10670567_73709187"/>
      <w:bookmarkStart w:id="270" w:name="_Toc91"/>
      <w:bookmarkEnd w:id="268"/>
      <w:bookmarkEnd w:id="269"/>
      <w:r>
        <w:rPr>
          <w:rtl w:val="true"/>
        </w:rPr>
        <w:t>لو لم يؤدّ الطريق إلى المحاذاة</w:t>
      </w:r>
      <w:bookmarkEnd w:id="270"/>
    </w:p>
    <w:p>
      <w:pPr>
        <w:pStyle w:val="BookText"/>
        <w:rPr/>
      </w:pPr>
      <w:r>
        <w:rPr>
          <w:rFonts w:ascii="Amiri" w:hAnsi="Amiri" w:eastAsia="Amiri" w:cs="Amiri"/>
          <w:color w:val="111111"/>
          <w:sz w:val="28"/>
          <w:sz w:val="28"/>
          <w:szCs w:val="28"/>
          <w:rtl w:val="true"/>
          <w:lang w:bidi="ar-SA"/>
        </w:rPr>
        <w:t xml:space="preserve">قال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2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يؤدّ الطريق إلى المحاذاة، فالأقرب أن ينشأ الإحرام من أدنى الحِلّ‌، ويحتمل مساواة أقرب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يتصوّر طريقٌ لا يمرّ عليميقاتٍ‌، ولا يكون محاذياً لواحدٍ منها أم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وولده في الشرح</w:t>
      </w:r>
      <w:r>
        <w:rPr>
          <w:rStyle w:val="FootnoteAnchor"/>
          <w:rtl w:val="true"/>
        </w:rPr>
        <w:footnoteReference w:id="1253"/>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54"/>
      </w:r>
      <w:r>
        <w:rPr>
          <w:rFonts w:ascii="Amiri" w:hAnsi="Amiri" w:eastAsia="Amiri" w:cs="Amiri"/>
          <w:color w:val="111111"/>
          <w:sz w:val="28"/>
          <w:sz w:val="28"/>
          <w:szCs w:val="28"/>
          <w:rtl w:val="true"/>
          <w:lang w:bidi="ar-SA"/>
        </w:rPr>
        <w:t xml:space="preserve">وغيرهم، المفروغيّة عن صحّة الفرض، لكن أنكره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255"/>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256"/>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واختلفوا في حكم من سَلَك طريقاً لا يحاذي شيئاً منها، وهو خلاف لا فائدة فيه، إذ المواقيت محيطة بالحرم من 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جمعٌ‌</w:t>
      </w:r>
      <w:r>
        <w:rPr>
          <w:rStyle w:val="FootnoteAnchor"/>
          <w:rtl w:val="true"/>
        </w:rPr>
        <w:footnoteReference w:id="1258"/>
      </w:r>
      <w:r>
        <w:rPr>
          <w:rFonts w:ascii="Amiri" w:hAnsi="Amiri" w:eastAsia="Amiri" w:cs="Amiri"/>
          <w:color w:val="111111"/>
          <w:sz w:val="28"/>
          <w:sz w:val="28"/>
          <w:szCs w:val="28"/>
          <w:rtl w:val="true"/>
          <w:lang w:bidi="ar-SA"/>
        </w:rPr>
        <w:t xml:space="preserve">من محشّي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ذا الحُليفة والجُحفة كليهما في شمال الحرم، على خطٍّ واحد تقريباً، وقرن المنازل في المشرق منه، والعقيق بين الشمال والمشرق، فيبقى يَلَملم وحدها لثلاثة </w:t>
      </w:r>
    </w:p>
    <w:p>
      <w:pPr>
        <w:pStyle w:val="BookText"/>
        <w:rPr/>
      </w:pPr>
      <w:r>
        <w:rPr>
          <w:rFonts w:ascii="Amiri" w:hAnsi="Amiri" w:eastAsia="Amiri" w:cs="Amiri"/>
          <w:color w:val="111111"/>
          <w:sz w:val="28"/>
          <w:sz w:val="28"/>
          <w:szCs w:val="28"/>
          <w:rtl w:val="true"/>
          <w:lang w:bidi="ar-SA"/>
        </w:rPr>
        <w:t>أرباع الدائرة المحيطة بالحرم، وبينها وبين قَرن المنازل أكثر من ثلاثة أثمان الدائرة، ومنها إلى الجُحفة قريب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تبعاً 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المحاذاة المعتبرة بالمحاذاة غير البعيدة، وعليه فيتمّ ما ذكروه من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إنّه يحرم من مساواة أقرب المواقيت إلى مكّة في أيّ محلّ يكون بينه وبين مكّة بقدر ما بين أقرب المواقيت إليها وهو مرحلتان، والمرحلتان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ثمانية وأربعين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له بأنّ هذه المسافة لا يجوز لأحدٍ قطعها إلّامُحرِماً من أيّ جهةٍ دخلها، وإنّما الاختلاف فيما زاد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ثبت عند المرور على الميقات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يحرم من أدنى الحِلّ‌، واستدلّ له بإطلاق ما دلّ على عدم جواز دخول الحرم بلا إحرام، وأمّا لزوم الخروج عنه فيمن مَرَّ على الميقات أو من حاذاه، لنصوص المواقيت، فإنّه لا يقتضي خروج غيره من الأفراد، والأصل البراءة عن وجوب الإحرام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مقتضى الأخبار كصحيح الحلبي وغيره أنّه يتعيّن الإحرام من المواقيت الخمسة التي وقّتها رسول اللّه صلى الله عليه و آله خَرج عنها بعض الموارد، ولا دليل على خروج الفرض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فيتعيّن أن يذهب إلى الميقات ويحرم منه، أو إلى موضعٍ محاذٍ له على القول بكفاية المحاذاة، واللّه تعالى أعلم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71" w:name="pg11805_168196"/>
    </w:p>
    <w:p>
      <w:pPr>
        <w:pStyle w:val="Heading3"/>
        <w:numPr>
          <w:ilvl w:val="2"/>
          <w:numId w:val="1"/>
        </w:numPr>
        <w:rPr/>
      </w:pPr>
      <w:bookmarkStart w:id="272" w:name="__RefHeading___Toc10670569_73709187"/>
      <w:bookmarkStart w:id="273" w:name="_Toc92"/>
      <w:bookmarkEnd w:id="271"/>
      <w:bookmarkEnd w:id="272"/>
      <w:r>
        <w:rPr>
          <w:rtl w:val="true"/>
        </w:rPr>
        <w:t>ميقات العُمرة المفردة</w:t>
      </w:r>
      <w:bookmarkEnd w:id="273"/>
    </w:p>
    <w:p>
      <w:pPr>
        <w:pStyle w:val="BookText"/>
        <w:rPr/>
      </w:pPr>
      <w:r>
        <w:rPr>
          <w:rFonts w:ascii="Amiri" w:hAnsi="Amiri" w:eastAsia="Amiri" w:cs="Amiri"/>
          <w:color w:val="111111"/>
          <w:sz w:val="28"/>
          <w:sz w:val="28"/>
          <w:szCs w:val="28"/>
          <w:rtl w:val="true"/>
          <w:lang w:bidi="ar-SA"/>
        </w:rPr>
        <w:t>الميقات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الحِلّ‌، وهو ميقات العُمرة المفردة بعد حَجّ القِران والإفراد، بلا خلافٍ فيه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عمر بن يزيد،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يخرج من مكّة ليعتمر، أحرم من الجِعرانة أو الحُديبيّة أو ما أشبههما</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رسول اللّه صلى الله عليه و آله اعتمر ثلاث عُمر متفرّقات، كلّها في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أهلَّ فيها من عَسفان، وهي عمرة الحُديبيّة، وعُمرةُ القضاء أحرم فيها من الجُحفة، وعُمرةٌ أهلَّ فيها من الجِعرانة، وهي بعد أن رجع من الطائف من غزاة حُنين</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ظهور فيه في وجوب الخروج عن مكّة للاعتمار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يخرج من مكّة معتمراً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الخروج مقدّمة للإعتمار بقول مطلق فيكون واجباً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جميل بن دُرّاج،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الحائض إذا قدمت مكّة يوم التروية‌؟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تمضي كما هي إلى عرفات، فتجعلها حَجّة، ثمّ تُقيم </w:t>
      </w:r>
    </w:p>
    <w:p>
      <w:pPr>
        <w:pStyle w:val="BookText"/>
        <w:rPr/>
      </w:pPr>
      <w:r>
        <w:rPr>
          <w:rFonts w:ascii="Amiri" w:hAnsi="Amiri" w:eastAsia="Amiri" w:cs="Amiri"/>
          <w:color w:val="111111"/>
          <w:sz w:val="28"/>
          <w:sz w:val="28"/>
          <w:szCs w:val="28"/>
          <w:rtl w:val="true"/>
          <w:lang w:bidi="ar-SA"/>
        </w:rPr>
        <w:t>حتّى تطهر، فتخرج إلى التنعيم فتحرم فتجعلها عُمرة</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يمكن حمل الأمر بالإحرام من التنعيم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يُحمل عليه بعد فهم المثال من ذكر التنعيم خاصّة،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الثاني وإنْ كان مختصّاً بالعُمرة المفردة بعد حَجّ الإفراد، إلّاأن الصحيح الأوّل عامٌ شاملٌ لكلّ عمرة مفردة يأتي بها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65"/>
      </w:r>
      <w:r>
        <w:rPr>
          <w:rFonts w:ascii="Amiri" w:hAnsi="Amiri" w:eastAsia="Amiri" w:cs="Amiri"/>
          <w:color w:val="111111"/>
          <w:sz w:val="28"/>
          <w:sz w:val="28"/>
          <w:szCs w:val="28"/>
          <w:rtl w:val="true"/>
          <w:lang w:bidi="ar-SA"/>
        </w:rPr>
        <w:t>الإجماع ظاهراً على اختصاص ذلك بالعُمرة المفردة بعد حَجّ القِران والإفراد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2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267"/>
      </w:r>
      <w:r>
        <w:rPr>
          <w:rFonts w:ascii="Amiri" w:hAnsi="Amiri" w:eastAsia="Amiri" w:cs="Amiri"/>
          <w:color w:val="111111"/>
          <w:sz w:val="28"/>
          <w:sz w:val="28"/>
          <w:szCs w:val="28"/>
          <w:rtl w:val="true"/>
          <w:lang w:bidi="ar-SA"/>
        </w:rPr>
        <w:t>على ثبوته في كلّ عمرة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وصريح صحيح عمر بن يزيد المتقدّم عدم خصوصيّة للجِعرانة والحُديبيّة،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أشبههما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والتنعيم المذكور بالخصوص في صحيح جميل، قد عرفت تعيّن حمله على إرادة المثال، وكذا أمره صلى الله عليه و آله لعائشة بالإحرام من التنعيم، وفعله صلى الله عليه و آله أعمٌّ من الأفضليّة، فإذاً لا دليل على أفضليّة الإحرام من المواضع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268"/>
      </w:r>
      <w:r>
        <w:rPr>
          <w:rFonts w:ascii="Amiri" w:hAnsi="Amiri" w:eastAsia="Amiri" w:cs="Amiri"/>
          <w:color w:val="111111"/>
          <w:sz w:val="28"/>
          <w:sz w:val="28"/>
          <w:szCs w:val="28"/>
          <w:rtl w:val="true"/>
          <w:lang w:bidi="ar-SA"/>
        </w:rPr>
        <w:t>من أنّ الأفضل أن يكون من الحُديبيّة أو الجِعرانة أو التنعيم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69"/>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يحرم عن الجِعرانة،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74" w:name="pg11805_168198"/>
    </w:p>
    <w:p>
      <w:pPr>
        <w:pStyle w:val="BookText"/>
        <w:rPr/>
      </w:pPr>
      <w:bookmarkEnd w:id="274"/>
      <w:r>
        <w:rPr>
          <w:rFonts w:ascii="Amiri" w:hAnsi="Amiri" w:eastAsia="Amiri" w:cs="Amiri"/>
          <w:color w:val="111111"/>
          <w:sz w:val="28"/>
          <w:sz w:val="28"/>
          <w:szCs w:val="28"/>
          <w:rtl w:val="true"/>
          <w:lang w:bidi="ar-SA"/>
        </w:rPr>
        <w:t>فإنّ النبيّ صلى الله عليه و آله اعتمر منها، فإنْ فاته فمن التنعيم، لأنّ النبيّ صلى الله عليه و آله أمر عائشة بالإحرام منه، فإن فاته فمن الحُديبيّة، لأنّ النبيّ صلى الله عليه و آله لمّا قفل من خيبر أحرم عن 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0670571_73709187"/>
      <w:bookmarkStart w:id="276" w:name="_Toc93"/>
      <w:bookmarkEnd w:id="275"/>
      <w:r>
        <w:rPr>
          <w:rtl w:val="true"/>
        </w:rPr>
        <w:t>تذنيبان حول ميقات العمرة</w:t>
      </w:r>
      <w:bookmarkEnd w:id="276"/>
    </w:p>
    <w:p>
      <w:pPr>
        <w:pStyle w:val="BookText"/>
        <w:rPr/>
      </w:pPr>
      <w:r>
        <w:rPr>
          <w:rFonts w:ascii="Amiri" w:hAnsi="Amiri" w:eastAsia="Amiri" w:cs="Amiri"/>
          <w:color w:val="111111"/>
          <w:sz w:val="28"/>
          <w:sz w:val="28"/>
          <w:szCs w:val="28"/>
          <w:rtl w:val="true"/>
          <w:lang w:bidi="ar-SA"/>
        </w:rPr>
        <w:t>التذنيب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الحُديبيّة بضمّ الحاء المهملة، وفتح الدالّ المهملة، ثمّ ياء مثنّاة تحتانيّة ساكنة، ثمّ باء موحدة، ثمّ ياء مثناة تحتانيّة، ثمّ تاء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بن المديني</w:t>
      </w:r>
      <w:r>
        <w:rPr>
          <w:rStyle w:val="FootnoteAnchor"/>
          <w:rtl w:val="true"/>
        </w:rPr>
        <w:footnoteReference w:id="12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المدينة يُثقلون الحُديبيّة، وأهل العراق يخفّفونها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السُّهيلي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التخفيف أعرف عند أهل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جعفر النحّاس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كلّ من لقيتُ ممّن أثق بعلميّته من أهل العربيّة عن الحُديبيّة، فلم يختلفوا في أنّها 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التثقيل لم يُسمع من 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الفقهاء والمحدّثين يشدّدونها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إنّها في الأصل اسمُ بئرٍ خارج الحرم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شجرةٍ حدباء، ثمّ سُمّيت بها قرية كانت هناك ليست بكبيره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ياقوت</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قرية متوسّطة ليست بالكبيرة، سُمّيت ببئرٍ هناك عند مسجد الشجرة التي بايع رسول اللّه صلى الله عليه و آله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الفيّومي</w:t>
      </w:r>
      <w:r>
        <w:rPr>
          <w:rStyle w:val="FootnoteAnchor"/>
          <w:rtl w:val="true"/>
        </w:rPr>
        <w:footnoteReference w:id="12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دون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النووي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مرحلةٍ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الواقدي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تسعة أميال من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في الحِلّ وبعضها في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الموضع معروفٌ لا نزاع حول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كلماتهم فيها أيضاً، بعد اتّفاقهم على كسر أوّلها، فإنّ أصحاب الحديث يكسرون عينها ويشدّدون الرّاء</w:t>
      </w:r>
      <w:r>
        <w:rPr>
          <w:rStyle w:val="FootnoteAnchor"/>
          <w:rtl w:val="true"/>
        </w:rPr>
        <w:footnoteReference w:id="1275"/>
      </w:r>
      <w:r>
        <w:rPr>
          <w:rFonts w:ascii="Amiri" w:hAnsi="Amiri" w:eastAsia="Amiri" w:cs="Amiri"/>
          <w:color w:val="111111"/>
          <w:sz w:val="28"/>
          <w:sz w:val="28"/>
          <w:szCs w:val="28"/>
          <w:rtl w:val="true"/>
          <w:lang w:bidi="ar-SA"/>
        </w:rPr>
        <w:t>، وأهل الأدب يخطئونهم ويسكنون عينها ويخفّفون الرّاء</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ياقوت</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روايتان جيّدتان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بن المديني</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المدينة يثقلونها، وأهل العراق يخفّفونها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موضعٌ بين مكّة والطائف من الحِلّ‌، بينها وبين مكّة ثمانية عشر ميلاً على ما عن الباجي</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الفيّومي</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سبعة أميال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2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سهوٌ في سهو، فإنّ الحرم من جهته تسعة أميال أو بريد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ثمّ السكون، وكسر العين المهملة، وياء 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بين مكّة وسَرف على فرسخين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وسُمّي بذلك، لأنّ جبلاً عن يمينه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وآخر عن شماله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الوادي نعمان، وبالتنعيم مساجد حول مسجد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موضعٌ على ثلاثة أميال من مكّة أو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فرسخين على طريق المدينة به مسجد أمير المؤمنين عليه السلام ومسجد زين العابدين عليه السلام، ومسجد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التذنيب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تحصّل من مجموع ما ذكرناه هنا وفي مسألة الآفاقي المُقيم بمكّة، أنّ ميقات حَجّ التمتّع مكّة، واجباً كان أو مستحبّاً، من الآفاقي أو من أهل مكّة، وميقات عُمرته أحد المواقيت الخمسة أو محاذاتها كذلك إذا كان المعتمر من غير أهل مكّة، وأمّا أهل مكّة فميقاتهم أدنى الحِلّ‌، وميقات حَجّ القِران والإفراد لأهل مكّة هي مدينة مكّة، وللمجاور أدنى الحِلّ‌، ولغيرهم أحد المواقيت الخمسة إلّا إذا كان منزله دون الميقات، فميقاته منزله، وميقات عمرتهما أدنى الحِلّ إذا كان في مكّة، ويجوز من أحدها، وإذا لم يكن في مكّة فيتعيّن أحدها، وكذا الحكم في العُمرة المفردة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77" w:name="pg11805_168201"/>
    </w:p>
    <w:p>
      <w:pPr>
        <w:pStyle w:val="Heading2"/>
        <w:numPr>
          <w:ilvl w:val="1"/>
          <w:numId w:val="1"/>
        </w:numPr>
        <w:rPr/>
      </w:pPr>
      <w:bookmarkStart w:id="278" w:name="__RefHeading___Toc10670573_73709187"/>
      <w:bookmarkStart w:id="279" w:name="_Toc94"/>
      <w:bookmarkEnd w:id="277"/>
      <w:bookmarkEnd w:id="278"/>
      <w:r>
        <w:rPr>
          <w:rtl w:val="true"/>
        </w:rPr>
        <w:t>فهرس الموضوعات</w:t>
      </w:r>
      <w:bookmarkEnd w:id="279"/>
    </w:p>
    <w:p>
      <w:pPr>
        <w:pStyle w:val="BookText"/>
        <w:rPr/>
      </w:pPr>
      <w:r>
        <w:rPr>
          <w:rFonts w:ascii="Amiri" w:hAnsi="Amiri" w:eastAsia="Amiri" w:cs="Amiri"/>
          <w:color w:val="111111"/>
          <w:sz w:val="28"/>
          <w:sz w:val="28"/>
          <w:szCs w:val="28"/>
          <w:rtl w:val="true"/>
          <w:lang w:bidi="ar-SA"/>
        </w:rPr>
        <w:t>في النيابة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نيابة المخالف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اعتبار البلوغ والعقل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نيابة المجنون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عدم اعتبار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اعتبار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عدم اشتغال ذمّة النائب بحَجٍّ 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عدم اعتبار المماثلة في النيابة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استنابة الصَّرورة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شرائط المنوب عنه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النيابة عن المخالف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اعتبار البلوغ والعقل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حقيقة النيابة وشروطها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شرائط النيابة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التبرّع عن الميّت في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نيابة الواحد عن المتعدّد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موت الأجير قبل تمام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موت الأجير قبل تمام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وجوب تعيّين نوع الحَجّ في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عدول النائب عمّا عُيِّن له من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تعدّد الإجارة للحَجّ في سنةٍ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حكم الإجارتين مع إطلاقهما أو إطلاق إحداهما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ولو اقترنت الإجارتان أو اشتبه السابقة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تصحيح الإجارة الثانية بإجازة المستأجر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حكم الأجير المحدود أو المحصور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لو أفسد الأجير حَجّه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تمليك الأجير الاُجرة بالعقد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استيجار الأجير غيره على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الاستئجار للحَجّ مع ضيق الوقت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 بالحَجّ‌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الحَجّ الموصى به يخرج من الأصل أو الثُّلث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حكم ما إذا لم يعلم أحد الأمرين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إذا لم يعيّن الموصي الاُجرة اقتصر على الأقلّ‌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إذا لم يعيّن عدد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إذا عيّن مقداراً لا يكفي للحَجّ‌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إذا عيّن للحَجّ اُجرةً لا تكفي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إذا صالحه داره على أن يحجّ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من كان عنده وديعة ومات صاحبها ولم يحجّ‌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حكم حَجّ من أعطاه رجل مالاً لاستئجار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المندوب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النيابة في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أنواع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التمتّع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 حَجّ التمتّع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التمتّع فرضُ من كان بعيداً عن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حَد البُعد الموجب للتمتّع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اعتبار الحَدّ من المسجد أو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من شكّ في أنّ وظيفته التمتّع أو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من له وطنان داخل الحَدّ وخارجه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حكم أهل مكّة إذا خرجوا إلى بعض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حكم الآفاقي إذا صار مُقيماً بمكّة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ميقات التمتّع المُقيم بمكّة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حَجّ الإفراد والقِران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شرائط حَجّ التمتّع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التمتّع بالعُمرة المفردة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اعتبار وقوع النسكين في أشهر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العُمرة قبل أشهر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اعتبار كون الحَجّ والعُمرة في سنة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اعتبار كون إحرام الحَجّ من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اعتبار كون النسكين من واحدٍ عن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خروج المُعتمر عن مكّة قبل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تنبيهات خروج المعتمر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حَدّ الضيق المسوّغ للعدول عن التمتّع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تنبيهات حَدّ الضيق المسوّغ للعدول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حكم الحائض والنفساء إذا ضاق وقتهما عن إتمام 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حدوث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شرائط حَجّ الإفراد والقِران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الطواف قبل المُضيّ إلى عرفات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تجديد التلبية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تنبيهات التلبية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وجوب الهَدْي على المتمتّع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المواقيت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ميقاتُ أهل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ميقات أهل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ميقات الجُحفة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حكم إحرام الحائض والجُنُب من أهل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ميقات أهل الشام ومصر والمغرب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ميقات أهل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ميقات أهل الطائف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ميقات مَنْ منزله أقرب من الميقات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ميقات الصبيان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محاذاة المواقيت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ما به تتحقّق المحاذاة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لو لم يؤدّ الطريق إلى المحاذاة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ميقات العُمرة المفردة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تذنيبان حول ميقات 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14563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اليزدي في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للشاهرودي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85/310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الحكيم في مستمسكه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7/109</w:t>
      </w:r>
      <w:r>
        <w:rPr>
          <w:rFonts w:ascii="IRNazanin" w:hAnsi="IRNazanin" w:eastAsia="IRNazanin"/>
          <w:b w:val="false"/>
          <w:b w:val="false"/>
          <w:bCs w:val="false"/>
          <w:i w:val="false"/>
          <w:i w:val="false"/>
          <w:iCs w:val="false"/>
          <w:color w:val="333333"/>
          <w:sz w:val="20"/>
          <w:sz w:val="20"/>
          <w:szCs w:val="20"/>
          <w:rtl w:val="true"/>
        </w:rPr>
        <w:t>،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السيّد الخوئي في كتابه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 الجزء الرابع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التنبيه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حجيّة الخبر الواحد في الموضوعات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13/330</w:t>
      </w:r>
      <w:r>
        <w:rPr>
          <w:rFonts w:ascii="IRNazanin" w:hAnsi="IRNazanin" w:eastAsia="IRNazanin"/>
          <w:b w:val="false"/>
          <w:b w:val="false"/>
          <w:bCs w:val="false"/>
          <w:i w:val="false"/>
          <w:i w:val="false"/>
          <w:iCs w:val="false"/>
          <w:color w:val="333333"/>
          <w:sz w:val="20"/>
          <w:sz w:val="20"/>
          <w:szCs w:val="20"/>
          <w:rtl w:val="true"/>
        </w:rPr>
        <w:t xml:space="preserve">،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نيابة من استقرّ عليه الحَجّ‌</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في تعليقه على الحديث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في النيابة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5/414</w:t>
      </w:r>
      <w:r>
        <w:rPr>
          <w:rFonts w:ascii="IRNazanin" w:hAnsi="IRNazanin" w:eastAsia="IRNazanin"/>
          <w:b w:val="false"/>
          <w:b w:val="false"/>
          <w:bCs w:val="false"/>
          <w:i w:val="false"/>
          <w:i w:val="false"/>
          <w:iCs w:val="false"/>
          <w:color w:val="333333"/>
          <w:sz w:val="20"/>
          <w:sz w:val="20"/>
          <w:szCs w:val="20"/>
          <w:rtl w:val="true"/>
        </w:rPr>
        <w:t>، كتاب الحَجّ‌، في فقه الحَجّ‌</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كتاب الحَجّ‌، في النيابة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كتاب الحَجّ‌، في الإستئجار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14599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11/192</w:t>
      </w:r>
      <w:r>
        <w:rPr>
          <w:rFonts w:ascii="IRNazanin" w:hAnsi="IRNazanin" w:eastAsia="IRNazanin"/>
          <w:b w:val="false"/>
          <w:b w:val="false"/>
          <w:bCs w:val="false"/>
          <w:i w:val="false"/>
          <w:i w:val="false"/>
          <w:iCs w:val="false"/>
          <w:color w:val="333333"/>
          <w:sz w:val="20"/>
          <w:sz w:val="20"/>
          <w:szCs w:val="20"/>
          <w:rtl w:val="true"/>
        </w:rPr>
        <w:t xml:space="preserve">، بعد ذكره للحديث رقم </w:t>
      </w:r>
      <w:r>
        <w:rPr>
          <w:rFonts w:eastAsia="IRNazanin" w:cs="IRNazanin"/>
          <w:b w:val="false"/>
          <w:bCs w:val="false"/>
          <w:i w:val="false"/>
          <w:iCs w:val="false"/>
          <w:color w:val="333333"/>
          <w:sz w:val="20"/>
          <w:szCs w:val="20"/>
        </w:rPr>
        <w:t>14599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12559</w:t>
      </w:r>
      <w:r>
        <w:rPr>
          <w:rFonts w:ascii="IRNazanin" w:hAnsi="IRNazanin" w:eastAsia="IRNazanin"/>
          <w:b w:val="false"/>
          <w:b w:val="false"/>
          <w:bCs w:val="false"/>
          <w:i w:val="false"/>
          <w:i w:val="false"/>
          <w:iCs w:val="false"/>
          <w:color w:val="333333"/>
          <w:sz w:val="20"/>
          <w:sz w:val="20"/>
          <w:szCs w:val="20"/>
          <w:rtl w:val="true"/>
        </w:rPr>
        <w:t xml:space="preserve">، مستطرفات السرائر،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10654</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لإبن زُهرة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تلميذه الشيخ الأصفهاني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مسألة قضاء الصلاة عن الميّت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والتحقيق في الجواب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والبيع، تقرير بحث النائيني للآملي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 الأصفهاني في كتابه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لعدم وجوب ذلك إتّفاقاً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ولكنّه يذكره عند الأضحية إذا ذبحها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انقلاب النسبة في التعارض بين أكثر من دليلين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وتبرّع الحَيّ يبريء الميّت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14598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14581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14264</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السيّد الخوئي في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المطلب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شرائط النيابة، 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في حكم موت النائب في الطريق من حيث استحقاق الأُجرة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خالف الأجير المستأجر فيما شرطه عليه إلى ما هو أفضل في الفعل والسنة جاز، وإنْ كان غير ذلك لم يجز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وحكاه عنه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14577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14578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5/416</w:t>
      </w:r>
      <w:r>
        <w:rPr>
          <w:rFonts w:ascii="IRNazanin" w:hAnsi="IRNazanin" w:eastAsia="IRNazanin"/>
          <w:b w:val="false"/>
          <w:b w:val="false"/>
          <w:bCs w:val="false"/>
          <w:i w:val="false"/>
          <w:i w:val="false"/>
          <w:iCs w:val="false"/>
          <w:color w:val="333333"/>
          <w:sz w:val="20"/>
          <w:sz w:val="20"/>
          <w:szCs w:val="20"/>
          <w:rtl w:val="true"/>
        </w:rPr>
        <w:t xml:space="preserve">، في تعليقه على 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11/182</w:t>
      </w:r>
      <w:r>
        <w:rPr>
          <w:rFonts w:ascii="IRNazanin" w:hAnsi="IRNazanin" w:eastAsia="IRNazanin"/>
          <w:b w:val="false"/>
          <w:b w:val="false"/>
          <w:bCs w:val="false"/>
          <w:i w:val="false"/>
          <w:i w:val="false"/>
          <w:iCs w:val="false"/>
          <w:color w:val="333333"/>
          <w:sz w:val="20"/>
          <w:sz w:val="20"/>
          <w:szCs w:val="20"/>
          <w:rtl w:val="true"/>
        </w:rPr>
        <w:t xml:space="preserve">، في تعليقه على الحديث </w:t>
      </w:r>
      <w:r>
        <w:rPr>
          <w:rFonts w:eastAsia="IRNazanin" w:cs="IRNazanin"/>
          <w:b w:val="false"/>
          <w:bCs w:val="false"/>
          <w:i w:val="false"/>
          <w:iCs w:val="false"/>
          <w:color w:val="333333"/>
          <w:sz w:val="20"/>
          <w:szCs w:val="20"/>
        </w:rPr>
        <w:t>14578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المقنعة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14576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السيّد نعمة اللّه الجزائري كلّ من 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11/133</w:t>
      </w:r>
      <w:r>
        <w:rPr>
          <w:rFonts w:ascii="IRNazanin" w:hAnsi="IRNazanin" w:eastAsia="IRNazanin"/>
          <w:b w:val="false"/>
          <w:b w:val="false"/>
          <w:bCs w:val="false"/>
          <w:i w:val="false"/>
          <w:i w:val="false"/>
          <w:iCs w:val="false"/>
          <w:color w:val="333333"/>
          <w:sz w:val="20"/>
          <w:sz w:val="20"/>
          <w:szCs w:val="20"/>
          <w:rtl w:val="true"/>
        </w:rPr>
        <w:t>، والسيّد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17397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 المفسد لحجّ هي الثانية دون الأُولى‌</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14581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17/390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17/391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ويظهر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جامع قبل الوقوف أعاد الحَجّ وأجزأ عنهما، سواء كانت الإجارة معيّنة أو مطلقة على الأقوى‌</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17/391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17/397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14572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14573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14574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14580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تعليقه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4/566</w:t>
      </w:r>
      <w:r>
        <w:rPr>
          <w:rFonts w:ascii="IRNazanin" w:hAnsi="IRNazanin" w:eastAsia="IRNazanin"/>
          <w:b w:val="false"/>
          <w:b w:val="false"/>
          <w:bCs w:val="false"/>
          <w:i w:val="false"/>
          <w:i w:val="false"/>
          <w:iCs w:val="false"/>
          <w:color w:val="333333"/>
          <w:sz w:val="20"/>
          <w:sz w:val="20"/>
          <w:szCs w:val="20"/>
          <w:rtl w:val="true"/>
        </w:rPr>
        <w:t>، قوله في تعليقه على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مجال لأن يمنع عن العدول، والأظهر الإجزاء</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الوصايا والمواريث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النيابة بكلّ تفاصيلها مرّت في بداية هذا الجزء</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13/379</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 يؤدّي من أصل التركة أو الثُّلث</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24580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14255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6/166</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أصالة الصحة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17/398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الشيخ المحقّق اليزدي في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الوصيّة 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14550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14549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17/399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17/400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14547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14548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17/401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4/580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17/402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الشهرة عليه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اليزدي في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 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السيّد الخوئي قدس سره عن اُستاذه النائيني رحمه الله في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32480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14579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17/402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17/402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17/402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وعبارته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للمستودع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موت المودع المشغول بحجّة واجبة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إقتطاع الاُجرة، ويستأجر مع علمه بمنع الوارث</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صاحب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الفاضل المقداد في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والشهيد الثاني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جواز التقدّم على الوليّ بدون إذنه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4/296</w:t>
      </w:r>
      <w:r>
        <w:rPr>
          <w:rFonts w:ascii="IRNazanin" w:hAnsi="IRNazanin" w:eastAsia="IRNazanin"/>
          <w:b w:val="false"/>
          <w:b w:val="false"/>
          <w:bCs w:val="false"/>
          <w:i w:val="false"/>
          <w:i w:val="false"/>
          <w:iCs w:val="false"/>
          <w:color w:val="333333"/>
          <w:sz w:val="20"/>
          <w:sz w:val="20"/>
          <w:szCs w:val="20"/>
          <w:rtl w:val="true"/>
        </w:rPr>
        <w:t xml:space="preserve">،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أولويّة الفقيه في التصرّف في الأموال والأنفس</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24755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24721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ونكتها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وحكاه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25648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22514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12039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12040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بن عيسى</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14580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14449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14452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14463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14464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14434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14437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14438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14497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14498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14613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12356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17800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17798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14595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14601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14620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14596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14594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18044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18046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18048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18054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14473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14474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14469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14494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14530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عُمر بن الخطّاب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17359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تعرّض للرواية دون ذٖكر التفسير في هذا المورد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ابن حجر في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ابن حجر في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14683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بالتشديد موضع بقرب مكّة من جهة الشام نحو مرحلة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 بالمهملة كتف موضع من مكّة على عشرة أميال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روض الجنان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 للكيدري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وكذلك نسبه في مختلف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اللّمعة الدمشقيّة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فهد الحِلّي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غير واحد من أهل اللّغة منها ما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باب ع</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14714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14717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14718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14683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14/429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14/429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السيّد الحكيم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2/799</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 والشرح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ونكتها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مختلف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14931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16486</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14788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14785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14709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19292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19290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19247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ابن إدريس 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المفيد في الأركان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14770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14771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14772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14/356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14/359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تردّدات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2/668</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7/194</w:t>
      </w:r>
      <w:r>
        <w:rPr>
          <w:rFonts w:ascii="IRNazanin" w:hAnsi="IRNazanin" w:eastAsia="IRNazanin"/>
          <w:b w:val="false"/>
          <w:b w:val="false"/>
          <w:bCs w:val="false"/>
          <w:i w:val="false"/>
          <w:i w:val="false"/>
          <w:iCs w:val="false"/>
          <w:color w:val="333333"/>
          <w:sz w:val="20"/>
          <w:sz w:val="20"/>
          <w:szCs w:val="20"/>
          <w:rtl w:val="true"/>
        </w:rPr>
        <w:t>، قواعدالأحكام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14938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14936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12356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14621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الشهرة في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يكره للمتمتّع أن يخرج من مكّة بعد عمرته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14871</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14872</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14846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14841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14833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14835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14836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14837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14839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14842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14834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14832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مسرور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14843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14849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7/180</w:t>
      </w:r>
      <w:r>
        <w:rPr>
          <w:rFonts w:ascii="IRNazanin" w:hAnsi="IRNazanin" w:eastAsia="IRNazanin"/>
          <w:b w:val="false"/>
          <w:b w:val="false"/>
          <w:bCs w:val="false"/>
          <w:i w:val="false"/>
          <w:i w:val="false"/>
          <w:iCs w:val="false"/>
          <w:color w:val="333333"/>
          <w:sz w:val="20"/>
          <w:sz w:val="20"/>
          <w:szCs w:val="20"/>
          <w:rtl w:val="true"/>
        </w:rPr>
        <w:t>، والسبزواري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13/986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14846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18186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18187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18188</w:t>
      </w:r>
      <w:r>
        <w:rPr>
          <w:rFonts w:ascii="IRNazanin" w:hAnsi="IRNazanin" w:eastAsia="IRNazanin"/>
          <w:b w:val="false"/>
          <w:b w:val="false"/>
          <w:bCs w:val="false"/>
          <w:i w:val="false"/>
          <w:i w:val="false"/>
          <w:iCs w:val="false"/>
          <w:color w:val="333333"/>
          <w:sz w:val="20"/>
          <w:sz w:val="20"/>
          <w:szCs w:val="20"/>
          <w:rtl w:val="true"/>
        </w:rPr>
        <w:t>، والآخر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18191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18193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18190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اليزدي في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حَجّ التمتّع</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18204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18202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xml:space="preserve">، كفاية الأحكام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7/181</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18199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18200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18204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18202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18201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القول لا يخلو من قوّة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18208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18207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14773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طواف القارِن والمفرد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وأوّل وقته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للقارن والمفرد من حين دخولهما مكّة، وإنْ كان ذلك قبل الموقفين، بدليل ما قدّمناه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إجماع الطائفة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18183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17823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18185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18097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18096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18100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حكاه عنه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تبصرة المتعلّمين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نسبته إلى المتأخّرين عن التنقيح</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18347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14825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14890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14892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14900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14891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14895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فى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وفى 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وفى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فضلاً عن المبسوط وقد مرّ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في شرح جمل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16544</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14883</w:t>
      </w:r>
      <w:r>
        <w:rPr>
          <w:rFonts w:ascii="IRNazanin" w:hAnsi="IRNazanin" w:eastAsia="IRNazanin"/>
          <w:b w:val="false"/>
          <w:b w:val="false"/>
          <w:bCs w:val="false"/>
          <w:i w:val="false"/>
          <w:i w:val="false"/>
          <w:iCs w:val="false"/>
          <w:color w:val="333333"/>
          <w:sz w:val="20"/>
          <w:sz w:val="20"/>
          <w:szCs w:val="20"/>
          <w:rtl w:val="true"/>
        </w:rPr>
        <w:t xml:space="preserve">، الأمالي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14908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14881</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14879</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غير واحد من أهل اللّغة كالقاموس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والفقهاء كالفاضل الهندي كما سيأتي، وصاحب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18/109</w:t>
      </w:r>
      <w:r>
        <w:rPr>
          <w:rFonts w:ascii="IRNazanin" w:hAnsi="IRNazanin" w:eastAsia="IRNazanin"/>
          <w:b w:val="false"/>
          <w:b w:val="false"/>
          <w:bCs w:val="false"/>
          <w:i w:val="false"/>
          <w:i w:val="false"/>
          <w:iCs w:val="false"/>
          <w:color w:val="333333"/>
          <w:sz w:val="20"/>
          <w:sz w:val="20"/>
          <w:szCs w:val="20"/>
          <w:rtl w:val="true"/>
        </w:rPr>
        <w:t>، ومستمسك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3/576</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14/435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14911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14906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14907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14903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14905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18/112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18/112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14911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14937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14939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للسيّد الخوئي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6/2181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14951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14954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14/450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14823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14822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في وسائل الشيعة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18/117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14/452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14908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14909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البروجردي قدس سره في تعليقته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تعليقته على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18/117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18/117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18/118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البروجردي قدس سره في تعليقته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14846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18/119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14/422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في المتن قاله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وما نقل عن ابن المدائني مختلف، كما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14/456</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العراقيّون يُثقلون الجعرانة والحديبيّة، والحجازيّون يخفّفونهما</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في 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عن إسماعيل بن القاضي عن علي بن المديني</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397</Pages>
  <Words>77412</Words>
  <Characters>343428</Characters>
  <CharactersWithSpaces>417754</CharactersWithSpaces>
  <Paragraphs>4771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2026-08-22T08:00:24Z</dcterms:created>
  <dc:creator>ghaemiyeh.com</dc:creator>
  <dc:description/>
  <dc:language>en-US</dc:language>
  <cp:lastModifiedBy/>
  <dcterms:modified xsi:type="dcterms:W3CDTF">2026-08-22T11:30:38Z</dcterms:modified>
  <cp:revision>1</cp:revision>
  <dc:subject/>
  <dc:title>فقه الصادق علیه السلام جلد 14</dc:title>
</cp:coreProperties>
</file>

<file path=docProps/custom.xml><?xml version="1.0" encoding="utf-8"?>
<Properties xmlns="http://schemas.openxmlformats.org/officeDocument/2006/custom-properties" xmlns:vt="http://schemas.openxmlformats.org/officeDocument/2006/docPropsVTypes"/>
</file>