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28617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328619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328621_73709187">
            <w:r>
              <w:rPr>
                <w:webHidden/>
                <w:rStyle w:val="IndexLink"/>
                <w:rtl w:val="true"/>
              </w:rPr>
              <w:t>تتمة كتاب الطهارة</w:t>
            </w:r>
            <w:r>
              <w:rPr>
                <w:rStyle w:val="IndexLink"/>
                <w:rtl w:val="true"/>
              </w:rPr>
              <w:tab/>
            </w:r>
            <w:r>
              <w:rPr>
                <w:rStyle w:val="IndexLink"/>
              </w:rPr>
              <w:t>12</w:t>
            </w:r>
          </w:hyperlink>
        </w:p>
        <w:p>
          <w:pPr>
            <w:pStyle w:val="Contents3"/>
            <w:tabs>
              <w:tab w:val="clear" w:pos="8459"/>
              <w:tab w:val="right" w:pos="9026" w:leader="dot"/>
            </w:tabs>
            <w:rPr/>
          </w:pPr>
          <w:hyperlink w:anchor="__RefHeading___Toc10328623_73709187">
            <w:r>
              <w:rPr>
                <w:webHidden/>
                <w:rStyle w:val="IndexLink"/>
                <w:rtl w:val="true"/>
              </w:rPr>
              <w:t>تتمة الباب الثاني في الوضوء</w:t>
            </w:r>
            <w:r>
              <w:rPr>
                <w:rStyle w:val="IndexLink"/>
                <w:rtl w:val="true"/>
              </w:rPr>
              <w:tab/>
            </w:r>
            <w:r>
              <w:rPr>
                <w:rStyle w:val="IndexLink"/>
              </w:rPr>
              <w:t>12</w:t>
            </w:r>
          </w:hyperlink>
        </w:p>
        <w:p>
          <w:pPr>
            <w:pStyle w:val="Contents4"/>
            <w:tabs>
              <w:tab w:val="clear" w:pos="8176"/>
              <w:tab w:val="right" w:pos="9026" w:leader="dot"/>
            </w:tabs>
            <w:rPr/>
          </w:pPr>
          <w:hyperlink w:anchor="__RefHeading___Toc10328625_73709187">
            <w:r>
              <w:rPr>
                <w:webHidden/>
                <w:rStyle w:val="IndexLink"/>
                <w:rtl w:val="true"/>
              </w:rPr>
              <w:t>تتمة واجبات الوضوء</w:t>
            </w:r>
            <w:r>
              <w:rPr>
                <w:rStyle w:val="IndexLink"/>
                <w:rtl w:val="true"/>
              </w:rPr>
              <w:tab/>
            </w:r>
            <w:r>
              <w:rPr>
                <w:rStyle w:val="IndexLink"/>
              </w:rPr>
              <w:t>12</w:t>
            </w:r>
          </w:hyperlink>
        </w:p>
        <w:p>
          <w:pPr>
            <w:pStyle w:val="Contents5"/>
            <w:tabs>
              <w:tab w:val="clear" w:pos="7892"/>
              <w:tab w:val="right" w:pos="9026" w:leader="dot"/>
            </w:tabs>
            <w:rPr/>
          </w:pPr>
          <w:hyperlink w:anchor="__RefHeading___Toc10328627_73709187">
            <w:r>
              <w:rPr>
                <w:webHidden/>
                <w:rStyle w:val="IndexLink"/>
                <w:rtl w:val="true"/>
              </w:rPr>
              <w:t>تتمة المسح على الحائل</w:t>
            </w:r>
            <w:r>
              <w:rPr>
                <w:rStyle w:val="IndexLink"/>
                <w:rtl w:val="true"/>
              </w:rPr>
              <w:tab/>
            </w:r>
            <w:r>
              <w:rPr>
                <w:rStyle w:val="IndexLink"/>
              </w:rPr>
              <w:t>12</w:t>
            </w:r>
          </w:hyperlink>
        </w:p>
        <w:p>
          <w:pPr>
            <w:pStyle w:val="Contents6"/>
            <w:tabs>
              <w:tab w:val="clear" w:pos="7609"/>
              <w:tab w:val="right" w:pos="9026" w:leader="dot"/>
            </w:tabs>
            <w:rPr/>
          </w:pPr>
          <w:hyperlink w:anchor="__RefHeading___Toc10328629_73709187">
            <w:r>
              <w:rPr>
                <w:webHidden/>
                <w:rStyle w:val="IndexLink"/>
                <w:rtl w:val="true"/>
              </w:rPr>
              <w:t>في حكم العبادة عند ترك التقيّة</w:t>
            </w:r>
            <w:r>
              <w:rPr>
                <w:rStyle w:val="IndexLink"/>
                <w:rtl w:val="true"/>
              </w:rPr>
              <w:tab/>
            </w:r>
            <w:r>
              <w:rPr>
                <w:rStyle w:val="IndexLink"/>
              </w:rPr>
              <w:t>12</w:t>
            </w:r>
          </w:hyperlink>
        </w:p>
        <w:p>
          <w:pPr>
            <w:pStyle w:val="Contents6"/>
            <w:tabs>
              <w:tab w:val="clear" w:pos="7609"/>
              <w:tab w:val="right" w:pos="9026" w:leader="dot"/>
            </w:tabs>
            <w:rPr/>
          </w:pPr>
          <w:hyperlink w:anchor="__RefHeading___Toc10328631_73709187">
            <w:r>
              <w:rPr>
                <w:webHidden/>
                <w:rStyle w:val="IndexLink"/>
                <w:rtl w:val="true"/>
              </w:rPr>
              <w:t>في وجوب البدار مطلقاً وعدمه</w:t>
            </w:r>
            <w:r>
              <w:rPr>
                <w:rStyle w:val="IndexLink"/>
                <w:rtl w:val="true"/>
              </w:rPr>
              <w:tab/>
            </w:r>
            <w:r>
              <w:rPr>
                <w:rStyle w:val="IndexLink"/>
              </w:rPr>
              <w:t>14</w:t>
            </w:r>
          </w:hyperlink>
        </w:p>
        <w:p>
          <w:pPr>
            <w:pStyle w:val="Contents6"/>
            <w:tabs>
              <w:tab w:val="clear" w:pos="7609"/>
              <w:tab w:val="right" w:pos="9026" w:leader="dot"/>
            </w:tabs>
            <w:rPr/>
          </w:pPr>
          <w:hyperlink w:anchor="__RefHeading___Toc10328633_73709187">
            <w:r>
              <w:rPr>
                <w:webHidden/>
                <w:rStyle w:val="IndexLink"/>
                <w:rtl w:val="true"/>
              </w:rPr>
              <w:t>زوال السبب المسوّغ للتيمّم</w:t>
            </w:r>
            <w:r>
              <w:rPr>
                <w:rStyle w:val="IndexLink"/>
                <w:rtl w:val="true"/>
              </w:rPr>
              <w:tab/>
            </w:r>
            <w:r>
              <w:rPr>
                <w:rStyle w:val="IndexLink"/>
              </w:rPr>
              <w:t>15</w:t>
            </w:r>
          </w:hyperlink>
        </w:p>
        <w:p>
          <w:pPr>
            <w:pStyle w:val="Contents5"/>
            <w:tabs>
              <w:tab w:val="clear" w:pos="7892"/>
              <w:tab w:val="right" w:pos="9026" w:leader="dot"/>
            </w:tabs>
            <w:rPr/>
          </w:pPr>
          <w:hyperlink w:anchor="__RefHeading___Toc10328635_73709187">
            <w:r>
              <w:rPr>
                <w:webHidden/>
                <w:rStyle w:val="IndexLink"/>
                <w:rtl w:val="true"/>
              </w:rPr>
              <w:t>وجوب الترتيب في أجزاء الوضوء</w:t>
            </w:r>
            <w:r>
              <w:rPr>
                <w:rStyle w:val="IndexLink"/>
                <w:rtl w:val="true"/>
              </w:rPr>
              <w:tab/>
            </w:r>
            <w:r>
              <w:rPr>
                <w:rStyle w:val="IndexLink"/>
              </w:rPr>
              <w:t>19</w:t>
            </w:r>
          </w:hyperlink>
        </w:p>
        <w:p>
          <w:pPr>
            <w:pStyle w:val="Contents5"/>
            <w:tabs>
              <w:tab w:val="clear" w:pos="7892"/>
              <w:tab w:val="right" w:pos="9026" w:leader="dot"/>
            </w:tabs>
            <w:rPr/>
          </w:pPr>
          <w:hyperlink w:anchor="__RefHeading___Toc10328637_73709187">
            <w:r>
              <w:rPr>
                <w:webHidden/>
                <w:rStyle w:val="IndexLink"/>
                <w:rtl w:val="true"/>
              </w:rPr>
              <w:t>وجوب الموالاة وبيان المراد منها</w:t>
            </w:r>
            <w:r>
              <w:rPr>
                <w:rStyle w:val="IndexLink"/>
                <w:rtl w:val="true"/>
              </w:rPr>
              <w:tab/>
            </w:r>
            <w:r>
              <w:rPr>
                <w:rStyle w:val="IndexLink"/>
              </w:rPr>
              <w:t>23</w:t>
            </w:r>
          </w:hyperlink>
        </w:p>
        <w:p>
          <w:pPr>
            <w:pStyle w:val="Contents5"/>
            <w:tabs>
              <w:tab w:val="clear" w:pos="7892"/>
              <w:tab w:val="right" w:pos="9026" w:leader="dot"/>
            </w:tabs>
            <w:rPr/>
          </w:pPr>
          <w:hyperlink w:anchor="__RefHeading___Toc10328639_73709187">
            <w:r>
              <w:rPr>
                <w:webHidden/>
                <w:rStyle w:val="IndexLink"/>
                <w:rtl w:val="true"/>
              </w:rPr>
              <w:t>بقيّة واجبات الوضوء</w:t>
            </w:r>
            <w:r>
              <w:rPr>
                <w:rStyle w:val="IndexLink"/>
                <w:rtl w:val="true"/>
              </w:rPr>
              <w:tab/>
            </w:r>
            <w:r>
              <w:rPr>
                <w:rStyle w:val="IndexLink"/>
              </w:rPr>
              <w:t>29</w:t>
            </w:r>
          </w:hyperlink>
        </w:p>
        <w:p>
          <w:pPr>
            <w:pStyle w:val="Contents6"/>
            <w:tabs>
              <w:tab w:val="clear" w:pos="7609"/>
              <w:tab w:val="right" w:pos="9026" w:leader="dot"/>
            </w:tabs>
            <w:rPr/>
          </w:pPr>
          <w:hyperlink w:anchor="__RefHeading___Toc10328641_73709187">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10328643_73709187">
            <w:r>
              <w:rPr>
                <w:webHidden/>
                <w:rStyle w:val="IndexLink"/>
                <w:rtl w:val="true"/>
              </w:rPr>
              <w:t>الأمر الأوّل</w:t>
            </w:r>
            <w:r>
              <w:rPr>
                <w:rStyle w:val="IndexLink"/>
                <w:rtl w:val="true"/>
              </w:rPr>
              <w:t xml:space="preserve">: </w:t>
            </w:r>
            <w:r>
              <w:rPr>
                <w:rStyle w:val="IndexLink"/>
                <w:rtl w:val="true"/>
              </w:rPr>
              <w:t>إطلاق الماء،</w:t>
            </w:r>
            <w:r>
              <w:rPr>
                <w:rStyle w:val="IndexLink"/>
                <w:rtl w:val="true"/>
              </w:rPr>
              <w:tab/>
            </w:r>
            <w:r>
              <w:rPr>
                <w:rStyle w:val="IndexLink"/>
              </w:rPr>
              <w:t>29</w:t>
            </w:r>
          </w:hyperlink>
        </w:p>
        <w:p>
          <w:pPr>
            <w:pStyle w:val="Contents6"/>
            <w:tabs>
              <w:tab w:val="clear" w:pos="7609"/>
              <w:tab w:val="right" w:pos="9026" w:leader="dot"/>
            </w:tabs>
            <w:rPr/>
          </w:pPr>
          <w:hyperlink w:anchor="__RefHeading___Toc10328645_73709187">
            <w:r>
              <w:rPr>
                <w:webHidden/>
                <w:rStyle w:val="IndexLink"/>
                <w:rtl w:val="true"/>
              </w:rPr>
              <w:t>الأمر الثاني</w:t>
            </w:r>
            <w:r>
              <w:rPr>
                <w:rStyle w:val="IndexLink"/>
                <w:rtl w:val="true"/>
              </w:rPr>
              <w:t xml:space="preserve">: </w:t>
            </w:r>
            <w:r>
              <w:rPr>
                <w:rStyle w:val="IndexLink"/>
                <w:rtl w:val="true"/>
              </w:rPr>
              <w:t>طهارة الماء،</w:t>
            </w:r>
            <w:r>
              <w:rPr>
                <w:rStyle w:val="IndexLink"/>
                <w:rtl w:val="true"/>
              </w:rPr>
              <w:tab/>
            </w:r>
            <w:r>
              <w:rPr>
                <w:rStyle w:val="IndexLink"/>
              </w:rPr>
              <w:t>29</w:t>
            </w:r>
          </w:hyperlink>
        </w:p>
        <w:p>
          <w:pPr>
            <w:pStyle w:val="Contents6"/>
            <w:tabs>
              <w:tab w:val="clear" w:pos="7609"/>
              <w:tab w:val="right" w:pos="9026" w:leader="dot"/>
            </w:tabs>
            <w:rPr/>
          </w:pPr>
          <w:hyperlink w:anchor="__RefHeading___Toc10328647_73709187">
            <w:r>
              <w:rPr>
                <w:webHidden/>
                <w:rStyle w:val="IndexLink"/>
                <w:rtl w:val="true"/>
              </w:rPr>
              <w:t>الأمر الثالث</w:t>
            </w:r>
            <w:r>
              <w:rPr>
                <w:rStyle w:val="IndexLink"/>
                <w:rtl w:val="true"/>
              </w:rPr>
              <w:t xml:space="preserve">: </w:t>
            </w:r>
            <w:r>
              <w:rPr>
                <w:rStyle w:val="IndexLink"/>
                <w:rtl w:val="true"/>
              </w:rPr>
              <w:t>طهارة مواضع الوضوء على المشهور،</w:t>
            </w:r>
            <w:r>
              <w:rPr>
                <w:rStyle w:val="IndexLink"/>
                <w:rtl w:val="true"/>
              </w:rPr>
              <w:tab/>
            </w:r>
            <w:r>
              <w:rPr>
                <w:rStyle w:val="IndexLink"/>
              </w:rPr>
              <w:t>29</w:t>
            </w:r>
          </w:hyperlink>
        </w:p>
        <w:p>
          <w:pPr>
            <w:pStyle w:val="Contents6"/>
            <w:tabs>
              <w:tab w:val="clear" w:pos="7609"/>
              <w:tab w:val="right" w:pos="9026" w:leader="dot"/>
            </w:tabs>
            <w:rPr/>
          </w:pPr>
          <w:hyperlink w:anchor="__RefHeading___Toc10328649_73709187">
            <w:r>
              <w:rPr>
                <w:webHidden/>
                <w:rStyle w:val="IndexLink"/>
                <w:rtl w:val="true"/>
              </w:rPr>
              <w:t>الأمر الرابع</w:t>
            </w:r>
            <w:r>
              <w:rPr>
                <w:rStyle w:val="IndexLink"/>
                <w:rtl w:val="true"/>
              </w:rPr>
              <w:t xml:space="preserve">: </w:t>
            </w:r>
            <w:r>
              <w:rPr>
                <w:rStyle w:val="IndexLink"/>
                <w:rtl w:val="true"/>
              </w:rPr>
              <w:t>أنْ لا يكون الوعاء الذي فيه ماء الوضوء من أواني الذهب أو الفضّة</w:t>
            </w:r>
            <w:r>
              <w:rPr>
                <w:rStyle w:val="IndexLink"/>
                <w:rtl w:val="true"/>
              </w:rPr>
              <w:t>.</w:t>
              <w:tab/>
            </w:r>
            <w:r>
              <w:rPr>
                <w:rStyle w:val="IndexLink"/>
              </w:rPr>
              <w:t>31</w:t>
            </w:r>
          </w:hyperlink>
        </w:p>
        <w:p>
          <w:pPr>
            <w:pStyle w:val="Contents6"/>
            <w:tabs>
              <w:tab w:val="clear" w:pos="7609"/>
              <w:tab w:val="right" w:pos="9026" w:leader="dot"/>
            </w:tabs>
            <w:rPr/>
          </w:pPr>
          <w:hyperlink w:anchor="__RefHeading___Toc10328651_73709187">
            <w:r>
              <w:rPr>
                <w:webHidden/>
                <w:rStyle w:val="IndexLink"/>
                <w:rtl w:val="true"/>
              </w:rPr>
              <w:t>الأمر الخامس</w:t>
            </w:r>
            <w:r>
              <w:rPr>
                <w:rStyle w:val="IndexLink"/>
                <w:rtl w:val="true"/>
              </w:rPr>
              <w:t xml:space="preserve">: </w:t>
            </w:r>
            <w:r>
              <w:rPr>
                <w:rStyle w:val="IndexLink"/>
                <w:rtl w:val="true"/>
              </w:rPr>
              <w:t>أنْ لا يكون الماء مستعملاً في رفع الخبث والحدث</w:t>
            </w:r>
            <w:r>
              <w:rPr>
                <w:rStyle w:val="IndexLink"/>
                <w:rtl w:val="true"/>
              </w:rPr>
              <w:t>.</w:t>
              <w:tab/>
            </w:r>
            <w:r>
              <w:rPr>
                <w:rStyle w:val="IndexLink"/>
              </w:rPr>
              <w:t>31</w:t>
            </w:r>
          </w:hyperlink>
        </w:p>
        <w:p>
          <w:pPr>
            <w:pStyle w:val="Contents6"/>
            <w:tabs>
              <w:tab w:val="clear" w:pos="7609"/>
              <w:tab w:val="right" w:pos="9026" w:leader="dot"/>
            </w:tabs>
            <w:rPr/>
          </w:pPr>
          <w:hyperlink w:anchor="__RefHeading___Toc10328653_73709187">
            <w:r>
              <w:rPr>
                <w:webHidden/>
                <w:rStyle w:val="IndexLink"/>
                <w:rtl w:val="true"/>
              </w:rPr>
              <w:t>الأمر السادس</w:t>
            </w:r>
            <w:r>
              <w:rPr>
                <w:rStyle w:val="IndexLink"/>
                <w:rtl w:val="true"/>
              </w:rPr>
              <w:t xml:space="preserve">: </w:t>
            </w:r>
            <w:r>
              <w:rPr>
                <w:rStyle w:val="IndexLink"/>
                <w:rtl w:val="true"/>
              </w:rPr>
              <w:t>أنْ يكون الماء مباحاً،</w:t>
            </w:r>
            <w:r>
              <w:rPr>
                <w:rStyle w:val="IndexLink"/>
                <w:rtl w:val="true"/>
              </w:rPr>
              <w:tab/>
            </w:r>
            <w:r>
              <w:rPr>
                <w:rStyle w:val="IndexLink"/>
              </w:rPr>
              <w:t>32</w:t>
            </w:r>
          </w:hyperlink>
        </w:p>
        <w:p>
          <w:pPr>
            <w:pStyle w:val="Contents6"/>
            <w:tabs>
              <w:tab w:val="clear" w:pos="7609"/>
              <w:tab w:val="right" w:pos="9026" w:leader="dot"/>
            </w:tabs>
            <w:rPr/>
          </w:pPr>
          <w:hyperlink w:anchor="__RefHeading___Toc10328655_73709187">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10328657_73709187">
            <w:r>
              <w:rPr>
                <w:webHidden/>
                <w:rStyle w:val="IndexLink"/>
                <w:rtl w:val="true"/>
              </w:rPr>
              <w:t>الوضوء تحت الخيمة المغصوبة</w:t>
            </w:r>
            <w:r>
              <w:rPr>
                <w:rStyle w:val="IndexLink"/>
                <w:rtl w:val="true"/>
              </w:rPr>
              <w:tab/>
            </w:r>
            <w:r>
              <w:rPr>
                <w:rStyle w:val="IndexLink"/>
              </w:rPr>
              <w:t>36</w:t>
            </w:r>
          </w:hyperlink>
        </w:p>
        <w:p>
          <w:pPr>
            <w:pStyle w:val="Contents6"/>
            <w:tabs>
              <w:tab w:val="clear" w:pos="7609"/>
              <w:tab w:val="right" w:pos="9026" w:leader="dot"/>
            </w:tabs>
            <w:rPr/>
          </w:pPr>
          <w:hyperlink w:anchor="__RefHeading___Toc10328659_73709187">
            <w:r>
              <w:rPr>
                <w:webHidden/>
                <w:rStyle w:val="IndexLink"/>
                <w:rtl w:val="true"/>
              </w:rPr>
              <w:t>الأمر السابع</w:t>
            </w:r>
            <w:r>
              <w:rPr>
                <w:rStyle w:val="IndexLink"/>
                <w:rtl w:val="true"/>
              </w:rPr>
              <w:t xml:space="preserve">: </w:t>
            </w:r>
            <w:r>
              <w:rPr>
                <w:rStyle w:val="IndexLink"/>
                <w:rtl w:val="true"/>
              </w:rPr>
              <w:t>أن لا يكون مانعٌ من استعمال الماء،</w:t>
            </w:r>
            <w:r>
              <w:rPr>
                <w:rStyle w:val="IndexLink"/>
                <w:rtl w:val="true"/>
              </w:rPr>
              <w:tab/>
            </w:r>
            <w:r>
              <w:rPr>
                <w:rStyle w:val="IndexLink"/>
              </w:rPr>
              <w:t>40</w:t>
            </w:r>
          </w:hyperlink>
        </w:p>
        <w:p>
          <w:pPr>
            <w:pStyle w:val="Contents6"/>
            <w:tabs>
              <w:tab w:val="clear" w:pos="7609"/>
              <w:tab w:val="right" w:pos="9026" w:leader="dot"/>
            </w:tabs>
            <w:rPr/>
          </w:pPr>
          <w:hyperlink w:anchor="__RefHeading___Toc10328661_73709187">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0328663_73709187">
            <w:r>
              <w:rPr>
                <w:webHidden/>
                <w:rStyle w:val="IndexLink"/>
                <w:rtl w:val="true"/>
              </w:rPr>
              <w:t>حكم طهارة الجاهل بضررها</w:t>
            </w:r>
            <w:r>
              <w:rPr>
                <w:rStyle w:val="IndexLink"/>
                <w:rtl w:val="true"/>
              </w:rPr>
              <w:tab/>
            </w:r>
            <w:r>
              <w:rPr>
                <w:rStyle w:val="IndexLink"/>
              </w:rPr>
              <w:t>42</w:t>
            </w:r>
          </w:hyperlink>
        </w:p>
        <w:p>
          <w:pPr>
            <w:pStyle w:val="Contents6"/>
            <w:tabs>
              <w:tab w:val="clear" w:pos="7609"/>
              <w:tab w:val="right" w:pos="9026" w:leader="dot"/>
            </w:tabs>
            <w:rPr/>
          </w:pPr>
          <w:hyperlink w:anchor="__RefHeading___Toc10328665_73709187">
            <w:r>
              <w:rPr>
                <w:webHidden/>
                <w:rStyle w:val="IndexLink"/>
                <w:rtl w:val="true"/>
              </w:rPr>
              <w:t>حكم تعارض الوضوء والصلاة</w:t>
            </w:r>
            <w:r>
              <w:rPr>
                <w:rStyle w:val="IndexLink"/>
                <w:rtl w:val="true"/>
              </w:rPr>
              <w:tab/>
            </w:r>
            <w:r>
              <w:rPr>
                <w:rStyle w:val="IndexLink"/>
              </w:rPr>
              <w:t>43</w:t>
            </w:r>
          </w:hyperlink>
        </w:p>
        <w:p>
          <w:pPr>
            <w:pStyle w:val="Contents6"/>
            <w:tabs>
              <w:tab w:val="clear" w:pos="7609"/>
              <w:tab w:val="right" w:pos="9026" w:leader="dot"/>
            </w:tabs>
            <w:rPr/>
          </w:pPr>
          <w:hyperlink w:anchor="__RefHeading___Toc10328667_73709187">
            <w:r>
              <w:rPr>
                <w:webHidden/>
                <w:rStyle w:val="IndexLink"/>
                <w:rtl w:val="true"/>
              </w:rPr>
              <w:t>الأمر الثامن</w:t>
            </w:r>
            <w:r>
              <w:rPr>
                <w:rStyle w:val="IndexLink"/>
                <w:rtl w:val="true"/>
              </w:rPr>
              <w:t xml:space="preserve">: </w:t>
            </w:r>
            <w:r>
              <w:rPr>
                <w:rStyle w:val="IndexLink"/>
                <w:rtl w:val="true"/>
              </w:rPr>
              <w:t>ممّا يعتبر في الوضوء المباشرة،</w:t>
            </w:r>
            <w:r>
              <w:rPr>
                <w:rStyle w:val="IndexLink"/>
                <w:rtl w:val="true"/>
              </w:rPr>
              <w:tab/>
            </w:r>
            <w:r>
              <w:rPr>
                <w:rStyle w:val="IndexLink"/>
              </w:rPr>
              <w:t>45</w:t>
            </w:r>
          </w:hyperlink>
        </w:p>
        <w:p>
          <w:pPr>
            <w:pStyle w:val="Contents6"/>
            <w:tabs>
              <w:tab w:val="clear" w:pos="7609"/>
              <w:tab w:val="right" w:pos="9026" w:leader="dot"/>
            </w:tabs>
            <w:rPr/>
          </w:pPr>
          <w:hyperlink w:anchor="__RefHeading___Toc10328669_73709187">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10328671_73709187">
            <w:r>
              <w:rPr>
                <w:webHidden/>
                <w:rStyle w:val="IndexLink"/>
                <w:rtl w:val="true"/>
              </w:rPr>
              <w:t>التولية في حال الاضطرار</w:t>
            </w:r>
            <w:r>
              <w:rPr>
                <w:rStyle w:val="IndexLink"/>
                <w:rtl w:val="true"/>
              </w:rPr>
              <w:tab/>
            </w:r>
            <w:r>
              <w:rPr>
                <w:rStyle w:val="IndexLink"/>
              </w:rPr>
              <w:t>49</w:t>
            </w:r>
          </w:hyperlink>
        </w:p>
        <w:p>
          <w:pPr>
            <w:pStyle w:val="Contents4"/>
            <w:tabs>
              <w:tab w:val="clear" w:pos="8176"/>
              <w:tab w:val="right" w:pos="9026" w:leader="dot"/>
            </w:tabs>
            <w:rPr/>
          </w:pPr>
          <w:hyperlink w:anchor="__RefHeading___Toc10328673_73709187">
            <w:r>
              <w:rPr>
                <w:webHidden/>
                <w:rStyle w:val="IndexLink"/>
                <w:rtl w:val="true"/>
              </w:rPr>
              <w:t>مستحبّات الوضوء</w:t>
            </w:r>
            <w:r>
              <w:rPr>
                <w:rStyle w:val="IndexLink"/>
                <w:rtl w:val="true"/>
              </w:rPr>
              <w:tab/>
            </w:r>
            <w:r>
              <w:rPr>
                <w:rStyle w:val="IndexLink"/>
              </w:rPr>
              <w:t>51</w:t>
            </w:r>
          </w:hyperlink>
        </w:p>
        <w:p>
          <w:pPr>
            <w:pStyle w:val="Contents5"/>
            <w:tabs>
              <w:tab w:val="clear" w:pos="7892"/>
              <w:tab w:val="right" w:pos="9026" w:leader="dot"/>
            </w:tabs>
            <w:rPr/>
          </w:pPr>
          <w:hyperlink w:anchor="__RefHeading___Toc10328675_7370918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0328677_73709187">
            <w:r>
              <w:rPr>
                <w:webHidden/>
                <w:rStyle w:val="IndexLink"/>
                <w:rtl w:val="true"/>
              </w:rPr>
              <w:t>الأمر الأوّل</w:t>
            </w:r>
            <w:r>
              <w:rPr>
                <w:rStyle w:val="IndexLink"/>
                <w:rtl w:val="true"/>
              </w:rPr>
              <w:t xml:space="preserve">: </w:t>
            </w:r>
            <w:r>
              <w:rPr>
                <w:rStyle w:val="IndexLink"/>
                <w:rtl w:val="true"/>
              </w:rPr>
              <w:t>غَسل اليدين قبل إدخالهما الإناء</w:t>
            </w:r>
            <w:r>
              <w:rPr>
                <w:rStyle w:val="IndexLink"/>
                <w:rtl w:val="true"/>
              </w:rPr>
              <w:tab/>
            </w:r>
            <w:r>
              <w:rPr>
                <w:rStyle w:val="IndexLink"/>
              </w:rPr>
              <w:t>51</w:t>
            </w:r>
          </w:hyperlink>
        </w:p>
        <w:p>
          <w:pPr>
            <w:pStyle w:val="Contents5"/>
            <w:tabs>
              <w:tab w:val="clear" w:pos="7892"/>
              <w:tab w:val="right" w:pos="9026" w:leader="dot"/>
            </w:tabs>
            <w:rPr/>
          </w:pPr>
          <w:hyperlink w:anchor="__RefHeading___Toc10328679_73709187">
            <w:r>
              <w:rPr>
                <w:webHidden/>
                <w:rStyle w:val="IndexLink"/>
                <w:rtl w:val="true"/>
              </w:rPr>
              <w:t>الأمر الثاني</w:t>
            </w:r>
            <w:r>
              <w:rPr>
                <w:rStyle w:val="IndexLink"/>
                <w:rtl w:val="true"/>
              </w:rPr>
              <w:t xml:space="preserve">: </w:t>
            </w:r>
            <w:r>
              <w:rPr>
                <w:rStyle w:val="IndexLink"/>
                <w:rtl w:val="true"/>
              </w:rPr>
              <w:t>وضع الإناء على اليمين</w:t>
            </w:r>
            <w:r>
              <w:rPr>
                <w:rStyle w:val="IndexLink"/>
                <w:rtl w:val="true"/>
              </w:rPr>
              <w:tab/>
            </w:r>
            <w:r>
              <w:rPr>
                <w:rStyle w:val="IndexLink"/>
              </w:rPr>
              <w:t>53</w:t>
            </w:r>
          </w:hyperlink>
        </w:p>
        <w:p>
          <w:pPr>
            <w:pStyle w:val="Contents5"/>
            <w:tabs>
              <w:tab w:val="clear" w:pos="7892"/>
              <w:tab w:val="right" w:pos="9026" w:leader="dot"/>
            </w:tabs>
            <w:rPr/>
          </w:pPr>
          <w:hyperlink w:anchor="__RefHeading___Toc10328681_73709187">
            <w:r>
              <w:rPr>
                <w:webHidden/>
                <w:rStyle w:val="IndexLink"/>
                <w:rtl w:val="true"/>
              </w:rPr>
              <w:t>الأمرالثالث</w:t>
            </w:r>
            <w:r>
              <w:rPr>
                <w:rStyle w:val="IndexLink"/>
                <w:rtl w:val="true"/>
              </w:rPr>
              <w:t xml:space="preserve">: </w:t>
            </w:r>
            <w:r>
              <w:rPr>
                <w:rStyle w:val="IndexLink"/>
                <w:rtl w:val="true"/>
              </w:rPr>
              <w:t>الاغتراف بها</w:t>
            </w:r>
            <w:r>
              <w:rPr>
                <w:rStyle w:val="IndexLink"/>
                <w:rtl w:val="true"/>
              </w:rPr>
              <w:tab/>
            </w:r>
            <w:r>
              <w:rPr>
                <w:rStyle w:val="IndexLink"/>
              </w:rPr>
              <w:t>53</w:t>
            </w:r>
          </w:hyperlink>
        </w:p>
        <w:p>
          <w:pPr>
            <w:pStyle w:val="Contents5"/>
            <w:tabs>
              <w:tab w:val="clear" w:pos="7892"/>
              <w:tab w:val="right" w:pos="9026" w:leader="dot"/>
            </w:tabs>
            <w:rPr/>
          </w:pPr>
          <w:hyperlink w:anchor="__RefHeading___Toc10328683_73709187">
            <w:r>
              <w:rPr>
                <w:webHidden/>
                <w:rStyle w:val="IndexLink"/>
                <w:rtl w:val="true"/>
              </w:rPr>
              <w:t>الأمر الرابع</w:t>
            </w:r>
            <w:r>
              <w:rPr>
                <w:rStyle w:val="IndexLink"/>
                <w:rtl w:val="true"/>
              </w:rPr>
              <w:t xml:space="preserve">: </w:t>
            </w:r>
            <w:r>
              <w:rPr>
                <w:rStyle w:val="IndexLink"/>
                <w:rtl w:val="true"/>
              </w:rPr>
              <w:t>التسمية</w:t>
            </w:r>
            <w:r>
              <w:rPr>
                <w:rStyle w:val="IndexLink"/>
                <w:rtl w:val="true"/>
              </w:rPr>
              <w:tab/>
            </w:r>
            <w:r>
              <w:rPr>
                <w:rStyle w:val="IndexLink"/>
              </w:rPr>
              <w:t>53</w:t>
            </w:r>
          </w:hyperlink>
        </w:p>
        <w:p>
          <w:pPr>
            <w:pStyle w:val="Contents5"/>
            <w:tabs>
              <w:tab w:val="clear" w:pos="7892"/>
              <w:tab w:val="right" w:pos="9026" w:leader="dot"/>
            </w:tabs>
            <w:rPr/>
          </w:pPr>
          <w:hyperlink w:anchor="__RefHeading___Toc10328685_73709187">
            <w:r>
              <w:rPr>
                <w:webHidden/>
                <w:rStyle w:val="IndexLink"/>
                <w:rtl w:val="true"/>
              </w:rPr>
              <w:t>الأمر الخامس والسادس</w:t>
            </w:r>
            <w:r>
              <w:rPr>
                <w:rStyle w:val="IndexLink"/>
                <w:rtl w:val="true"/>
              </w:rPr>
              <w:t xml:space="preserve">: </w:t>
            </w:r>
            <w:r>
              <w:rPr>
                <w:rStyle w:val="IndexLink"/>
                <w:rtl w:val="true"/>
              </w:rPr>
              <w:t>المضمضة والاستنشاق ثلاثاً</w:t>
            </w:r>
            <w:r>
              <w:rPr>
                <w:rStyle w:val="IndexLink"/>
                <w:rtl w:val="true"/>
              </w:rPr>
              <w:tab/>
            </w:r>
            <w:r>
              <w:rPr>
                <w:rStyle w:val="IndexLink"/>
              </w:rPr>
              <w:t>55</w:t>
            </w:r>
          </w:hyperlink>
        </w:p>
        <w:p>
          <w:pPr>
            <w:pStyle w:val="Contents5"/>
            <w:tabs>
              <w:tab w:val="clear" w:pos="7892"/>
              <w:tab w:val="right" w:pos="9026" w:leader="dot"/>
            </w:tabs>
            <w:rPr/>
          </w:pPr>
          <w:hyperlink w:anchor="__RefHeading___Toc10328687_73709187">
            <w:r>
              <w:rPr>
                <w:webHidden/>
                <w:rStyle w:val="IndexLink"/>
                <w:rtl w:val="true"/>
              </w:rPr>
              <w:t>الأمر السّابع</w:t>
            </w:r>
            <w:r>
              <w:rPr>
                <w:rStyle w:val="IndexLink"/>
                <w:rtl w:val="true"/>
              </w:rPr>
              <w:t xml:space="preserve">: </w:t>
            </w:r>
            <w:r>
              <w:rPr>
                <w:rStyle w:val="IndexLink"/>
                <w:rtl w:val="true"/>
              </w:rPr>
              <w:t>تثنية الغَسَلات</w:t>
            </w:r>
            <w:r>
              <w:rPr>
                <w:rStyle w:val="IndexLink"/>
                <w:rtl w:val="true"/>
              </w:rPr>
              <w:tab/>
            </w:r>
            <w:r>
              <w:rPr>
                <w:rStyle w:val="IndexLink"/>
              </w:rPr>
              <w:t>56</w:t>
            </w:r>
          </w:hyperlink>
        </w:p>
        <w:p>
          <w:pPr>
            <w:pStyle w:val="Contents5"/>
            <w:tabs>
              <w:tab w:val="clear" w:pos="7892"/>
              <w:tab w:val="right" w:pos="9026" w:leader="dot"/>
            </w:tabs>
            <w:rPr/>
          </w:pPr>
          <w:hyperlink w:anchor="__RefHeading___Toc10328689_73709187">
            <w:r>
              <w:rPr>
                <w:webHidden/>
                <w:rStyle w:val="IndexLink"/>
                <w:rtl w:val="true"/>
              </w:rPr>
              <w:t>الأمر الثامن</w:t>
            </w:r>
            <w:r>
              <w:rPr>
                <w:rStyle w:val="IndexLink"/>
                <w:rtl w:val="true"/>
              </w:rPr>
              <w:t xml:space="preserve">: </w:t>
            </w:r>
            <w:r>
              <w:rPr>
                <w:rStyle w:val="IndexLink"/>
                <w:rtl w:val="true"/>
              </w:rPr>
              <w:t>وضع الماء في غسل اليدين في الرَّجل على ظهر الذِّراعين</w:t>
            </w:r>
            <w:r>
              <w:rPr>
                <w:rStyle w:val="IndexLink"/>
                <w:rtl w:val="true"/>
              </w:rPr>
              <w:tab/>
            </w:r>
            <w:r>
              <w:rPr>
                <w:rStyle w:val="IndexLink"/>
              </w:rPr>
              <w:t>59</w:t>
            </w:r>
          </w:hyperlink>
        </w:p>
        <w:p>
          <w:pPr>
            <w:pStyle w:val="Contents5"/>
            <w:tabs>
              <w:tab w:val="clear" w:pos="7892"/>
              <w:tab w:val="right" w:pos="9026" w:leader="dot"/>
            </w:tabs>
            <w:rPr/>
          </w:pPr>
          <w:hyperlink w:anchor="__RefHeading___Toc10328691_73709187">
            <w:r>
              <w:rPr>
                <w:webHidden/>
                <w:rStyle w:val="IndexLink"/>
                <w:rtl w:val="true"/>
              </w:rPr>
              <w:t>الأمر التاسع</w:t>
            </w:r>
            <w:r>
              <w:rPr>
                <w:rStyle w:val="IndexLink"/>
                <w:rtl w:val="true"/>
              </w:rPr>
              <w:t xml:space="preserve">: </w:t>
            </w:r>
            <w:r>
              <w:rPr>
                <w:rStyle w:val="IndexLink"/>
                <w:rtl w:val="true"/>
              </w:rPr>
              <w:t>الدّعاء عند كلّ فعل</w:t>
            </w:r>
            <w:r>
              <w:rPr>
                <w:rStyle w:val="IndexLink"/>
                <w:rtl w:val="true"/>
              </w:rPr>
              <w:tab/>
            </w:r>
            <w:r>
              <w:rPr>
                <w:rStyle w:val="IndexLink"/>
              </w:rPr>
              <w:t>61</w:t>
            </w:r>
          </w:hyperlink>
        </w:p>
        <w:p>
          <w:pPr>
            <w:pStyle w:val="Contents5"/>
            <w:tabs>
              <w:tab w:val="clear" w:pos="7892"/>
              <w:tab w:val="right" w:pos="9026" w:leader="dot"/>
            </w:tabs>
            <w:rPr/>
          </w:pPr>
          <w:hyperlink w:anchor="__RefHeading___Toc10328693_73709187">
            <w:r>
              <w:rPr>
                <w:webHidden/>
                <w:rStyle w:val="IndexLink"/>
                <w:rtl w:val="true"/>
              </w:rPr>
              <w:t>الأمر العاشر</w:t>
            </w:r>
            <w:r>
              <w:rPr>
                <w:rStyle w:val="IndexLink"/>
                <w:rtl w:val="true"/>
              </w:rPr>
              <w:t xml:space="preserve">: </w:t>
            </w:r>
            <w:r>
              <w:rPr>
                <w:rStyle w:val="IndexLink"/>
                <w:rtl w:val="true"/>
              </w:rPr>
              <w:t>السّواك بلا خلاف</w:t>
            </w:r>
            <w:r>
              <w:rPr>
                <w:rStyle w:val="IndexLink"/>
                <w:rtl w:val="true"/>
              </w:rPr>
              <w:t>.</w:t>
              <w:tab/>
            </w:r>
            <w:r>
              <w:rPr>
                <w:rStyle w:val="IndexLink"/>
              </w:rPr>
              <w:t>62</w:t>
            </w:r>
          </w:hyperlink>
        </w:p>
        <w:p>
          <w:pPr>
            <w:pStyle w:val="Contents5"/>
            <w:tabs>
              <w:tab w:val="clear" w:pos="7892"/>
              <w:tab w:val="right" w:pos="9026" w:leader="dot"/>
            </w:tabs>
            <w:rPr/>
          </w:pPr>
          <w:hyperlink w:anchor="__RefHeading___Toc10328695_73709187">
            <w:r>
              <w:rPr>
                <w:webHidden/>
                <w:rStyle w:val="IndexLink"/>
                <w:rtl w:val="true"/>
              </w:rPr>
              <w:t>الأمر الحادي عشر</w:t>
            </w:r>
            <w:r>
              <w:rPr>
                <w:rStyle w:val="IndexLink"/>
                <w:rtl w:val="true"/>
              </w:rPr>
              <w:t xml:space="preserve">: </w:t>
            </w:r>
            <w:r>
              <w:rPr>
                <w:rStyle w:val="IndexLink"/>
                <w:rtl w:val="true"/>
              </w:rPr>
              <w:t xml:space="preserve">أن يكون الوضوء </w:t>
            </w:r>
            <w:r>
              <w:rPr>
                <w:rStyle w:val="IndexLink"/>
                <w:rtl w:val="true"/>
              </w:rPr>
              <w:t xml:space="preserve">- </w:t>
            </w:r>
            <w:r>
              <w:rPr>
                <w:rStyle w:val="IndexLink"/>
                <w:rtl w:val="true"/>
              </w:rPr>
              <w:t xml:space="preserve">بجميع غرفاته الواجبة والمستحبّة </w:t>
            </w:r>
            <w:r>
              <w:rPr>
                <w:rStyle w:val="IndexLink"/>
                <w:rtl w:val="true"/>
              </w:rPr>
              <w:t xml:space="preserve">- </w:t>
            </w:r>
            <w:r>
              <w:rPr>
                <w:rStyle w:val="IndexLink"/>
                <w:rtl w:val="true"/>
              </w:rPr>
              <w:t>بمدٍّ</w:t>
            </w:r>
            <w:r>
              <w:rPr>
                <w:rStyle w:val="IndexLink"/>
                <w:rtl w:val="true"/>
              </w:rPr>
              <w:tab/>
            </w:r>
            <w:r>
              <w:rPr>
                <w:rStyle w:val="IndexLink"/>
              </w:rPr>
              <w:t>62</w:t>
            </w:r>
          </w:hyperlink>
        </w:p>
        <w:p>
          <w:pPr>
            <w:pStyle w:val="Contents5"/>
            <w:tabs>
              <w:tab w:val="clear" w:pos="7892"/>
              <w:tab w:val="right" w:pos="9026" w:leader="dot"/>
            </w:tabs>
            <w:rPr/>
          </w:pPr>
          <w:hyperlink w:anchor="__RefHeading___Toc10328697_73709187">
            <w:r>
              <w:rPr>
                <w:webHidden/>
                <w:rStyle w:val="IndexLink"/>
                <w:rtl w:val="true"/>
              </w:rPr>
              <w:t>الأمر الثاني عشر</w:t>
            </w:r>
            <w:r>
              <w:rPr>
                <w:rStyle w:val="IndexLink"/>
                <w:rtl w:val="true"/>
              </w:rPr>
              <w:t xml:space="preserve">: </w:t>
            </w:r>
            <w:r>
              <w:rPr>
                <w:rStyle w:val="IndexLink"/>
                <w:rtl w:val="true"/>
              </w:rPr>
              <w:t>أنْ يفتح عينيه حال غَسل الوجه،</w:t>
            </w:r>
            <w:r>
              <w:rPr>
                <w:rStyle w:val="IndexLink"/>
                <w:rtl w:val="true"/>
              </w:rPr>
              <w:tab/>
            </w:r>
            <w:r>
              <w:rPr>
                <w:rStyle w:val="IndexLink"/>
              </w:rPr>
              <w:t>62</w:t>
            </w:r>
          </w:hyperlink>
        </w:p>
        <w:p>
          <w:pPr>
            <w:pStyle w:val="Contents4"/>
            <w:tabs>
              <w:tab w:val="clear" w:pos="8176"/>
              <w:tab w:val="right" w:pos="9026" w:leader="dot"/>
            </w:tabs>
            <w:rPr/>
          </w:pPr>
          <w:hyperlink w:anchor="__RefHeading___Toc10328699_73709187">
            <w:r>
              <w:rPr>
                <w:webHidden/>
                <w:rStyle w:val="IndexLink"/>
                <w:rtl w:val="true"/>
              </w:rPr>
              <w:t>ما يكره في الوضوء</w:t>
            </w:r>
            <w:r>
              <w:rPr>
                <w:rStyle w:val="IndexLink"/>
                <w:rtl w:val="true"/>
              </w:rPr>
              <w:tab/>
            </w:r>
            <w:r>
              <w:rPr>
                <w:rStyle w:val="IndexLink"/>
              </w:rPr>
              <w:t>64</w:t>
            </w:r>
          </w:hyperlink>
        </w:p>
        <w:p>
          <w:pPr>
            <w:pStyle w:val="Contents4"/>
            <w:tabs>
              <w:tab w:val="clear" w:pos="8176"/>
              <w:tab w:val="right" w:pos="9026" w:leader="dot"/>
            </w:tabs>
            <w:rPr/>
          </w:pPr>
          <w:hyperlink w:anchor="__RefHeading___Toc10328701_73709187">
            <w:r>
              <w:rPr>
                <w:webHidden/>
                <w:rStyle w:val="IndexLink"/>
                <w:rtl w:val="true"/>
              </w:rPr>
              <w:t>مسائل</w:t>
            </w:r>
            <w:r>
              <w:rPr>
                <w:rStyle w:val="IndexLink"/>
                <w:rtl w:val="true"/>
              </w:rPr>
              <w:t>:</w:t>
              <w:tab/>
            </w:r>
            <w:r>
              <w:rPr>
                <w:rStyle w:val="IndexLink"/>
              </w:rPr>
              <w:t>66</w:t>
            </w:r>
          </w:hyperlink>
        </w:p>
        <w:p>
          <w:pPr>
            <w:pStyle w:val="Contents5"/>
            <w:tabs>
              <w:tab w:val="clear" w:pos="7892"/>
              <w:tab w:val="right" w:pos="9026" w:leader="dot"/>
            </w:tabs>
            <w:rPr/>
          </w:pPr>
          <w:hyperlink w:anchor="__RefHeading___Toc10328703_73709187">
            <w:r>
              <w:rPr>
                <w:webHidden/>
                <w:rStyle w:val="IndexLink"/>
                <w:rtl w:val="true"/>
              </w:rPr>
              <w:t>الأولى</w:t>
            </w:r>
            <w:r>
              <w:rPr>
                <w:rStyle w:val="IndexLink"/>
                <w:rtl w:val="true"/>
              </w:rPr>
              <w:t xml:space="preserve">: </w:t>
            </w:r>
            <w:r>
              <w:rPr>
                <w:rStyle w:val="IndexLink"/>
                <w:rtl w:val="true"/>
              </w:rPr>
              <w:t>لا يجوز للمُحْدِث مسّ كتابة القرآن</w:t>
            </w:r>
            <w:r>
              <w:rPr>
                <w:rStyle w:val="IndexLink"/>
                <w:rtl w:val="true"/>
              </w:rPr>
              <w:tab/>
            </w:r>
            <w:r>
              <w:rPr>
                <w:rStyle w:val="IndexLink"/>
              </w:rPr>
              <w:t>66</w:t>
            </w:r>
          </w:hyperlink>
        </w:p>
        <w:p>
          <w:pPr>
            <w:pStyle w:val="Contents5"/>
            <w:tabs>
              <w:tab w:val="clear" w:pos="7892"/>
              <w:tab w:val="right" w:pos="9026" w:leader="dot"/>
            </w:tabs>
            <w:rPr/>
          </w:pPr>
          <w:hyperlink w:anchor="__RefHeading___Toc10328705_73709187">
            <w:r>
              <w:rPr>
                <w:webHidden/>
                <w:rStyle w:val="IndexLink"/>
                <w:rtl w:val="true"/>
              </w:rPr>
              <w:t>الثانية</w:t>
            </w:r>
            <w:r>
              <w:rPr>
                <w:rStyle w:val="IndexLink"/>
                <w:rtl w:val="true"/>
              </w:rPr>
              <w:t xml:space="preserve">: </w:t>
            </w:r>
            <w:r>
              <w:rPr>
                <w:rStyle w:val="IndexLink"/>
                <w:rtl w:val="true"/>
              </w:rPr>
              <w:t>لو تيقّن الحَدَث وشكَّ في الطهارة تطهّر</w:t>
            </w:r>
            <w:r>
              <w:rPr>
                <w:rStyle w:val="IndexLink"/>
                <w:rtl w:val="true"/>
              </w:rPr>
              <w:tab/>
            </w:r>
            <w:r>
              <w:rPr>
                <w:rStyle w:val="IndexLink"/>
              </w:rPr>
              <w:t>66</w:t>
            </w:r>
          </w:hyperlink>
        </w:p>
        <w:p>
          <w:pPr>
            <w:pStyle w:val="Contents5"/>
            <w:tabs>
              <w:tab w:val="clear" w:pos="7892"/>
              <w:tab w:val="right" w:pos="9026" w:leader="dot"/>
            </w:tabs>
            <w:rPr/>
          </w:pPr>
          <w:hyperlink w:anchor="__RefHeading___Toc10328707_73709187">
            <w:r>
              <w:rPr>
                <w:webHidden/>
                <w:rStyle w:val="IndexLink"/>
                <w:rtl w:val="true"/>
              </w:rPr>
              <w:t>الثالثة</w:t>
            </w:r>
            <w:r>
              <w:rPr>
                <w:rStyle w:val="IndexLink"/>
                <w:rtl w:val="true"/>
              </w:rPr>
              <w:t xml:space="preserve">: </w:t>
            </w:r>
            <w:r>
              <w:rPr>
                <w:rStyle w:val="IndexLink"/>
                <w:rtl w:val="true"/>
              </w:rPr>
              <w:t>لو شكّ في شيءٍ من أفعال الوضوء، وهو على حاله، أتى به وبما بعده</w:t>
            </w:r>
            <w:r>
              <w:rPr>
                <w:rStyle w:val="IndexLink"/>
                <w:rtl w:val="true"/>
              </w:rPr>
              <w:tab/>
            </w:r>
            <w:r>
              <w:rPr>
                <w:rStyle w:val="IndexLink"/>
              </w:rPr>
              <w:t>73</w:t>
            </w:r>
          </w:hyperlink>
        </w:p>
        <w:p>
          <w:pPr>
            <w:pStyle w:val="Contents6"/>
            <w:tabs>
              <w:tab w:val="clear" w:pos="7609"/>
              <w:tab w:val="right" w:pos="9026" w:leader="dot"/>
            </w:tabs>
            <w:rPr/>
          </w:pPr>
          <w:hyperlink w:anchor="__RefHeading___Toc10328709_73709187">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10328711_73709187">
            <w:r>
              <w:rPr>
                <w:webHidden/>
                <w:rStyle w:val="IndexLink"/>
                <w:rtl w:val="true"/>
              </w:rPr>
              <w:t>الشكّ في أثناء الوضوء</w:t>
            </w:r>
            <w:r>
              <w:rPr>
                <w:rStyle w:val="IndexLink"/>
                <w:rtl w:val="true"/>
              </w:rPr>
              <w:tab/>
            </w:r>
            <w:r>
              <w:rPr>
                <w:rStyle w:val="IndexLink"/>
              </w:rPr>
              <w:t>73</w:t>
            </w:r>
          </w:hyperlink>
        </w:p>
        <w:p>
          <w:pPr>
            <w:pStyle w:val="Contents6"/>
            <w:tabs>
              <w:tab w:val="clear" w:pos="7609"/>
              <w:tab w:val="right" w:pos="9026" w:leader="dot"/>
            </w:tabs>
            <w:rPr/>
          </w:pPr>
          <w:hyperlink w:anchor="__RefHeading___Toc10328713_73709187">
            <w:r>
              <w:rPr>
                <w:webHidden/>
                <w:rStyle w:val="IndexLink"/>
                <w:rtl w:val="true"/>
              </w:rPr>
              <w:t>في حكم الشكّ بعد الانصراف</w:t>
            </w:r>
            <w:r>
              <w:rPr>
                <w:rStyle w:val="IndexLink"/>
                <w:rtl w:val="true"/>
              </w:rPr>
              <w:tab/>
            </w:r>
            <w:r>
              <w:rPr>
                <w:rStyle w:val="IndexLink"/>
              </w:rPr>
              <w:t>76</w:t>
            </w:r>
          </w:hyperlink>
        </w:p>
        <w:p>
          <w:pPr>
            <w:pStyle w:val="Contents6"/>
            <w:tabs>
              <w:tab w:val="clear" w:pos="7609"/>
              <w:tab w:val="right" w:pos="9026" w:leader="dot"/>
            </w:tabs>
            <w:rPr/>
          </w:pPr>
          <w:hyperlink w:anchor="__RefHeading___Toc10328715_73709187">
            <w:r>
              <w:rPr>
                <w:webHidden/>
                <w:rStyle w:val="IndexLink"/>
                <w:rtl w:val="true"/>
              </w:rPr>
              <w:t>فروع الخلل في الوضوء</w:t>
            </w:r>
            <w:r>
              <w:rPr>
                <w:rStyle w:val="IndexLink"/>
                <w:rtl w:val="true"/>
              </w:rPr>
              <w:tab/>
            </w:r>
            <w:r>
              <w:rPr>
                <w:rStyle w:val="IndexLink"/>
              </w:rPr>
              <w:t>79</w:t>
            </w:r>
          </w:hyperlink>
        </w:p>
        <w:p>
          <w:pPr>
            <w:pStyle w:val="Contents6"/>
            <w:tabs>
              <w:tab w:val="clear" w:pos="7609"/>
              <w:tab w:val="right" w:pos="9026" w:leader="dot"/>
            </w:tabs>
            <w:rPr/>
          </w:pPr>
          <w:hyperlink w:anchor="__RefHeading___Toc10328717_73709187">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0328719_73709187">
            <w:r>
              <w:rPr>
                <w:webHidden/>
                <w:rStyle w:val="IndexLink"/>
                <w:rtl w:val="true"/>
              </w:rPr>
              <w:t>الشاكّ المأمور بالوضوء لو نسي وصَلّى بدونه</w:t>
            </w:r>
            <w:r>
              <w:rPr>
                <w:rStyle w:val="IndexLink"/>
                <w:rtl w:val="true"/>
              </w:rPr>
              <w:tab/>
            </w:r>
            <w:r>
              <w:rPr>
                <w:rStyle w:val="IndexLink"/>
              </w:rPr>
              <w:t>79</w:t>
            </w:r>
          </w:hyperlink>
        </w:p>
        <w:p>
          <w:pPr>
            <w:pStyle w:val="Contents6"/>
            <w:tabs>
              <w:tab w:val="clear" w:pos="7609"/>
              <w:tab w:val="right" w:pos="9026" w:leader="dot"/>
            </w:tabs>
            <w:rPr/>
          </w:pPr>
          <w:hyperlink w:anchor="__RefHeading___Toc10328721_73709187">
            <w:r>
              <w:rPr>
                <w:webHidden/>
                <w:rStyle w:val="IndexLink"/>
                <w:rtl w:val="true"/>
              </w:rPr>
              <w:t>لو توضّأ للتجديد، ثُمَّ علم ببطلان أحد الوضوئين</w:t>
            </w:r>
            <w:r>
              <w:rPr>
                <w:rStyle w:val="IndexLink"/>
                <w:rtl w:val="true"/>
              </w:rPr>
              <w:tab/>
            </w:r>
            <w:r>
              <w:rPr>
                <w:rStyle w:val="IndexLink"/>
              </w:rPr>
              <w:t>82</w:t>
            </w:r>
          </w:hyperlink>
        </w:p>
        <w:p>
          <w:pPr>
            <w:pStyle w:val="Contents6"/>
            <w:tabs>
              <w:tab w:val="clear" w:pos="7609"/>
              <w:tab w:val="right" w:pos="9026" w:leader="dot"/>
            </w:tabs>
            <w:rPr/>
          </w:pPr>
          <w:hyperlink w:anchor="__RefHeading___Toc10328723_73709187">
            <w:r>
              <w:rPr>
                <w:webHidden/>
                <w:rStyle w:val="IndexLink"/>
                <w:rtl w:val="true"/>
              </w:rPr>
              <w:t>في حكم ما لو صلّى بعد كلّ واحدٍ من الوضوئين</w:t>
            </w:r>
            <w:r>
              <w:rPr>
                <w:rStyle w:val="IndexLink"/>
                <w:rtl w:val="true"/>
              </w:rPr>
              <w:tab/>
            </w:r>
            <w:r>
              <w:rPr>
                <w:rStyle w:val="IndexLink"/>
              </w:rPr>
              <w:t>84</w:t>
            </w:r>
          </w:hyperlink>
        </w:p>
        <w:p>
          <w:pPr>
            <w:pStyle w:val="Contents6"/>
            <w:tabs>
              <w:tab w:val="clear" w:pos="7609"/>
              <w:tab w:val="right" w:pos="9026" w:leader="dot"/>
            </w:tabs>
            <w:rPr/>
          </w:pPr>
          <w:hyperlink w:anchor="__RefHeading___Toc10328725_73709187">
            <w:r>
              <w:rPr>
                <w:webHidden/>
                <w:rStyle w:val="IndexLink"/>
                <w:rtl w:val="true"/>
              </w:rPr>
              <w:t>حكم المسح على الحائل</w:t>
            </w:r>
            <w:r>
              <w:rPr>
                <w:rStyle w:val="IndexLink"/>
                <w:rtl w:val="true"/>
              </w:rPr>
              <w:tab/>
            </w:r>
            <w:r>
              <w:rPr>
                <w:rStyle w:val="IndexLink"/>
              </w:rPr>
              <w:t>85</w:t>
            </w:r>
          </w:hyperlink>
        </w:p>
        <w:p>
          <w:pPr>
            <w:pStyle w:val="Contents6"/>
            <w:tabs>
              <w:tab w:val="clear" w:pos="7609"/>
              <w:tab w:val="right" w:pos="9026" w:leader="dot"/>
            </w:tabs>
            <w:rPr/>
          </w:pPr>
          <w:hyperlink w:anchor="__RefHeading___Toc10328727_73709187">
            <w:r>
              <w:rPr>
                <w:webHidden/>
                <w:rStyle w:val="IndexLink"/>
                <w:rtl w:val="true"/>
              </w:rPr>
              <w:t>لو شكّ في الوضوء لاحتمال الإخلال العَمدي</w:t>
            </w:r>
            <w:r>
              <w:rPr>
                <w:rStyle w:val="IndexLink"/>
                <w:rtl w:val="true"/>
              </w:rPr>
              <w:tab/>
            </w:r>
            <w:r>
              <w:rPr>
                <w:rStyle w:val="IndexLink"/>
              </w:rPr>
              <w:t>86</w:t>
            </w:r>
          </w:hyperlink>
        </w:p>
        <w:p>
          <w:pPr>
            <w:pStyle w:val="Contents6"/>
            <w:tabs>
              <w:tab w:val="clear" w:pos="7609"/>
              <w:tab w:val="right" w:pos="9026" w:leader="dot"/>
            </w:tabs>
            <w:rPr/>
          </w:pPr>
          <w:hyperlink w:anchor="__RefHeading___Toc10328729_73709187">
            <w:r>
              <w:rPr>
                <w:webHidden/>
                <w:rStyle w:val="IndexLink"/>
                <w:rtl w:val="true"/>
              </w:rPr>
              <w:t>حكم كثير الشكّ في الوضوء</w:t>
            </w:r>
            <w:r>
              <w:rPr>
                <w:rStyle w:val="IndexLink"/>
                <w:rtl w:val="true"/>
              </w:rPr>
              <w:tab/>
            </w:r>
            <w:r>
              <w:rPr>
                <w:rStyle w:val="IndexLink"/>
              </w:rPr>
              <w:t>87</w:t>
            </w:r>
          </w:hyperlink>
        </w:p>
        <w:p>
          <w:pPr>
            <w:pStyle w:val="Contents5"/>
            <w:tabs>
              <w:tab w:val="clear" w:pos="7892"/>
              <w:tab w:val="right" w:pos="9026" w:leader="dot"/>
            </w:tabs>
            <w:rPr/>
          </w:pPr>
          <w:hyperlink w:anchor="__RefHeading___Toc10328731_73709187">
            <w:r>
              <w:rPr>
                <w:webHidden/>
                <w:rStyle w:val="IndexLink"/>
                <w:rtl w:val="true"/>
              </w:rPr>
              <w:t>المسألة الرابعة</w:t>
            </w:r>
            <w:r>
              <w:rPr>
                <w:rStyle w:val="IndexLink"/>
                <w:rtl w:val="true"/>
              </w:rPr>
              <w:t xml:space="preserve">: </w:t>
            </w:r>
            <w:r>
              <w:rPr>
                <w:rStyle w:val="IndexLink"/>
                <w:rtl w:val="true"/>
              </w:rPr>
              <w:t>في أحكام الجبائر</w:t>
            </w:r>
            <w:r>
              <w:rPr>
                <w:rStyle w:val="IndexLink"/>
                <w:rtl w:val="true"/>
              </w:rPr>
              <w:tab/>
            </w:r>
            <w:r>
              <w:rPr>
                <w:rStyle w:val="IndexLink"/>
              </w:rPr>
              <w:t>89</w:t>
            </w:r>
          </w:hyperlink>
        </w:p>
        <w:p>
          <w:pPr>
            <w:pStyle w:val="Contents6"/>
            <w:tabs>
              <w:tab w:val="clear" w:pos="7609"/>
              <w:tab w:val="right" w:pos="9026" w:leader="dot"/>
            </w:tabs>
            <w:rPr/>
          </w:pPr>
          <w:hyperlink w:anchor="__RefHeading___Toc10328733_73709187">
            <w:r>
              <w:rPr>
                <w:webHidden/>
                <w:rStyle w:val="IndexLink"/>
                <w:rtl w:val="true"/>
              </w:rPr>
              <w:t>وجوب إيصال الماء تحت الجبيرة</w:t>
            </w:r>
            <w:r>
              <w:rPr>
                <w:rStyle w:val="IndexLink"/>
                <w:rtl w:val="true"/>
              </w:rPr>
              <w:tab/>
            </w:r>
            <w:r>
              <w:rPr>
                <w:rStyle w:val="IndexLink"/>
              </w:rPr>
              <w:t>89</w:t>
            </w:r>
          </w:hyperlink>
        </w:p>
        <w:p>
          <w:pPr>
            <w:pStyle w:val="Contents6"/>
            <w:tabs>
              <w:tab w:val="clear" w:pos="7609"/>
              <w:tab w:val="right" w:pos="9026" w:leader="dot"/>
            </w:tabs>
            <w:rPr/>
          </w:pPr>
          <w:hyperlink w:anchor="__RefHeading___Toc10328735_73709187">
            <w:r>
              <w:rPr>
                <w:webHidden/>
                <w:rStyle w:val="IndexLink"/>
                <w:rtl w:val="true"/>
              </w:rPr>
              <w:t>إذا لم يمكن إيصال الماء تحت الجبيرة</w:t>
            </w:r>
            <w:r>
              <w:rPr>
                <w:rStyle w:val="IndexLink"/>
                <w:rtl w:val="true"/>
              </w:rPr>
              <w:tab/>
            </w:r>
            <w:r>
              <w:rPr>
                <w:rStyle w:val="IndexLink"/>
              </w:rPr>
              <w:t>93</w:t>
            </w:r>
          </w:hyperlink>
        </w:p>
        <w:p>
          <w:pPr>
            <w:pStyle w:val="Contents6"/>
            <w:tabs>
              <w:tab w:val="clear" w:pos="7609"/>
              <w:tab w:val="right" w:pos="9026" w:leader="dot"/>
            </w:tabs>
            <w:rPr/>
          </w:pPr>
          <w:hyperlink w:anchor="__RefHeading___Toc10328737_73709187">
            <w:r>
              <w:rPr>
                <w:webHidden/>
                <w:rStyle w:val="IndexLink"/>
                <w:rtl w:val="true"/>
              </w:rPr>
              <w:t>هل الجرح المكشوف يلحق بالجبيرة أم لا</w:t>
            </w:r>
            <w:r>
              <w:rPr>
                <w:rStyle w:val="IndexLink"/>
                <w:rtl w:val="true"/>
              </w:rPr>
              <w:tab/>
            </w:r>
            <w:r>
              <w:rPr>
                <w:rStyle w:val="IndexLink"/>
              </w:rPr>
              <w:t>99</w:t>
            </w:r>
          </w:hyperlink>
        </w:p>
        <w:p>
          <w:pPr>
            <w:pStyle w:val="Contents6"/>
            <w:tabs>
              <w:tab w:val="clear" w:pos="7609"/>
              <w:tab w:val="right" w:pos="9026" w:leader="dot"/>
            </w:tabs>
            <w:rPr/>
          </w:pPr>
          <w:hyperlink w:anchor="__RefHeading___Toc10328739_73709187">
            <w:r>
              <w:rPr>
                <w:webHidden/>
                <w:rStyle w:val="IndexLink"/>
                <w:rtl w:val="true"/>
              </w:rPr>
              <w:t>الجبيرة في موضع المسح</w:t>
            </w:r>
            <w:r>
              <w:rPr>
                <w:rStyle w:val="IndexLink"/>
                <w:rtl w:val="true"/>
              </w:rPr>
              <w:tab/>
            </w:r>
            <w:r>
              <w:rPr>
                <w:rStyle w:val="IndexLink"/>
              </w:rPr>
              <w:t>102</w:t>
            </w:r>
          </w:hyperlink>
        </w:p>
        <w:p>
          <w:pPr>
            <w:pStyle w:val="Contents6"/>
            <w:tabs>
              <w:tab w:val="clear" w:pos="7609"/>
              <w:tab w:val="right" w:pos="9026" w:leader="dot"/>
            </w:tabs>
            <w:rPr/>
          </w:pPr>
          <w:hyperlink w:anchor="__RefHeading___Toc10328741_73709187">
            <w:r>
              <w:rPr>
                <w:webHidden/>
                <w:rStyle w:val="IndexLink"/>
                <w:rtl w:val="true"/>
              </w:rPr>
              <w:t>وضوء الجبيرة رافع للحَدَث</w:t>
            </w:r>
            <w:r>
              <w:rPr>
                <w:rStyle w:val="IndexLink"/>
                <w:rtl w:val="true"/>
              </w:rPr>
              <w:tab/>
            </w:r>
            <w:r>
              <w:rPr>
                <w:rStyle w:val="IndexLink"/>
              </w:rPr>
              <w:t>104</w:t>
            </w:r>
          </w:hyperlink>
        </w:p>
        <w:p>
          <w:pPr>
            <w:pStyle w:val="Contents6"/>
            <w:tabs>
              <w:tab w:val="clear" w:pos="7609"/>
              <w:tab w:val="right" w:pos="9026" w:leader="dot"/>
            </w:tabs>
            <w:rPr/>
          </w:pPr>
          <w:hyperlink w:anchor="__RefHeading___Toc10328743_73709187">
            <w:r>
              <w:rPr>
                <w:webHidden/>
                <w:rStyle w:val="IndexLink"/>
                <w:rtl w:val="true"/>
              </w:rPr>
              <w:t>حكم الشاكّ في البُرء</w:t>
            </w:r>
            <w:r>
              <w:rPr>
                <w:rStyle w:val="IndexLink"/>
                <w:rtl w:val="true"/>
              </w:rPr>
              <w:tab/>
            </w:r>
            <w:r>
              <w:rPr>
                <w:rStyle w:val="IndexLink"/>
              </w:rPr>
              <w:t>106</w:t>
            </w:r>
          </w:hyperlink>
        </w:p>
        <w:p>
          <w:pPr>
            <w:pStyle w:val="Contents6"/>
            <w:tabs>
              <w:tab w:val="clear" w:pos="7609"/>
              <w:tab w:val="right" w:pos="9026" w:leader="dot"/>
            </w:tabs>
            <w:rPr/>
          </w:pPr>
          <w:hyperlink w:anchor="__RefHeading___Toc10328745_73709187">
            <w:r>
              <w:rPr>
                <w:webHidden/>
                <w:rStyle w:val="IndexLink"/>
                <w:rtl w:val="true"/>
              </w:rPr>
              <w:t>عدم إحراز كون الوظيفة الوضوء أو التيمّم</w:t>
            </w:r>
            <w:r>
              <w:rPr>
                <w:rStyle w:val="IndexLink"/>
                <w:rtl w:val="true"/>
              </w:rPr>
              <w:tab/>
            </w:r>
            <w:r>
              <w:rPr>
                <w:rStyle w:val="IndexLink"/>
              </w:rPr>
              <w:t>108</w:t>
            </w:r>
          </w:hyperlink>
        </w:p>
        <w:p>
          <w:pPr>
            <w:pStyle w:val="Contents5"/>
            <w:tabs>
              <w:tab w:val="clear" w:pos="7892"/>
              <w:tab w:val="right" w:pos="9026" w:leader="dot"/>
            </w:tabs>
            <w:rPr/>
          </w:pPr>
          <w:hyperlink w:anchor="__RefHeading___Toc10328747_73709187">
            <w:r>
              <w:rPr>
                <w:webHidden/>
                <w:rStyle w:val="IndexLink"/>
                <w:rtl w:val="true"/>
              </w:rPr>
              <w:t>المسألة الخامسة</w:t>
            </w:r>
            <w:r>
              <w:rPr>
                <w:rStyle w:val="IndexLink"/>
                <w:rtl w:val="true"/>
              </w:rPr>
              <w:t xml:space="preserve">: </w:t>
            </w:r>
            <w:r>
              <w:rPr>
                <w:rStyle w:val="IndexLink"/>
                <w:rtl w:val="true"/>
              </w:rPr>
              <w:t>في المبطون والمسلوس</w:t>
            </w:r>
            <w:r>
              <w:rPr>
                <w:rStyle w:val="IndexLink"/>
                <w:rtl w:val="true"/>
              </w:rPr>
              <w:t>:</w:t>
              <w:tab/>
            </w:r>
            <w:r>
              <w:rPr>
                <w:rStyle w:val="IndexLink"/>
              </w:rPr>
              <w:t>111</w:t>
            </w:r>
          </w:hyperlink>
        </w:p>
        <w:p>
          <w:pPr>
            <w:pStyle w:val="Contents6"/>
            <w:tabs>
              <w:tab w:val="clear" w:pos="7609"/>
              <w:tab w:val="right" w:pos="9026" w:leader="dot"/>
            </w:tabs>
            <w:rPr/>
          </w:pPr>
          <w:hyperlink w:anchor="__RefHeading___Toc10328749_73709187">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10328751_73709187">
            <w:r>
              <w:rPr>
                <w:webHidden/>
                <w:rStyle w:val="IndexLink"/>
                <w:rtl w:val="true"/>
              </w:rPr>
              <w:t>حكم المبطون</w:t>
            </w:r>
            <w:r>
              <w:rPr>
                <w:rStyle w:val="IndexLink"/>
                <w:rtl w:val="true"/>
              </w:rPr>
              <w:tab/>
            </w:r>
            <w:r>
              <w:rPr>
                <w:rStyle w:val="IndexLink"/>
              </w:rPr>
              <w:t>111</w:t>
            </w:r>
          </w:hyperlink>
        </w:p>
        <w:p>
          <w:pPr>
            <w:pStyle w:val="Contents6"/>
            <w:tabs>
              <w:tab w:val="clear" w:pos="7609"/>
              <w:tab w:val="right" w:pos="9026" w:leader="dot"/>
            </w:tabs>
            <w:rPr/>
          </w:pPr>
          <w:hyperlink w:anchor="__RefHeading___Toc10328753_73709187">
            <w:r>
              <w:rPr>
                <w:webHidden/>
                <w:rStyle w:val="IndexLink"/>
                <w:rtl w:val="true"/>
              </w:rPr>
              <w:t>حكم المسلوس</w:t>
            </w:r>
            <w:r>
              <w:rPr>
                <w:rStyle w:val="IndexLink"/>
                <w:rtl w:val="true"/>
              </w:rPr>
              <w:tab/>
            </w:r>
            <w:r>
              <w:rPr>
                <w:rStyle w:val="IndexLink"/>
              </w:rPr>
              <w:t>114</w:t>
            </w:r>
          </w:hyperlink>
        </w:p>
        <w:p>
          <w:pPr>
            <w:pStyle w:val="Contents3"/>
            <w:tabs>
              <w:tab w:val="clear" w:pos="8459"/>
              <w:tab w:val="right" w:pos="9026" w:leader="dot"/>
            </w:tabs>
            <w:rPr/>
          </w:pPr>
          <w:hyperlink w:anchor="__RefHeading___Toc10328755_73709187">
            <w:r>
              <w:rPr>
                <w:webHidden/>
                <w:rStyle w:val="IndexLink"/>
                <w:rtl w:val="true"/>
              </w:rPr>
              <w:t>الباب الثالث</w:t>
            </w:r>
            <w:r>
              <w:rPr>
                <w:rStyle w:val="IndexLink"/>
                <w:rtl w:val="true"/>
              </w:rPr>
              <w:t xml:space="preserve">: </w:t>
            </w:r>
            <w:r>
              <w:rPr>
                <w:rStyle w:val="IndexLink"/>
                <w:rtl w:val="true"/>
              </w:rPr>
              <w:t>في الغُسل</w:t>
            </w:r>
            <w:r>
              <w:rPr>
                <w:rStyle w:val="IndexLink"/>
                <w:rtl w:val="true"/>
              </w:rPr>
              <w:tab/>
            </w:r>
            <w:r>
              <w:rPr>
                <w:rStyle w:val="IndexLink"/>
              </w:rPr>
              <w:t>121</w:t>
            </w:r>
          </w:hyperlink>
        </w:p>
        <w:p>
          <w:pPr>
            <w:pStyle w:val="Contents4"/>
            <w:tabs>
              <w:tab w:val="clear" w:pos="8176"/>
              <w:tab w:val="right" w:pos="9026" w:leader="dot"/>
            </w:tabs>
            <w:rPr/>
          </w:pPr>
          <w:hyperlink w:anchor="__RefHeading___Toc10328757_7370918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0328759_73709187">
            <w:r>
              <w:rPr>
                <w:webHidden/>
                <w:rStyle w:val="IndexLink"/>
                <w:rtl w:val="true"/>
              </w:rPr>
              <w:t>الفصل الأوّل</w:t>
            </w:r>
            <w:r>
              <w:rPr>
                <w:rStyle w:val="IndexLink"/>
                <w:rtl w:val="true"/>
              </w:rPr>
              <w:t xml:space="preserve">: </w:t>
            </w:r>
            <w:r>
              <w:rPr>
                <w:rStyle w:val="IndexLink"/>
                <w:rtl w:val="true"/>
              </w:rPr>
              <w:t>في الجنابة</w:t>
            </w:r>
            <w:r>
              <w:rPr>
                <w:rStyle w:val="IndexLink"/>
                <w:rtl w:val="true"/>
              </w:rPr>
              <w:tab/>
            </w:r>
            <w:r>
              <w:rPr>
                <w:rStyle w:val="IndexLink"/>
              </w:rPr>
              <w:t>122</w:t>
            </w:r>
          </w:hyperlink>
        </w:p>
        <w:p>
          <w:pPr>
            <w:pStyle w:val="Contents5"/>
            <w:tabs>
              <w:tab w:val="clear" w:pos="7892"/>
              <w:tab w:val="right" w:pos="9026" w:leader="dot"/>
            </w:tabs>
            <w:rPr/>
          </w:pPr>
          <w:hyperlink w:anchor="__RefHeading___Toc10328761_7370918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0328763_73709187">
            <w:r>
              <w:rPr>
                <w:webHidden/>
                <w:rStyle w:val="IndexLink"/>
                <w:rtl w:val="true"/>
              </w:rPr>
              <w:t>ما يحصل به الجنابة</w:t>
            </w:r>
            <w:r>
              <w:rPr>
                <w:rStyle w:val="IndexLink"/>
                <w:rtl w:val="true"/>
              </w:rPr>
              <w:tab/>
            </w:r>
            <w:r>
              <w:rPr>
                <w:rStyle w:val="IndexLink"/>
              </w:rPr>
              <w:t>122</w:t>
            </w:r>
          </w:hyperlink>
        </w:p>
        <w:p>
          <w:pPr>
            <w:pStyle w:val="Contents6"/>
            <w:tabs>
              <w:tab w:val="clear" w:pos="7609"/>
              <w:tab w:val="right" w:pos="9026" w:leader="dot"/>
            </w:tabs>
            <w:rPr/>
          </w:pPr>
          <w:hyperlink w:anchor="__RefHeading___Toc10328765_73709187">
            <w:r>
              <w:rPr>
                <w:webHidden/>
                <w:rStyle w:val="IndexLink"/>
                <w:rtl w:val="true"/>
              </w:rPr>
              <w:t>الأمر الأوّل</w:t>
            </w:r>
            <w:r>
              <w:rPr>
                <w:rStyle w:val="IndexLink"/>
                <w:rtl w:val="true"/>
              </w:rPr>
              <w:t>: (</w:t>
            </w:r>
            <w:r>
              <w:rPr>
                <w:rStyle w:val="IndexLink"/>
                <w:rtl w:val="true"/>
              </w:rPr>
              <w:t>إنزال الماء</w:t>
            </w:r>
            <w:r>
              <w:rPr>
                <w:rStyle w:val="IndexLink"/>
                <w:rtl w:val="true"/>
              </w:rPr>
              <w:t xml:space="preserve">) </w:t>
            </w:r>
            <w:r>
              <w:rPr>
                <w:rStyle w:val="IndexLink"/>
                <w:rtl w:val="true"/>
              </w:rPr>
              <w:t xml:space="preserve">الدّافق </w:t>
            </w:r>
            <w:r>
              <w:rPr>
                <w:rStyle w:val="IndexLink"/>
                <w:rtl w:val="true"/>
              </w:rPr>
              <w:t>(</w:t>
            </w:r>
            <w:r>
              <w:rPr>
                <w:rStyle w:val="IndexLink"/>
                <w:rtl w:val="true"/>
              </w:rPr>
              <w:t>مطلقاً</w:t>
            </w:r>
            <w:r>
              <w:rPr>
                <w:rStyle w:val="IndexLink"/>
                <w:rtl w:val="true"/>
              </w:rPr>
              <w:t>)</w:t>
            </w:r>
            <w:r>
              <w:rPr>
                <w:rStyle w:val="IndexLink"/>
                <w:rtl w:val="true"/>
              </w:rPr>
              <w:t>،</w:t>
            </w:r>
            <w:r>
              <w:rPr>
                <w:rStyle w:val="IndexLink"/>
                <w:rtl w:val="true"/>
              </w:rPr>
              <w:tab/>
            </w:r>
            <w:r>
              <w:rPr>
                <w:rStyle w:val="IndexLink"/>
              </w:rPr>
              <w:t>122</w:t>
            </w:r>
          </w:hyperlink>
        </w:p>
        <w:p>
          <w:pPr>
            <w:pStyle w:val="Contents6"/>
            <w:tabs>
              <w:tab w:val="clear" w:pos="7609"/>
              <w:tab w:val="right" w:pos="9026" w:leader="dot"/>
            </w:tabs>
            <w:rPr/>
          </w:pPr>
          <w:hyperlink w:anchor="__RefHeading___Toc10328767_73709187">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10328769_73709187">
            <w:r>
              <w:rPr>
                <w:webHidden/>
                <w:rStyle w:val="IndexLink"/>
                <w:rtl w:val="true"/>
              </w:rPr>
              <w:t>خروج المنيّ من المرأة يوجب جنابتها</w:t>
            </w:r>
            <w:r>
              <w:rPr>
                <w:rStyle w:val="IndexLink"/>
                <w:rtl w:val="true"/>
              </w:rPr>
              <w:tab/>
            </w:r>
            <w:r>
              <w:rPr>
                <w:rStyle w:val="IndexLink"/>
              </w:rPr>
              <w:t>125</w:t>
            </w:r>
          </w:hyperlink>
        </w:p>
        <w:p>
          <w:pPr>
            <w:pStyle w:val="Contents6"/>
            <w:tabs>
              <w:tab w:val="clear" w:pos="7609"/>
              <w:tab w:val="right" w:pos="9026" w:leader="dot"/>
            </w:tabs>
            <w:rPr/>
          </w:pPr>
          <w:hyperlink w:anchor="__RefHeading___Toc10328771_73709187">
            <w:r>
              <w:rPr>
                <w:webHidden/>
                <w:rStyle w:val="IndexLink"/>
                <w:rtl w:val="true"/>
              </w:rPr>
              <w:t>أمارات المنيّ‌</w:t>
            </w:r>
            <w:r>
              <w:rPr>
                <w:rStyle w:val="IndexLink"/>
                <w:rtl w:val="true"/>
              </w:rPr>
              <w:tab/>
            </w:r>
            <w:r>
              <w:rPr>
                <w:rStyle w:val="IndexLink"/>
              </w:rPr>
              <w:t>128</w:t>
            </w:r>
          </w:hyperlink>
        </w:p>
        <w:p>
          <w:pPr>
            <w:pStyle w:val="Contents6"/>
            <w:tabs>
              <w:tab w:val="clear" w:pos="7609"/>
              <w:tab w:val="right" w:pos="9026" w:leader="dot"/>
            </w:tabs>
            <w:rPr/>
          </w:pPr>
          <w:hyperlink w:anchor="__RefHeading___Toc10328773_73709187">
            <w:r>
              <w:rPr>
                <w:webHidden/>
                <w:rStyle w:val="IndexLink"/>
                <w:rtl w:val="true"/>
              </w:rPr>
              <w:t>الأمر الثاني الجماع في الفرج</w:t>
            </w:r>
            <w:r>
              <w:rPr>
                <w:rStyle w:val="IndexLink"/>
                <w:rtl w:val="true"/>
              </w:rPr>
              <w:tab/>
            </w:r>
            <w:r>
              <w:rPr>
                <w:rStyle w:val="IndexLink"/>
              </w:rPr>
              <w:t>133</w:t>
            </w:r>
          </w:hyperlink>
        </w:p>
        <w:p>
          <w:pPr>
            <w:pStyle w:val="Contents6"/>
            <w:tabs>
              <w:tab w:val="clear" w:pos="7609"/>
              <w:tab w:val="right" w:pos="9026" w:leader="dot"/>
            </w:tabs>
            <w:rPr/>
          </w:pPr>
          <w:hyperlink w:anchor="__RefHeading___Toc10328775_73709187">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10328777_73709187">
            <w:r>
              <w:rPr>
                <w:webHidden/>
                <w:rStyle w:val="IndexLink"/>
                <w:rtl w:val="true"/>
              </w:rPr>
              <w:t>الجماع موجبٌ للجنابة</w:t>
            </w:r>
            <w:r>
              <w:rPr>
                <w:rStyle w:val="IndexLink"/>
                <w:rtl w:val="true"/>
              </w:rPr>
              <w:tab/>
            </w:r>
            <w:r>
              <w:rPr>
                <w:rStyle w:val="IndexLink"/>
              </w:rPr>
              <w:t>133</w:t>
            </w:r>
          </w:hyperlink>
        </w:p>
        <w:p>
          <w:pPr>
            <w:pStyle w:val="Contents6"/>
            <w:tabs>
              <w:tab w:val="clear" w:pos="7609"/>
              <w:tab w:val="right" w:pos="9026" w:leader="dot"/>
            </w:tabs>
            <w:rPr/>
          </w:pPr>
          <w:hyperlink w:anchor="__RefHeading___Toc10328779_73709187">
            <w:r>
              <w:rPr>
                <w:webHidden/>
                <w:rStyle w:val="IndexLink"/>
                <w:rtl w:val="true"/>
              </w:rPr>
              <w:t>الوطئ في دُبر الرَّجل يوجبُ الغُسل</w:t>
            </w:r>
            <w:r>
              <w:rPr>
                <w:rStyle w:val="IndexLink"/>
                <w:rtl w:val="true"/>
              </w:rPr>
              <w:tab/>
            </w:r>
            <w:r>
              <w:rPr>
                <w:rStyle w:val="IndexLink"/>
              </w:rPr>
              <w:t>137</w:t>
            </w:r>
          </w:hyperlink>
        </w:p>
        <w:p>
          <w:pPr>
            <w:pStyle w:val="Contents5"/>
            <w:tabs>
              <w:tab w:val="clear" w:pos="7892"/>
              <w:tab w:val="right" w:pos="9026" w:leader="dot"/>
            </w:tabs>
            <w:rPr/>
          </w:pPr>
          <w:hyperlink w:anchor="__RefHeading___Toc10328781_73709187">
            <w:r>
              <w:rPr>
                <w:webHidden/>
                <w:rStyle w:val="IndexLink"/>
                <w:rtl w:val="true"/>
              </w:rPr>
              <w:t>مسائل</w:t>
            </w:r>
            <w:r>
              <w:rPr>
                <w:rStyle w:val="IndexLink"/>
                <w:rtl w:val="true"/>
              </w:rPr>
              <w:t>:</w:t>
              <w:tab/>
            </w:r>
            <w:r>
              <w:rPr>
                <w:rStyle w:val="IndexLink"/>
              </w:rPr>
              <w:t>141</w:t>
            </w:r>
          </w:hyperlink>
        </w:p>
        <w:p>
          <w:pPr>
            <w:pStyle w:val="Contents6"/>
            <w:tabs>
              <w:tab w:val="clear" w:pos="7609"/>
              <w:tab w:val="right" w:pos="9026" w:leader="dot"/>
            </w:tabs>
            <w:rPr/>
          </w:pPr>
          <w:hyperlink w:anchor="__RefHeading___Toc10328783_73709187">
            <w:r>
              <w:rPr>
                <w:webHidden/>
                <w:rStyle w:val="IndexLink"/>
                <w:rtl w:val="true"/>
              </w:rPr>
              <w:t>إذا رأى في ثوبه منيّاً</w:t>
            </w:r>
            <w:r>
              <w:rPr>
                <w:rStyle w:val="IndexLink"/>
                <w:rtl w:val="true"/>
              </w:rPr>
              <w:tab/>
            </w:r>
            <w:r>
              <w:rPr>
                <w:rStyle w:val="IndexLink"/>
              </w:rPr>
              <w:t>141</w:t>
            </w:r>
          </w:hyperlink>
        </w:p>
        <w:p>
          <w:pPr>
            <w:pStyle w:val="Contents6"/>
            <w:tabs>
              <w:tab w:val="clear" w:pos="7609"/>
              <w:tab w:val="right" w:pos="9026" w:leader="dot"/>
            </w:tabs>
            <w:rPr/>
          </w:pPr>
          <w:hyperlink w:anchor="__RefHeading___Toc10328785_73709187">
            <w:r>
              <w:rPr>
                <w:webHidden/>
                <w:rStyle w:val="IndexLink"/>
                <w:rtl w:val="true"/>
              </w:rPr>
              <w:t>الجنابة الدائرة بين شخصين</w:t>
            </w:r>
            <w:r>
              <w:rPr>
                <w:rStyle w:val="IndexLink"/>
                <w:rtl w:val="true"/>
              </w:rPr>
              <w:tab/>
            </w:r>
            <w:r>
              <w:rPr>
                <w:rStyle w:val="IndexLink"/>
              </w:rPr>
              <w:t>146</w:t>
            </w:r>
          </w:hyperlink>
        </w:p>
        <w:p>
          <w:pPr>
            <w:pStyle w:val="Contents6"/>
            <w:tabs>
              <w:tab w:val="clear" w:pos="7609"/>
              <w:tab w:val="right" w:pos="9026" w:leader="dot"/>
            </w:tabs>
            <w:rPr/>
          </w:pPr>
          <w:hyperlink w:anchor="__RefHeading___Toc10328787_73709187">
            <w:r>
              <w:rPr>
                <w:webHidden/>
                <w:rStyle w:val="IndexLink"/>
                <w:rtl w:val="true"/>
              </w:rPr>
              <w:t>خروج المنيّ بصورة الدّم</w:t>
            </w:r>
            <w:r>
              <w:rPr>
                <w:rStyle w:val="IndexLink"/>
                <w:rtl w:val="true"/>
              </w:rPr>
              <w:tab/>
            </w:r>
            <w:r>
              <w:rPr>
                <w:rStyle w:val="IndexLink"/>
              </w:rPr>
              <w:t>150</w:t>
            </w:r>
          </w:hyperlink>
        </w:p>
        <w:p>
          <w:pPr>
            <w:pStyle w:val="Contents6"/>
            <w:tabs>
              <w:tab w:val="clear" w:pos="7609"/>
              <w:tab w:val="right" w:pos="9026" w:leader="dot"/>
            </w:tabs>
            <w:rPr/>
          </w:pPr>
          <w:hyperlink w:anchor="__RefHeading___Toc10328789_73709187">
            <w:r>
              <w:rPr>
                <w:webHidden/>
                <w:rStyle w:val="IndexLink"/>
                <w:rtl w:val="true"/>
              </w:rPr>
              <w:t>في حكم إجناب الشخص نفسه</w:t>
            </w:r>
            <w:r>
              <w:rPr>
                <w:rStyle w:val="IndexLink"/>
                <w:rtl w:val="true"/>
              </w:rPr>
              <w:tab/>
            </w:r>
            <w:r>
              <w:rPr>
                <w:rStyle w:val="IndexLink"/>
              </w:rPr>
              <w:t>151</w:t>
            </w:r>
          </w:hyperlink>
        </w:p>
        <w:p>
          <w:pPr>
            <w:pStyle w:val="Contents6"/>
            <w:tabs>
              <w:tab w:val="clear" w:pos="7609"/>
              <w:tab w:val="right" w:pos="9026" w:leader="dot"/>
            </w:tabs>
            <w:rPr/>
          </w:pPr>
          <w:hyperlink w:anchor="__RefHeading___Toc10328791_73709187">
            <w:r>
              <w:rPr>
                <w:webHidden/>
                <w:rStyle w:val="IndexLink"/>
                <w:rtl w:val="true"/>
              </w:rPr>
              <w:t>حكم مقطوع الحَشَفة</w:t>
            </w:r>
            <w:r>
              <w:rPr>
                <w:rStyle w:val="IndexLink"/>
                <w:rtl w:val="true"/>
              </w:rPr>
              <w:tab/>
            </w:r>
            <w:r>
              <w:rPr>
                <w:rStyle w:val="IndexLink"/>
              </w:rPr>
              <w:t>152</w:t>
            </w:r>
          </w:hyperlink>
        </w:p>
        <w:p>
          <w:pPr>
            <w:pStyle w:val="Contents5"/>
            <w:tabs>
              <w:tab w:val="clear" w:pos="7892"/>
              <w:tab w:val="right" w:pos="9026" w:leader="dot"/>
            </w:tabs>
            <w:rPr/>
          </w:pPr>
          <w:hyperlink w:anchor="__RefHeading___Toc10328793_73709187">
            <w:r>
              <w:rPr>
                <w:webHidden/>
                <w:rStyle w:val="IndexLink"/>
                <w:rtl w:val="true"/>
              </w:rPr>
              <w:t>واجبات الغُسل</w:t>
            </w:r>
            <w:r>
              <w:rPr>
                <w:rStyle w:val="IndexLink"/>
                <w:rtl w:val="true"/>
              </w:rPr>
              <w:tab/>
            </w:r>
            <w:r>
              <w:rPr>
                <w:rStyle w:val="IndexLink"/>
              </w:rPr>
              <w:t>154</w:t>
            </w:r>
          </w:hyperlink>
        </w:p>
        <w:p>
          <w:pPr>
            <w:pStyle w:val="Contents6"/>
            <w:tabs>
              <w:tab w:val="clear" w:pos="7609"/>
              <w:tab w:val="right" w:pos="9026" w:leader="dot"/>
            </w:tabs>
            <w:rPr/>
          </w:pPr>
          <w:hyperlink w:anchor="__RefHeading___Toc10328795_73709187">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10328797_73709187">
            <w:r>
              <w:rPr>
                <w:webHidden/>
                <w:rStyle w:val="IndexLink"/>
                <w:rtl w:val="true"/>
              </w:rPr>
              <w:t>النيّة</w:t>
            </w:r>
            <w:r>
              <w:rPr>
                <w:rStyle w:val="IndexLink"/>
                <w:rtl w:val="true"/>
              </w:rPr>
              <w:tab/>
            </w:r>
            <w:r>
              <w:rPr>
                <w:rStyle w:val="IndexLink"/>
              </w:rPr>
              <w:t>154</w:t>
            </w:r>
          </w:hyperlink>
        </w:p>
        <w:p>
          <w:pPr>
            <w:pStyle w:val="Contents6"/>
            <w:tabs>
              <w:tab w:val="clear" w:pos="7609"/>
              <w:tab w:val="right" w:pos="9026" w:leader="dot"/>
            </w:tabs>
            <w:rPr/>
          </w:pPr>
          <w:hyperlink w:anchor="__RefHeading___Toc10328799_73709187">
            <w:r>
              <w:rPr>
                <w:webHidden/>
                <w:rStyle w:val="IndexLink"/>
                <w:rtl w:val="true"/>
              </w:rPr>
              <w:t>لزوم استيعاب الجَسَد</w:t>
            </w:r>
            <w:r>
              <w:rPr>
                <w:rStyle w:val="IndexLink"/>
                <w:rtl w:val="true"/>
              </w:rPr>
              <w:tab/>
            </w:r>
            <w:r>
              <w:rPr>
                <w:rStyle w:val="IndexLink"/>
              </w:rPr>
              <w:t>158</w:t>
            </w:r>
          </w:hyperlink>
        </w:p>
        <w:p>
          <w:pPr>
            <w:pStyle w:val="Contents6"/>
            <w:tabs>
              <w:tab w:val="clear" w:pos="7609"/>
              <w:tab w:val="right" w:pos="9026" w:leader="dot"/>
            </w:tabs>
            <w:rPr/>
          </w:pPr>
          <w:hyperlink w:anchor="__RefHeading___Toc10328801_73709187">
            <w:r>
              <w:rPr>
                <w:webHidden/>
                <w:rStyle w:val="IndexLink"/>
                <w:rtl w:val="true"/>
              </w:rPr>
              <w:t>وجوب التخليل</w:t>
            </w:r>
            <w:r>
              <w:rPr>
                <w:rStyle w:val="IndexLink"/>
                <w:rtl w:val="true"/>
              </w:rPr>
              <w:tab/>
            </w:r>
            <w:r>
              <w:rPr>
                <w:rStyle w:val="IndexLink"/>
              </w:rPr>
              <w:t>161</w:t>
            </w:r>
          </w:hyperlink>
        </w:p>
        <w:p>
          <w:pPr>
            <w:pStyle w:val="Contents6"/>
            <w:tabs>
              <w:tab w:val="clear" w:pos="7609"/>
              <w:tab w:val="right" w:pos="9026" w:leader="dot"/>
            </w:tabs>
            <w:rPr/>
          </w:pPr>
          <w:hyperlink w:anchor="__RefHeading___Toc10328803_73709187">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10328805_73709187">
            <w:r>
              <w:rPr>
                <w:webHidden/>
                <w:rStyle w:val="IndexLink"/>
                <w:rtl w:val="true"/>
              </w:rPr>
              <w:t>لا يجبُ غَسل الشَّعر</w:t>
            </w:r>
            <w:r>
              <w:rPr>
                <w:rStyle w:val="IndexLink"/>
                <w:rtl w:val="true"/>
              </w:rPr>
              <w:tab/>
            </w:r>
            <w:r>
              <w:rPr>
                <w:rStyle w:val="IndexLink"/>
              </w:rPr>
              <w:t>163</w:t>
            </w:r>
          </w:hyperlink>
        </w:p>
        <w:p>
          <w:pPr>
            <w:pStyle w:val="Contents6"/>
            <w:tabs>
              <w:tab w:val="clear" w:pos="7609"/>
              <w:tab w:val="right" w:pos="9026" w:leader="dot"/>
            </w:tabs>
            <w:rPr/>
          </w:pPr>
          <w:hyperlink w:anchor="__RefHeading___Toc10328807_73709187">
            <w:r>
              <w:rPr>
                <w:webHidden/>
                <w:rStyle w:val="IndexLink"/>
                <w:rtl w:val="true"/>
              </w:rPr>
              <w:t>لا يجب غسل البواطن</w:t>
            </w:r>
            <w:r>
              <w:rPr>
                <w:rStyle w:val="IndexLink"/>
                <w:rtl w:val="true"/>
              </w:rPr>
              <w:tab/>
            </w:r>
            <w:r>
              <w:rPr>
                <w:rStyle w:val="IndexLink"/>
              </w:rPr>
              <w:t>166</w:t>
            </w:r>
          </w:hyperlink>
        </w:p>
        <w:p>
          <w:pPr>
            <w:pStyle w:val="Contents6"/>
            <w:tabs>
              <w:tab w:val="clear" w:pos="7609"/>
              <w:tab w:val="right" w:pos="9026" w:leader="dot"/>
            </w:tabs>
            <w:rPr/>
          </w:pPr>
          <w:hyperlink w:anchor="__RefHeading___Toc10328809_73709187">
            <w:r>
              <w:rPr>
                <w:webHidden/>
                <w:rStyle w:val="IndexLink"/>
                <w:rtl w:val="true"/>
              </w:rPr>
              <w:t>في حكم ما يشكّ أنّه من الظاهر أو الباطن</w:t>
            </w:r>
            <w:r>
              <w:rPr>
                <w:rStyle w:val="IndexLink"/>
                <w:rtl w:val="true"/>
              </w:rPr>
              <w:tab/>
            </w:r>
            <w:r>
              <w:rPr>
                <w:rStyle w:val="IndexLink"/>
              </w:rPr>
              <w:t>167</w:t>
            </w:r>
          </w:hyperlink>
        </w:p>
        <w:p>
          <w:pPr>
            <w:pStyle w:val="Contents6"/>
            <w:tabs>
              <w:tab w:val="clear" w:pos="7609"/>
              <w:tab w:val="right" w:pos="9026" w:leader="dot"/>
            </w:tabs>
            <w:rPr/>
          </w:pPr>
          <w:hyperlink w:anchor="__RefHeading___Toc10328811_73709187">
            <w:r>
              <w:rPr>
                <w:webHidden/>
                <w:rStyle w:val="IndexLink"/>
                <w:rtl w:val="true"/>
              </w:rPr>
              <w:t>لزوم الترتيب</w:t>
            </w:r>
            <w:r>
              <w:rPr>
                <w:rStyle w:val="IndexLink"/>
                <w:rtl w:val="true"/>
              </w:rPr>
              <w:tab/>
            </w:r>
            <w:r>
              <w:rPr>
                <w:rStyle w:val="IndexLink"/>
              </w:rPr>
              <w:t>168</w:t>
            </w:r>
          </w:hyperlink>
        </w:p>
        <w:p>
          <w:pPr>
            <w:pStyle w:val="Contents6"/>
            <w:tabs>
              <w:tab w:val="clear" w:pos="7609"/>
              <w:tab w:val="right" w:pos="9026" w:leader="dot"/>
            </w:tabs>
            <w:rPr/>
          </w:pPr>
          <w:hyperlink w:anchor="__RefHeading___Toc10328813_73709187">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10328815_73709187">
            <w:r>
              <w:rPr>
                <w:webHidden/>
                <w:rStyle w:val="IndexLink"/>
                <w:rtl w:val="true"/>
              </w:rPr>
              <w:t>الترتيب بين الجانبين</w:t>
            </w:r>
            <w:r>
              <w:rPr>
                <w:rStyle w:val="IndexLink"/>
                <w:rtl w:val="true"/>
              </w:rPr>
              <w:tab/>
            </w:r>
            <w:r>
              <w:rPr>
                <w:rStyle w:val="IndexLink"/>
              </w:rPr>
              <w:t>171</w:t>
            </w:r>
          </w:hyperlink>
        </w:p>
        <w:p>
          <w:pPr>
            <w:pStyle w:val="Contents6"/>
            <w:tabs>
              <w:tab w:val="clear" w:pos="7609"/>
              <w:tab w:val="right" w:pos="9026" w:leader="dot"/>
            </w:tabs>
            <w:rPr/>
          </w:pPr>
          <w:hyperlink w:anchor="__RefHeading___Toc10328817_73709187">
            <w:r>
              <w:rPr>
                <w:webHidden/>
                <w:rStyle w:val="IndexLink"/>
                <w:rtl w:val="true"/>
              </w:rPr>
              <w:t>الترتيب يَسقُط بالارتماس</w:t>
            </w:r>
            <w:r>
              <w:rPr>
                <w:rStyle w:val="IndexLink"/>
                <w:rtl w:val="true"/>
              </w:rPr>
              <w:tab/>
            </w:r>
            <w:r>
              <w:rPr>
                <w:rStyle w:val="IndexLink"/>
              </w:rPr>
              <w:t>174</w:t>
            </w:r>
          </w:hyperlink>
        </w:p>
        <w:p>
          <w:pPr>
            <w:pStyle w:val="Contents6"/>
            <w:tabs>
              <w:tab w:val="clear" w:pos="7609"/>
              <w:tab w:val="right" w:pos="9026" w:leader="dot"/>
            </w:tabs>
            <w:rPr/>
          </w:pPr>
          <w:hyperlink w:anchor="__RefHeading___Toc10328819_73709187">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0328821_73709187">
            <w:r>
              <w:rPr>
                <w:webHidden/>
                <w:rStyle w:val="IndexLink"/>
                <w:rtl w:val="true"/>
              </w:rPr>
              <w:t>في معنى الارتماس</w:t>
            </w:r>
            <w:r>
              <w:rPr>
                <w:rStyle w:val="IndexLink"/>
                <w:rtl w:val="true"/>
              </w:rPr>
              <w:tab/>
            </w:r>
            <w:r>
              <w:rPr>
                <w:rStyle w:val="IndexLink"/>
              </w:rPr>
              <w:t>174</w:t>
            </w:r>
          </w:hyperlink>
        </w:p>
        <w:p>
          <w:pPr>
            <w:pStyle w:val="Contents6"/>
            <w:tabs>
              <w:tab w:val="clear" w:pos="7609"/>
              <w:tab w:val="right" w:pos="9026" w:leader="dot"/>
            </w:tabs>
            <w:rPr/>
          </w:pPr>
          <w:hyperlink w:anchor="__RefHeading___Toc10328823_73709187">
            <w:r>
              <w:rPr>
                <w:webHidden/>
                <w:rStyle w:val="IndexLink"/>
                <w:rtl w:val="true"/>
              </w:rPr>
              <w:t>فروع</w:t>
            </w:r>
            <w:r>
              <w:rPr>
                <w:rStyle w:val="IndexLink"/>
                <w:rtl w:val="true"/>
              </w:rPr>
              <w:t>:</w:t>
              <w:tab/>
            </w:r>
            <w:r>
              <w:rPr>
                <w:rStyle w:val="IndexLink"/>
              </w:rPr>
              <w:t>177</w:t>
            </w:r>
          </w:hyperlink>
        </w:p>
        <w:p>
          <w:pPr>
            <w:pStyle w:val="Contents6"/>
            <w:tabs>
              <w:tab w:val="clear" w:pos="7609"/>
              <w:tab w:val="right" w:pos="9026" w:leader="dot"/>
            </w:tabs>
            <w:rPr/>
          </w:pPr>
          <w:hyperlink w:anchor="__RefHeading___Toc10328825_73709187">
            <w:r>
              <w:rPr>
                <w:webHidden/>
                <w:rStyle w:val="IndexLink"/>
                <w:rtl w:val="true"/>
              </w:rPr>
              <w:t>في جواز غَسل الأعضاء ارتماساً</w:t>
            </w:r>
            <w:r>
              <w:rPr>
                <w:rStyle w:val="IndexLink"/>
                <w:rtl w:val="true"/>
              </w:rPr>
              <w:tab/>
            </w:r>
            <w:r>
              <w:rPr>
                <w:rStyle w:val="IndexLink"/>
              </w:rPr>
              <w:t>177</w:t>
            </w:r>
          </w:hyperlink>
        </w:p>
        <w:p>
          <w:pPr>
            <w:pStyle w:val="Contents6"/>
            <w:tabs>
              <w:tab w:val="clear" w:pos="7609"/>
              <w:tab w:val="right" w:pos="9026" w:leader="dot"/>
            </w:tabs>
            <w:rPr/>
          </w:pPr>
          <w:hyperlink w:anchor="__RefHeading___Toc10328827_73709187">
            <w:r>
              <w:rPr>
                <w:webHidden/>
                <w:rStyle w:val="IndexLink"/>
                <w:rtl w:val="true"/>
              </w:rPr>
              <w:t>لزوم غسل الرقبة مع الرأس</w:t>
            </w:r>
            <w:r>
              <w:rPr>
                <w:rStyle w:val="IndexLink"/>
                <w:rtl w:val="true"/>
              </w:rPr>
              <w:tab/>
            </w:r>
            <w:r>
              <w:rPr>
                <w:rStyle w:val="IndexLink"/>
              </w:rPr>
              <w:t>179</w:t>
            </w:r>
          </w:hyperlink>
        </w:p>
        <w:p>
          <w:pPr>
            <w:pStyle w:val="Contents6"/>
            <w:tabs>
              <w:tab w:val="clear" w:pos="7609"/>
              <w:tab w:val="right" w:pos="9026" w:leader="dot"/>
            </w:tabs>
            <w:rPr/>
          </w:pPr>
          <w:hyperlink w:anchor="__RefHeading___Toc10328829_73709187">
            <w:r>
              <w:rPr>
                <w:webHidden/>
                <w:rStyle w:val="IndexLink"/>
                <w:rtl w:val="true"/>
              </w:rPr>
              <w:t>عدم وجوب الموالاة</w:t>
            </w:r>
            <w:r>
              <w:rPr>
                <w:rStyle w:val="IndexLink"/>
                <w:rtl w:val="true"/>
              </w:rPr>
              <w:tab/>
            </w:r>
            <w:r>
              <w:rPr>
                <w:rStyle w:val="IndexLink"/>
              </w:rPr>
              <w:t>181</w:t>
            </w:r>
          </w:hyperlink>
        </w:p>
        <w:p>
          <w:pPr>
            <w:pStyle w:val="Contents6"/>
            <w:tabs>
              <w:tab w:val="clear" w:pos="7609"/>
              <w:tab w:val="right" w:pos="9026" w:leader="dot"/>
            </w:tabs>
            <w:rPr/>
          </w:pPr>
          <w:hyperlink w:anchor="__RefHeading___Toc10328831_73709187">
            <w:r>
              <w:rPr>
                <w:webHidden/>
                <w:rStyle w:val="IndexLink"/>
                <w:rtl w:val="true"/>
              </w:rPr>
              <w:t>حكم البدء بالأعلى فالأعلى‌</w:t>
            </w:r>
            <w:r>
              <w:rPr>
                <w:rStyle w:val="IndexLink"/>
                <w:rtl w:val="true"/>
              </w:rPr>
              <w:tab/>
            </w:r>
            <w:r>
              <w:rPr>
                <w:rStyle w:val="IndexLink"/>
              </w:rPr>
              <w:t>182</w:t>
            </w:r>
          </w:hyperlink>
        </w:p>
        <w:p>
          <w:pPr>
            <w:pStyle w:val="Contents6"/>
            <w:tabs>
              <w:tab w:val="clear" w:pos="7609"/>
              <w:tab w:val="right" w:pos="9026" w:leader="dot"/>
            </w:tabs>
            <w:rPr/>
          </w:pPr>
          <w:hyperlink w:anchor="__RefHeading___Toc10328833_73709187">
            <w:r>
              <w:rPr>
                <w:webHidden/>
                <w:rStyle w:val="IndexLink"/>
                <w:rtl w:val="true"/>
              </w:rPr>
              <w:t>عدم اعتبار طهارة الأعضاء</w:t>
            </w:r>
            <w:r>
              <w:rPr>
                <w:rStyle w:val="IndexLink"/>
                <w:rtl w:val="true"/>
              </w:rPr>
              <w:tab/>
            </w:r>
            <w:r>
              <w:rPr>
                <w:rStyle w:val="IndexLink"/>
              </w:rPr>
              <w:t>183</w:t>
            </w:r>
          </w:hyperlink>
        </w:p>
        <w:p>
          <w:pPr>
            <w:pStyle w:val="Contents6"/>
            <w:tabs>
              <w:tab w:val="clear" w:pos="7609"/>
              <w:tab w:val="right" w:pos="9026" w:leader="dot"/>
            </w:tabs>
            <w:rPr/>
          </w:pPr>
          <w:hyperlink w:anchor="__RefHeading___Toc10328835_73709187">
            <w:r>
              <w:rPr>
                <w:webHidden/>
                <w:rStyle w:val="IndexLink"/>
                <w:rtl w:val="true"/>
              </w:rPr>
              <w:t>الغُسل تحت المطر والميزاب</w:t>
            </w:r>
            <w:r>
              <w:rPr>
                <w:rStyle w:val="IndexLink"/>
                <w:rtl w:val="true"/>
              </w:rPr>
              <w:tab/>
            </w:r>
            <w:r>
              <w:rPr>
                <w:rStyle w:val="IndexLink"/>
              </w:rPr>
              <w:t>187</w:t>
            </w:r>
          </w:hyperlink>
        </w:p>
        <w:p>
          <w:pPr>
            <w:pStyle w:val="Contents6"/>
            <w:tabs>
              <w:tab w:val="clear" w:pos="7609"/>
              <w:tab w:val="right" w:pos="9026" w:leader="dot"/>
            </w:tabs>
            <w:rPr/>
          </w:pPr>
          <w:hyperlink w:anchor="__RefHeading___Toc10328837_73709187">
            <w:r>
              <w:rPr>
                <w:webHidden/>
                <w:rStyle w:val="IndexLink"/>
                <w:rtl w:val="true"/>
              </w:rPr>
              <w:t>في جواز الغُسل بالغسالة وعدمه</w:t>
            </w:r>
            <w:r>
              <w:rPr>
                <w:rStyle w:val="IndexLink"/>
                <w:rtl w:val="true"/>
              </w:rPr>
              <w:tab/>
            </w:r>
            <w:r>
              <w:rPr>
                <w:rStyle w:val="IndexLink"/>
              </w:rPr>
              <w:t>189</w:t>
            </w:r>
          </w:hyperlink>
        </w:p>
        <w:p>
          <w:pPr>
            <w:pStyle w:val="Contents6"/>
            <w:tabs>
              <w:tab w:val="clear" w:pos="7609"/>
              <w:tab w:val="right" w:pos="9026" w:leader="dot"/>
            </w:tabs>
            <w:rPr/>
          </w:pPr>
          <w:hyperlink w:anchor="__RefHeading___Toc10328839_73709187">
            <w:r>
              <w:rPr>
                <w:webHidden/>
                <w:rStyle w:val="IndexLink"/>
                <w:rtl w:val="true"/>
              </w:rPr>
              <w:t>الشكّ في الغسل</w:t>
            </w:r>
            <w:r>
              <w:rPr>
                <w:rStyle w:val="IndexLink"/>
                <w:rtl w:val="true"/>
              </w:rPr>
              <w:tab/>
            </w:r>
            <w:r>
              <w:rPr>
                <w:rStyle w:val="IndexLink"/>
              </w:rPr>
              <w:t>190</w:t>
            </w:r>
          </w:hyperlink>
        </w:p>
        <w:p>
          <w:pPr>
            <w:pStyle w:val="Contents5"/>
            <w:tabs>
              <w:tab w:val="clear" w:pos="7892"/>
              <w:tab w:val="right" w:pos="9026" w:leader="dot"/>
            </w:tabs>
            <w:rPr/>
          </w:pPr>
          <w:hyperlink w:anchor="__RefHeading___Toc10328841_73709187">
            <w:r>
              <w:rPr>
                <w:webHidden/>
                <w:rStyle w:val="IndexLink"/>
                <w:rtl w:val="true"/>
              </w:rPr>
              <w:t>مستحبّات غُسل الجنابة</w:t>
            </w:r>
            <w:r>
              <w:rPr>
                <w:rStyle w:val="IndexLink"/>
                <w:rtl w:val="true"/>
              </w:rPr>
              <w:tab/>
            </w:r>
            <w:r>
              <w:rPr>
                <w:rStyle w:val="IndexLink"/>
              </w:rPr>
              <w:t>193</w:t>
            </w:r>
          </w:hyperlink>
        </w:p>
        <w:p>
          <w:pPr>
            <w:pStyle w:val="Contents5"/>
            <w:tabs>
              <w:tab w:val="clear" w:pos="7892"/>
              <w:tab w:val="right" w:pos="9026" w:leader="dot"/>
            </w:tabs>
            <w:rPr/>
          </w:pPr>
          <w:hyperlink w:anchor="__RefHeading___Toc10328843_73709187">
            <w:r>
              <w:rPr>
                <w:webHidden/>
                <w:rStyle w:val="IndexLink"/>
                <w:rtl w:val="true"/>
              </w:rPr>
              <w:t>الأفعال الممنوعة على المُجنب</w:t>
            </w:r>
            <w:r>
              <w:rPr>
                <w:rStyle w:val="IndexLink"/>
                <w:rtl w:val="true"/>
              </w:rPr>
              <w:tab/>
            </w:r>
            <w:r>
              <w:rPr>
                <w:rStyle w:val="IndexLink"/>
              </w:rPr>
              <w:t>202</w:t>
            </w:r>
          </w:hyperlink>
        </w:p>
        <w:p>
          <w:pPr>
            <w:pStyle w:val="Contents6"/>
            <w:tabs>
              <w:tab w:val="clear" w:pos="7609"/>
              <w:tab w:val="right" w:pos="9026" w:leader="dot"/>
            </w:tabs>
            <w:rPr/>
          </w:pPr>
          <w:hyperlink w:anchor="__RefHeading___Toc10328845_73709187">
            <w:r>
              <w:rPr>
                <w:webHidden/>
                <w:rStyle w:val="IndexLink"/>
                <w:rtl w:val="true"/>
              </w:rPr>
              <w:t>قراءة سور العزائم</w:t>
            </w:r>
            <w:r>
              <w:rPr>
                <w:rStyle w:val="IndexLink"/>
                <w:rtl w:val="true"/>
              </w:rPr>
              <w:tab/>
            </w:r>
            <w:r>
              <w:rPr>
                <w:rStyle w:val="IndexLink"/>
              </w:rPr>
              <w:t>202</w:t>
            </w:r>
          </w:hyperlink>
        </w:p>
        <w:p>
          <w:pPr>
            <w:pStyle w:val="Contents6"/>
            <w:tabs>
              <w:tab w:val="clear" w:pos="7609"/>
              <w:tab w:val="right" w:pos="9026" w:leader="dot"/>
            </w:tabs>
            <w:rPr/>
          </w:pPr>
          <w:hyperlink w:anchor="__RefHeading___Toc10328847_73709187">
            <w:r>
              <w:rPr>
                <w:webHidden/>
                <w:rStyle w:val="IndexLink"/>
                <w:rtl w:val="true"/>
              </w:rPr>
              <w:t>حُرمة مسّ المصحف</w:t>
            </w:r>
            <w:r>
              <w:rPr>
                <w:rStyle w:val="IndexLink"/>
                <w:rtl w:val="true"/>
              </w:rPr>
              <w:tab/>
            </w:r>
            <w:r>
              <w:rPr>
                <w:rStyle w:val="IndexLink"/>
              </w:rPr>
              <w:t>205</w:t>
            </w:r>
          </w:hyperlink>
        </w:p>
        <w:p>
          <w:pPr>
            <w:pStyle w:val="Contents6"/>
            <w:tabs>
              <w:tab w:val="clear" w:pos="7609"/>
              <w:tab w:val="right" w:pos="9026" w:leader="dot"/>
            </w:tabs>
            <w:rPr/>
          </w:pPr>
          <w:hyperlink w:anchor="__RefHeading___Toc10328849_73709187">
            <w:r>
              <w:rPr>
                <w:webHidden/>
                <w:rStyle w:val="IndexLink"/>
                <w:rtl w:val="true"/>
              </w:rPr>
              <w:t>حرمة اللَّبث في المساجد</w:t>
            </w:r>
            <w:r>
              <w:rPr>
                <w:rStyle w:val="IndexLink"/>
                <w:rtl w:val="true"/>
              </w:rPr>
              <w:tab/>
            </w:r>
            <w:r>
              <w:rPr>
                <w:rStyle w:val="IndexLink"/>
              </w:rPr>
              <w:t>209</w:t>
            </w:r>
          </w:hyperlink>
        </w:p>
        <w:p>
          <w:pPr>
            <w:pStyle w:val="Contents6"/>
            <w:tabs>
              <w:tab w:val="clear" w:pos="7609"/>
              <w:tab w:val="right" w:pos="9026" w:leader="dot"/>
            </w:tabs>
            <w:rPr/>
          </w:pPr>
          <w:hyperlink w:anchor="__RefHeading___Toc10328851_73709187">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10328853_73709187">
            <w:r>
              <w:rPr>
                <w:webHidden/>
                <w:rStyle w:val="IndexLink"/>
                <w:rtl w:val="true"/>
              </w:rPr>
              <w:t>حكم المشاهد المشرّفة</w:t>
            </w:r>
            <w:r>
              <w:rPr>
                <w:rStyle w:val="IndexLink"/>
                <w:rtl w:val="true"/>
              </w:rPr>
              <w:tab/>
            </w:r>
            <w:r>
              <w:rPr>
                <w:rStyle w:val="IndexLink"/>
              </w:rPr>
              <w:t>213</w:t>
            </w:r>
          </w:hyperlink>
        </w:p>
        <w:p>
          <w:pPr>
            <w:pStyle w:val="Contents6"/>
            <w:tabs>
              <w:tab w:val="clear" w:pos="7609"/>
              <w:tab w:val="right" w:pos="9026" w:leader="dot"/>
            </w:tabs>
            <w:rPr/>
          </w:pPr>
          <w:hyperlink w:anchor="__RefHeading___Toc10328855_73709187">
            <w:r>
              <w:rPr>
                <w:webHidden/>
                <w:rStyle w:val="IndexLink"/>
                <w:rtl w:val="true"/>
              </w:rPr>
              <w:t>حكم المَسجدين</w:t>
            </w:r>
            <w:r>
              <w:rPr>
                <w:rStyle w:val="IndexLink"/>
                <w:rtl w:val="true"/>
              </w:rPr>
              <w:tab/>
            </w:r>
            <w:r>
              <w:rPr>
                <w:rStyle w:val="IndexLink"/>
              </w:rPr>
              <w:t>216</w:t>
            </w:r>
          </w:hyperlink>
        </w:p>
        <w:p>
          <w:pPr>
            <w:pStyle w:val="Contents6"/>
            <w:tabs>
              <w:tab w:val="clear" w:pos="7609"/>
              <w:tab w:val="right" w:pos="9026" w:leader="dot"/>
            </w:tabs>
            <w:rPr/>
          </w:pPr>
          <w:hyperlink w:anchor="__RefHeading___Toc10328857_73709187">
            <w:r>
              <w:rPr>
                <w:webHidden/>
                <w:rStyle w:val="IndexLink"/>
                <w:rtl w:val="true"/>
              </w:rPr>
              <w:t>وضعُ شيءٍ في المساجد</w:t>
            </w:r>
            <w:r>
              <w:rPr>
                <w:rStyle w:val="IndexLink"/>
                <w:rtl w:val="true"/>
              </w:rPr>
              <w:tab/>
            </w:r>
            <w:r>
              <w:rPr>
                <w:rStyle w:val="IndexLink"/>
              </w:rPr>
              <w:t>217</w:t>
            </w:r>
          </w:hyperlink>
        </w:p>
        <w:p>
          <w:pPr>
            <w:pStyle w:val="Contents6"/>
            <w:tabs>
              <w:tab w:val="clear" w:pos="7609"/>
              <w:tab w:val="right" w:pos="9026" w:leader="dot"/>
            </w:tabs>
            <w:rPr/>
          </w:pPr>
          <w:hyperlink w:anchor="__RefHeading___Toc10328859_73709187">
            <w:r>
              <w:rPr>
                <w:webHidden/>
                <w:rStyle w:val="IndexLink"/>
                <w:rtl w:val="true"/>
              </w:rPr>
              <w:t>فروع</w:t>
            </w:r>
            <w:r>
              <w:rPr>
                <w:rStyle w:val="IndexLink"/>
                <w:rtl w:val="true"/>
              </w:rPr>
              <w:t>:</w:t>
              <w:tab/>
            </w:r>
            <w:r>
              <w:rPr>
                <w:rStyle w:val="IndexLink"/>
              </w:rPr>
              <w:t>218</w:t>
            </w:r>
          </w:hyperlink>
        </w:p>
        <w:p>
          <w:pPr>
            <w:pStyle w:val="Contents6"/>
            <w:tabs>
              <w:tab w:val="clear" w:pos="7609"/>
              <w:tab w:val="right" w:pos="9026" w:leader="dot"/>
            </w:tabs>
            <w:rPr/>
          </w:pPr>
          <w:hyperlink w:anchor="__RefHeading___Toc10328861_73709187">
            <w:r>
              <w:rPr>
                <w:webHidden/>
                <w:rStyle w:val="IndexLink"/>
                <w:rtl w:val="true"/>
              </w:rPr>
              <w:t>من أجنب في أحد المسجدين يتيمّم للخروج</w:t>
            </w:r>
            <w:r>
              <w:rPr>
                <w:rStyle w:val="IndexLink"/>
                <w:rtl w:val="true"/>
              </w:rPr>
              <w:tab/>
            </w:r>
            <w:r>
              <w:rPr>
                <w:rStyle w:val="IndexLink"/>
              </w:rPr>
              <w:t>218</w:t>
            </w:r>
          </w:hyperlink>
        </w:p>
        <w:p>
          <w:pPr>
            <w:pStyle w:val="Contents6"/>
            <w:tabs>
              <w:tab w:val="clear" w:pos="7609"/>
              <w:tab w:val="right" w:pos="9026" w:leader="dot"/>
            </w:tabs>
            <w:rPr/>
          </w:pPr>
          <w:hyperlink w:anchor="__RefHeading___Toc10328863_73709187">
            <w:r>
              <w:rPr>
                <w:webHidden/>
                <w:rStyle w:val="IndexLink"/>
                <w:rtl w:val="true"/>
              </w:rPr>
              <w:t>إدخال الجُنُب في المسجد</w:t>
            </w:r>
            <w:r>
              <w:rPr>
                <w:rStyle w:val="IndexLink"/>
                <w:rtl w:val="true"/>
              </w:rPr>
              <w:tab/>
            </w:r>
            <w:r>
              <w:rPr>
                <w:rStyle w:val="IndexLink"/>
              </w:rPr>
              <w:t>223</w:t>
            </w:r>
          </w:hyperlink>
        </w:p>
        <w:p>
          <w:pPr>
            <w:pStyle w:val="Contents6"/>
            <w:tabs>
              <w:tab w:val="clear" w:pos="7609"/>
              <w:tab w:val="right" w:pos="9026" w:leader="dot"/>
            </w:tabs>
            <w:rPr/>
          </w:pPr>
          <w:hyperlink w:anchor="__RefHeading___Toc10328865_73709187">
            <w:r>
              <w:rPr>
                <w:webHidden/>
                <w:rStyle w:val="IndexLink"/>
                <w:rtl w:val="true"/>
              </w:rPr>
              <w:t>في حكم استئجار الجُنُب للدخول</w:t>
            </w:r>
            <w:r>
              <w:rPr>
                <w:rStyle w:val="IndexLink"/>
                <w:rtl w:val="true"/>
              </w:rPr>
              <w:tab/>
            </w:r>
            <w:r>
              <w:rPr>
                <w:rStyle w:val="IndexLink"/>
              </w:rPr>
              <w:t>224</w:t>
            </w:r>
          </w:hyperlink>
        </w:p>
        <w:p>
          <w:pPr>
            <w:pStyle w:val="Contents6"/>
            <w:tabs>
              <w:tab w:val="clear" w:pos="7609"/>
              <w:tab w:val="right" w:pos="9026" w:leader="dot"/>
            </w:tabs>
            <w:rPr/>
          </w:pPr>
          <w:hyperlink w:anchor="__RefHeading___Toc10328867_73709187">
            <w:r>
              <w:rPr>
                <w:webHidden/>
                <w:rStyle w:val="IndexLink"/>
                <w:rtl w:val="true"/>
              </w:rPr>
              <w:t>التيمّم لدخول المسجد</w:t>
            </w:r>
            <w:r>
              <w:rPr>
                <w:rStyle w:val="IndexLink"/>
                <w:rtl w:val="true"/>
              </w:rPr>
              <w:tab/>
            </w:r>
            <w:r>
              <w:rPr>
                <w:rStyle w:val="IndexLink"/>
              </w:rPr>
              <w:t>226</w:t>
            </w:r>
          </w:hyperlink>
        </w:p>
        <w:p>
          <w:pPr>
            <w:pStyle w:val="Contents5"/>
            <w:tabs>
              <w:tab w:val="clear" w:pos="7892"/>
              <w:tab w:val="right" w:pos="9026" w:leader="dot"/>
            </w:tabs>
            <w:rPr/>
          </w:pPr>
          <w:hyperlink w:anchor="__RefHeading___Toc10328869_73709187">
            <w:r>
              <w:rPr>
                <w:webHidden/>
                <w:rStyle w:val="IndexLink"/>
                <w:rtl w:val="true"/>
              </w:rPr>
              <w:t>ما يُكرَه على الجُنُب</w:t>
            </w:r>
            <w:r>
              <w:rPr>
                <w:rStyle w:val="IndexLink"/>
                <w:rtl w:val="true"/>
              </w:rPr>
              <w:tab/>
            </w:r>
            <w:r>
              <w:rPr>
                <w:rStyle w:val="IndexLink"/>
              </w:rPr>
              <w:t>229</w:t>
            </w:r>
          </w:hyperlink>
        </w:p>
        <w:p>
          <w:pPr>
            <w:pStyle w:val="Contents5"/>
            <w:tabs>
              <w:tab w:val="clear" w:pos="7892"/>
              <w:tab w:val="right" w:pos="9026" w:leader="dot"/>
            </w:tabs>
            <w:rPr/>
          </w:pPr>
          <w:hyperlink w:anchor="__RefHeading___Toc10328871_73709187">
            <w:r>
              <w:rPr>
                <w:webHidden/>
                <w:rStyle w:val="IndexLink"/>
                <w:rtl w:val="true"/>
              </w:rPr>
              <w:t>مسائل</w:t>
            </w:r>
            <w:r>
              <w:rPr>
                <w:rStyle w:val="IndexLink"/>
                <w:rtl w:val="true"/>
              </w:rPr>
              <w:t>:</w:t>
              <w:tab/>
            </w:r>
            <w:r>
              <w:rPr>
                <w:rStyle w:val="IndexLink"/>
              </w:rPr>
              <w:t>242</w:t>
            </w:r>
          </w:hyperlink>
        </w:p>
        <w:p>
          <w:pPr>
            <w:pStyle w:val="Contents6"/>
            <w:tabs>
              <w:tab w:val="clear" w:pos="7609"/>
              <w:tab w:val="right" w:pos="9026" w:leader="dot"/>
            </w:tabs>
            <w:rPr/>
          </w:pPr>
          <w:hyperlink w:anchor="__RefHeading___Toc10328873_73709187">
            <w:r>
              <w:rPr>
                <w:webHidden/>
                <w:rStyle w:val="IndexLink"/>
                <w:rtl w:val="true"/>
              </w:rPr>
              <w:t>الحَدَث الأكبر في أثناء الغُسل</w:t>
            </w:r>
            <w:r>
              <w:rPr>
                <w:rStyle w:val="IndexLink"/>
                <w:rtl w:val="true"/>
              </w:rPr>
              <w:tab/>
            </w:r>
            <w:r>
              <w:rPr>
                <w:rStyle w:val="IndexLink"/>
              </w:rPr>
              <w:t>242</w:t>
            </w:r>
          </w:hyperlink>
        </w:p>
        <w:p>
          <w:pPr>
            <w:pStyle w:val="Contents6"/>
            <w:tabs>
              <w:tab w:val="clear" w:pos="7609"/>
              <w:tab w:val="right" w:pos="9026" w:leader="dot"/>
            </w:tabs>
            <w:rPr/>
          </w:pPr>
          <w:hyperlink w:anchor="__RefHeading___Toc10328875_73709187">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0328877_73709187">
            <w:r>
              <w:rPr>
                <w:webHidden/>
                <w:rStyle w:val="IndexLink"/>
                <w:rtl w:val="true"/>
              </w:rPr>
              <w:t>الحَدَث الأصغر في أثناء الغُسل</w:t>
            </w:r>
            <w:r>
              <w:rPr>
                <w:rStyle w:val="IndexLink"/>
                <w:rtl w:val="true"/>
              </w:rPr>
              <w:tab/>
            </w:r>
            <w:r>
              <w:rPr>
                <w:rStyle w:val="IndexLink"/>
              </w:rPr>
              <w:t>243</w:t>
            </w:r>
          </w:hyperlink>
        </w:p>
        <w:p>
          <w:pPr>
            <w:pStyle w:val="Contents6"/>
            <w:tabs>
              <w:tab w:val="clear" w:pos="7609"/>
              <w:tab w:val="right" w:pos="9026" w:leader="dot"/>
            </w:tabs>
            <w:rPr/>
          </w:pPr>
          <w:hyperlink w:anchor="__RefHeading___Toc10328879_73709187">
            <w:r>
              <w:rPr>
                <w:webHidden/>
                <w:rStyle w:val="IndexLink"/>
                <w:rtl w:val="true"/>
              </w:rPr>
              <w:t>الحَدَث في أثناء الأغسال المستحبّة</w:t>
            </w:r>
            <w:r>
              <w:rPr>
                <w:rStyle w:val="IndexLink"/>
                <w:rtl w:val="true"/>
              </w:rPr>
              <w:tab/>
            </w:r>
            <w:r>
              <w:rPr>
                <w:rStyle w:val="IndexLink"/>
              </w:rPr>
              <w:t>249</w:t>
            </w:r>
          </w:hyperlink>
        </w:p>
        <w:p>
          <w:pPr>
            <w:pStyle w:val="Contents6"/>
            <w:tabs>
              <w:tab w:val="clear" w:pos="7609"/>
              <w:tab w:val="right" w:pos="9026" w:leader="dot"/>
            </w:tabs>
            <w:rPr/>
          </w:pPr>
          <w:hyperlink w:anchor="__RefHeading___Toc10328881_73709187">
            <w:r>
              <w:rPr>
                <w:webHidden/>
                <w:rStyle w:val="IndexLink"/>
                <w:rtl w:val="true"/>
              </w:rPr>
              <w:t>حكم اجتماع الأغسال المتعدّدة على المكلّف</w:t>
            </w:r>
            <w:r>
              <w:rPr>
                <w:rStyle w:val="IndexLink"/>
                <w:rtl w:val="true"/>
              </w:rPr>
              <w:tab/>
            </w:r>
            <w:r>
              <w:rPr>
                <w:rStyle w:val="IndexLink"/>
              </w:rPr>
              <w:t>252</w:t>
            </w:r>
          </w:hyperlink>
        </w:p>
        <w:p>
          <w:pPr>
            <w:pStyle w:val="Contents6"/>
            <w:tabs>
              <w:tab w:val="clear" w:pos="7609"/>
              <w:tab w:val="right" w:pos="9026" w:leader="dot"/>
            </w:tabs>
            <w:rPr/>
          </w:pPr>
          <w:hyperlink w:anchor="__RefHeading___Toc10328883_73709187">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0328885_73709187">
            <w:r>
              <w:rPr>
                <w:webHidden/>
                <w:rStyle w:val="IndexLink"/>
                <w:rtl w:val="true"/>
              </w:rPr>
              <w:t>في استغناء المغتسل عن الوضوء</w:t>
            </w:r>
            <w:r>
              <w:rPr>
                <w:rStyle w:val="IndexLink"/>
                <w:rtl w:val="true"/>
              </w:rPr>
              <w:tab/>
            </w:r>
            <w:r>
              <w:rPr>
                <w:rStyle w:val="IndexLink"/>
              </w:rPr>
              <w:t>256</w:t>
            </w:r>
          </w:hyperlink>
        </w:p>
        <w:p>
          <w:pPr>
            <w:pStyle w:val="Contents6"/>
            <w:tabs>
              <w:tab w:val="clear" w:pos="7609"/>
              <w:tab w:val="right" w:pos="9026" w:leader="dot"/>
            </w:tabs>
            <w:rPr/>
          </w:pPr>
          <w:hyperlink w:anchor="__RefHeading___Toc10328887_73709187">
            <w:r>
              <w:rPr>
                <w:webHidden/>
                <w:rStyle w:val="IndexLink"/>
                <w:rtl w:val="true"/>
              </w:rPr>
              <w:t>حصول امتثال جميع الأغسال لو نوى واحداً منها</w:t>
            </w:r>
            <w:r>
              <w:rPr>
                <w:rStyle w:val="IndexLink"/>
                <w:rtl w:val="true"/>
              </w:rPr>
              <w:tab/>
            </w:r>
            <w:r>
              <w:rPr>
                <w:rStyle w:val="IndexLink"/>
              </w:rPr>
              <w:t>258</w:t>
            </w:r>
          </w:hyperlink>
        </w:p>
        <w:p>
          <w:pPr>
            <w:pStyle w:val="Contents6"/>
            <w:tabs>
              <w:tab w:val="clear" w:pos="7609"/>
              <w:tab w:val="right" w:pos="9026" w:leader="dot"/>
            </w:tabs>
            <w:rPr/>
          </w:pPr>
          <w:hyperlink w:anchor="__RefHeading___Toc10328889_73709187">
            <w:r>
              <w:rPr>
                <w:webHidden/>
                <w:rStyle w:val="IndexLink"/>
                <w:rtl w:val="true"/>
              </w:rPr>
              <w:t>لو نوى غير غُسل الجنابة</w:t>
            </w:r>
            <w:r>
              <w:rPr>
                <w:rStyle w:val="IndexLink"/>
                <w:rtl w:val="true"/>
              </w:rPr>
              <w:tab/>
            </w:r>
            <w:r>
              <w:rPr>
                <w:rStyle w:val="IndexLink"/>
              </w:rPr>
              <w:t>261</w:t>
            </w:r>
          </w:hyperlink>
        </w:p>
        <w:p>
          <w:pPr>
            <w:pStyle w:val="Contents6"/>
            <w:tabs>
              <w:tab w:val="clear" w:pos="7609"/>
              <w:tab w:val="right" w:pos="9026" w:leader="dot"/>
            </w:tabs>
            <w:rPr/>
          </w:pPr>
          <w:hyperlink w:anchor="__RefHeading___Toc10328891_73709187">
            <w:r>
              <w:rPr>
                <w:webHidden/>
                <w:rStyle w:val="IndexLink"/>
                <w:rtl w:val="true"/>
              </w:rPr>
              <w:t>حُكم البَلَل المُشتبه بعد الغُسل</w:t>
            </w:r>
            <w:r>
              <w:rPr>
                <w:rStyle w:val="IndexLink"/>
                <w:rtl w:val="true"/>
              </w:rPr>
              <w:tab/>
            </w:r>
            <w:r>
              <w:rPr>
                <w:rStyle w:val="IndexLink"/>
              </w:rPr>
              <w:t>264</w:t>
            </w:r>
          </w:hyperlink>
        </w:p>
        <w:p>
          <w:pPr>
            <w:pStyle w:val="Contents6"/>
            <w:tabs>
              <w:tab w:val="clear" w:pos="7609"/>
              <w:tab w:val="right" w:pos="9026" w:leader="dot"/>
            </w:tabs>
            <w:rPr/>
          </w:pPr>
          <w:hyperlink w:anchor="__RefHeading___Toc10328893_73709187">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10328895_73709187">
            <w:r>
              <w:rPr>
                <w:webHidden/>
                <w:rStyle w:val="IndexLink"/>
                <w:rtl w:val="true"/>
              </w:rPr>
              <w:t>فروع</w:t>
            </w:r>
            <w:r>
              <w:rPr>
                <w:rStyle w:val="IndexLink"/>
                <w:rtl w:val="true"/>
              </w:rPr>
              <w:t>:</w:t>
              <w:tab/>
            </w:r>
            <w:r>
              <w:rPr>
                <w:rStyle w:val="IndexLink"/>
              </w:rPr>
              <w:t>268</w:t>
            </w:r>
          </w:hyperlink>
        </w:p>
        <w:p>
          <w:pPr>
            <w:pStyle w:val="Contents6"/>
            <w:tabs>
              <w:tab w:val="clear" w:pos="7609"/>
              <w:tab w:val="right" w:pos="9026" w:leader="dot"/>
            </w:tabs>
            <w:rPr/>
          </w:pPr>
          <w:hyperlink w:anchor="__RefHeading___Toc10328897_73709187">
            <w:r>
              <w:rPr>
                <w:webHidden/>
                <w:rStyle w:val="IndexLink"/>
                <w:rtl w:val="true"/>
              </w:rPr>
              <w:t>الفرع الأوّل</w:t>
            </w:r>
            <w:r>
              <w:rPr>
                <w:rStyle w:val="IndexLink"/>
                <w:rtl w:val="true"/>
              </w:rPr>
              <w:t xml:space="preserve">: </w:t>
            </w:r>
            <w:r>
              <w:rPr>
                <w:rStyle w:val="IndexLink"/>
                <w:rtl w:val="true"/>
              </w:rPr>
              <w:t>الظاهر أنّ مورد النصوص هو البَلَل المشتبه،</w:t>
            </w:r>
            <w:r>
              <w:rPr>
                <w:rStyle w:val="IndexLink"/>
                <w:rtl w:val="true"/>
              </w:rPr>
              <w:tab/>
            </w:r>
            <w:r>
              <w:rPr>
                <w:rStyle w:val="IndexLink"/>
              </w:rPr>
              <w:t>268</w:t>
            </w:r>
          </w:hyperlink>
        </w:p>
        <w:p>
          <w:pPr>
            <w:pStyle w:val="Contents6"/>
            <w:tabs>
              <w:tab w:val="clear" w:pos="7609"/>
              <w:tab w:val="right" w:pos="9026" w:leader="dot"/>
            </w:tabs>
            <w:rPr/>
          </w:pPr>
          <w:hyperlink w:anchor="__RefHeading___Toc10328899_73709187">
            <w:r>
              <w:rPr>
                <w:webHidden/>
                <w:rStyle w:val="IndexLink"/>
                <w:rtl w:val="true"/>
              </w:rPr>
              <w:t>الفرع الثاني</w:t>
            </w:r>
            <w:r>
              <w:rPr>
                <w:rStyle w:val="IndexLink"/>
                <w:rtl w:val="true"/>
              </w:rPr>
              <w:t xml:space="preserve">: </w:t>
            </w:r>
            <w:r>
              <w:rPr>
                <w:rStyle w:val="IndexLink"/>
                <w:rtl w:val="true"/>
              </w:rPr>
              <w:t>لا فرق في جريان هذا الحكم بين ما لو كان الاشتباه بعد الفحص أو قبله،</w:t>
            </w:r>
            <w:r>
              <w:rPr>
                <w:rStyle w:val="IndexLink"/>
                <w:rtl w:val="true"/>
              </w:rPr>
              <w:tab/>
            </w:r>
            <w:r>
              <w:rPr>
                <w:rStyle w:val="IndexLink"/>
              </w:rPr>
              <w:t>268</w:t>
            </w:r>
          </w:hyperlink>
        </w:p>
        <w:p>
          <w:pPr>
            <w:pStyle w:val="Contents6"/>
            <w:tabs>
              <w:tab w:val="clear" w:pos="7609"/>
              <w:tab w:val="right" w:pos="9026" w:leader="dot"/>
            </w:tabs>
            <w:rPr/>
          </w:pPr>
          <w:hyperlink w:anchor="__RefHeading___Toc10328901_73709187">
            <w:r>
              <w:rPr>
                <w:webHidden/>
                <w:rStyle w:val="IndexLink"/>
                <w:rtl w:val="true"/>
              </w:rPr>
              <w:t>الفرع الثالث</w:t>
            </w:r>
            <w:r>
              <w:rPr>
                <w:rStyle w:val="IndexLink"/>
                <w:rtl w:val="true"/>
              </w:rPr>
              <w:t xml:space="preserve">: </w:t>
            </w:r>
            <w:r>
              <w:rPr>
                <w:rStyle w:val="IndexLink"/>
                <w:rtl w:val="true"/>
              </w:rPr>
              <w:t>لو استبرأ بالخَرَطات بعد خروج المنيّ واغتسل، ثمّ خرجت الرطوبة المشتبهة</w:t>
            </w:r>
            <w:r>
              <w:rPr>
                <w:rStyle w:val="IndexLink"/>
                <w:rtl w:val="true"/>
              </w:rPr>
              <w:t>:</w:t>
              <w:tab/>
            </w:r>
            <w:r>
              <w:rPr>
                <w:rStyle w:val="IndexLink"/>
              </w:rPr>
              <w:t>268</w:t>
            </w:r>
          </w:hyperlink>
        </w:p>
        <w:p>
          <w:pPr>
            <w:pStyle w:val="Contents6"/>
            <w:tabs>
              <w:tab w:val="clear" w:pos="7609"/>
              <w:tab w:val="right" w:pos="9026" w:leader="dot"/>
            </w:tabs>
            <w:rPr/>
          </w:pPr>
          <w:hyperlink w:anchor="__RefHeading___Toc10328903_73709187">
            <w:r>
              <w:rPr>
                <w:webHidden/>
                <w:rStyle w:val="IndexLink"/>
                <w:rtl w:val="true"/>
              </w:rPr>
              <w:t>الفرع الرابع</w:t>
            </w:r>
            <w:r>
              <w:rPr>
                <w:rStyle w:val="IndexLink"/>
                <w:rtl w:val="true"/>
              </w:rPr>
              <w:t xml:space="preserve">: </w:t>
            </w:r>
            <w:r>
              <w:rPr>
                <w:rStyle w:val="IndexLink"/>
                <w:rtl w:val="true"/>
              </w:rPr>
              <w:t>المشهور بين الأصحاب أنّ البَلَل المشتبه الخارج من المرأة لا حكم له وإنْ لم تَستبرء،</w:t>
            </w:r>
            <w:r>
              <w:rPr>
                <w:rStyle w:val="IndexLink"/>
                <w:rtl w:val="true"/>
              </w:rPr>
              <w:tab/>
            </w:r>
            <w:r>
              <w:rPr>
                <w:rStyle w:val="IndexLink"/>
              </w:rPr>
              <w:t>270</w:t>
            </w:r>
          </w:hyperlink>
        </w:p>
        <w:p>
          <w:pPr>
            <w:pStyle w:val="Contents4"/>
            <w:tabs>
              <w:tab w:val="clear" w:pos="8176"/>
              <w:tab w:val="right" w:pos="9026" w:leader="dot"/>
            </w:tabs>
            <w:rPr/>
          </w:pPr>
          <w:hyperlink w:anchor="__RefHeading___Toc10328905_73709187">
            <w:r>
              <w:rPr>
                <w:webHidden/>
                <w:rStyle w:val="IndexLink"/>
                <w:rtl w:val="true"/>
              </w:rPr>
              <w:t>الفصل الثاني في الحيض</w:t>
            </w:r>
            <w:r>
              <w:rPr>
                <w:rStyle w:val="IndexLink"/>
                <w:rtl w:val="true"/>
              </w:rPr>
              <w:tab/>
            </w:r>
            <w:r>
              <w:rPr>
                <w:rStyle w:val="IndexLink"/>
              </w:rPr>
              <w:t>272</w:t>
            </w:r>
          </w:hyperlink>
        </w:p>
        <w:p>
          <w:pPr>
            <w:pStyle w:val="Contents5"/>
            <w:tabs>
              <w:tab w:val="clear" w:pos="7892"/>
              <w:tab w:val="right" w:pos="9026" w:leader="dot"/>
            </w:tabs>
            <w:rPr/>
          </w:pPr>
          <w:hyperlink w:anchor="__RefHeading___Toc10328907_7370918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0328909_73709187">
            <w:r>
              <w:rPr>
                <w:webHidden/>
                <w:rStyle w:val="IndexLink"/>
                <w:rtl w:val="true"/>
              </w:rPr>
              <w:t>شرائط الحيض</w:t>
            </w:r>
            <w:r>
              <w:rPr>
                <w:rStyle w:val="IndexLink"/>
                <w:rtl w:val="true"/>
              </w:rPr>
              <w:tab/>
            </w:r>
            <w:r>
              <w:rPr>
                <w:rStyle w:val="IndexLink"/>
              </w:rPr>
              <w:t>275</w:t>
            </w:r>
          </w:hyperlink>
        </w:p>
        <w:p>
          <w:pPr>
            <w:pStyle w:val="Contents6"/>
            <w:tabs>
              <w:tab w:val="clear" w:pos="7609"/>
              <w:tab w:val="right" w:pos="9026" w:leader="dot"/>
            </w:tabs>
            <w:rPr/>
          </w:pPr>
          <w:hyperlink w:anchor="__RefHeading___Toc10328911_73709187">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10328913_73709187">
            <w:r>
              <w:rPr>
                <w:webHidden/>
                <w:rStyle w:val="IndexLink"/>
                <w:rtl w:val="true"/>
              </w:rPr>
              <w:t>أقول</w:t>
            </w:r>
            <w:r>
              <w:rPr>
                <w:rStyle w:val="IndexLink"/>
                <w:rtl w:val="true"/>
              </w:rPr>
              <w:t xml:space="preserve">: </w:t>
            </w:r>
            <w:r>
              <w:rPr>
                <w:rStyle w:val="IndexLink"/>
                <w:rtl w:val="true"/>
              </w:rPr>
              <w:t>هاهنا مسائل</w:t>
            </w:r>
            <w:r>
              <w:rPr>
                <w:rStyle w:val="IndexLink"/>
                <w:rtl w:val="true"/>
              </w:rPr>
              <w:t>:</w:t>
              <w:tab/>
            </w:r>
            <w:r>
              <w:rPr>
                <w:rStyle w:val="IndexLink"/>
              </w:rPr>
              <w:t>275</w:t>
            </w:r>
          </w:hyperlink>
        </w:p>
        <w:p>
          <w:pPr>
            <w:pStyle w:val="Contents6"/>
            <w:tabs>
              <w:tab w:val="clear" w:pos="7609"/>
              <w:tab w:val="right" w:pos="9026" w:leader="dot"/>
            </w:tabs>
            <w:rPr/>
          </w:pPr>
          <w:hyperlink w:anchor="__RefHeading___Toc10328915_73709187">
            <w:r>
              <w:rPr>
                <w:webHidden/>
                <w:rStyle w:val="IndexLink"/>
                <w:rtl w:val="true"/>
              </w:rPr>
              <w:t>ما تراه بعد اليأس ليس بحيضٍ إجماعاً</w:t>
            </w:r>
            <w:r>
              <w:rPr>
                <w:rStyle w:val="IndexLink"/>
                <w:rtl w:val="true"/>
              </w:rPr>
              <w:tab/>
            </w:r>
            <w:r>
              <w:rPr>
                <w:rStyle w:val="IndexLink"/>
              </w:rPr>
              <w:t>275</w:t>
            </w:r>
          </w:hyperlink>
        </w:p>
        <w:p>
          <w:pPr>
            <w:pStyle w:val="Contents6"/>
            <w:tabs>
              <w:tab w:val="clear" w:pos="7609"/>
              <w:tab w:val="right" w:pos="9026" w:leader="dot"/>
            </w:tabs>
            <w:rPr/>
          </w:pPr>
          <w:hyperlink w:anchor="__RefHeading___Toc10328917_73709187">
            <w:r>
              <w:rPr>
                <w:webHidden/>
                <w:rStyle w:val="IndexLink"/>
                <w:rtl w:val="true"/>
              </w:rPr>
              <w:t>ما تراه قبل البلوغ لا يُحكم عليه بالحيضيّة</w:t>
            </w:r>
            <w:r>
              <w:rPr>
                <w:rStyle w:val="IndexLink"/>
                <w:rtl w:val="true"/>
              </w:rPr>
              <w:tab/>
            </w:r>
            <w:r>
              <w:rPr>
                <w:rStyle w:val="IndexLink"/>
              </w:rPr>
              <w:t>275</w:t>
            </w:r>
          </w:hyperlink>
        </w:p>
        <w:p>
          <w:pPr>
            <w:pStyle w:val="Contents6"/>
            <w:tabs>
              <w:tab w:val="clear" w:pos="7609"/>
              <w:tab w:val="right" w:pos="9026" w:leader="dot"/>
            </w:tabs>
            <w:rPr/>
          </w:pPr>
          <w:hyperlink w:anchor="__RefHeading___Toc10328919_73709187">
            <w:r>
              <w:rPr>
                <w:webHidden/>
                <w:rStyle w:val="IndexLink"/>
                <w:rtl w:val="true"/>
              </w:rPr>
              <w:t>منتهى الحيض في القُرشيّة والنبطيّة</w:t>
            </w:r>
            <w:r>
              <w:rPr>
                <w:rStyle w:val="IndexLink"/>
                <w:rtl w:val="true"/>
              </w:rPr>
              <w:tab/>
            </w:r>
            <w:r>
              <w:rPr>
                <w:rStyle w:val="IndexLink"/>
              </w:rPr>
              <w:t>277</w:t>
            </w:r>
          </w:hyperlink>
        </w:p>
        <w:p>
          <w:pPr>
            <w:pStyle w:val="Contents6"/>
            <w:tabs>
              <w:tab w:val="clear" w:pos="7609"/>
              <w:tab w:val="right" w:pos="9026" w:leader="dot"/>
            </w:tabs>
            <w:rPr/>
          </w:pPr>
          <w:hyperlink w:anchor="__RefHeading___Toc10328921_73709187">
            <w:r>
              <w:rPr>
                <w:webHidden/>
                <w:rStyle w:val="IndexLink"/>
                <w:rtl w:val="true"/>
              </w:rPr>
              <w:t>الشكّ في القُرشيّة</w:t>
            </w:r>
            <w:r>
              <w:rPr>
                <w:rStyle w:val="IndexLink"/>
                <w:rtl w:val="true"/>
              </w:rPr>
              <w:tab/>
            </w:r>
            <w:r>
              <w:rPr>
                <w:rStyle w:val="IndexLink"/>
              </w:rPr>
              <w:t>281</w:t>
            </w:r>
          </w:hyperlink>
        </w:p>
        <w:p>
          <w:pPr>
            <w:pStyle w:val="Contents6"/>
            <w:tabs>
              <w:tab w:val="clear" w:pos="7609"/>
              <w:tab w:val="right" w:pos="9026" w:leader="dot"/>
            </w:tabs>
            <w:rPr/>
          </w:pPr>
          <w:hyperlink w:anchor="__RefHeading___Toc10328923_73709187">
            <w:r>
              <w:rPr>
                <w:webHidden/>
                <w:rStyle w:val="IndexLink"/>
                <w:rtl w:val="true"/>
              </w:rPr>
              <w:t>الشكّ في البلوغ</w:t>
            </w:r>
            <w:r>
              <w:rPr>
                <w:rStyle w:val="IndexLink"/>
                <w:rtl w:val="true"/>
              </w:rPr>
              <w:tab/>
            </w:r>
            <w:r>
              <w:rPr>
                <w:rStyle w:val="IndexLink"/>
              </w:rPr>
              <w:t>283</w:t>
            </w:r>
          </w:hyperlink>
        </w:p>
        <w:p>
          <w:pPr>
            <w:pStyle w:val="Contents6"/>
            <w:tabs>
              <w:tab w:val="clear" w:pos="7609"/>
              <w:tab w:val="right" w:pos="9026" w:leader="dot"/>
            </w:tabs>
            <w:rPr/>
          </w:pPr>
          <w:hyperlink w:anchor="__RefHeading___Toc10328925_73709187">
            <w:r>
              <w:rPr>
                <w:webHidden/>
                <w:rStyle w:val="IndexLink"/>
                <w:rtl w:val="true"/>
              </w:rPr>
              <w:t>اشتباه الحيض بالإستحاضة</w:t>
            </w:r>
            <w:r>
              <w:rPr>
                <w:rStyle w:val="IndexLink"/>
                <w:rtl w:val="true"/>
              </w:rPr>
              <w:tab/>
            </w:r>
            <w:r>
              <w:rPr>
                <w:rStyle w:val="IndexLink"/>
              </w:rPr>
              <w:t>286</w:t>
            </w:r>
          </w:hyperlink>
        </w:p>
        <w:p>
          <w:pPr>
            <w:pStyle w:val="Contents6"/>
            <w:tabs>
              <w:tab w:val="clear" w:pos="7609"/>
              <w:tab w:val="right" w:pos="9026" w:leader="dot"/>
            </w:tabs>
            <w:rPr/>
          </w:pPr>
          <w:hyperlink w:anchor="__RefHeading___Toc10328927_73709187">
            <w:r>
              <w:rPr>
                <w:webHidden/>
                <w:rStyle w:val="IndexLink"/>
                <w:rtl w:val="true"/>
              </w:rPr>
              <w:t>اشتباه دمّ الحيض بدم العُذرة</w:t>
            </w:r>
            <w:r>
              <w:rPr>
                <w:rStyle w:val="IndexLink"/>
                <w:rtl w:val="true"/>
              </w:rPr>
              <w:tab/>
            </w:r>
            <w:r>
              <w:rPr>
                <w:rStyle w:val="IndexLink"/>
              </w:rPr>
              <w:t>290</w:t>
            </w:r>
          </w:hyperlink>
        </w:p>
        <w:p>
          <w:pPr>
            <w:pStyle w:val="Contents6"/>
            <w:tabs>
              <w:tab w:val="clear" w:pos="7609"/>
              <w:tab w:val="right" w:pos="9026" w:leader="dot"/>
            </w:tabs>
            <w:rPr/>
          </w:pPr>
          <w:hyperlink w:anchor="__RefHeading___Toc10328929_73709187">
            <w:r>
              <w:rPr>
                <w:webHidden/>
                <w:rStyle w:val="IndexLink"/>
                <w:rtl w:val="true"/>
              </w:rPr>
              <w:t>اشتباه دمّ الحيض بدم القُرحة</w:t>
            </w:r>
            <w:r>
              <w:rPr>
                <w:rStyle w:val="IndexLink"/>
                <w:rtl w:val="true"/>
              </w:rPr>
              <w:tab/>
            </w:r>
            <w:r>
              <w:rPr>
                <w:rStyle w:val="IndexLink"/>
              </w:rPr>
              <w:t>297</w:t>
            </w:r>
          </w:hyperlink>
        </w:p>
        <w:p>
          <w:pPr>
            <w:pStyle w:val="Contents5"/>
            <w:tabs>
              <w:tab w:val="clear" w:pos="7892"/>
              <w:tab w:val="right" w:pos="9026" w:leader="dot"/>
            </w:tabs>
            <w:rPr/>
          </w:pPr>
          <w:hyperlink w:anchor="__RefHeading___Toc10328931_73709187">
            <w:r>
              <w:rPr>
                <w:webHidden/>
                <w:rStyle w:val="IndexLink"/>
                <w:rtl w:val="true"/>
              </w:rPr>
              <w:t>أقلّ الحيض وأكثره</w:t>
            </w:r>
            <w:r>
              <w:rPr>
                <w:rStyle w:val="IndexLink"/>
                <w:rtl w:val="true"/>
              </w:rPr>
              <w:tab/>
            </w:r>
            <w:r>
              <w:rPr>
                <w:rStyle w:val="IndexLink"/>
              </w:rPr>
              <w:t>301</w:t>
            </w:r>
          </w:hyperlink>
        </w:p>
        <w:p>
          <w:pPr>
            <w:pStyle w:val="Contents6"/>
            <w:tabs>
              <w:tab w:val="clear" w:pos="7609"/>
              <w:tab w:val="right" w:pos="9026" w:leader="dot"/>
            </w:tabs>
            <w:rPr/>
          </w:pPr>
          <w:hyperlink w:anchor="__RefHeading___Toc10328933_73709187">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10328935_73709187">
            <w:r>
              <w:rPr>
                <w:webHidden/>
                <w:rStyle w:val="IndexLink"/>
                <w:rtl w:val="true"/>
              </w:rPr>
              <w:t>في اعتبار التوالي في ثلاثة الحيض</w:t>
            </w:r>
            <w:r>
              <w:rPr>
                <w:rStyle w:val="IndexLink"/>
                <w:rtl w:val="true"/>
              </w:rPr>
              <w:tab/>
            </w:r>
            <w:r>
              <w:rPr>
                <w:rStyle w:val="IndexLink"/>
              </w:rPr>
              <w:t>303</w:t>
            </w:r>
          </w:hyperlink>
        </w:p>
        <w:p>
          <w:pPr>
            <w:pStyle w:val="Contents6"/>
            <w:tabs>
              <w:tab w:val="clear" w:pos="7609"/>
              <w:tab w:val="right" w:pos="9026" w:leader="dot"/>
            </w:tabs>
            <w:rPr/>
          </w:pPr>
          <w:hyperlink w:anchor="__RefHeading___Toc10328937_73709187">
            <w:r>
              <w:rPr>
                <w:webHidden/>
                <w:rStyle w:val="IndexLink"/>
                <w:rtl w:val="true"/>
              </w:rPr>
              <w:t>حجيّة مراسيل يونس</w:t>
            </w:r>
            <w:r>
              <w:rPr>
                <w:rStyle w:val="IndexLink"/>
                <w:rtl w:val="true"/>
              </w:rPr>
              <w:tab/>
            </w:r>
            <w:r>
              <w:rPr>
                <w:rStyle w:val="IndexLink"/>
              </w:rPr>
              <w:t>310</w:t>
            </w:r>
          </w:hyperlink>
        </w:p>
        <w:p>
          <w:pPr>
            <w:pStyle w:val="Contents6"/>
            <w:tabs>
              <w:tab w:val="clear" w:pos="7609"/>
              <w:tab w:val="right" w:pos="9026" w:leader="dot"/>
            </w:tabs>
            <w:rPr/>
          </w:pPr>
          <w:hyperlink w:anchor="__RefHeading___Toc10328939_73709187">
            <w:r>
              <w:rPr>
                <w:webHidden/>
                <w:rStyle w:val="IndexLink"/>
                <w:rtl w:val="true"/>
              </w:rPr>
              <w:t>اعتبار الاستمرار</w:t>
            </w:r>
            <w:r>
              <w:rPr>
                <w:rStyle w:val="IndexLink"/>
                <w:rtl w:val="true"/>
              </w:rPr>
              <w:tab/>
            </w:r>
            <w:r>
              <w:rPr>
                <w:rStyle w:val="IndexLink"/>
              </w:rPr>
              <w:t>315</w:t>
            </w:r>
          </w:hyperlink>
        </w:p>
        <w:p>
          <w:pPr>
            <w:pStyle w:val="Contents6"/>
            <w:tabs>
              <w:tab w:val="clear" w:pos="7609"/>
              <w:tab w:val="right" w:pos="9026" w:leader="dot"/>
            </w:tabs>
            <w:rPr/>
          </w:pPr>
          <w:hyperlink w:anchor="__RefHeading___Toc10328941_73709187">
            <w:r>
              <w:rPr>
                <w:webHidden/>
                <w:rStyle w:val="IndexLink"/>
                <w:rtl w:val="true"/>
              </w:rPr>
              <w:t>عن حقيقة الأيّام الثلاثة</w:t>
            </w:r>
            <w:r>
              <w:rPr>
                <w:rStyle w:val="IndexLink"/>
                <w:rtl w:val="true"/>
              </w:rPr>
              <w:tab/>
            </w:r>
            <w:r>
              <w:rPr>
                <w:rStyle w:val="IndexLink"/>
              </w:rPr>
              <w:t>317</w:t>
            </w:r>
          </w:hyperlink>
        </w:p>
        <w:p>
          <w:pPr>
            <w:pStyle w:val="Contents5"/>
            <w:tabs>
              <w:tab w:val="clear" w:pos="7892"/>
              <w:tab w:val="right" w:pos="9026" w:leader="dot"/>
            </w:tabs>
            <w:rPr/>
          </w:pPr>
          <w:hyperlink w:anchor="__RefHeading___Toc10328943_73709187">
            <w:r>
              <w:rPr>
                <w:webHidden/>
                <w:rStyle w:val="IndexLink"/>
                <w:rtl w:val="true"/>
              </w:rPr>
              <w:t>أكثر الحيض عشرة أيّام</w:t>
            </w:r>
            <w:r>
              <w:rPr>
                <w:rStyle w:val="IndexLink"/>
                <w:rtl w:val="true"/>
              </w:rPr>
              <w:tab/>
            </w:r>
            <w:r>
              <w:rPr>
                <w:rStyle w:val="IndexLink"/>
              </w:rPr>
              <w:t>319</w:t>
            </w:r>
          </w:hyperlink>
        </w:p>
        <w:p>
          <w:pPr>
            <w:pStyle w:val="Contents5"/>
            <w:tabs>
              <w:tab w:val="clear" w:pos="7892"/>
              <w:tab w:val="right" w:pos="9026" w:leader="dot"/>
            </w:tabs>
            <w:rPr/>
          </w:pPr>
          <w:hyperlink w:anchor="__RefHeading___Toc10328945_73709187">
            <w:r>
              <w:rPr>
                <w:webHidden/>
                <w:rStyle w:val="IndexLink"/>
                <w:rtl w:val="true"/>
              </w:rPr>
              <w:t>أقلّ الطهر</w:t>
            </w:r>
            <w:r>
              <w:rPr>
                <w:rStyle w:val="IndexLink"/>
                <w:rtl w:val="true"/>
              </w:rPr>
              <w:tab/>
            </w:r>
            <w:r>
              <w:rPr>
                <w:rStyle w:val="IndexLink"/>
              </w:rPr>
              <w:t>325</w:t>
            </w:r>
          </w:hyperlink>
        </w:p>
        <w:p>
          <w:pPr>
            <w:pStyle w:val="Contents5"/>
            <w:tabs>
              <w:tab w:val="clear" w:pos="7892"/>
              <w:tab w:val="right" w:pos="9026" w:leader="dot"/>
            </w:tabs>
            <w:rPr/>
          </w:pPr>
          <w:hyperlink w:anchor="__RefHeading___Toc10328947_73709187">
            <w:r>
              <w:rPr>
                <w:webHidden/>
                <w:rStyle w:val="IndexLink"/>
                <w:rtl w:val="true"/>
              </w:rPr>
              <w:t>أقسام الحائض</w:t>
            </w:r>
            <w:r>
              <w:rPr>
                <w:rStyle w:val="IndexLink"/>
                <w:rtl w:val="true"/>
              </w:rPr>
              <w:tab/>
            </w:r>
            <w:r>
              <w:rPr>
                <w:rStyle w:val="IndexLink"/>
              </w:rPr>
              <w:t>331</w:t>
            </w:r>
          </w:hyperlink>
        </w:p>
        <w:p>
          <w:pPr>
            <w:pStyle w:val="Contents6"/>
            <w:tabs>
              <w:tab w:val="clear" w:pos="7609"/>
              <w:tab w:val="right" w:pos="9026" w:leader="dot"/>
            </w:tabs>
            <w:rPr/>
          </w:pPr>
          <w:hyperlink w:anchor="__RefHeading___Toc10328949_73709187">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10328951_73709187">
            <w:r>
              <w:rPr>
                <w:webHidden/>
                <w:rStyle w:val="IndexLink"/>
                <w:rtl w:val="true"/>
              </w:rPr>
              <w:t>تمهيد</w:t>
            </w:r>
            <w:r>
              <w:rPr>
                <w:rStyle w:val="IndexLink"/>
                <w:rtl w:val="true"/>
              </w:rPr>
              <w:tab/>
            </w:r>
            <w:r>
              <w:rPr>
                <w:rStyle w:val="IndexLink"/>
              </w:rPr>
              <w:t>331</w:t>
            </w:r>
          </w:hyperlink>
        </w:p>
        <w:p>
          <w:pPr>
            <w:pStyle w:val="Contents6"/>
            <w:tabs>
              <w:tab w:val="clear" w:pos="7609"/>
              <w:tab w:val="right" w:pos="9026" w:leader="dot"/>
            </w:tabs>
            <w:rPr/>
          </w:pPr>
          <w:hyperlink w:anchor="__RefHeading___Toc10328953_73709187">
            <w:r>
              <w:rPr>
                <w:webHidden/>
                <w:rStyle w:val="IndexLink"/>
                <w:rtl w:val="true"/>
              </w:rPr>
              <w:t>البحث عن قاعدة الإمكان</w:t>
            </w:r>
            <w:r>
              <w:rPr>
                <w:rStyle w:val="IndexLink"/>
                <w:rtl w:val="true"/>
              </w:rPr>
              <w:tab/>
            </w:r>
            <w:r>
              <w:rPr>
                <w:rStyle w:val="IndexLink"/>
              </w:rPr>
              <w:t>331</w:t>
            </w:r>
          </w:hyperlink>
        </w:p>
        <w:p>
          <w:pPr>
            <w:pStyle w:val="Contents6"/>
            <w:tabs>
              <w:tab w:val="clear" w:pos="7609"/>
              <w:tab w:val="right" w:pos="9026" w:leader="dot"/>
            </w:tabs>
            <w:rPr/>
          </w:pPr>
          <w:hyperlink w:anchor="__RefHeading___Toc10328955_73709187">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10328957_73709187">
            <w:r>
              <w:rPr>
                <w:webHidden/>
                <w:rStyle w:val="IndexLink"/>
                <w:rtl w:val="true"/>
              </w:rPr>
              <w:t>دليل القاعدة</w:t>
            </w:r>
            <w:r>
              <w:rPr>
                <w:rStyle w:val="IndexLink"/>
                <w:rtl w:val="true"/>
              </w:rPr>
              <w:tab/>
            </w:r>
            <w:r>
              <w:rPr>
                <w:rStyle w:val="IndexLink"/>
              </w:rPr>
              <w:t>333</w:t>
            </w:r>
          </w:hyperlink>
        </w:p>
        <w:p>
          <w:pPr>
            <w:pStyle w:val="Contents6"/>
            <w:tabs>
              <w:tab w:val="clear" w:pos="7609"/>
              <w:tab w:val="right" w:pos="9026" w:leader="dot"/>
            </w:tabs>
            <w:rPr/>
          </w:pPr>
          <w:hyperlink w:anchor="__RefHeading___Toc10328959_73709187">
            <w:r>
              <w:rPr>
                <w:webHidden/>
                <w:rStyle w:val="IndexLink"/>
                <w:rtl w:val="true"/>
              </w:rPr>
              <w:t>بيان المراد بالإمكان</w:t>
            </w:r>
            <w:r>
              <w:rPr>
                <w:rStyle w:val="IndexLink"/>
                <w:rtl w:val="true"/>
              </w:rPr>
              <w:tab/>
            </w:r>
            <w:r>
              <w:rPr>
                <w:rStyle w:val="IndexLink"/>
              </w:rPr>
              <w:t>344</w:t>
            </w:r>
          </w:hyperlink>
        </w:p>
        <w:p>
          <w:pPr>
            <w:pStyle w:val="Contents6"/>
            <w:tabs>
              <w:tab w:val="clear" w:pos="7609"/>
              <w:tab w:val="right" w:pos="9026" w:leader="dot"/>
            </w:tabs>
            <w:rPr/>
          </w:pPr>
          <w:hyperlink w:anchor="__RefHeading___Toc10328961_73709187">
            <w:r>
              <w:rPr>
                <w:webHidden/>
                <w:rStyle w:val="IndexLink"/>
                <w:rtl w:val="true"/>
              </w:rPr>
              <w:t>الأوّل</w:t>
            </w:r>
            <w:r>
              <w:rPr>
                <w:rStyle w:val="IndexLink"/>
                <w:rtl w:val="true"/>
              </w:rPr>
              <w:t xml:space="preserve">: </w:t>
            </w:r>
            <w:r>
              <w:rPr>
                <w:rStyle w:val="IndexLink"/>
                <w:rtl w:val="true"/>
              </w:rPr>
              <w:t>ذات العادة</w:t>
            </w:r>
            <w:r>
              <w:rPr>
                <w:rStyle w:val="IndexLink"/>
                <w:rtl w:val="true"/>
              </w:rPr>
              <w:tab/>
            </w:r>
            <w:r>
              <w:rPr>
                <w:rStyle w:val="IndexLink"/>
              </w:rPr>
              <w:t>347</w:t>
            </w:r>
          </w:hyperlink>
        </w:p>
        <w:p>
          <w:pPr>
            <w:pStyle w:val="Contents6"/>
            <w:tabs>
              <w:tab w:val="clear" w:pos="7609"/>
              <w:tab w:val="right" w:pos="9026" w:leader="dot"/>
            </w:tabs>
            <w:rPr/>
          </w:pPr>
          <w:hyperlink w:anchor="__RefHeading___Toc10328963_73709187">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0328965_73709187">
            <w:r>
              <w:rPr>
                <w:webHidden/>
                <w:rStyle w:val="IndexLink"/>
                <w:rtl w:val="true"/>
              </w:rPr>
              <w:t>ما به تتحقّق العادة</w:t>
            </w:r>
            <w:r>
              <w:rPr>
                <w:rStyle w:val="IndexLink"/>
                <w:rtl w:val="true"/>
              </w:rPr>
              <w:tab/>
            </w:r>
            <w:r>
              <w:rPr>
                <w:rStyle w:val="IndexLink"/>
              </w:rPr>
              <w:t>348</w:t>
            </w:r>
          </w:hyperlink>
        </w:p>
        <w:p>
          <w:pPr>
            <w:pStyle w:val="Contents6"/>
            <w:tabs>
              <w:tab w:val="clear" w:pos="7609"/>
              <w:tab w:val="right" w:pos="9026" w:leader="dot"/>
            </w:tabs>
            <w:rPr/>
          </w:pPr>
          <w:hyperlink w:anchor="__RefHeading___Toc10328967_73709187">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10328969_73709187">
            <w:r>
              <w:rPr>
                <w:webHidden/>
                <w:rStyle w:val="IndexLink"/>
                <w:rtl w:val="true"/>
              </w:rPr>
              <w:t>أقول</w:t>
            </w:r>
            <w:r>
              <w:rPr>
                <w:rStyle w:val="IndexLink"/>
                <w:rtl w:val="true"/>
              </w:rPr>
              <w:t xml:space="preserve">: </w:t>
            </w:r>
            <w:r>
              <w:rPr>
                <w:rStyle w:val="IndexLink"/>
                <w:rtl w:val="true"/>
              </w:rPr>
              <w:t>ثمّ إنّه ينبغي التنبيه على اُمور</w:t>
            </w:r>
            <w:r>
              <w:rPr>
                <w:rStyle w:val="IndexLink"/>
                <w:rtl w:val="true"/>
              </w:rPr>
              <w:t>:</w:t>
              <w:tab/>
            </w:r>
            <w:r>
              <w:rPr>
                <w:rStyle w:val="IndexLink"/>
              </w:rPr>
              <w:t>349</w:t>
            </w:r>
          </w:hyperlink>
        </w:p>
        <w:p>
          <w:pPr>
            <w:pStyle w:val="Contents6"/>
            <w:tabs>
              <w:tab w:val="clear" w:pos="7609"/>
              <w:tab w:val="right" w:pos="9026" w:leader="dot"/>
            </w:tabs>
            <w:rPr/>
          </w:pPr>
          <w:hyperlink w:anchor="__RefHeading___Toc10328971_73709187">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10328973_73709187">
            <w:r>
              <w:rPr>
                <w:webHidden/>
                <w:rStyle w:val="IndexLink"/>
                <w:rtl w:val="true"/>
              </w:rPr>
              <w:t>العادة الوقتيّة</w:t>
            </w:r>
            <w:r>
              <w:rPr>
                <w:rStyle w:val="IndexLink"/>
                <w:rtl w:val="true"/>
              </w:rPr>
              <w:tab/>
            </w:r>
            <w:r>
              <w:rPr>
                <w:rStyle w:val="IndexLink"/>
              </w:rPr>
              <w:t>350</w:t>
            </w:r>
          </w:hyperlink>
        </w:p>
        <w:p>
          <w:pPr>
            <w:pStyle w:val="Contents6"/>
            <w:tabs>
              <w:tab w:val="clear" w:pos="7609"/>
              <w:tab w:val="right" w:pos="9026" w:leader="dot"/>
            </w:tabs>
            <w:rPr/>
          </w:pPr>
          <w:hyperlink w:anchor="__RefHeading___Toc10328975_73709187">
            <w:r>
              <w:rPr>
                <w:webHidden/>
                <w:rStyle w:val="IndexLink"/>
                <w:rtl w:val="true"/>
              </w:rPr>
              <w:t>العادة المركّبة</w:t>
            </w:r>
            <w:r>
              <w:rPr>
                <w:rStyle w:val="IndexLink"/>
                <w:rtl w:val="true"/>
              </w:rPr>
              <w:tab/>
            </w:r>
            <w:r>
              <w:rPr>
                <w:rStyle w:val="IndexLink"/>
              </w:rPr>
              <w:t>355</w:t>
            </w:r>
          </w:hyperlink>
        </w:p>
        <w:p>
          <w:pPr>
            <w:pStyle w:val="Contents6"/>
            <w:tabs>
              <w:tab w:val="clear" w:pos="7609"/>
              <w:tab w:val="right" w:pos="9026" w:leader="dot"/>
            </w:tabs>
            <w:rPr/>
          </w:pPr>
          <w:hyperlink w:anchor="__RefHeading___Toc10328977_73709187">
            <w:r>
              <w:rPr>
                <w:webHidden/>
                <w:rStyle w:val="IndexLink"/>
                <w:rtl w:val="true"/>
              </w:rPr>
              <w:t>ما به تزول العادة</w:t>
            </w:r>
            <w:r>
              <w:rPr>
                <w:rStyle w:val="IndexLink"/>
                <w:rtl w:val="true"/>
              </w:rPr>
              <w:tab/>
            </w:r>
            <w:r>
              <w:rPr>
                <w:rStyle w:val="IndexLink"/>
              </w:rPr>
              <w:t>356</w:t>
            </w:r>
          </w:hyperlink>
        </w:p>
        <w:p>
          <w:pPr>
            <w:pStyle w:val="Contents6"/>
            <w:tabs>
              <w:tab w:val="clear" w:pos="7609"/>
              <w:tab w:val="right" w:pos="9026" w:leader="dot"/>
            </w:tabs>
            <w:rPr/>
          </w:pPr>
          <w:hyperlink w:anchor="__RefHeading___Toc10328979_73709187">
            <w:r>
              <w:rPr>
                <w:webHidden/>
                <w:rStyle w:val="IndexLink"/>
                <w:rtl w:val="true"/>
              </w:rPr>
              <w:t>حصول العادة بالتمييز</w:t>
            </w:r>
            <w:r>
              <w:rPr>
                <w:rStyle w:val="IndexLink"/>
                <w:rtl w:val="true"/>
              </w:rPr>
              <w:tab/>
            </w:r>
            <w:r>
              <w:rPr>
                <w:rStyle w:val="IndexLink"/>
              </w:rPr>
              <w:t>359</w:t>
            </w:r>
          </w:hyperlink>
        </w:p>
        <w:p>
          <w:pPr>
            <w:pStyle w:val="Contents6"/>
            <w:tabs>
              <w:tab w:val="clear" w:pos="7609"/>
              <w:tab w:val="right" w:pos="9026" w:leader="dot"/>
            </w:tabs>
            <w:rPr/>
          </w:pPr>
          <w:hyperlink w:anchor="__RefHeading___Toc10328981_73709187">
            <w:r>
              <w:rPr>
                <w:webHidden/>
                <w:rStyle w:val="IndexLink"/>
                <w:rtl w:val="true"/>
              </w:rPr>
              <w:t>حُكم صاحبة العادة الوقتيّة</w:t>
            </w:r>
            <w:r>
              <w:rPr>
                <w:rStyle w:val="IndexLink"/>
                <w:rtl w:val="true"/>
              </w:rPr>
              <w:tab/>
            </w:r>
            <w:r>
              <w:rPr>
                <w:rStyle w:val="IndexLink"/>
              </w:rPr>
              <w:t>362</w:t>
            </w:r>
          </w:hyperlink>
        </w:p>
        <w:p>
          <w:pPr>
            <w:pStyle w:val="Contents6"/>
            <w:tabs>
              <w:tab w:val="clear" w:pos="7609"/>
              <w:tab w:val="right" w:pos="9026" w:leader="dot"/>
            </w:tabs>
            <w:rPr/>
          </w:pPr>
          <w:hyperlink w:anchor="__RefHeading___Toc10328983_73709187">
            <w:r>
              <w:rPr>
                <w:webHidden/>
                <w:rStyle w:val="IndexLink"/>
                <w:rtl w:val="true"/>
              </w:rPr>
              <w:t>الثاني</w:t>
            </w:r>
            <w:r>
              <w:rPr>
                <w:rStyle w:val="IndexLink"/>
                <w:rtl w:val="true"/>
              </w:rPr>
              <w:t xml:space="preserve">: </w:t>
            </w:r>
            <w:r>
              <w:rPr>
                <w:rStyle w:val="IndexLink"/>
                <w:rtl w:val="true"/>
              </w:rPr>
              <w:t>غير ذات العادة الوقتيّة</w:t>
            </w:r>
            <w:r>
              <w:rPr>
                <w:rStyle w:val="IndexLink"/>
                <w:rtl w:val="true"/>
              </w:rPr>
              <w:tab/>
            </w:r>
            <w:r>
              <w:rPr>
                <w:rStyle w:val="IndexLink"/>
              </w:rPr>
              <w:t>370</w:t>
            </w:r>
          </w:hyperlink>
        </w:p>
        <w:p>
          <w:pPr>
            <w:pStyle w:val="Contents6"/>
            <w:tabs>
              <w:tab w:val="clear" w:pos="7609"/>
              <w:tab w:val="right" w:pos="9026" w:leader="dot"/>
            </w:tabs>
            <w:rPr/>
          </w:pPr>
          <w:hyperlink w:anchor="__RefHeading___Toc10328985_73709187">
            <w:r>
              <w:rPr>
                <w:webHidden/>
                <w:rStyle w:val="IndexLink"/>
                <w:rtl w:val="true"/>
              </w:rPr>
              <w:t>حكم المُبتدئة</w:t>
            </w:r>
            <w:r>
              <w:rPr>
                <w:rStyle w:val="IndexLink"/>
                <w:rtl w:val="true"/>
              </w:rPr>
              <w:tab/>
            </w:r>
            <w:r>
              <w:rPr>
                <w:rStyle w:val="IndexLink"/>
              </w:rPr>
              <w:t>370</w:t>
            </w:r>
          </w:hyperlink>
        </w:p>
        <w:p>
          <w:pPr>
            <w:pStyle w:val="Contents6"/>
            <w:tabs>
              <w:tab w:val="clear" w:pos="7609"/>
              <w:tab w:val="right" w:pos="9026" w:leader="dot"/>
            </w:tabs>
            <w:rPr/>
          </w:pPr>
          <w:hyperlink w:anchor="__RefHeading___Toc10328987_73709187">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10328989_73709187">
            <w:r>
              <w:rPr>
                <w:webHidden/>
                <w:rStyle w:val="IndexLink"/>
                <w:rtl w:val="true"/>
              </w:rPr>
              <w:t>فروع ذات العادة</w:t>
            </w:r>
            <w:r>
              <w:rPr>
                <w:rStyle w:val="IndexLink"/>
                <w:rtl w:val="true"/>
              </w:rPr>
              <w:tab/>
            </w:r>
            <w:r>
              <w:rPr>
                <w:rStyle w:val="IndexLink"/>
              </w:rPr>
              <w:t>377</w:t>
            </w:r>
          </w:hyperlink>
        </w:p>
        <w:p>
          <w:pPr>
            <w:pStyle w:val="Contents6"/>
            <w:tabs>
              <w:tab w:val="clear" w:pos="7609"/>
              <w:tab w:val="right" w:pos="9026" w:leader="dot"/>
            </w:tabs>
            <w:rPr/>
          </w:pPr>
          <w:hyperlink w:anchor="__RefHeading___Toc10328991_73709187">
            <w:r>
              <w:rPr>
                <w:webHidden/>
                <w:rStyle w:val="IndexLink"/>
                <w:rtl w:val="true"/>
              </w:rPr>
              <w:t>فصل في حُكم تجاوز الدّم عن العَشَرة</w:t>
            </w:r>
            <w:r>
              <w:rPr>
                <w:rStyle w:val="IndexLink"/>
                <w:rtl w:val="true"/>
              </w:rPr>
              <w:tab/>
            </w:r>
            <w:r>
              <w:rPr>
                <w:rStyle w:val="IndexLink"/>
              </w:rPr>
              <w:t>381</w:t>
            </w:r>
          </w:hyperlink>
        </w:p>
        <w:p>
          <w:pPr>
            <w:pStyle w:val="Contents6"/>
            <w:tabs>
              <w:tab w:val="clear" w:pos="7609"/>
              <w:tab w:val="right" w:pos="9026" w:leader="dot"/>
            </w:tabs>
            <w:rPr/>
          </w:pPr>
          <w:hyperlink w:anchor="__RefHeading___Toc10328993_73709187">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10328995_73709187">
            <w:r>
              <w:rPr>
                <w:webHidden/>
                <w:rStyle w:val="IndexLink"/>
                <w:rtl w:val="true"/>
              </w:rPr>
              <w:t>وجوب الاستبراء</w:t>
            </w:r>
            <w:r>
              <w:rPr>
                <w:rStyle w:val="IndexLink"/>
                <w:rtl w:val="true"/>
              </w:rPr>
              <w:tab/>
            </w:r>
            <w:r>
              <w:rPr>
                <w:rStyle w:val="IndexLink"/>
              </w:rPr>
              <w:t>381</w:t>
            </w:r>
          </w:hyperlink>
        </w:p>
        <w:p>
          <w:pPr>
            <w:pStyle w:val="Contents6"/>
            <w:tabs>
              <w:tab w:val="clear" w:pos="7609"/>
              <w:tab w:val="right" w:pos="9026" w:leader="dot"/>
            </w:tabs>
            <w:rPr/>
          </w:pPr>
          <w:hyperlink w:anchor="__RefHeading___Toc10328997_73709187">
            <w:r>
              <w:rPr>
                <w:webHidden/>
                <w:rStyle w:val="IndexLink"/>
                <w:rtl w:val="true"/>
              </w:rPr>
              <w:t>البحث عن كيفيّة الاستبراء</w:t>
            </w:r>
            <w:r>
              <w:rPr>
                <w:rStyle w:val="IndexLink"/>
                <w:rtl w:val="true"/>
              </w:rPr>
              <w:tab/>
            </w:r>
            <w:r>
              <w:rPr>
                <w:rStyle w:val="IndexLink"/>
              </w:rPr>
              <w:t>385</w:t>
            </w:r>
          </w:hyperlink>
        </w:p>
        <w:p>
          <w:pPr>
            <w:pStyle w:val="Contents6"/>
            <w:tabs>
              <w:tab w:val="clear" w:pos="7609"/>
              <w:tab w:val="right" w:pos="9026" w:leader="dot"/>
            </w:tabs>
            <w:rPr/>
          </w:pPr>
          <w:hyperlink w:anchor="__RefHeading___Toc10328999_73709187">
            <w:r>
              <w:rPr>
                <w:webHidden/>
                <w:rStyle w:val="IndexLink"/>
                <w:rtl w:val="true"/>
              </w:rPr>
              <w:t>الإستظهار</w:t>
            </w:r>
            <w:r>
              <w:rPr>
                <w:rStyle w:val="IndexLink"/>
                <w:rtl w:val="true"/>
              </w:rPr>
              <w:tab/>
            </w:r>
            <w:r>
              <w:rPr>
                <w:rStyle w:val="IndexLink"/>
              </w:rPr>
              <w:t>389</w:t>
            </w:r>
          </w:hyperlink>
        </w:p>
        <w:p>
          <w:pPr>
            <w:pStyle w:val="Contents6"/>
            <w:tabs>
              <w:tab w:val="clear" w:pos="7609"/>
              <w:tab w:val="right" w:pos="9026" w:leader="dot"/>
            </w:tabs>
            <w:rPr/>
          </w:pPr>
          <w:hyperlink w:anchor="__RefHeading___Toc10329001_73709187">
            <w:r>
              <w:rPr>
                <w:webHidden/>
                <w:rStyle w:val="IndexLink"/>
                <w:rtl w:val="true"/>
              </w:rPr>
              <w:t>مقدار الإستظهار</w:t>
            </w:r>
            <w:r>
              <w:rPr>
                <w:rStyle w:val="IndexLink"/>
                <w:rtl w:val="true"/>
              </w:rPr>
              <w:tab/>
            </w:r>
            <w:r>
              <w:rPr>
                <w:rStyle w:val="IndexLink"/>
              </w:rPr>
              <w:t>401</w:t>
            </w:r>
          </w:hyperlink>
        </w:p>
        <w:p>
          <w:pPr>
            <w:pStyle w:val="Contents6"/>
            <w:tabs>
              <w:tab w:val="clear" w:pos="7609"/>
              <w:tab w:val="right" w:pos="9026" w:leader="dot"/>
            </w:tabs>
            <w:rPr/>
          </w:pPr>
          <w:hyperlink w:anchor="__RefHeading___Toc10329003_73709187">
            <w:r>
              <w:rPr>
                <w:webHidden/>
                <w:rStyle w:val="IndexLink"/>
                <w:rtl w:val="true"/>
              </w:rPr>
              <w:t>حكم تجاوز الدَّم العَشَرة</w:t>
            </w:r>
            <w:r>
              <w:rPr>
                <w:rStyle w:val="IndexLink"/>
                <w:rtl w:val="true"/>
              </w:rPr>
              <w:tab/>
            </w:r>
            <w:r>
              <w:rPr>
                <w:rStyle w:val="IndexLink"/>
              </w:rPr>
              <w:t>405</w:t>
            </w:r>
          </w:hyperlink>
        </w:p>
        <w:p>
          <w:pPr>
            <w:pStyle w:val="Contents6"/>
            <w:tabs>
              <w:tab w:val="clear" w:pos="7609"/>
              <w:tab w:val="right" w:pos="9026" w:leader="dot"/>
            </w:tabs>
            <w:rPr/>
          </w:pPr>
          <w:hyperlink w:anchor="__RefHeading___Toc10329005_73709187">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10329007_73709187">
            <w:r>
              <w:rPr>
                <w:webHidden/>
                <w:rStyle w:val="IndexLink"/>
                <w:rtl w:val="true"/>
              </w:rPr>
              <w:t>الرجوع إلى التمييز</w:t>
            </w:r>
            <w:r>
              <w:rPr>
                <w:rStyle w:val="IndexLink"/>
                <w:rtl w:val="true"/>
              </w:rPr>
              <w:tab/>
            </w:r>
            <w:r>
              <w:rPr>
                <w:rStyle w:val="IndexLink"/>
              </w:rPr>
              <w:t>411</w:t>
            </w:r>
          </w:hyperlink>
        </w:p>
        <w:p>
          <w:pPr>
            <w:pStyle w:val="Contents6"/>
            <w:tabs>
              <w:tab w:val="clear" w:pos="7609"/>
              <w:tab w:val="right" w:pos="9026" w:leader="dot"/>
            </w:tabs>
            <w:rPr/>
          </w:pPr>
          <w:hyperlink w:anchor="__RefHeading___Toc10329009_73709187">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10329011_73709187">
            <w:r>
              <w:rPr>
                <w:webHidden/>
                <w:rStyle w:val="IndexLink"/>
                <w:rtl w:val="true"/>
              </w:rPr>
              <w:t>شرائط الرجوع إلى التمييز</w:t>
            </w:r>
            <w:r>
              <w:rPr>
                <w:rStyle w:val="IndexLink"/>
                <w:rtl w:val="true"/>
              </w:rPr>
              <w:tab/>
            </w:r>
            <w:r>
              <w:rPr>
                <w:rStyle w:val="IndexLink"/>
              </w:rPr>
              <w:t>416</w:t>
            </w:r>
          </w:hyperlink>
        </w:p>
        <w:p>
          <w:pPr>
            <w:pStyle w:val="Contents6"/>
            <w:tabs>
              <w:tab w:val="clear" w:pos="7609"/>
              <w:tab w:val="right" w:pos="9026" w:leader="dot"/>
            </w:tabs>
            <w:rPr/>
          </w:pPr>
          <w:hyperlink w:anchor="__RefHeading___Toc10329013_73709187">
            <w:r>
              <w:rPr>
                <w:webHidden/>
                <w:rStyle w:val="IndexLink"/>
                <w:rtl w:val="true"/>
              </w:rPr>
              <w:t>اشارة</w:t>
            </w:r>
            <w:r>
              <w:rPr>
                <w:rStyle w:val="IndexLink"/>
                <w:rtl w:val="true"/>
              </w:rPr>
              <w:tab/>
            </w:r>
            <w:r>
              <w:rPr>
                <w:rStyle w:val="IndexLink"/>
              </w:rPr>
              <w:t>416</w:t>
            </w:r>
          </w:hyperlink>
        </w:p>
        <w:p>
          <w:pPr>
            <w:pStyle w:val="Contents6"/>
            <w:tabs>
              <w:tab w:val="clear" w:pos="7609"/>
              <w:tab w:val="right" w:pos="9026" w:leader="dot"/>
            </w:tabs>
            <w:rPr/>
          </w:pPr>
          <w:hyperlink w:anchor="__RefHeading___Toc10329015_73709187">
            <w:r>
              <w:rPr>
                <w:webHidden/>
                <w:rStyle w:val="IndexLink"/>
                <w:rtl w:val="true"/>
              </w:rPr>
              <w:t>الشرط الأوّل</w:t>
            </w:r>
            <w:r>
              <w:rPr>
                <w:rStyle w:val="IndexLink"/>
                <w:rtl w:val="true"/>
              </w:rPr>
              <w:t xml:space="preserve">: </w:t>
            </w:r>
            <w:r>
              <w:rPr>
                <w:rStyle w:val="IndexLink"/>
                <w:rtl w:val="true"/>
              </w:rPr>
              <w:t>أن لا يكون القوي أقلّ من ثلاثة،</w:t>
            </w:r>
            <w:r>
              <w:rPr>
                <w:rStyle w:val="IndexLink"/>
                <w:rtl w:val="true"/>
              </w:rPr>
              <w:tab/>
            </w:r>
            <w:r>
              <w:rPr>
                <w:rStyle w:val="IndexLink"/>
              </w:rPr>
              <w:t>416</w:t>
            </w:r>
          </w:hyperlink>
        </w:p>
        <w:p>
          <w:pPr>
            <w:pStyle w:val="Contents6"/>
            <w:tabs>
              <w:tab w:val="clear" w:pos="7609"/>
              <w:tab w:val="right" w:pos="9026" w:leader="dot"/>
            </w:tabs>
            <w:rPr/>
          </w:pPr>
          <w:hyperlink w:anchor="__RefHeading___Toc10329017_73709187">
            <w:r>
              <w:rPr>
                <w:webHidden/>
                <w:rStyle w:val="IndexLink"/>
                <w:rtl w:val="true"/>
              </w:rPr>
              <w:t>الشرط الثاني</w:t>
            </w:r>
            <w:r>
              <w:rPr>
                <w:rStyle w:val="IndexLink"/>
                <w:rtl w:val="true"/>
              </w:rPr>
              <w:tab/>
            </w:r>
            <w:r>
              <w:rPr>
                <w:rStyle w:val="IndexLink"/>
              </w:rPr>
              <w:t>421</w:t>
            </w:r>
          </w:hyperlink>
        </w:p>
        <w:p>
          <w:pPr>
            <w:pStyle w:val="Contents6"/>
            <w:tabs>
              <w:tab w:val="clear" w:pos="7609"/>
              <w:tab w:val="right" w:pos="9026" w:leader="dot"/>
            </w:tabs>
            <w:rPr/>
          </w:pPr>
          <w:hyperlink w:anchor="__RefHeading___Toc10329019_73709187">
            <w:r>
              <w:rPr>
                <w:webHidden/>
                <w:rStyle w:val="IndexLink"/>
                <w:rtl w:val="true"/>
              </w:rPr>
              <w:t>الشرط الثالث</w:t>
            </w:r>
            <w:r>
              <w:rPr>
                <w:rStyle w:val="IndexLink"/>
                <w:rtl w:val="true"/>
              </w:rPr>
              <w:t xml:space="preserve">: </w:t>
            </w:r>
            <w:r>
              <w:rPr>
                <w:rStyle w:val="IndexLink"/>
                <w:rtl w:val="true"/>
              </w:rPr>
              <w:t>عدم قصور الدّم الضعيف عن أقلّ الطهر</w:t>
            </w:r>
            <w:r>
              <w:rPr>
                <w:rStyle w:val="IndexLink"/>
                <w:rtl w:val="true"/>
              </w:rPr>
              <w:tab/>
            </w:r>
            <w:r>
              <w:rPr>
                <w:rStyle w:val="IndexLink"/>
              </w:rPr>
              <w:t>423</w:t>
            </w:r>
          </w:hyperlink>
        </w:p>
        <w:p>
          <w:pPr>
            <w:pStyle w:val="Contents6"/>
            <w:tabs>
              <w:tab w:val="clear" w:pos="7609"/>
              <w:tab w:val="right" w:pos="9026" w:leader="dot"/>
            </w:tabs>
            <w:rPr/>
          </w:pPr>
          <w:hyperlink w:anchor="__RefHeading___Toc10329021_73709187">
            <w:r>
              <w:rPr>
                <w:webHidden/>
                <w:rStyle w:val="IndexLink"/>
                <w:rtl w:val="true"/>
              </w:rPr>
              <w:t>الرجوع إلى الأرقاب</w:t>
            </w:r>
            <w:r>
              <w:rPr>
                <w:rStyle w:val="IndexLink"/>
                <w:rtl w:val="true"/>
              </w:rPr>
              <w:tab/>
            </w:r>
            <w:r>
              <w:rPr>
                <w:rStyle w:val="IndexLink"/>
              </w:rPr>
              <w:t>426</w:t>
            </w:r>
          </w:hyperlink>
        </w:p>
        <w:p>
          <w:pPr>
            <w:pStyle w:val="Contents6"/>
            <w:tabs>
              <w:tab w:val="clear" w:pos="7609"/>
              <w:tab w:val="right" w:pos="9026" w:leader="dot"/>
            </w:tabs>
            <w:rPr/>
          </w:pPr>
          <w:hyperlink w:anchor="__RefHeading___Toc10329023_73709187">
            <w:r>
              <w:rPr>
                <w:webHidden/>
                <w:rStyle w:val="IndexLink"/>
                <w:rtl w:val="true"/>
              </w:rPr>
              <w:t>الرجوع إلى الأقران</w:t>
            </w:r>
            <w:r>
              <w:rPr>
                <w:rStyle w:val="IndexLink"/>
                <w:rtl w:val="true"/>
              </w:rPr>
              <w:tab/>
            </w:r>
            <w:r>
              <w:rPr>
                <w:rStyle w:val="IndexLink"/>
              </w:rPr>
              <w:t>434</w:t>
            </w:r>
          </w:hyperlink>
        </w:p>
        <w:p>
          <w:pPr>
            <w:pStyle w:val="Contents6"/>
            <w:tabs>
              <w:tab w:val="clear" w:pos="7609"/>
              <w:tab w:val="right" w:pos="9026" w:leader="dot"/>
            </w:tabs>
            <w:rPr/>
          </w:pPr>
          <w:hyperlink w:anchor="__RefHeading___Toc10329025_73709187">
            <w:r>
              <w:rPr>
                <w:webHidden/>
                <w:rStyle w:val="IndexLink"/>
                <w:rtl w:val="true"/>
              </w:rPr>
              <w:t>حكم المرأة الفاقدة للأقران</w:t>
            </w:r>
            <w:r>
              <w:rPr>
                <w:rStyle w:val="IndexLink"/>
                <w:rtl w:val="true"/>
              </w:rPr>
              <w:tab/>
            </w:r>
            <w:r>
              <w:rPr>
                <w:rStyle w:val="IndexLink"/>
              </w:rPr>
              <w:t>437</w:t>
            </w:r>
          </w:hyperlink>
        </w:p>
        <w:p>
          <w:pPr>
            <w:pStyle w:val="Contents6"/>
            <w:tabs>
              <w:tab w:val="clear" w:pos="7609"/>
              <w:tab w:val="right" w:pos="9026" w:leader="dot"/>
            </w:tabs>
            <w:rPr/>
          </w:pPr>
          <w:hyperlink w:anchor="__RefHeading___Toc10329027_73709187">
            <w:r>
              <w:rPr>
                <w:webHidden/>
                <w:rStyle w:val="IndexLink"/>
                <w:rtl w:val="true"/>
              </w:rPr>
              <w:t>حكم المضطربة</w:t>
            </w:r>
            <w:r>
              <w:rPr>
                <w:rStyle w:val="IndexLink"/>
                <w:rtl w:val="true"/>
              </w:rPr>
              <w:tab/>
            </w:r>
            <w:r>
              <w:rPr>
                <w:rStyle w:val="IndexLink"/>
              </w:rPr>
              <w:t>448</w:t>
            </w:r>
          </w:hyperlink>
        </w:p>
        <w:p>
          <w:pPr>
            <w:pStyle w:val="Contents6"/>
            <w:tabs>
              <w:tab w:val="clear" w:pos="7609"/>
              <w:tab w:val="right" w:pos="9026" w:leader="dot"/>
            </w:tabs>
            <w:rPr/>
          </w:pPr>
          <w:hyperlink w:anchor="__RefHeading___Toc10329029_73709187">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10329031_73709187">
            <w:r>
              <w:rPr>
                <w:webHidden/>
                <w:rStyle w:val="IndexLink"/>
                <w:rtl w:val="true"/>
              </w:rPr>
              <w:t>حكم ناسية الوقت والعَدَد</w:t>
            </w:r>
            <w:r>
              <w:rPr>
                <w:rStyle w:val="IndexLink"/>
                <w:rtl w:val="true"/>
              </w:rPr>
              <w:tab/>
            </w:r>
            <w:r>
              <w:rPr>
                <w:rStyle w:val="IndexLink"/>
              </w:rPr>
              <w:t>448</w:t>
            </w:r>
          </w:hyperlink>
        </w:p>
        <w:p>
          <w:pPr>
            <w:pStyle w:val="Contents6"/>
            <w:tabs>
              <w:tab w:val="clear" w:pos="7609"/>
              <w:tab w:val="right" w:pos="9026" w:leader="dot"/>
            </w:tabs>
            <w:rPr/>
          </w:pPr>
          <w:hyperlink w:anchor="__RefHeading___Toc10329033_73709187">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10329035_73709187">
            <w:r>
              <w:rPr>
                <w:webHidden/>
                <w:rStyle w:val="IndexLink"/>
                <w:rtl w:val="true"/>
              </w:rPr>
              <w:t>حكم المتحيّرة</w:t>
            </w:r>
            <w:r>
              <w:rPr>
                <w:rStyle w:val="IndexLink"/>
                <w:rtl w:val="true"/>
              </w:rPr>
              <w:tab/>
            </w:r>
            <w:r>
              <w:rPr>
                <w:rStyle w:val="IndexLink"/>
              </w:rPr>
              <w:t>448</w:t>
            </w:r>
          </w:hyperlink>
        </w:p>
        <w:p>
          <w:pPr>
            <w:pStyle w:val="Contents6"/>
            <w:tabs>
              <w:tab w:val="clear" w:pos="7609"/>
              <w:tab w:val="right" w:pos="9026" w:leader="dot"/>
            </w:tabs>
            <w:rPr/>
          </w:pPr>
          <w:hyperlink w:anchor="__RefHeading___Toc10329037_73709187">
            <w:r>
              <w:rPr>
                <w:webHidden/>
                <w:rStyle w:val="IndexLink"/>
                <w:rtl w:val="true"/>
              </w:rPr>
              <w:t>ناسية الوقت</w:t>
            </w:r>
            <w:r>
              <w:rPr>
                <w:rStyle w:val="IndexLink"/>
                <w:rtl w:val="true"/>
              </w:rPr>
              <w:tab/>
            </w:r>
            <w:r>
              <w:rPr>
                <w:rStyle w:val="IndexLink"/>
              </w:rPr>
              <w:t>450</w:t>
            </w:r>
          </w:hyperlink>
        </w:p>
        <w:p>
          <w:pPr>
            <w:pStyle w:val="Contents6"/>
            <w:tabs>
              <w:tab w:val="clear" w:pos="7609"/>
              <w:tab w:val="right" w:pos="9026" w:leader="dot"/>
            </w:tabs>
            <w:rPr/>
          </w:pPr>
          <w:hyperlink w:anchor="__RefHeading___Toc10329039_73709187">
            <w:r>
              <w:rPr>
                <w:webHidden/>
                <w:rStyle w:val="IndexLink"/>
                <w:rtl w:val="true"/>
              </w:rPr>
              <w:t>حكمُ ناسية العدد</w:t>
            </w:r>
            <w:r>
              <w:rPr>
                <w:rStyle w:val="IndexLink"/>
                <w:rtl w:val="true"/>
              </w:rPr>
              <w:tab/>
            </w:r>
            <w:r>
              <w:rPr>
                <w:rStyle w:val="IndexLink"/>
              </w:rPr>
              <w:t>457</w:t>
            </w:r>
          </w:hyperlink>
        </w:p>
        <w:p>
          <w:pPr>
            <w:pStyle w:val="Contents6"/>
            <w:tabs>
              <w:tab w:val="clear" w:pos="7609"/>
              <w:tab w:val="right" w:pos="9026" w:leader="dot"/>
            </w:tabs>
            <w:rPr/>
          </w:pPr>
          <w:hyperlink w:anchor="__RefHeading___Toc10329041_73709187">
            <w:r>
              <w:rPr>
                <w:webHidden/>
                <w:rStyle w:val="IndexLink"/>
                <w:rtl w:val="true"/>
              </w:rPr>
              <w:t>التمييز بالأوصاف غير المنصوصة</w:t>
            </w:r>
            <w:r>
              <w:rPr>
                <w:rStyle w:val="IndexLink"/>
                <w:rtl w:val="true"/>
              </w:rPr>
              <w:tab/>
            </w:r>
            <w:r>
              <w:rPr>
                <w:rStyle w:val="IndexLink"/>
              </w:rPr>
              <w:t>462</w:t>
            </w:r>
          </w:hyperlink>
        </w:p>
        <w:p>
          <w:pPr>
            <w:pStyle w:val="Contents6"/>
            <w:tabs>
              <w:tab w:val="clear" w:pos="7609"/>
              <w:tab w:val="right" w:pos="9026" w:leader="dot"/>
            </w:tabs>
            <w:rPr/>
          </w:pPr>
          <w:hyperlink w:anchor="__RefHeading___Toc10329043_73709187">
            <w:r>
              <w:rPr>
                <w:webHidden/>
                <w:rStyle w:val="IndexLink"/>
                <w:rtl w:val="true"/>
              </w:rPr>
              <w:t>تذييلٌ في بيان أمرين</w:t>
            </w:r>
            <w:r>
              <w:rPr>
                <w:rStyle w:val="IndexLink"/>
                <w:rtl w:val="true"/>
              </w:rPr>
              <w:t>:</w:t>
              <w:tab/>
            </w:r>
            <w:r>
              <w:rPr>
                <w:rStyle w:val="IndexLink"/>
              </w:rPr>
              <w:t>462</w:t>
            </w:r>
          </w:hyperlink>
        </w:p>
        <w:p>
          <w:pPr>
            <w:pStyle w:val="Contents6"/>
            <w:tabs>
              <w:tab w:val="clear" w:pos="7609"/>
              <w:tab w:val="right" w:pos="9026" w:leader="dot"/>
            </w:tabs>
            <w:rPr/>
          </w:pPr>
          <w:hyperlink w:anchor="__RefHeading___Toc10329045_73709187">
            <w:r>
              <w:rPr>
                <w:webHidden/>
                <w:rStyle w:val="IndexLink"/>
                <w:rtl w:val="true"/>
              </w:rPr>
              <w:t>الكلام في التعدّي عن الاوصاف المنصوصة</w:t>
            </w:r>
            <w:r>
              <w:rPr>
                <w:rStyle w:val="IndexLink"/>
                <w:rtl w:val="true"/>
              </w:rPr>
              <w:tab/>
            </w:r>
            <w:r>
              <w:rPr>
                <w:rStyle w:val="IndexLink"/>
              </w:rPr>
              <w:t>462</w:t>
            </w:r>
          </w:hyperlink>
        </w:p>
        <w:p>
          <w:pPr>
            <w:pStyle w:val="Contents6"/>
            <w:tabs>
              <w:tab w:val="clear" w:pos="7609"/>
              <w:tab w:val="right" w:pos="9026" w:leader="dot"/>
            </w:tabs>
            <w:rPr/>
          </w:pPr>
          <w:hyperlink w:anchor="__RefHeading___Toc10329047_73709187">
            <w:r>
              <w:rPr>
                <w:webHidden/>
                <w:rStyle w:val="IndexLink"/>
                <w:rtl w:val="true"/>
              </w:rPr>
              <w:t>يعتبر اجتماع صفات الحيض</w:t>
            </w:r>
            <w:r>
              <w:rPr>
                <w:rStyle w:val="IndexLink"/>
                <w:rtl w:val="true"/>
              </w:rPr>
              <w:tab/>
            </w:r>
            <w:r>
              <w:rPr>
                <w:rStyle w:val="IndexLink"/>
              </w:rPr>
              <w:t>464</w:t>
            </w:r>
          </w:hyperlink>
        </w:p>
        <w:p>
          <w:pPr>
            <w:pStyle w:val="Contents2"/>
            <w:tabs>
              <w:tab w:val="clear" w:pos="8743"/>
              <w:tab w:val="right" w:pos="9026" w:leader="dot"/>
            </w:tabs>
            <w:rPr/>
          </w:pPr>
          <w:hyperlink w:anchor="__RefHeading___Toc10329049_73709187">
            <w:r>
              <w:rPr>
                <w:webHidden/>
                <w:rStyle w:val="IndexLink"/>
                <w:rtl w:val="true"/>
              </w:rPr>
              <w:t>فهرس الموضوعات</w:t>
            </w:r>
            <w:r>
              <w:rPr>
                <w:rStyle w:val="IndexLink"/>
                <w:rtl w:val="true"/>
              </w:rPr>
              <w:tab/>
            </w:r>
            <w:r>
              <w:rPr>
                <w:rStyle w:val="IndexLink"/>
              </w:rPr>
              <w:t>466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95_115275"/>
      <w:bookmarkStart w:id="1" w:name="pg11795_115275"/>
      <w:bookmarkEnd w:id="1"/>
    </w:p>
    <w:p>
      <w:pPr>
        <w:pStyle w:val="Heading2"/>
        <w:numPr>
          <w:ilvl w:val="1"/>
          <w:numId w:val="1"/>
        </w:numPr>
        <w:rPr/>
      </w:pPr>
      <w:bookmarkStart w:id="2" w:name="pg11795_115275"/>
      <w:bookmarkStart w:id="3" w:name="__RefHeading___Toc10328617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28619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95_115279"/>
      <w:bookmarkStart w:id="8" w:name="pg11795_115279"/>
      <w:bookmarkEnd w:id="8"/>
    </w:p>
    <w:p>
      <w:pPr>
        <w:pStyle w:val="Heading2"/>
        <w:numPr>
          <w:ilvl w:val="1"/>
          <w:numId w:val="1"/>
        </w:numPr>
        <w:rPr/>
      </w:pPr>
      <w:bookmarkStart w:id="9" w:name="pg11795_115279"/>
      <w:bookmarkStart w:id="10" w:name="__RefHeading___Toc10328621_73709187"/>
      <w:bookmarkStart w:id="11" w:name="_Toc3"/>
      <w:bookmarkEnd w:id="9"/>
      <w:bookmarkEnd w:id="10"/>
      <w:r>
        <w:rPr>
          <w:rtl w:val="true"/>
        </w:rPr>
        <w:t>تتمة كتاب الطهارة</w:t>
      </w:r>
      <w:bookmarkEnd w:id="11"/>
    </w:p>
    <w:p>
      <w:pPr>
        <w:pStyle w:val="Heading3"/>
        <w:numPr>
          <w:ilvl w:val="2"/>
          <w:numId w:val="1"/>
        </w:numPr>
        <w:rPr/>
      </w:pPr>
      <w:bookmarkStart w:id="12" w:name="__RefHeading___Toc10328623_73709187"/>
      <w:bookmarkStart w:id="13" w:name="_Toc4"/>
      <w:bookmarkEnd w:id="12"/>
      <w:r>
        <w:rPr>
          <w:rtl w:val="true"/>
        </w:rPr>
        <w:t>تتمة الباب الثاني في الوضوء</w:t>
      </w:r>
      <w:bookmarkEnd w:id="13"/>
    </w:p>
    <w:p>
      <w:pPr>
        <w:pStyle w:val="Heading4"/>
        <w:numPr>
          <w:ilvl w:val="3"/>
          <w:numId w:val="1"/>
        </w:numPr>
        <w:rPr/>
      </w:pPr>
      <w:bookmarkStart w:id="14" w:name="__RefHeading___Toc10328625_73709187"/>
      <w:bookmarkStart w:id="15" w:name="_Toc5"/>
      <w:bookmarkEnd w:id="14"/>
      <w:r>
        <w:rPr>
          <w:rtl w:val="true"/>
        </w:rPr>
        <w:t>تتمة واجبات الوضوء</w:t>
      </w:r>
      <w:bookmarkEnd w:id="15"/>
    </w:p>
    <w:p>
      <w:pPr>
        <w:pStyle w:val="Heading5"/>
        <w:numPr>
          <w:ilvl w:val="4"/>
          <w:numId w:val="1"/>
        </w:numPr>
        <w:rPr/>
      </w:pPr>
      <w:bookmarkStart w:id="16" w:name="__RefHeading___Toc10328627_73709187"/>
      <w:bookmarkStart w:id="17" w:name="_Toc6"/>
      <w:bookmarkEnd w:id="16"/>
      <w:r>
        <w:rPr>
          <w:rtl w:val="true"/>
        </w:rPr>
        <w:t>تتمة المسح على الحائل</w:t>
      </w:r>
      <w:bookmarkEnd w:id="17"/>
    </w:p>
    <w:p>
      <w:pPr>
        <w:pStyle w:val="Heading6"/>
        <w:numPr>
          <w:ilvl w:val="5"/>
          <w:numId w:val="1"/>
        </w:numPr>
        <w:rPr/>
      </w:pPr>
      <w:bookmarkStart w:id="18" w:name="__RefHeading___Toc10328629_73709187"/>
      <w:bookmarkStart w:id="19" w:name="_Toc7"/>
      <w:bookmarkEnd w:id="18"/>
      <w:r>
        <w:rPr>
          <w:rtl w:val="true"/>
        </w:rPr>
        <w:t>في حكم العبادة عند ترك التقيّة</w:t>
      </w:r>
      <w:bookmarkEnd w:id="19"/>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التقيَّة، ومسح على بشرة الرِّجلين، فهل يصحّ الوضوء أم لا؟</w:t>
      </w:r>
    </w:p>
    <w:p>
      <w:pPr>
        <w:pStyle w:val="BookText"/>
        <w:rPr/>
      </w:pPr>
      <w:r>
        <w:rPr>
          <w:rFonts w:ascii="Amiri" w:hAnsi="Amiri" w:eastAsia="Amiri" w:cs="Amiri"/>
          <w:color w:val="111111"/>
          <w:sz w:val="28"/>
          <w:sz w:val="28"/>
          <w:szCs w:val="28"/>
          <w:rtl w:val="true"/>
          <w:lang w:bidi="ar-SA"/>
        </w:rPr>
        <w:t>أم يفصل بين موارد وجوبها وموارد عدم الوجوب‌؟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الصحّة في موارد عدم وجوبها، إذ معنى عدم الوجوب، جواز المسح على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موارد وجوبها، وهي موارد خوف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ظاهر الأمر بالتقيَّة لزوماً كون المسح على الخفّين جزءٌ تعينيّاً للوضوء، فتركه تركٌ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الأمر بها موجب للنهي عن المسح على البشرة وهو يقتضي الفساد، وبأنّ التقيَّة كما تكون بالفعل فتقتضي وجوبه، وحرمة تركه، تكون بالترك أيضاً فتقتضي وجوبه، وحرمة الفعل والمسح على البشرة في نفسه مخالف للتقيَّة، فيحرم ولا يصحّ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بالتقيَّة لمصلحةٍ فيها أهمّ من ما في المسح على البشرة، لا يوجب عدم الأمر بالمسح عليه حتّى بنحو الترتّب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بعض الأعاظم</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ظهور أوامر التقيَّة في ذلك، غاية الأمر </w:t>
      </w:r>
    </w:p>
    <w:p>
      <w:pPr>
        <w:pStyle w:val="BookText"/>
        <w:rPr/>
      </w:pPr>
      <w:r>
        <w:rPr>
          <w:rFonts w:ascii="Amiri" w:hAnsi="Amiri" w:eastAsia="Amiri" w:cs="Amiri"/>
          <w:color w:val="111111"/>
          <w:sz w:val="28"/>
          <w:sz w:val="28"/>
          <w:szCs w:val="28"/>
          <w:rtl w:val="true"/>
          <w:lang w:bidi="ar-SA"/>
        </w:rPr>
        <w:t>أن كونها ديناً يقتضي بدليّة ما يوافق التقيَّة عن الواقع، فيكون في طول الواقع، فالإتيان بالواقع مجزءٍ مسقطٍ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فرض الكلام فرض لزوم التقيَّة، والأمر بها دون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في محلّه من أنّ الأمر بالشيء لا يقتضي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لزوم التقيَّة لمصلحةٍ ملزمة فيها، لا يلازم حرمة ما يخالف التقيَّة، إذ ترك الواجب لا مفسدة فيه كي يصير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 وجود المصلحة في ما يوافق التقيَّة، وعدم المفسدة في تركها، إنّما هي موارد استحبابها، وأمّا موارد وجوبها فهي إنّما تكون فيما ترتّب الضرر أو خاف من ترتبه على ترك التقيَّة، ولا محالة يكون ترك ما يوافقها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ذلك لا يوجب جعل الحرمة، لما حقّقناه في محلّه من عدم حرمة الإضرار بالنفس</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الصحّة مطلقاً بناءً على صحّة الترتّب</w:t>
      </w:r>
      <w:r>
        <w:rPr>
          <w:rFonts w:eastAsia="Amiri" w:cs="Amiri" w:ascii="Amiri" w:hAnsi="Amiri"/>
          <w:color w:val="111111"/>
          <w:sz w:val="28"/>
          <w:szCs w:val="28"/>
          <w:rtl w:val="true"/>
          <w:lang w:bidi="ar-SA"/>
        </w:rPr>
        <w:t>.</w:t>
      </w:r>
      <w:bookmarkStart w:id="20" w:name="pg11795_115281"/>
    </w:p>
    <w:p>
      <w:pPr>
        <w:pStyle w:val="Heading6"/>
        <w:numPr>
          <w:ilvl w:val="5"/>
          <w:numId w:val="1"/>
        </w:numPr>
        <w:rPr/>
      </w:pPr>
      <w:bookmarkStart w:id="21" w:name="__RefHeading___Toc10328631_73709187"/>
      <w:bookmarkStart w:id="22" w:name="_Toc8"/>
      <w:bookmarkEnd w:id="20"/>
      <w:bookmarkEnd w:id="21"/>
      <w:r>
        <w:rPr>
          <w:rtl w:val="true"/>
        </w:rPr>
        <w:t>في وجوب البدار مطلقاً وعدمه</w:t>
      </w:r>
      <w:bookmarkEnd w:id="22"/>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دخول الوقت أنّه لو أخّر الوضوء والصلاة، يضطرّ إلى المسح على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البدار مطلقاً؟</w:t>
      </w:r>
    </w:p>
    <w:p>
      <w:pPr>
        <w:pStyle w:val="BookText"/>
        <w:rPr/>
      </w:pPr>
      <w:r>
        <w:rPr>
          <w:rFonts w:ascii="Amiri" w:hAnsi="Amiri" w:eastAsia="Amiri" w:cs="Amiri"/>
          <w:color w:val="111111"/>
          <w:sz w:val="28"/>
          <w:sz w:val="28"/>
          <w:szCs w:val="28"/>
          <w:rtl w:val="true"/>
          <w:lang w:bidi="ar-SA"/>
        </w:rPr>
        <w:t>أم لا يجب كذلك‌؟</w:t>
      </w:r>
    </w:p>
    <w:p>
      <w:pPr>
        <w:pStyle w:val="BookText"/>
        <w:rPr/>
      </w:pPr>
      <w:r>
        <w:rPr>
          <w:rFonts w:ascii="Amiri" w:hAnsi="Amiri" w:eastAsia="Amiri" w:cs="Amiri"/>
          <w:color w:val="111111"/>
          <w:sz w:val="28"/>
          <w:sz w:val="28"/>
          <w:szCs w:val="28"/>
          <w:rtl w:val="true"/>
          <w:lang w:bidi="ar-SA"/>
        </w:rPr>
        <w:t>أم يفصّل بين التقيَّة فيجوز، وغيرها فلا يجوز؟</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 لأنّ ما دلَّ على جواز التقيَّة، قد عرفت أنّه غير مقيّد بصورة عدم وجود المندوحة، فمقتضى إطلاق ذلك الدليل جوازها في الفرض، الكاشف عن تدارك مصلحة الواقع بمصلحتها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غيرها، فحيثُ عرفت اعتبار عدم المندوحة فيه، ففي الفرض لوجود المندوحة لو أخّر وضوءه حتّى اضطرّ إلى المسح على الخفّين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أوّل الوقت المندوحة موجودة، ولكن لو أخّر ولو عصياناً حتّى اضطرّ، يتبدّل الموضوع، وتنعدم المندوحة، فيكون مشمولاً لذلك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خبر أبي الورد اختصاص الحكم بصورة الاضطرار لا بالاختيار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إطلاق له من هذه الجهة كي يُتمسّك به، مع أنّه قد عرفت أنّه من جهة التمسّك فيه بآية نفي الحرج</w:t>
      </w:r>
      <w:r>
        <w:rPr>
          <w:rStyle w:val="FootnoteAnchor"/>
          <w:rtl w:val="true"/>
        </w:rPr>
        <w:footnoteReference w:id="3"/>
      </w:r>
      <w:r>
        <w:rPr>
          <w:rFonts w:ascii="Amiri" w:hAnsi="Amiri" w:eastAsia="Amiri" w:cs="Amiri"/>
          <w:color w:val="111111"/>
          <w:sz w:val="28"/>
          <w:sz w:val="28"/>
          <w:szCs w:val="28"/>
          <w:rtl w:val="true"/>
          <w:lang w:bidi="ar-SA"/>
        </w:rPr>
        <w:t>يكون مختصّاً بصورة الاضطرار في تمام الوقت</w:t>
      </w:r>
      <w:r>
        <w:rPr>
          <w:rFonts w:eastAsia="Amiri" w:cs="Amiri" w:ascii="Amiri" w:hAnsi="Amiri"/>
          <w:color w:val="111111"/>
          <w:sz w:val="28"/>
          <w:szCs w:val="28"/>
          <w:rtl w:val="true"/>
          <w:lang w:bidi="ar-SA"/>
        </w:rPr>
        <w:t>.</w:t>
      </w:r>
      <w:bookmarkStart w:id="23" w:name="pg11795_115282"/>
    </w:p>
    <w:p>
      <w:pPr>
        <w:pStyle w:val="Heading6"/>
        <w:numPr>
          <w:ilvl w:val="5"/>
          <w:numId w:val="1"/>
        </w:numPr>
        <w:rPr/>
      </w:pPr>
      <w:bookmarkStart w:id="24" w:name="__RefHeading___Toc10328633_73709187"/>
      <w:bookmarkStart w:id="25" w:name="_Toc9"/>
      <w:bookmarkEnd w:id="23"/>
      <w:bookmarkEnd w:id="24"/>
      <w:r>
        <w:rPr>
          <w:rtl w:val="true"/>
        </w:rPr>
        <w:t>زوال السبب المسوّغ للتيمّم</w:t>
      </w:r>
      <w:bookmarkEnd w:id="25"/>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 السبب المسوّغ للمسح على الحائل من تقيَّةٍ أو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يجب إعادة الطهارة للغايات التي أراد إيجادها، بعد زوال السبب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اللّثام</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يجب إلّاللحَدَث،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بل </w:t>
      </w:r>
    </w:p>
    <w:p>
      <w:pPr>
        <w:pStyle w:val="BookText"/>
        <w:rPr/>
      </w:pPr>
      <w:r>
        <w:rPr>
          <w:rFonts w:ascii="Amiri" w:hAnsi="Amiri" w:eastAsia="Amiri" w:cs="Amiri"/>
          <w:color w:val="111111"/>
          <w:sz w:val="28"/>
          <w:sz w:val="28"/>
          <w:szCs w:val="28"/>
          <w:rtl w:val="true"/>
          <w:lang w:bidi="ar-SA"/>
        </w:rPr>
        <w:t>نُسب إلى المشهور؟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باستصحاب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 الوضوء لا ينتقض إلّابالحدث، وليس ارتفاع الضرورة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إنّما نوى بوضوئه رفع الحدث، فيجب حصوله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إمرءٍ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 في محلّه، وأشرنا إليه في هذا الشرح غير مرَّة، من عدم جريان الاستصحاب في الأحكام التكليفيّة والوضعيّة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أجاب عنه بعض المحقّقين رحمهم الله</w:t>
      </w:r>
      <w:r>
        <w:rPr>
          <w:rStyle w:val="FootnoteAnchor"/>
          <w:rtl w:val="true"/>
        </w:rPr>
        <w:footnoteReference w:id="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الموضوع في الاستصحاب مردّدٌ بين إباحة الصلاة المدخول بها حال الضرورة، أو كلّ صلاة، والأوّل لا ينفع، والثاني مشكوك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من دليل جواز المسح على الخُفّ‌، بدليّته عن المسح على البشرة، وترتّب أثر الوضوء التامّ على الوضوء معه، وهو الطهارة، فتستصحب الطهارة ما لم يعلم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مسلك القوم، من كون الطهارة أثراً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المختار من كونها من العناوين المنطبقة عليه، فيتمّ ما ذكره رحمه الله، لو لم يكن لدليل المسح على الحائل إطلاقٌ‌، وستعرف وجوده فانتظر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الوضوء وإنْ دلَّ الدليل على أنّه لا ينتقض إلّابالحدث، إلّا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الكلام في المقام ليس في انتقاض الوضوء، بل إنّما هو في قابليّة الوضوءالناقص، واستعداده للبقاء مع زوال العذر، مع أنّ ذلك الدليل لا إطلاق له من هذه الجهة كي يتمسّك به، لعدم انتقاض الناقص أيضاً إلّابالحدث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رفعه الحدث يمكن أن يكون رفعاً ما دام بقاء العذر، كما قيل في التيمّم، فلا يلازم ذلك عدم مُحدِثيّته بعد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ان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دلَّ على جواز المسح على الحائل، المقتضي لجواز الاكتفاء به في مقام الامتثال، ولو كان الاضطرار مرتفعاً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دليله، كونه فرداً من طبيعة الوضوء في حال العذر، كما أنّ الوضوء التامّ فرد منها في حال الاختيار، وعليه فيترتّب على كلٍّ منهما جميع ما يترتّب على تلك الطبيعة، من غير فرقٍ بينهما، فكما أنّ من توضّأ في حال الاختيار يترتّب على وضوئه جميع مايتوقّف على الوضوء حتّى في حال الاضطرار، كذلك تترتّب على وضوء المضطرّ جميع تلك الاُمور حتّى بعد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عدم تماميّة الاستدلال لوجوب الإعادة مطلقاً بعموم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دليل مشروعيّة الناقص، تقييد دليل وجوب التامّ وهو الآية الشريفة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يتمّ فيما يجوز المسح عليه واقعاً، وأمّا فيما لا يجوز واقعاً، بل كان جوازه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مورد التقيَّة من موارد الضرورة، بناءً على أنّه يختصّ الحكم بصورة عدم وجود المندوحة 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هذه الصورة لو كان العذر ثابتاً في أوّل الوقت، والمكلّف اعتقد عدم زواله، أو احتمل ذلك فأجرى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الاستصحاب وتوضّأ، ثم في الوقت زال السبب المسوّغ، تجب الإعادة، ولا يجتزئ بما أتى به، لأنّه لم يكن ذلك مأموراً به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مورد التقيَّة، فإنّك قد عرفت ثبوت الأمر بالوضوء حتّى مع وجود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زال السبب المسوّغ للوضوء الاضطراري، بعد مضيّ وقت الصلاة أو غيرها ممّا يتوقّف على الوضوء، لا تجب الإعادة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زال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الضرورة هي التقيَّة، لم تجب الإعادة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غير التقيَّة، وجبت الإعادة</w:t>
      </w:r>
      <w:r>
        <w:rPr>
          <w:rFonts w:eastAsia="Amiri" w:cs="Amiri" w:ascii="Amiri" w:hAnsi="Amiri"/>
          <w:color w:val="111111"/>
          <w:sz w:val="28"/>
          <w:szCs w:val="28"/>
          <w:rtl w:val="true"/>
          <w:lang w:bidi="ar-SA"/>
        </w:rPr>
        <w:t>.</w:t>
      </w:r>
      <w:bookmarkStart w:id="26" w:name="pg11795_115286"/>
    </w:p>
    <w:p>
      <w:pPr>
        <w:pStyle w:val="BookText"/>
        <w:rPr/>
      </w:pPr>
      <w:bookmarkEnd w:id="26"/>
      <w:r>
        <w:rPr>
          <w:rFonts w:ascii="Amiri" w:hAnsi="Amiri" w:eastAsia="Amiri" w:cs="Amiri"/>
          <w:color w:val="111111"/>
          <w:sz w:val="28"/>
          <w:sz w:val="28"/>
          <w:szCs w:val="28"/>
          <w:rtl w:val="true"/>
          <w:lang w:bidi="ar-SA"/>
        </w:rPr>
        <w:t>والترتيب على ما قلناه</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0328635_73709187"/>
      <w:bookmarkStart w:id="28" w:name="_Toc10"/>
      <w:bookmarkEnd w:id="27"/>
      <w:r>
        <w:rPr>
          <w:rtl w:val="true"/>
        </w:rPr>
        <w:t>وجوب الترتيب في أجزاء الوضوء</w:t>
      </w:r>
      <w:bookmarkEnd w:id="28"/>
    </w:p>
    <w:p>
      <w:pPr>
        <w:pStyle w:val="BookText"/>
        <w:rPr/>
      </w:pPr>
      <w:r>
        <w:rPr>
          <w:rFonts w:ascii="IRNazanin" w:hAnsi="IRNazanin" w:eastAsia="IRNazanin"/>
          <w:color w:val="111111"/>
          <w:sz w:val="28"/>
          <w:sz w:val="28"/>
          <w:szCs w:val="28"/>
          <w:rtl w:val="true"/>
          <w:lang w:bidi="fa-IR"/>
        </w:rPr>
        <w:t>السادس من فروض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يقدِّم الوجه على اليد اليمنى، وهي على اليسرى، ثمّ يمسح الرأس ثم الرِّجلين، بلا خلافٍ‌، بل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بين الوضوء كما قال اللّه عزّ وجلّ‌، ابدأ بالوجه، ثمّ باليدين، ثمّ بمَسْحِ الرأس والرِّجلين، ولا تُقدمنَّ شيئاً بين يدي شيء تخالفُ ما اُمرتَ به، فإن غَسَلت الذراع قبل الوجه، فابدأ بالوجه، وأعد على الذراع، وإنْ مسحتَ‌الرِّجل قبل الرأس، فامسح على الرأس قبل الرِّجل، ثمّ أعدِ على الرجل، ابدأ بما بدأ اللّه عزّ وجلّ به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تقديم الوجه على اليدين، وهما على الرأس، ومسح الرأس على الرِّجلين، ولا يدلّ على الترتيب بين اليدين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موثّق أبي بصير، عنه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بدأت بذراعك الأيسر قبل الأيمن، فأعد غَسل الأيمن ثمّ‌اغسل اليسار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الترتيب بين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فيه في مسح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خالف الترتيب ولو جهلاً أو نسياناً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إعادة الوضوء إذا تذكّر، بعدما لا يمكن تدارك ما أخلَّ به لفوات الموالاة، لأنّ المشروط ينعدم بانعدام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تذكّر في الأثناء أو بعد الفراغ، مع عدم فوات الموالاة، بأن كان البلل باقياً، فهل يجب إعادة ما يحصل به الترتيب مطلقاً كما هو المشهور شهرة عظيمة‌؟</w:t>
      </w:r>
    </w:p>
    <w:p>
      <w:pPr>
        <w:pStyle w:val="BookText"/>
        <w:rPr/>
      </w:pPr>
      <w:r>
        <w:rPr>
          <w:rFonts w:ascii="Amiri" w:hAnsi="Amiri" w:eastAsia="Amiri" w:cs="Amiri"/>
          <w:color w:val="111111"/>
          <w:sz w:val="28"/>
          <w:sz w:val="28"/>
          <w:szCs w:val="28"/>
          <w:rtl w:val="true"/>
          <w:lang w:bidi="ar-SA"/>
        </w:rPr>
        <w:t>أم يجب إعادة الوضوء كذلك‌؟</w:t>
      </w:r>
    </w:p>
    <w:p>
      <w:pPr>
        <w:pStyle w:val="BookText"/>
        <w:rPr/>
      </w:pPr>
      <w:r>
        <w:rPr>
          <w:rFonts w:ascii="Amiri" w:hAnsi="Amiri" w:eastAsia="Amiri" w:cs="Amiri"/>
          <w:color w:val="111111"/>
          <w:sz w:val="28"/>
          <w:sz w:val="28"/>
          <w:szCs w:val="28"/>
          <w:rtl w:val="true"/>
          <w:lang w:bidi="ar-SA"/>
        </w:rPr>
        <w:t>أو يجب إعادته في صورة النسيان كما عن تذكرة المصنّف رحمه الله</w:t>
      </w:r>
      <w:r>
        <w:rPr>
          <w:rStyle w:val="FootnoteAnchor"/>
          <w:rtl w:val="true"/>
        </w:rPr>
        <w:footnoteReference w:id="25"/>
      </w:r>
      <w:r>
        <w:rPr>
          <w:rFonts w:ascii="Amiri" w:hAnsi="Amiri" w:eastAsia="Amiri" w:cs="Amiri"/>
          <w:color w:val="111111"/>
          <w:sz w:val="28"/>
          <w:sz w:val="28"/>
          <w:szCs w:val="28"/>
          <w:rtl w:val="true"/>
          <w:lang w:bidi="ar-SA"/>
        </w:rPr>
        <w:t>، أو في صورة العمد كما عن تحريره‌؟</w:t>
      </w:r>
      <w:r>
        <w:rPr>
          <w:rStyle w:val="FootnoteAnchor"/>
          <w:rtl w:val="true"/>
        </w:rPr>
        <w:footnoteReference w:id="26"/>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أقواها الأوّل؛ لتحقّق الامتثال به، ولجملةٍ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منصور بن حازم، عن أبي عبد اللّه عليه السلام، في حديث تقديم السَّعي على الطواف،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أنّك إذا غَسَلت شمالك قبل يمينك كان عليك أن تُعيد على شمالك</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غَسَلت الذراع قبل الوجه، فابدأ بالوجه وأعد على الذراع، وإنْ مَسَحت على الرِّجل قبل الرأس، فامسح على الرأس قبل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الرِّجل، ثمّ أعد على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المتقدّم، ونحوها غيرها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بعض الأخبار من إطلاق الإعادة عند مخالفة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كخبر سماعة،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مسح رأسه أو قدميه أو شيئاً من الوضوء الذي ذكر اللّه تعالى في القرآن، كان عليه إعادة الوضوء والصلاة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وإنْ اختصّ بالنّاسي، إلّاأنّه يثبت في العامد بضميمة الأولويّة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عن أبي عبد اللّه عليه السلام، في البدأة بالمروة قبل الصفا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أنّه لو بدأ بشماله قبل يمينه في الوضوء يعيد الوضوء</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هذه النصوص وبين ما تقدّم، المتضمّن للصحّة مع إعادة ما يحصل به الترتيب، يقتضي حملها على الاستحباب، أو على صورة فوات الموالاة، أو على إرادة إعادة الجزء من إعادة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سماعة المتقدّم، بدعوى أخصيّته من ما دلَّ على إعادة ما يحصل به الترتيب، فيخصّص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موثّق أبي بصير الدالّ على الصحّة مع العود على ما يحصل معه الترتيب، مختصٌّ بالنّاسي،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تشريعٌ مبطل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موجبٌ لفوات الموالاة، لأنّها المتابعة مع الاختيار على مسلك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وبمفهوم قوله عليه السلام في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نسيتَ فَغَسَلتَ ذراعك قبل وجهك فأعد غَسل وجهك، ثمّ اغسل ذراعيك بعد الوجه، فإنْ بدأتَ بذراعك الأيسر قبل الأيمن فأعد الأيمن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تنس فلا تعد غَسل وجهك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المراد البناء مع عدم الإعادة، وهو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سقوطه فليس إلّاالاستئناف، وبمفهومه يقيّد إطلاق ما دلَّ على الصحّة مع العود إلى ما يحصل به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يتمّ إذا كان إتيانه بالوضوء للأمر التشريعي، وأمّا لو كان إتيان خصوص ما خالف به الترتيب لذلك، فلا وجه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 من عدم صحّة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الشرطيّة إنّما سيقت لبيان تحقّق الموضوع ولا 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الاكتفاء بإعادة ما يحصل به الترتيب مطلقاً، إلّافيما كانت نيّته فاسدة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9" w:name="pg11795_115290"/>
    </w:p>
    <w:p>
      <w:pPr>
        <w:pStyle w:val="BookText"/>
        <w:rPr/>
      </w:pPr>
      <w:bookmarkEnd w:id="29"/>
      <w:r>
        <w:rPr>
          <w:rFonts w:ascii="Amiri" w:hAnsi="Amiri" w:eastAsia="Amiri" w:cs="Amiri"/>
          <w:color w:val="111111"/>
          <w:sz w:val="28"/>
          <w:sz w:val="28"/>
          <w:szCs w:val="28"/>
          <w:rtl w:val="true"/>
          <w:lang w:bidi="ar-SA"/>
        </w:rPr>
        <w:t>و الموالاة</w:t>
      </w:r>
    </w:p>
    <w:p>
      <w:pPr>
        <w:pStyle w:val="Heading5"/>
        <w:numPr>
          <w:ilvl w:val="4"/>
          <w:numId w:val="1"/>
        </w:numPr>
        <w:rPr/>
      </w:pPr>
      <w:bookmarkStart w:id="30" w:name="__RefHeading___Toc10328637_73709187"/>
      <w:bookmarkStart w:id="31" w:name="_Toc11"/>
      <w:bookmarkEnd w:id="30"/>
      <w:r>
        <w:rPr>
          <w:rtl w:val="true"/>
        </w:rPr>
        <w:t>وجوب الموالاة وبيان المراد منها</w:t>
      </w:r>
      <w:bookmarkEnd w:id="31"/>
    </w:p>
    <w:p>
      <w:pPr>
        <w:pStyle w:val="BookText"/>
        <w:rPr/>
      </w:pPr>
      <w:r>
        <w:rPr>
          <w:rFonts w:ascii="IRNazanin" w:hAnsi="IRNazanin" w:eastAsia="IRNazanin"/>
          <w:color w:val="111111"/>
          <w:sz w:val="28"/>
          <w:sz w:val="28"/>
          <w:szCs w:val="28"/>
          <w:rtl w:val="true"/>
          <w:lang w:bidi="fa-IR"/>
        </w:rPr>
        <w:t>السابع من فروض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محصّلاً ومنقولاً،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الخلاف في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كثيرة من القدماء والمتأخّرين</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منها أنْ يغسل كلّ عضوٍ قبل أن يجفّ جميع ما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 وعن الذخيرة</w:t>
      </w:r>
      <w:r>
        <w:rPr>
          <w:rStyle w:val="FootnoteAnchor"/>
          <w:rtl w:val="true"/>
        </w:rPr>
        <w:footnoteReference w:id="3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هي المتابعة اختياراً، وعدم الجفاف اضطراراً، لكن لا يبطل الوضوء إلّا بالجفاف، وإنْ حصل الإثم بتلك المتابعة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هي المتابعة اختياراً والجفاف </w:t>
      </w:r>
    </w:p>
    <w:p>
      <w:pPr>
        <w:pStyle w:val="BookText"/>
        <w:rPr/>
      </w:pPr>
      <w:r>
        <w:rPr>
          <w:rFonts w:ascii="Amiri" w:hAnsi="Amiri" w:eastAsia="Amiri" w:cs="Amiri"/>
          <w:color w:val="111111"/>
          <w:sz w:val="28"/>
          <w:sz w:val="28"/>
          <w:szCs w:val="28"/>
          <w:rtl w:val="true"/>
          <w:lang w:bidi="ar-SA"/>
        </w:rPr>
        <w:t>هي متابعة الأفعال بعضها لبعضٍ من غير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اضطراراً، فيبطل الوضوء بترك المتابعة في حال الاختيار، وبالجفاف في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الصدوقين</w:t>
      </w:r>
      <w:r>
        <w:rPr>
          <w:rStyle w:val="FootnoteAnchor"/>
          <w:rtl w:val="true"/>
        </w:rPr>
        <w:footnoteReference w:id="42"/>
      </w:r>
      <w:r>
        <w:rPr>
          <w:rFonts w:ascii="IRNazanin" w:hAnsi="IRNazanin" w:eastAsia="IRNazanin"/>
          <w:color w:val="111111"/>
          <w:sz w:val="28"/>
          <w:sz w:val="28"/>
          <w:szCs w:val="28"/>
          <w:rtl w:val="true"/>
          <w:lang w:bidi="fa-IR"/>
        </w:rPr>
        <w:t xml:space="preserve">، وأصحاب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وجماعة ممّن تأخّر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الموالاة هي أحد الأمرين من المتابعة ومراعاة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ومختار المصنّف رحمه الله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متابعة الأفعال بعضها لبعض مِنْ غير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توضّأتُ فنفد الماء، فدعوت الجارية فابطأت عليَّ‌، فيجفَّ وضوئي‌؟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 بعض وضوئك، فعَرَضَتْ لك حاجة حتّى يبس وضوءك، فأعد وضوءك فإنّ الوضوء لا يُبعَّض</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ظهورهما في أنّ وجوب الإعادة إنّما يكون للجفاف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بالإعادة في الصحيح إنّما يكون بعد فرض السائل الفصل مع الجفاف، وعليه فكما يحتمل أن يكون وجه أمره بالإعادة الجفاف، يحتمل أن يكون هو الفصل وأن يكون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القيدين مذكورٌ في كلامه عليه السلام، وظاهره دخل كليهما في الحكم لا الجفاف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لزوم إعادة الوضوء عند مخالفة الترتيب، بدعوى أنّه يدلّ على وجوب المتابعة نفسيّاً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وباقتضاء الأمر المتعلّق بكلّ عضو من الأعضاء للفور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وبالإجماع المدَّعى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تضمّن الأمر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كمصحّح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الرجل أن يغسل يمينه فغسل شماله، ومسح رأسه ورجليه، فذكر بعد ذلك، غَسل يمينه وشماله ومسح رأسه ورجليه، وإنْ كان إنّما نسي شماله فليغسل الشمال، ولا يُعيد على ما كان توضّأ،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أتبع وضوءك بعضه بعضاً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ومصحّح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 بين الوضوء، كما قال اللّه عزّ وجلّ‌، ابدأ بالوجه ثمّ باليدين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حكم بن حكيم،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من الوضوء الذراع والرأس‌؟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إنّ الوضوء يتبع بعضه بعضاً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بإعادة ما يحصل به الترتيب، مع أنّ مفاده شرطيّة المتابعة لا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بالنسبة إلى العضو الأوّل ليس للقول بالإجماع، فكذا ما بعده من الأعضاء المعطوفة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لدعوى الإجماع مع هذا الخلاف العظيم، مع أنّه لمعلوميّة مدرك المُجمعين لا يُعتنى بدعاويه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المورد من موارد البراءة لا الاشتغال، بناءً على ما هو الحقّ من أنّها المرجع في مورد الشكّ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مصحّحا زرارة والحلبي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أجنبيّان عن المقام، وإنّما يدلّان على اعتبار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اعتبار المتابعة في صورة الاضطرار، وهو خلاف المدَّعى، ويتعيّن صرفه عن ظاهره، لما دلَّ على عدم اعتبارها في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بنصوص المتابعة، فإنّها بعد تقييدها بما دلَّ على الصحّة عند الفصل نسياناً أو نحوه من أنواع الضرورة، تدلّ على هذا القول بناءً على ظهورها في الوجوب الشرطي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دلالة نصوص المتابعة على اعتبار المتابعة بهذا المعنى،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إنّما تدلّ على اعتبار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بصحيح معاوية، وموثّق أبي بصير المتقدّمين، الظاهرين في أنّ القادح هو الفصل مع الجفاف وستعرف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مقتضى إطلاق أدلّة الوضوء الصحّة، حتّى مع الفصل والجفاف، ولا موجب لرفع اليد عنه غير طائفتين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بالمفهوم على البطلان، إذا لم يبق من بلّة الوضوء شيء</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وموثّق أبي بصير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ينحصر وجه البطلان في فرض النصوص بفوت الموالاة، لاحتمال أن يكون وجهه تعذّر المسح ببلّة الوضوء، ولعلّه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أمره عليه السلام فيه بالإعادة مجهولٌ كما عرفت، فلم يبق إلّا الموثّق، وظاهره قادحيّة التأخير المؤدي إلى الجفاف بحسب المتعارف، من غير دخل لليبوسة في نفسها فيه، كما يشهد له التعليل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الوضوء لا يُبعَّض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 على أنّ للوضوء هيئة اتّصاليّة يقطعها الفصل الطويل الماحي لصورة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يستدلّ به 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اليبوسة الفعليّة في الحكم لا التقديريّة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فهو لا يدلّ عليه، إذ قادحيّة الفصل الطويل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بقاء الرطوبة في مواضع الوضوء، لرطوبة الهواء وقطعه الهيئة الاتّصاليّة محلّ تأمّل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أثر السابق حال وجود اللّاحق، ولو مع تخلّل فصل معتدٍّ به عرفاً، لا يصدق التبعيض، ولا ينقطع بعضه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فالأقوى هو القول الرابع، وهو كفاية أحد الأمرين من المتابعة ومراعاة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المشهور بين القائلين بمراعاة الجفاف، هو مراعاة جفاف جميع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بجفاف بعض ما سبق أيّ عضوٍ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جَفّ العضو السابق استأنف، وإنْ بقيت الرطوبة في العضو السابق على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التبعيض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الأقوى هو الأوّل، لأنّ ظاهر 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يبس وضوءك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يبوسة جميع الأعضاء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 w:name="pg11795_115296"/>
    </w:p>
    <w:p>
      <w:pPr>
        <w:pStyle w:val="Heading5"/>
        <w:numPr>
          <w:ilvl w:val="4"/>
          <w:numId w:val="1"/>
        </w:numPr>
        <w:rPr/>
      </w:pPr>
      <w:bookmarkStart w:id="33" w:name="__RefHeading___Toc10328639_73709187"/>
      <w:bookmarkStart w:id="34" w:name="_Toc12"/>
      <w:bookmarkEnd w:id="32"/>
      <w:bookmarkEnd w:id="33"/>
      <w:r>
        <w:rPr>
          <w:rtl w:val="true"/>
        </w:rPr>
        <w:t>بقيّة واجبات الوضوء</w:t>
      </w:r>
      <w:bookmarkEnd w:id="34"/>
    </w:p>
    <w:p>
      <w:pPr>
        <w:pStyle w:val="Heading6"/>
        <w:numPr>
          <w:ilvl w:val="5"/>
          <w:numId w:val="1"/>
        </w:numPr>
        <w:rPr/>
      </w:pPr>
      <w:bookmarkStart w:id="35" w:name="__RefHeading___Toc10328641_73709187"/>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ثمّ إنّه يعتبر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بالاعتبار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اُخر لم يذكرها المصنّف رحمه الله، ولا بأس بالإشارة الإجماليّة إليها، وهي اُمور</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10328643_73709187"/>
      <w:bookmarkStart w:id="38" w:name="_Toc14"/>
      <w:bookmarkEnd w:id="37"/>
      <w:r>
        <w:rPr>
          <w:rtl w:val="true"/>
        </w:rPr>
        <w:t>الأمر الأوّل</w:t>
      </w:r>
      <w:r>
        <w:rPr>
          <w:rtl w:val="true"/>
        </w:rPr>
        <w:t xml:space="preserve">: </w:t>
      </w:r>
      <w:r>
        <w:rPr>
          <w:rtl w:val="true"/>
        </w:rPr>
        <w:t>إطلاق الماء،</w:t>
      </w:r>
      <w:bookmarkEnd w:id="38"/>
    </w:p>
    <w:p>
      <w:pPr>
        <w:pStyle w:val="BookText"/>
        <w:rPr/>
      </w:pPr>
      <w:r>
        <w:rPr>
          <w:rFonts w:ascii="Amiri" w:hAnsi="Amiri" w:eastAsia="Amiri" w:cs="Amiri"/>
          <w:color w:val="111111"/>
          <w:sz w:val="28"/>
          <w:sz w:val="28"/>
          <w:szCs w:val="28"/>
          <w:rtl w:val="true"/>
          <w:lang w:bidi="ar-SA"/>
        </w:rPr>
        <w:t>كما تقدّم في مبحث الماء المضاف</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10328645_73709187"/>
      <w:bookmarkStart w:id="40" w:name="_Toc15"/>
      <w:bookmarkEnd w:id="39"/>
      <w:r>
        <w:rPr>
          <w:rtl w:val="true"/>
        </w:rPr>
        <w:t>الأمر الثاني</w:t>
      </w:r>
      <w:r>
        <w:rPr>
          <w:rtl w:val="true"/>
        </w:rPr>
        <w:t xml:space="preserve">: </w:t>
      </w:r>
      <w:r>
        <w:rPr>
          <w:rtl w:val="true"/>
        </w:rPr>
        <w:t>طهارة الماء،</w:t>
      </w:r>
      <w:bookmarkEnd w:id="40"/>
    </w:p>
    <w:p>
      <w:pPr>
        <w:pStyle w:val="BookText"/>
        <w:rPr/>
      </w:pPr>
      <w:r>
        <w:rPr>
          <w:rFonts w:ascii="Amiri" w:hAnsi="Amiri" w:eastAsia="Amiri" w:cs="Amiri"/>
          <w:color w:val="111111"/>
          <w:sz w:val="28"/>
          <w:sz w:val="28"/>
          <w:szCs w:val="28"/>
          <w:rtl w:val="true"/>
          <w:lang w:bidi="ar-SA"/>
        </w:rPr>
        <w:t>بلا خلافٍ بل إجماعاً، وتشهد له النصوص الكثيرة</w:t>
      </w:r>
      <w:r>
        <w:rPr>
          <w:rStyle w:val="FootnoteAnchor"/>
          <w:rtl w:val="true"/>
        </w:rPr>
        <w:footnoteReference w:id="58"/>
      </w:r>
      <w:r>
        <w:rPr>
          <w:rFonts w:ascii="Amiri" w:hAnsi="Amiri" w:eastAsia="Amiri" w:cs="Amiri"/>
          <w:color w:val="111111"/>
          <w:sz w:val="28"/>
          <w:sz w:val="28"/>
          <w:szCs w:val="28"/>
          <w:rtl w:val="true"/>
          <w:lang w:bidi="ar-SA"/>
        </w:rPr>
        <w:t>الواردة في الموارد المختلفة، كأبواب الماء القليل، والماء المتغيّر، وغيرهما المصرّحة بعدم جواز الوضوء بالماء النجس</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10328647_73709187"/>
      <w:bookmarkStart w:id="42" w:name="_Toc16"/>
      <w:bookmarkEnd w:id="41"/>
      <w:r>
        <w:rPr>
          <w:rtl w:val="true"/>
        </w:rPr>
        <w:t>الأمر الثالث</w:t>
      </w:r>
      <w:r>
        <w:rPr>
          <w:rtl w:val="true"/>
        </w:rPr>
        <w:t xml:space="preserve">: </w:t>
      </w:r>
      <w:r>
        <w:rPr>
          <w:rtl w:val="true"/>
        </w:rPr>
        <w:t>طهارة مواضع الوضوء على المشهور،</w:t>
      </w:r>
      <w:bookmarkEnd w:id="42"/>
    </w:p>
    <w:p>
      <w:pPr>
        <w:pStyle w:val="BookText"/>
        <w:rPr/>
      </w:pP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كلّ واحدٍ من الحَدَث والخَبَث سببٌ لوجوب غَسل البدن، فإذا تحقّق السببان، وجب أن يتعدّد حكمهما لأنّ التداخل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ماء الوضوء لابدَّ وأن يقع على محلّ طاهر، وإلّا لأجزأ الوضوء مع بقاء عين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وبانفعال الماء بمجرّد الملاقاة، وماء الطهارة يشترط أن يكون طاهراً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رفع الخبث</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يحصل بمجرّد الغَسل، أو يحتاج إلى 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لأصالة عدم التداخل، إذ لو نوى رفع الحدث بوضوئه، فمقتضى إطلاق الأدلّة الاجتزاء به، ويترتّب عليه قهراً رفع الخبث، ويسقط الأمر به لحصول الغرض لا لتحقّق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الخَبَث لو نوى 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أصالة عدم التداخل، عدم الاجتزاء بغَسلٍ واحد لرفع الحَدَث والخَبَث، لا اعتبار رفع الخبث في صحّة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النجاسة إذا لم تمنع من وصول الماء إلى البشرة، لا مانع من الالتزام بالصحّة حتّى مع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اعتبار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ما ذكرناه من النصوص، فموردها النجاسة قبل الاستعمال، والتعدّي إلى ما يحصل به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ما ادّعي من الإجماع عليه من أنّ النجس 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فمضافاً إلى تصريح المجمعين بأنّ المراد النجاسة قبل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هذه القاعدة مصطادة من النصوص، لا أنّها ممّا انعقد عليه الإجماع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الرجوع إليها، مع أنّه لا يشمل الكثير الذي لا ينفعل، مضافاً إلى توقّفه مع عدم وجود عين النجاسة على القول بتنجيس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لما ذكرناه،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في مبحث غُسل الجنابة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كان على بدنه نجاسة أزالها ثمّ اغتَسل، فإنْ خالف واغتَسل أوّلاً فقد ارتفع حَدَث الجنابة، وعليه أن يزيل النجاسة إنْ كانت لم تزل بالغسل، وإنْ زالت بالإغتسال فقد أجزأ عن غُسلها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3" w:name="pg11795_115298"/>
    </w:p>
    <w:p>
      <w:pPr>
        <w:pStyle w:val="BookText"/>
        <w:rPr/>
      </w:pPr>
      <w:bookmarkEnd w:id="43"/>
      <w:r>
        <w:rPr>
          <w:rFonts w:ascii="Amiri" w:hAnsi="Amiri" w:eastAsia="Amiri" w:cs="Amiri"/>
          <w:color w:val="111111"/>
          <w:sz w:val="28"/>
          <w:sz w:val="28"/>
          <w:szCs w:val="28"/>
          <w:rtl w:val="true"/>
          <w:lang w:bidi="ar-SA"/>
        </w:rPr>
        <w:t>وما في صدر كلامه من الحكم بوجوب إزالة النجاسة قبل الغُسل، إنّما يكون للنصوص المتضمّنة للأمر بغَسل الفرج واليدين قبل الغُسل، بحملها على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في الجواب عن الوجه الثالث، ظهر وجه تفصيل بعض بين الغَسل في الكثير وبين غيره، والحكم بعدم الاعتبار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الجزء الأخير وبين غيره، فمستنده الوجه الثالث، والبناء على نجاسة الغُسالة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 الأظهر عدم اعتبار الطهارة مطلقاً، وإنْ كان الأحوط مراعاتها</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10328649_73709187"/>
      <w:bookmarkStart w:id="45" w:name="_Toc17"/>
      <w:bookmarkEnd w:id="44"/>
      <w:r>
        <w:rPr>
          <w:rtl w:val="true"/>
        </w:rPr>
        <w:t>الأمر الرابع</w:t>
      </w:r>
      <w:r>
        <w:rPr>
          <w:rtl w:val="true"/>
        </w:rPr>
        <w:t xml:space="preserve">: </w:t>
      </w:r>
      <w:r>
        <w:rPr>
          <w:rtl w:val="true"/>
        </w:rPr>
        <w:t>أنْ لا يكون الوعاء الذي فيه ماء الوضوء من أواني الذهب أو الفضّة</w:t>
      </w:r>
      <w:r>
        <w:rPr>
          <w:rtl w:val="true"/>
        </w:rPr>
        <w:t>.</w:t>
      </w:r>
      <w:bookmarkEnd w:id="45"/>
    </w:p>
    <w:p>
      <w:pPr>
        <w:pStyle w:val="BookText"/>
        <w:rPr/>
      </w:pPr>
      <w:r>
        <w:rPr>
          <w:rFonts w:ascii="Amiri" w:hAnsi="Amiri" w:eastAsia="Amiri" w:cs="Amiri"/>
          <w:color w:val="111111"/>
          <w:sz w:val="28"/>
          <w:sz w:val="28"/>
          <w:szCs w:val="28"/>
          <w:rtl w:val="true"/>
          <w:lang w:bidi="ar-SA"/>
        </w:rPr>
        <w:t>وقد تقدّم الكلام في هذا الفرع في مبحث الأواني، وعرفت أنّ الأقوى صحّة الوضوء منها</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10328651_73709187"/>
      <w:bookmarkStart w:id="47" w:name="_Toc18"/>
      <w:bookmarkEnd w:id="46"/>
      <w:r>
        <w:rPr>
          <w:rtl w:val="true"/>
        </w:rPr>
        <w:t>الأمر الخامس</w:t>
      </w:r>
      <w:r>
        <w:rPr>
          <w:rtl w:val="true"/>
        </w:rPr>
        <w:t xml:space="preserve">: </w:t>
      </w:r>
      <w:r>
        <w:rPr>
          <w:rtl w:val="true"/>
        </w:rPr>
        <w:t>أنْ لا يكون الماء مستعملاً في رفع الخبث والحدث</w:t>
      </w:r>
      <w:r>
        <w:rPr>
          <w:rtl w:val="true"/>
        </w:rPr>
        <w:t>.</w:t>
      </w:r>
      <w:bookmarkEnd w:id="4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المستعمل في رفع الخبث، فالأقوى ذلك لما عرفت من نجاسته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المستعمل في رفع الحَدَث، فالأظهر جواز الوضوء به، كما تقدّم تحقيقه في مبحث المياه</w:t>
      </w:r>
      <w:r>
        <w:rPr>
          <w:rFonts w:eastAsia="Amiri" w:cs="Amiri" w:ascii="Amiri" w:hAnsi="Amiri"/>
          <w:color w:val="111111"/>
          <w:sz w:val="28"/>
          <w:szCs w:val="28"/>
          <w:rtl w:val="true"/>
          <w:lang w:bidi="ar-SA"/>
        </w:rPr>
        <w:t>.</w:t>
      </w:r>
      <w:r>
        <w:rPr>
          <w:rStyle w:val="FootnoteAnchor"/>
          <w:rtl w:val="true"/>
        </w:rPr>
        <w:footnoteReference w:id="61"/>
      </w:r>
      <w:bookmarkStart w:id="48" w:name="pg11795_115299"/>
    </w:p>
    <w:p>
      <w:pPr>
        <w:pStyle w:val="BookText"/>
        <w:rPr/>
      </w:pPr>
      <w:bookmarkEnd w:id="48"/>
      <w:r>
        <w:rPr>
          <w:rFonts w:ascii="IRNazanin" w:hAnsi="IRNazanin" w:eastAsia="IRNazanin"/>
          <w:color w:val="111111"/>
          <w:sz w:val="28"/>
          <w:sz w:val="28"/>
          <w:szCs w:val="28"/>
          <w:rtl w:val="true"/>
          <w:lang w:bidi="fa-IR"/>
        </w:rPr>
        <w:t>الوضوء بالماء المغصوب</w:t>
      </w:r>
    </w:p>
    <w:p>
      <w:pPr>
        <w:pStyle w:val="Heading6"/>
        <w:numPr>
          <w:ilvl w:val="5"/>
          <w:numId w:val="1"/>
        </w:numPr>
        <w:rPr/>
      </w:pPr>
      <w:bookmarkStart w:id="49" w:name="__RefHeading___Toc10328653_73709187"/>
      <w:bookmarkStart w:id="50" w:name="_Toc19"/>
      <w:bookmarkEnd w:id="49"/>
      <w:r>
        <w:rPr>
          <w:rtl w:val="true"/>
        </w:rPr>
        <w:t>الأمر السادس</w:t>
      </w:r>
      <w:r>
        <w:rPr>
          <w:rtl w:val="true"/>
        </w:rPr>
        <w:t xml:space="preserve">: </w:t>
      </w:r>
      <w:r>
        <w:rPr>
          <w:rtl w:val="true"/>
        </w:rPr>
        <w:t>أنْ يكون الماء مباحاً،</w:t>
      </w:r>
      <w:bookmarkEnd w:id="50"/>
    </w:p>
    <w:p>
      <w:pPr>
        <w:pStyle w:val="Heading6"/>
        <w:numPr>
          <w:ilvl w:val="5"/>
          <w:numId w:val="1"/>
        </w:numPr>
        <w:rPr/>
      </w:pPr>
      <w:bookmarkStart w:id="51" w:name="__RefHeading___Toc10328655_73709187"/>
      <w:bookmarkStart w:id="52" w:name="_Toc20"/>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فلا يصحّ لو كان غصباً بلا خلافٍ‌، بل عن غير واحدٍ دعوى الإجماع عليه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الكليني رحمه الله</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بجواز الوضوء بالمغصوب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أقوى، إذ التوضّؤ من الماء واستعماله في الوضوء تصرّفٌ في المغصوب، فينطبق عليه عنوان الغصبيّة، فيتّحد المأمور به والمنهيّ عنه وجوداً، ولا مناص في أمثال المقام من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أنّ الإطلاق في طرف النهي شمولي، وفي طرف الأمر بدلي، قدّم إطلاق دليل النهي، بناءً على ما هو الحقّ من تقدّم الشمولي على البدلي، فالوضوء بالماء المغصوب لا ينطبق عليه الطبيعة المأمور بها، فيقع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صورة عدم الانحصار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فرض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مأمور بالتيمّم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الآنية التي يتوضّأ منها مغصوبة، صحَّ الوضوء منه، لما عرفت في مبحث الأواني من أنّ الوضوء من الآنية لا يعدّ تصرّفاً فيها، فلا يتّحد المأمور به والمنهي عنه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الصحّة إذا كان المكان الذي يستقرّ فيه المتوضّي غصباً، كما عن المحقّق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التصرّف في المغصوب على نفس الوضوء، لأنّ الفضاء الذي يكون فيه العضو غصبٌ‌، فوجود البَلَل وإمرار العضو الماسح فيه 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النحو من التصرّف في مال الغير لا دليل على حرمته، لانصراف الأدلّة عنه، فما عن المشهور من البطلان في الفرض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مصبّ الماء غصباً فهل يصحّ الوضوء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صبّ الماء على الأعضاء عملٌ واحدٌ ينطبق عليه كلا العنوانين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 المأمور به وهو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والعنوان المنهيّ عنه وهو التصرّف في مال الغير، لأنّ به ينصبّ الماء في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مواضع الوضوء بما أنّها تباين المصبّ المغصوب وجوداً، فوجود الماء على تلك المواضع وجريانه عليها غير وجود الماء في المصبّ‌، فلا يُعقل أن يكون إيجادهما واحداً، فلا محالة يكون المأمور به غير المنهيّ عنه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وجود الماء على الأعضاء من قبيل المقدّمات الإعداديّة لوجوده في المصبّ‌، فحرمة كونه في المصبّ‌، تقتضي حرمة مقدّماته التي يعلم بترتّبه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تسليم حرمة مقدّمة الحرام ما لم تكن علَّة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التكليف الغيري بما أنّها لا توجب البُعد عن المولى، فلا مانع من التقرّب بما هو متعلّق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 الإمام الصادق عليه السلام، في خبر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أخذوا ما نهاهم اللّه عنه فأنفقوه فيما أمرهم اللّه تعالى به، ما قبله منهم حتّى يأخذوه من حقّ وينفقوه في حقّ‌</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يدلّ عليه الخبر، اعتبار الإباحة في القبول لا في الأجزاء، مع أنّ إنفاق المنهي عنه في المأمور به لا يشمل الوضوء في المصبّ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اعتبار إباحة مصبّ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صورة الانحصار يعتبر ذلك، لأنّ الوضوء إذا كان مستلزماً للمحرّم سَقَط التكليف به للعجز، وينتقل الفرض إلى التيمّم، ولا يجري الترتّب في أمثال المقام ممّا هو مشروطٌ بالقدرة شرعاً، كما حقّقناه في مبحث الترتّب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المحقّقين</w:t>
      </w:r>
      <w:r>
        <w:rPr>
          <w:rStyle w:val="FootnoteAnchor"/>
          <w:rtl w:val="true"/>
        </w:rPr>
        <w:footnoteReference w:id="66"/>
      </w:r>
      <w:r>
        <w:rPr>
          <w:rFonts w:ascii="Amiri" w:hAnsi="Amiri" w:eastAsia="Amiri" w:cs="Amiri"/>
          <w:color w:val="111111"/>
          <w:sz w:val="28"/>
          <w:sz w:val="28"/>
          <w:szCs w:val="28"/>
          <w:rtl w:val="true"/>
          <w:lang w:bidi="ar-SA"/>
        </w:rPr>
        <w:t>أنّه لا فرق في عدم صحّة الوضوء بالماء المغصوب، بين صورة العلم والعمد، والجهل والنسيان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القول بالامتناع، وتقديم جانب النهي، يخرج المجمع عن حيّز الأمر، ويكون متمحّضاً في الحرمة، ومعه لا وجه للاجتزاء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ذكره بعض الأعاظم</w:t>
      </w:r>
      <w:r>
        <w:rPr>
          <w:rStyle w:val="FootnoteAnchor"/>
          <w:rtl w:val="true"/>
        </w:rPr>
        <w:footnoteReference w:id="67"/>
      </w:r>
      <w:r>
        <w:rPr>
          <w:rFonts w:ascii="Amiri" w:hAnsi="Amiri" w:eastAsia="Amiri" w:cs="Amiri"/>
          <w:color w:val="111111"/>
          <w:sz w:val="28"/>
          <w:sz w:val="28"/>
          <w:szCs w:val="28"/>
          <w:rtl w:val="true"/>
          <w:lang w:bidi="ar-SA"/>
        </w:rPr>
        <w:t>في وجه الصحّة في صورتي الجهل والنسيان، من أنّ المبغوضيّة الواقعيّة التي يعذر العبد في مخالفتها، لا تنافي العباديّة، فإذا فُرِض كون الوضوء تامّاً في نفسه، جامعاً لأجزائه وشرائطه، حتّى حيثيّة التعبّد به، كان صحيحاً مسقطاً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القربة بإتيان المحرم لا يوجب اتّصافه بالعباديّة، ولكن ما ذكره إنّما يتمّ في صورة الجهل دون النسيان، إذ في صورة النسيان مقتضى حديث</w:t>
      </w:r>
      <w:r>
        <w:rPr>
          <w:rStyle w:val="FootnoteAnchor"/>
          <w:rtl w:val="true"/>
        </w:rPr>
        <w:footnoteReference w:id="68"/>
      </w:r>
      <w:r>
        <w:rPr>
          <w:rFonts w:ascii="Amiri" w:hAnsi="Amiri" w:eastAsia="Amiri" w:cs="Amiri"/>
          <w:color w:val="111111"/>
          <w:sz w:val="28"/>
          <w:sz w:val="28"/>
          <w:szCs w:val="28"/>
          <w:rtl w:val="true"/>
          <w:lang w:bidi="ar-SA"/>
        </w:rPr>
        <w:t>الرفع، رفع الحرمة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بالصحّة قوي، إذ اعتبار عدم كون ماء الوضوء غصباً، ليس للنهي الإرشادي، بل إنّما يكون الموجب له الحرمة، بناءً على أنّ المورد من موارد اجتماع الأمر والنهي، فإذا ارتفعت الحرمة بالنسيان يرتفع اعتباره، وإلّا كان التقييد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النسيان إنّما يوحب سقوط الحرمة، وأمّا الملاك المقتضي للنهي فهو باقٍ على حاله، فلا محالة يقع التزاحم بينه وبين ملاك الأمر، وحيث أنّ المفروض غلبة ملاك النهي، فلا يمكن التقرّب بما يشتمل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الذي لا يؤثّر في المبغوضيّة الفعليّة، ومعه يكون الفعل مورداً للترخيص، لا يمكن أن يكون مانعاً عن تعلّق الأمر بالفعل، بعد فرض اشتماله في نفسه على الملاك الملزم، فلا مانع من التقرّب بذلك الفعل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ذكرناه في محلّه، من أنّه بعد سقوط التكليف لا طريق لنا إلى كشف وجود الملاك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3" w:name="pg11795_115303"/>
    </w:p>
    <w:p>
      <w:pPr>
        <w:pStyle w:val="BookText"/>
        <w:rPr/>
      </w:pPr>
      <w:bookmarkEnd w:id="53"/>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صحّة الوضوء بالماء المغصوب في صورة النسيان، وبطلانه في صورة الجهل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أنّ الأقوى هو الصحّة فيما لو اُكره على التصرّف في المغصوب أو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الوضوء مستلزماً لتحريك شيءٍ 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الوضوء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أمكن، فالأقوى هو الصحّة، لعدم اتّحاد المأمور به والمنهي عنه 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فالأظهر هو البطلان، إذ مع عدم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 الوضوء للحرام، وعدم القدرة على امتثال التكليفين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الفرض إلى التيمّم، ويسقط التكليف بالوضوء، ولا يصحّ الأمر به حتّى بنحو الترتّب لعدم جريانه في أمثال المقام ممّا هو مشروط بالقدرة شرعاً</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10328657_73709187"/>
      <w:bookmarkStart w:id="55" w:name="_Toc21"/>
      <w:bookmarkEnd w:id="54"/>
      <w:r>
        <w:rPr>
          <w:rtl w:val="true"/>
        </w:rPr>
        <w:t>الوضوء تحت الخيمة المغصوبة</w:t>
      </w:r>
      <w:bookmarkEnd w:id="55"/>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تحت الخيمة المغصوبة وجوهٌ وأقوال، ثالثها البطلان إذا عُدّ تصرّفاً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فيها على قسمين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يصدر عليه الانتفاع بالخيمة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حال الحَرّ أو البرد المحتاج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ذا ماليّة معتدٍّ بها عند العقلاء، حرم الجلوس تحتها، لحرمة التصرّف في </w:t>
      </w:r>
    </w:p>
    <w:p>
      <w:pPr>
        <w:pStyle w:val="BookText"/>
        <w:rPr/>
      </w:pPr>
      <w:r>
        <w:rPr>
          <w:rFonts w:ascii="Amiri" w:hAnsi="Amiri" w:eastAsia="Amiri" w:cs="Amiri"/>
          <w:color w:val="111111"/>
          <w:sz w:val="28"/>
          <w:sz w:val="28"/>
          <w:szCs w:val="28"/>
          <w:rtl w:val="true"/>
          <w:lang w:bidi="ar-SA"/>
        </w:rPr>
        <w:t>ملك الغير، وإنْ كان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إذا لم يصدق الانتفاع بها، أو صَدَق ولكن لم يكن ذا ماليّة، لما كان الجلوس والتصرّف فيها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عدم صدق الانتفاع فواضح، وأمّا في صورة عدم كون الانتفاع ذا ماليّة، فلأنّ مجرّد الانتفاع بمال الغير لا دليل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التقادير، لا وجه للحكم ببطلان الوضوء في صورة عدم الانحصار، لعدم انطباق المنهيّ عنه على المأمور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الحكم في صورة الانحصار وعدم حرمة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الانحصار وحرمته، فالأظهر هو الحكم بالبطلان، لما تقدّم من أنّ الفرض في أمثال المقام ينتقل إلى التيمّم، ولا يجري الترتّب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كسائر الاستعمالات من الأنهار الكبار، بلا خلافٍ بين الأصحاب، وتشهد له السيرة القطعيّة الكاشفة عن رضا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عن السيرة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الناس في ثلاثةٍ شرعٌ سواء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والنار والكلاء كما في النصوص</w:t>
      </w:r>
      <w:r>
        <w:rPr>
          <w:rStyle w:val="FootnoteAnchor"/>
          <w:rtl w:val="true"/>
        </w:rPr>
        <w:footnoteReference w:id="69"/>
      </w:r>
      <w:r>
        <w:rPr>
          <w:rFonts w:ascii="Amiri" w:hAnsi="Amiri" w:eastAsia="Amiri" w:cs="Amiri"/>
          <w:color w:val="111111"/>
          <w:sz w:val="28"/>
          <w:sz w:val="28"/>
          <w:szCs w:val="28"/>
          <w:rtl w:val="true"/>
          <w:lang w:bidi="ar-SA"/>
        </w:rPr>
        <w:t>، ولا ينافي ذلك ما عُلم بالضرورة من عدم التساوي في كثير من الموارد، فإنّه من باب التخصيص، فمع الشكّ يرجع إلى العام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بعض الأعاظم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تلك النصوص ظاهرة أو محمولة على ما هو مباحٌ بالأصل قبل عروض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البناء على ثبوت عموم الاشتراك إلّاما خرج بالدليل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منها لو كان هو المباح بالأصل، لما كان وجهٌ لتخصيص بهذه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مَنشأ الاستبعاد إنْ كان هو لزوم تخصيص الأكثرالمستهجن، فهو واضح الدفع، إذ الباقي تحت العام أكثر بمراتب من الخارج، وإنْ كان غيره فعليه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المصنّف رحمه الله وغيره، وهو شهادة الحال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اطّراد 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تجدي في الجواز إذا كان في المالكين الصغار أو 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الإباحة بعد سقوط ما دلَّ على عدم جواز التصرّف في مال الغير، إمّا لانصرافه عن المقام، أو معارضته بما دلَّ على مطهّريّة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الانصراف، فممنوعةٌ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المعارضة، فيرد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جريان هذا الوجه في سائر المياه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مبحث اعتبار إباحة الماء</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الحَرَج الشديد من عدم جواز الوضوء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اطّراده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عدم وجوب الوضوء، وانتقال الفرض إلى التيمّم لا الوضوء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من الأخبار الكثيرة</w:t>
      </w:r>
      <w:r>
        <w:rPr>
          <w:rStyle w:val="FootnoteAnchor"/>
          <w:rtl w:val="true"/>
        </w:rPr>
        <w:footnoteReference w:id="72"/>
      </w:r>
      <w:r>
        <w:rPr>
          <w:rFonts w:ascii="Amiri" w:hAnsi="Amiri" w:eastAsia="Amiri" w:cs="Amiri"/>
          <w:color w:val="111111"/>
          <w:sz w:val="28"/>
          <w:sz w:val="28"/>
          <w:szCs w:val="28"/>
          <w:rtl w:val="true"/>
          <w:lang w:bidi="ar-SA"/>
        </w:rPr>
        <w:t>جواز الشرب والوضوء من الماء ما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أجنبيّة عن المقام، لورودها في مقام بيان عدم تنجّس الماء العاصم ما لم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هي السيرة، وما دلَّ على أنّ الناس في ثلاثة شرعٌ سواء، ومقتضى إطلاق الثاني الجواز حتّى مع نهيهم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bookmarkStart w:id="56" w:name="pg11795_115307"/>
    </w:p>
    <w:p>
      <w:pPr>
        <w:pStyle w:val="BookText"/>
        <w:rPr/>
      </w:pPr>
      <w:bookmarkEnd w:id="56"/>
      <w:r>
        <w:rPr>
          <w:rFonts w:ascii="IRNazanin" w:hAnsi="IRNazanin" w:eastAsia="IRNazanin"/>
          <w:color w:val="111111"/>
          <w:sz w:val="28"/>
          <w:sz w:val="28"/>
          <w:szCs w:val="28"/>
          <w:rtl w:val="true"/>
          <w:lang w:bidi="fa-IR"/>
        </w:rPr>
        <w:t>اعتبار عدم المانع من استعمال الماء</w:t>
      </w:r>
    </w:p>
    <w:p>
      <w:pPr>
        <w:pStyle w:val="Heading6"/>
        <w:numPr>
          <w:ilvl w:val="5"/>
          <w:numId w:val="1"/>
        </w:numPr>
        <w:rPr/>
      </w:pPr>
      <w:bookmarkStart w:id="57" w:name="__RefHeading___Toc10328659_73709187"/>
      <w:bookmarkStart w:id="58" w:name="_Toc22"/>
      <w:bookmarkEnd w:id="57"/>
      <w:r>
        <w:rPr>
          <w:rtl w:val="true"/>
        </w:rPr>
        <w:t>الأمر السابع</w:t>
      </w:r>
      <w:r>
        <w:rPr>
          <w:rtl w:val="true"/>
        </w:rPr>
        <w:t xml:space="preserve">: </w:t>
      </w:r>
      <w:r>
        <w:rPr>
          <w:rtl w:val="true"/>
        </w:rPr>
        <w:t>أن لا يكون مانعٌ من استعمال الماء،</w:t>
      </w:r>
      <w:bookmarkEnd w:id="58"/>
    </w:p>
    <w:p>
      <w:pPr>
        <w:pStyle w:val="Heading6"/>
        <w:numPr>
          <w:ilvl w:val="5"/>
          <w:numId w:val="1"/>
        </w:numPr>
        <w:rPr/>
      </w:pPr>
      <w:bookmarkStart w:id="59" w:name="__RefHeading___Toc10328661_73709187"/>
      <w:bookmarkStart w:id="60" w:name="_Toc23"/>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من مرضٍ أو خوفِ عطشٍ أو نحو ذلك، وإلّا فهو مأمور بالتيمّم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الإضرار بالنفس حرامٌ شرعاً، وبما أنّ الإضرار من العناوين التوليديّة المنطبقة على ما ينطبق عليه العنوان المتولّد، فحرمته تسري إلى الوضوء الذي يتولّد منه عنوان الإضرار فيبطل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الإضرار بالنفس ما لم يبلغ إلى الهلاكة، أو قطع عضوٍ من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مبغوضيّته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حرمته،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لا ضرر</w:t>
      </w:r>
      <w:r>
        <w:rPr>
          <w:rStyle w:val="FootnoteAnchor"/>
          <w:rtl w:val="true"/>
        </w:rPr>
        <w:footnoteReference w:id="73"/>
      </w:r>
      <w:r>
        <w:rPr>
          <w:rFonts w:ascii="Amiri" w:hAnsi="Amiri" w:eastAsia="Amiri" w:cs="Amiri"/>
          <w:color w:val="111111"/>
          <w:sz w:val="28"/>
          <w:sz w:val="28"/>
          <w:szCs w:val="28"/>
          <w:rtl w:val="true"/>
          <w:lang w:bidi="ar-SA"/>
        </w:rPr>
        <w:t>، فإنّه ينفي كلّ حكمٍ ضرري، فوجوب الوضوء إذا كان ضرريّاً يرتفع بالحديث، وينتقل الفرض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نفي الضرر لوروده مورد الإرفاق والامتنان، لا يصلح إلّا لرفع الأحكام اللّزوميّة الضرريّة، وأمّا الحكم الاستحبابي فلا يرفع به إذا كان ضرريّاً، لعدم الامتنان والتوسعة في رفعه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فلزوم الوضوء يرتفع به، وأمّا استحبابه النفسي فلا يكون مرفوعاً، فتكون نتيجة ضمّ الأدلّة بعضها ببعض، التخيير بين الوضوء والتيمّم في الفرض، لا الأمر بخصوص التيمّم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بعض الأعاظم</w:t>
      </w:r>
      <w:r>
        <w:rPr>
          <w:rStyle w:val="FootnoteAnchor"/>
          <w:rtl w:val="true"/>
        </w:rPr>
        <w:footnoteReference w:id="7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أنّ حديث نفي الضرر إنّما ينفي كلّ تشريع 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إنّما يرفع الحكم لا الملاك، فإتيانه بداعي الملاك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كاشف عن وجود الملاك سوى الحكم، فمع انتفائه لا طريق لنا إلى إحراز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لزوم الوضوء تدلّ على وجوده بالالتزام، وحديث نفي الضرر يعارضها في الدلالة المطابقيّة لا في الدلالة الالتزاميّة، فهي الحجّة لوجود الملاك، إذ الدلالة الالتزاميّة فرع الدلالة المطابقيّة وجوداً لا 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حقّقناه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التعادل والترجيح، من أنّ الدلالة الالتزاميّة تابعة للدلالة المطابقيّة في الحجيّة أيضاً، ولذا بنينا على أنّه في المتعارضين على فرض اقتضاء قاعدة التساقط، لا يصحّ نفي الحكم الثالث بهما، لعدم حجّيتهما في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75"/>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الأمر بالوضوء عُلّق في الآية الشريفة على وجدان الماء، والأمر بالتيمّم على عدم وجدانه، فالقول بصحّتهما والتخيير بينهما، مستلزمٌ للجمع بين النقيضين، فإذا ثبت بالدليل عدم وجوب الوضوء وصحّة التيمّم، يشكل الحكم بصحّته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الوضوء، ووجوب التيمّم عُلّقا على الوجدان أو عدمه لا صحّتهما، فمن الممكن أن يكون واجد الماء في موردٍ يجوز له التيمّم، وبرغم ذلك</w:t>
      </w:r>
      <w:r>
        <w:rPr>
          <w:rFonts w:eastAsia="Amiri" w:cs="Amiri" w:ascii="Amiri" w:hAnsi="Amiri"/>
          <w:color w:val="111111"/>
          <w:sz w:val="28"/>
          <w:szCs w:val="28"/>
          <w:rtl w:val="true"/>
          <w:lang w:bidi="ar-SA"/>
        </w:rPr>
        <w:t xml:space="preserve">). </w:t>
      </w:r>
      <w:bookmarkStart w:id="61" w:name="pg11795_115309"/>
    </w:p>
    <w:p>
      <w:pPr>
        <w:pStyle w:val="BookText"/>
        <w:rPr/>
      </w:pPr>
      <w:bookmarkEnd w:id="61"/>
      <w:r>
        <w:rPr>
          <w:rFonts w:ascii="Amiri" w:hAnsi="Amiri" w:eastAsia="Amiri" w:cs="Amiri"/>
          <w:color w:val="111111"/>
          <w:sz w:val="28"/>
          <w:sz w:val="28"/>
          <w:szCs w:val="28"/>
          <w:rtl w:val="true"/>
          <w:lang w:bidi="ar-SA"/>
        </w:rPr>
        <w:t>يكون مأموراً بالوضوء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بطلان الوضوء لو توضّأ مَنْ يتضرّر من استعمال الماء، ومنه يظهر حكم ما إذا كان الوضوء في موردٍ حرجيّاً</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10328663_73709187"/>
      <w:bookmarkStart w:id="63" w:name="_Toc24"/>
      <w:bookmarkEnd w:id="62"/>
      <w:r>
        <w:rPr>
          <w:rtl w:val="true"/>
        </w:rPr>
        <w:t>حكم طهارة الجاهل بضررها</w:t>
      </w:r>
      <w:bookmarkEnd w:id="63"/>
    </w:p>
    <w:p>
      <w:pPr>
        <w:pStyle w:val="BookText"/>
        <w:rPr/>
      </w:pPr>
      <w:r>
        <w:rPr>
          <w:rFonts w:ascii="Amiri" w:hAnsi="Amiri" w:eastAsia="Amiri" w:cs="Amiri"/>
          <w:color w:val="111111"/>
          <w:sz w:val="28"/>
          <w:sz w:val="28"/>
          <w:szCs w:val="28"/>
          <w:rtl w:val="true"/>
          <w:lang w:bidi="ar-SA"/>
        </w:rPr>
        <w:t>ثمّ إنّه على القول بالبطلان، لو كان جاهلاً بالضرر، فهل يحكم بالصحّة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وجه البطلان في صورة العلم هو الوجه الأوّل أو الثالث، لا مناص عن القول به في صورة الجهل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هو الوجه الثاني، فالمتّجه هو الحكم بالصحّة، إذ الحكم بفساد ما أتى به الجاهل بالضرر، والأمر بالتيمّم وإعادة ما يكون مشروطاً بالطهارة مخالفان للامتنان، وحيث أنّ الحديث وارد في مقام الامتنان، فلا يشمل المقام</w:t>
      </w:r>
      <w:r>
        <w:rPr>
          <w:rFonts w:eastAsia="Amiri" w:cs="Amiri" w:ascii="Amiri" w:hAnsi="Amiri"/>
          <w:color w:val="111111"/>
          <w:sz w:val="28"/>
          <w:szCs w:val="28"/>
          <w:rtl w:val="true"/>
          <w:lang w:bidi="ar-SA"/>
        </w:rPr>
        <w:t>.</w:t>
      </w:r>
      <w:bookmarkStart w:id="64" w:name="pg11795_115310"/>
    </w:p>
    <w:p>
      <w:pPr>
        <w:pStyle w:val="Heading6"/>
        <w:numPr>
          <w:ilvl w:val="5"/>
          <w:numId w:val="1"/>
        </w:numPr>
        <w:rPr/>
      </w:pPr>
      <w:bookmarkStart w:id="65" w:name="__RefHeading___Toc10328665_73709187"/>
      <w:bookmarkStart w:id="66" w:name="_Toc25"/>
      <w:bookmarkEnd w:id="64"/>
      <w:bookmarkEnd w:id="65"/>
      <w:r>
        <w:rPr>
          <w:rtl w:val="true"/>
        </w:rPr>
        <w:t>حكم تعارض الوضوء والصلاة</w:t>
      </w:r>
      <w:bookmarkEnd w:id="66"/>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يكن الوقت واسعاً للصلاة والوضوء، بأن لزم من التوضّأ وقوع صلاته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عدم وقوع ركعةٍ منها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ذلك، بل لو توضّأ وصلّى، يقع مقدار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أو 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والباقي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ولا ريب في تقدّم الوقت على سائر الشرائط والأجزاء عند التعارض، فبمقتضى الخبر الوارد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لا تدع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التيمّم وإيقاع الصلاة في الوقت، ولو توضّأ لهذه الصلاة بطل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لو توضّأ بقصد أمره النفسي، أو لغايةٍ اُخرى، بناءً على عدم اقتضاء الأمر بالشيء النهي عن ضدّه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آنفاً من عدم جريان الترتّب فيما له البدل، إنّما هو فيما انتقل الفرض إلى البدل، لا في مثل المقام ممّا لم ينتقل الفرض إلى التيمّم بالنسبة إلى الأمر النفسي، ولا بالنسبة إلى الغاية الاُخرى غير الصلاة،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التيمّم أيضاً كذلك، بأن يكون زمانه بقدر زمان الوضوء أو أكثر، وإلّا فبناءً على سقوط التكليف بالصلاة عن فاقد الطهورين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سقوطه، فإنّه يتعيّن عليه الصلاة بلا طهارة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المكلّف من أداء أربع ركعات في الوقت مع الطهارة 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الوضوء عليه، وعدم انتقال الفرض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التخيير بين أداء أربع ركعات في الوقت مع الطهارة الترابيّة، أو ركعة واحدة فيه مع الطهارة المائيّة، خلافاً لأكثر المحقّقين، وذلك لما حقّقناه في الفصل الثالث من فصول مبحث القبلة في كتابنا هذا</w:t>
      </w:r>
      <w:r>
        <w:rPr>
          <w:rStyle w:val="FootnoteAnchor"/>
          <w:rtl w:val="true"/>
        </w:rPr>
        <w:footnoteReference w:id="76"/>
      </w:r>
      <w:r>
        <w:rPr>
          <w:rFonts w:ascii="Amiri" w:hAnsi="Amiri" w:eastAsia="Amiri" w:cs="Amiri"/>
          <w:color w:val="111111"/>
          <w:sz w:val="28"/>
          <w:sz w:val="28"/>
          <w:szCs w:val="28"/>
          <w:rtl w:val="true"/>
          <w:lang w:bidi="ar-SA"/>
        </w:rPr>
        <w:t>من أنّ التنافي بين الأوامر الضمنيّة لا يكون من باب التزاحم، بل يرجع إلى التعارض، وسيظهر في محلّه إنْ شاء اللّه تعالى أنّ مركز التنافي إنّما هو إطلاق دليل كلّ من المعتبرين في المركّب، وأنّه لو كان لكلّ من الدليلين إطلاق، فمقتضى</w:t>
      </w:r>
      <w:r>
        <w:rPr>
          <w:rStyle w:val="FootnoteAnchor"/>
          <w:rtl w:val="true"/>
        </w:rPr>
        <w:footnoteReference w:id="77"/>
      </w:r>
      <w:r>
        <w:rPr>
          <w:rFonts w:ascii="Amiri" w:hAnsi="Amiri" w:eastAsia="Amiri" w:cs="Amiri"/>
          <w:color w:val="111111"/>
          <w:sz w:val="28"/>
          <w:sz w:val="28"/>
          <w:szCs w:val="28"/>
          <w:rtl w:val="true"/>
          <w:lang w:bidi="ar-SA"/>
        </w:rPr>
        <w:t>القاعدة تساقطهما والرجوع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بعد العلم بسقوط الأمر المتعلّق بالصلاة مع الطهارة المائيّة في الوقت للعجز، وحدوث الأمر بالخالي عن أحدهما، يقع التعارض بين إطلاق دليل اعتبار الطهارة، وإطلاق دليل لزوم إيقاع الصلاة بتمامها في الوقت، فيتساقطان، والمرجع هو الأصل، وهو يقتضي التخيير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لذلك مزيد توضيح في محلّه إنْ شاء اللّه تعالى‌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7" w:name="pg11795_115312"/>
    </w:p>
    <w:p>
      <w:pPr>
        <w:pStyle w:val="BookText"/>
        <w:rPr/>
      </w:pPr>
      <w:bookmarkEnd w:id="67"/>
      <w:r>
        <w:rPr>
          <w:rFonts w:ascii="Amiri" w:hAnsi="Amiri" w:eastAsia="Amiri" w:cs="Amiri"/>
          <w:color w:val="111111"/>
          <w:sz w:val="28"/>
          <w:sz w:val="28"/>
          <w:szCs w:val="28"/>
          <w:rtl w:val="true"/>
          <w:lang w:bidi="ar-SA"/>
        </w:rPr>
        <w:t>المباشرة في أفعال الوضوء</w:t>
      </w:r>
    </w:p>
    <w:p>
      <w:pPr>
        <w:pStyle w:val="Heading6"/>
        <w:numPr>
          <w:ilvl w:val="5"/>
          <w:numId w:val="1"/>
        </w:numPr>
        <w:rPr/>
      </w:pPr>
      <w:bookmarkStart w:id="68" w:name="__RefHeading___Toc10328667_73709187"/>
      <w:bookmarkStart w:id="69" w:name="_Toc26"/>
      <w:bookmarkEnd w:id="68"/>
      <w:r>
        <w:rPr>
          <w:rtl w:val="true"/>
        </w:rPr>
        <w:t>الأمر الثامن</w:t>
      </w:r>
      <w:r>
        <w:rPr>
          <w:rtl w:val="true"/>
        </w:rPr>
        <w:t xml:space="preserve">: </w:t>
      </w:r>
      <w:r>
        <w:rPr>
          <w:rtl w:val="true"/>
        </w:rPr>
        <w:t>ممّا يعتبر في الوضوء المباشرة،</w:t>
      </w:r>
      <w:bookmarkEnd w:id="69"/>
    </w:p>
    <w:p>
      <w:pPr>
        <w:pStyle w:val="Heading6"/>
        <w:numPr>
          <w:ilvl w:val="5"/>
          <w:numId w:val="1"/>
        </w:numPr>
        <w:rPr/>
      </w:pPr>
      <w:bookmarkStart w:id="70" w:name="__RefHeading___Toc10328669_73709187"/>
      <w:bookmarkStart w:id="71" w:name="_Toc27"/>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فلا يجوز التولية في الوضوء بلا خلافٍ‌، بل 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وهو الموافق للقاعدة، إذ مقتضى إطلاق ما تضمّن الأمر بفعلٍ‌، عدم سقوطه بفعل الغير، كما أنّ مقتضى استصحاب بقاء التكليف هو ذلك، من غير فرقٍ بين الاستنابة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عدمها فواضحٌ‌، إذ السقوط به حينئذٍ لا يكون إلّابكون فعل الغير رافعاً للموضوع أو لملاكه، فالشكّ فيه يرجع إلى الشكّ في تقيّد الخطاب به، فإطلاقه يُثبت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الاستنابة، فيتوقّف معرفة أنّ مقتضى الإطلاق هو عدم السقوط على معرفة حقيقة النيابة، وقد بيَّنا حقيقتها في كتابنا هذا في مبحث صلاة الاستئجار،</w:t>
      </w:r>
      <w:r>
        <w:rPr>
          <w:rStyle w:val="FootnoteAnchor"/>
          <w:rtl w:val="true"/>
        </w:rPr>
        <w:footnoteReference w:id="82"/>
      </w:r>
      <w:r>
        <w:rPr>
          <w:rFonts w:ascii="Amiri" w:hAnsi="Amiri" w:eastAsia="Amiri" w:cs="Amiri"/>
          <w:color w:val="111111"/>
          <w:sz w:val="28"/>
          <w:sz w:val="28"/>
          <w:szCs w:val="28"/>
          <w:rtl w:val="true"/>
          <w:lang w:bidi="ar-SA"/>
        </w:rPr>
        <w:t>وذكرنا أنّه ليس التكليف بفعل النائب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عن الأمر به على المنوب عنه على نحو التخيير، بين أن يفعله هو أو نائبه، ليكون فعل النائب من أطراف الواجب التخييري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ليس عبارةٌ عن الأمر بالعمل على المنوب عنه أعمّ من أن يكون بفعل نفسه أو غيره المنزّل بدنه منزلة بدن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حقيقة النيابة تنزيل فعل النائب منزلة فعل المنوب عنه، فالعمل الواجب على المنوب عنه فيه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يريد الشارع تحقّقه في الخارج، مع قطع النظر عن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يريد إضافته إليه، ولو بأن يأتي به النائب، فمن جهة المصدر هو مخيّر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وتحقيقه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فمرجع الشكّ في سقوطه بفعل الغير مع الاستنابة، إلى الشكّ في التخيير من جهة المصدر، وقد حقّقنا في محلّه أنّ مقتضى إطلاق الخطاب هو الوجوب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والاستصحاب، لزوم المباشرة، وعدم جواز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استدلّ له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يُشْرِكْ بِعِبادَةِ رَبِّهِ أَحَداً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تفسيرها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الرِّضا عليه السلام وبين يديه إبريق يريد أن يتهيّأ للصلاة، فدنوت منهُ لأصبّ عليه، فأبى ذلك،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تنهاني أنْ أصبَّ على يديك، تكره أنْ أؤجر؟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تؤجر أنتَ وأؤزر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رَبِّهِ فَلْيَعْمَلْ عَمَلاً صالِحاً وَ لا يُشْرِكْ بِعِبادَةِ رَبِّهِ أَحَداً </w:t>
      </w:r>
      <w:r>
        <w:rPr>
          <w:rStyle w:val="FootnoteAnchor"/>
          <w:rtl w:val="true"/>
        </w:rPr>
        <w:footnoteReference w:id="84"/>
      </w:r>
      <w:r>
        <w:rPr>
          <w:rFonts w:ascii="Amiri" w:hAnsi="Amiri" w:eastAsia="Amiri" w:cs="Amiri"/>
          <w:color w:val="111111"/>
          <w:sz w:val="28"/>
          <w:sz w:val="28"/>
          <w:szCs w:val="28"/>
          <w:rtl w:val="true"/>
          <w:lang w:bidi="ar-SA"/>
        </w:rPr>
        <w:t>وها أنا أتوضّأ للصلاة، وهي العبادة فأكره أن يشركني فيها أحد</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الصدوق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إذا توضّأ لم يدع أحداً يصبّ عليه الماء،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لا تَدَعهم يصبّون عليك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اُشرك في صلاتي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أبي عبد اللّه عليه السلام،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أحبّ أن يشاركني فيهما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وضوئي فإنّه من صلاتي، وصَدَقتي فإنّها من يدي إلى يد السائل، فإنّها تقع في يد الرحمن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ملاحظة سياقها وصدرها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الإشراك في عبادة الربّ‌، بأن يجعل غير اللّه تعالى شريكاً له في المعبوديّة، كما في خبر جرّاح المدائني الوارد في تفسيرها، عن أبي عبد اللّه عليه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يعمل شيئاً من الثواب لا يطلب به وجه اللّه تعالى‌، إنّما يطلب تزكية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يشتهي أن يَسمع به الناس، فهذا الذي أشرك بعبادة ربّه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خبر أبي الجارود، عن أبي جعفر عليه السلام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النصوص الواردة في تفسيرها فيتعيّن حملها على الكراهة،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موردها الإستعانة في مقدّمات الوضوء، كصبّ الماء على اليد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 الآية فيها بلحاظ كون العبادة هي الصلاة، وعدم كون صبّ الماء إشراكاً في الصلاة واضحٌ‌، بل هو استعانة في مقدّماتها، ولم يقُل أحدٌ بحرمة الاستعانة في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التعبير فيها بلا أحبّ وأكره وما أشبههما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جواز الاستعانة في الوضوء، وهو صحيح الحذّاء المتقدّم، وقد ورد فيه أنّه صبّ على يد الإمام الباقر عليه السلام في جَمْعٍ فَغَسل به وجهه، وكفّاً فغسل به ذراعه الأيمن، وكفّاً فغسل به ذراعه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معارضتها لما ورد في تفسيرها من أنّ المراد بها الإشراك في المعبوديّة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هو ما ذكرناه في وجه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الإسكافي</w:t>
      </w:r>
      <w:r>
        <w:rPr>
          <w:rStyle w:val="FootnoteAnchor"/>
          <w:rtl w:val="true"/>
        </w:rPr>
        <w:footnoteReference w:id="91"/>
      </w:r>
      <w:r>
        <w:rPr>
          <w:rFonts w:ascii="Amiri" w:hAnsi="Amiri" w:eastAsia="Amiri" w:cs="Amiri"/>
          <w:color w:val="111111"/>
          <w:sz w:val="28"/>
          <w:sz w:val="28"/>
          <w:szCs w:val="28"/>
          <w:rtl w:val="true"/>
          <w:lang w:bidi="ar-SA"/>
        </w:rPr>
        <w:t>من عدم حرمة التولية في الوضوء واعتبارها مكروهة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2" w:name="pg11795_115316"/>
    </w:p>
    <w:p>
      <w:pPr>
        <w:pStyle w:val="Heading6"/>
        <w:numPr>
          <w:ilvl w:val="5"/>
          <w:numId w:val="1"/>
        </w:numPr>
        <w:rPr/>
      </w:pPr>
      <w:bookmarkStart w:id="73" w:name="__RefHeading___Toc10328671_73709187"/>
      <w:bookmarkStart w:id="74" w:name="_Toc28"/>
      <w:bookmarkEnd w:id="72"/>
      <w:bookmarkEnd w:id="73"/>
      <w:r>
        <w:rPr>
          <w:rtl w:val="true"/>
        </w:rPr>
        <w:t>التولية في حال الاضطرار</w:t>
      </w:r>
      <w:bookmarkEnd w:id="74"/>
    </w:p>
    <w:p>
      <w:pPr>
        <w:pStyle w:val="BookText"/>
        <w:rPr/>
      </w:pPr>
      <w:r>
        <w:rPr>
          <w:rFonts w:ascii="Amiri" w:hAnsi="Amiri" w:eastAsia="Amiri" w:cs="Amiri"/>
          <w:color w:val="111111"/>
          <w:sz w:val="28"/>
          <w:sz w:val="28"/>
          <w:szCs w:val="28"/>
          <w:rtl w:val="true"/>
          <w:lang w:bidi="ar-SA"/>
        </w:rPr>
        <w:t>ثمّ إنّ ما ذكرناه من عدم جواز التولية، فإنّما هو بالنسبة إلى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لا يتمكّن من المباشرة، فيجوز له التولية، بل يجب باتّفاق الفقهاء،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ورد من أنّه يويمم المجدور والكسير وغيرهما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وبصحيح عبداللّه بن سليمان،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وجعاً شديد الوجع، فأصابته جنابة وهو في مكانٍ بارد،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الغِلمة،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فاغسلوني، فحَمَلوني ووضعوني على خشبات، ثمّ صبّوا عليَّ الماء فغسلوني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ورد في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كلّما غلب اللّه عليه فهو أولى بالعذر</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الخطابات بالوضوء شاملة للمقام، وما دلَّ على الاشتراط مختصّ بصورة المكنة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توصل إلى الطهارة بالقدر 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وبالقاعدة المستنبطة من خبر عبد الأعلى من جهة تفريع سقوط مباشرة المسح للبشرة فيه على نفي الحرج</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التعدّي عن التيمّم إلى الوضوء يحتاج إلى الدليل،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مخالفته لما ثبت بالدليل، من عدم عروض الاحتلام على الإمام عليه السلام، وحمله على الجنابة العمديّة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بصحيح محمّد ابن مسلم الحاكي لهذه القضيّة بكيفيّة اُخرى، فإنّه روي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اضطرّ إلى الغُسل وهو مريض، فأتوا به مسخناً فاغتسل،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الغُسل</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مباشرة الاغتسال، والجمع بينهما يقتضي حمل الأوّل على الإعانة بالمقدّمات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تكرّر منَّا من أنّ النصوص الدالّة على تلك القاعدة ضعيفة، مع أنّها لا تدلّ على سقوط الميسور من الأجزاء بالمعسور منها، وإنّما تدلّ على عدم سقوط الميسور من الأفراد بمعسورها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إنّما يدلّ على عدم وجوب المباشرة لا جواز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أوّل هذا المبحث</w:t>
      </w:r>
      <w:r>
        <w:rPr>
          <w:rStyle w:val="FootnoteAnchor"/>
          <w:rtl w:val="true"/>
        </w:rPr>
        <w:footnoteReference w:id="97"/>
      </w:r>
      <w:r>
        <w:rPr>
          <w:rFonts w:ascii="Amiri" w:hAnsi="Amiri" w:eastAsia="Amiri" w:cs="Amiri"/>
          <w:color w:val="111111"/>
          <w:sz w:val="28"/>
          <w:sz w:val="28"/>
          <w:szCs w:val="28"/>
          <w:rtl w:val="true"/>
          <w:lang w:bidi="ar-SA"/>
        </w:rPr>
        <w:t>من أنّ إطلاق الخطاب يقتضي اعتبار المباشرة، وعليه فلا مورد للتمسّك بإطلاقه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أنّه أراد به قاعدة الميسور التي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مبحث المسح على الرِّجلين، من عدم جواز التعدّي عن مورد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العمدة في الحكم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فالأحوط ضمّ التيمّم إليه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75" w:name="pg11795_115318"/>
    </w:p>
    <w:p>
      <w:pPr>
        <w:pStyle w:val="BookText"/>
        <w:rPr/>
      </w:pPr>
      <w:bookmarkEnd w:id="75"/>
      <w:r>
        <w:rPr>
          <w:rFonts w:ascii="Amiri" w:hAnsi="Amiri" w:eastAsia="Amiri" w:cs="Amiri"/>
          <w:color w:val="111111"/>
          <w:sz w:val="28"/>
          <w:sz w:val="28"/>
          <w:szCs w:val="28"/>
          <w:rtl w:val="true"/>
          <w:lang w:bidi="ar-SA"/>
        </w:rPr>
        <w:t>ويستحبُّ فيه غَسل اليدين قبل إدخالهما الإناء مرّةً مِنْ حَدَث النوم والبول، ومرّتين من الغائط، وثلاثاً من الجنابة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0328673_73709187"/>
      <w:bookmarkStart w:id="77" w:name="_Toc29"/>
      <w:bookmarkEnd w:id="76"/>
      <w:r>
        <w:rPr>
          <w:rtl w:val="true"/>
        </w:rPr>
        <w:t>مستحبّات الوضوء</w:t>
      </w:r>
      <w:bookmarkEnd w:id="77"/>
    </w:p>
    <w:p>
      <w:pPr>
        <w:pStyle w:val="Heading5"/>
        <w:numPr>
          <w:ilvl w:val="4"/>
          <w:numId w:val="1"/>
        </w:numPr>
        <w:rPr/>
      </w:pPr>
      <w:bookmarkStart w:id="78" w:name="__RefHeading___Toc10328675_73709187"/>
      <w:bookmarkStart w:id="79" w:name="_Toc30"/>
      <w:bookmarkEnd w:id="78"/>
      <w:r>
        <w:rPr>
          <w:rtl w:val="true"/>
        </w:rPr>
        <w:t>اشارة</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0328677_73709187"/>
      <w:bookmarkStart w:id="81" w:name="_Toc31"/>
      <w:bookmarkEnd w:id="80"/>
      <w:r>
        <w:rPr>
          <w:rtl w:val="true"/>
        </w:rPr>
        <w:t>الأمر الأوّل</w:t>
      </w:r>
      <w:r>
        <w:rPr>
          <w:rtl w:val="true"/>
        </w:rPr>
        <w:t xml:space="preserve">: </w:t>
      </w:r>
      <w:r>
        <w:rPr>
          <w:rtl w:val="true"/>
        </w:rPr>
        <w:t>غَسل اليدين قبل إدخالهما الإناء</w:t>
      </w:r>
      <w:bookmarkEnd w:id="81"/>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اليدين قبل إدخالهما الإناء مرّة مِنْ حَدَث النوم والبول، ومرّتين من الغائط، وثلاثاً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الوضوء كم يفرغ الرجل على يده اليمنى قبل أن يدخلها في الإناء؟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البول، واثنتان من حدث الغائط، وثلاث من الجنابة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حريز أو حسنه،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الرجل يده من النوم مرّة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 صحيح الحلبي 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الغائط والبول مرّتين</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إذ الظاهر أنّه اُريد به صورة اجتماع الغائط والبول، كما يظهر من عدم تكرار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عن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يدك من البول مرّة، ومن الغائط مرّتين، ومن الجنابة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من النوم مرّة</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في الجميع هو الغَسل مرّتين ضعيف، كما أنّ القول بالإجتزاء بالمرّة في الجميع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أيضاً ضعيف</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82" w:name="pg11795_115320"/>
    </w:p>
    <w:p>
      <w:pPr>
        <w:pStyle w:val="BookText"/>
        <w:rPr/>
      </w:pPr>
      <w:bookmarkEnd w:id="82"/>
      <w:r>
        <w:rPr>
          <w:rFonts w:ascii="Amiri" w:hAnsi="Amiri" w:eastAsia="Amiri" w:cs="Amiri"/>
          <w:color w:val="111111"/>
          <w:sz w:val="28"/>
          <w:sz w:val="28"/>
          <w:szCs w:val="28"/>
          <w:rtl w:val="true"/>
          <w:lang w:bidi="ar-SA"/>
        </w:rPr>
        <w:t>ووضع الإناء على اليمين والإغتراف بها، والتسمية</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0328679_73709187"/>
      <w:bookmarkStart w:id="84" w:name="_Toc32"/>
      <w:bookmarkEnd w:id="83"/>
      <w:r>
        <w:rPr>
          <w:rtl w:val="true"/>
        </w:rPr>
        <w:t>الأمر الثاني</w:t>
      </w:r>
      <w:r>
        <w:rPr>
          <w:rtl w:val="true"/>
        </w:rPr>
        <w:t xml:space="preserve">: </w:t>
      </w:r>
      <w:r>
        <w:rPr>
          <w:rtl w:val="true"/>
        </w:rPr>
        <w:t>وضع الإناء على اليمين</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الإناء على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 وعن المحقّق</w:t>
      </w:r>
      <w:r>
        <w:rPr>
          <w:rStyle w:val="FootnoteAnchor"/>
          <w:rtl w:val="true"/>
        </w:rPr>
        <w:footnoteReference w:id="104"/>
      </w:r>
      <w:r>
        <w:rPr>
          <w:rFonts w:ascii="Amiri" w:hAnsi="Amiri" w:eastAsia="Amiri" w:cs="Amiri"/>
          <w:color w:val="111111"/>
          <w:sz w:val="28"/>
          <w:sz w:val="28"/>
          <w:szCs w:val="28"/>
          <w:rtl w:val="true"/>
          <w:lang w:bidi="ar-SA"/>
        </w:rPr>
        <w:t>والشهيد</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 وكفى به دليلاً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الاستشهاد له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الله عليه و آله كان يحبُّ التيامن في طهوره وشغله كلّه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0328681_73709187"/>
      <w:bookmarkStart w:id="86" w:name="_Toc33"/>
      <w:bookmarkEnd w:id="85"/>
      <w:r>
        <w:rPr>
          <w:rtl w:val="true"/>
        </w:rPr>
        <w:t>الأمرالثالث</w:t>
      </w:r>
      <w:r>
        <w:rPr>
          <w:rtl w:val="true"/>
        </w:rPr>
        <w:t xml:space="preserve">: </w:t>
      </w:r>
      <w:r>
        <w:rPr>
          <w:rtl w:val="true"/>
        </w:rPr>
        <w:t>الاغتراف بها</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الاغتراف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باليداليمنى‌، وهو المنسوبُ‌إلى الأصحاب</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جملةٌ من النصوص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عُمر بن اُذينة، عن أبي عبد اللّه عليه السلام الواردة في وضوء النبيّ صلى الله عليه و آله في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رسول اللّه صلى الله عليه و آله الماء بيده اليمنى فمن اجل ذلك صار الوضوء باليمين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يعارضها ما في جملةٍ من النصوص البيانيّة من أنّه صلى الله عليه و آله اغترف باليسرى لليمنى، إذ الفعل المزبور لا يصلح لمعارضة القول الوارد في المصحّح</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10328683_73709187"/>
      <w:bookmarkStart w:id="88" w:name="_Toc34"/>
      <w:bookmarkEnd w:id="87"/>
      <w:r>
        <w:rPr>
          <w:rtl w:val="true"/>
        </w:rPr>
        <w:t>الأمر الرابع</w:t>
      </w:r>
      <w:r>
        <w:rPr>
          <w:rtl w:val="true"/>
        </w:rPr>
        <w:t xml:space="preserve">: </w:t>
      </w:r>
      <w:r>
        <w:rPr>
          <w:rtl w:val="true"/>
        </w:rPr>
        <w:t>التسمية</w:t>
      </w:r>
      <w:bookmarkEnd w:id="8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جماعةٍ‌</w:t>
      </w:r>
      <w:r>
        <w:rPr>
          <w:rStyle w:val="FootnoteAnchor"/>
          <w:rtl w:val="true"/>
        </w:rPr>
        <w:footnoteReference w:id="109"/>
      </w:r>
      <w:r>
        <w:rPr>
          <w:rFonts w:ascii="Amiri" w:hAnsi="Amiri" w:eastAsia="Amiri" w:cs="Amiri"/>
          <w:color w:val="111111"/>
          <w:sz w:val="28"/>
          <w:sz w:val="28"/>
          <w:szCs w:val="28"/>
          <w:rtl w:val="true"/>
          <w:lang w:bidi="ar-SA"/>
        </w:rPr>
        <w:t>عند وضع اليد في الماء، كما في صحيح زرارة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وضعت يدك في الماء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اجعلني من التوّابين، واجعلني من المتطهّرين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وضعها على الجبهة، كما في حَسَنه الحاكي لوضوء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غَرَف فملأها ماءً فوضعها على جبينه،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غيرهما من الحالات، كما يقتضيه إطلاق مرسل ابن أبي عمير عن بعض أصحابه،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سمّيت في الوضوء طَهُرَ جَسَدَكَ كلّه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أبي بصير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العيص،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اسم اللّه عليوضوئه فكأنّما اغتسل</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89" w:name="pg11795_115322"/>
    </w:p>
    <w:p>
      <w:pPr>
        <w:pStyle w:val="BookText"/>
        <w:rPr/>
      </w:pPr>
      <w:bookmarkEnd w:id="89"/>
      <w:r>
        <w:rPr>
          <w:rFonts w:ascii="Amiri" w:hAnsi="Amiri" w:eastAsia="Amiri" w:cs="Amiri"/>
          <w:color w:val="111111"/>
          <w:sz w:val="28"/>
          <w:sz w:val="28"/>
          <w:szCs w:val="28"/>
          <w:rtl w:val="true"/>
          <w:lang w:bidi="ar-SA"/>
        </w:rPr>
        <w:t>والمضمضة والاستنشاق ثلاثاً</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0328685_73709187"/>
      <w:bookmarkStart w:id="91" w:name="_Toc35"/>
      <w:bookmarkEnd w:id="90"/>
      <w:r>
        <w:rPr>
          <w:rtl w:val="true"/>
        </w:rPr>
        <w:t>الأمر الخامس والسادس</w:t>
      </w:r>
      <w:r>
        <w:rPr>
          <w:rtl w:val="true"/>
        </w:rPr>
        <w:t xml:space="preserve">: </w:t>
      </w:r>
      <w:r>
        <w:rPr>
          <w:rtl w:val="true"/>
        </w:rPr>
        <w:t>المضمضة والاستنشاق ثلاثاً</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 والسادس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المضمضة والاستنشاق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الثاني ولد الشيخ الطوسي رحمه الله، عن أمير المؤمنين عليه السلام في عهده إلى محمّد بن أبي بكر حين ولّاه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الوضوء فإنّه من تمام الصلاة، تمضمض ثلاث مرّات واستنشق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فأنّني رأيتُ رسول اللّه صلى الله عليه و آله يفعل ذلك</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مكاتبة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تمضمض ثلاثاً، واستنشق ثلاثاً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الدالّة على استحبابهما مستفيضة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w:t>
      </w:r>
      <w:r>
        <w:rPr>
          <w:rStyle w:val="FootnoteAnchor"/>
          <w:rtl w:val="true"/>
        </w:rPr>
        <w:footnoteReference w:id="117"/>
      </w:r>
      <w:r>
        <w:rPr>
          <w:rFonts w:ascii="Amiri" w:hAnsi="Amiri" w:eastAsia="Amiri" w:cs="Amiri"/>
          <w:color w:val="111111"/>
          <w:sz w:val="28"/>
          <w:sz w:val="28"/>
          <w:szCs w:val="28"/>
          <w:rtl w:val="true"/>
          <w:lang w:bidi="ar-SA"/>
        </w:rPr>
        <w:t>بعض النصوص من أنّهما ليسا من الوضوء، أو أنّهما ليسا بفريضةٍ ولا سُنّة، محمولٌ على عدم الوجوب، أو عدم كونهما من أجزائه، غير المنافي لكونهما من المستحبّات الخارجيّة كالسّواك وغيره</w:t>
      </w:r>
      <w:r>
        <w:rPr>
          <w:rFonts w:eastAsia="Amiri" w:cs="Amiri" w:ascii="Amiri" w:hAnsi="Amiri"/>
          <w:color w:val="111111"/>
          <w:sz w:val="28"/>
          <w:szCs w:val="28"/>
          <w:rtl w:val="true"/>
          <w:lang w:bidi="ar-SA"/>
        </w:rPr>
        <w:t>.</w:t>
      </w:r>
      <w:bookmarkStart w:id="92" w:name="pg11795_115323"/>
    </w:p>
    <w:p>
      <w:pPr>
        <w:pStyle w:val="BookText"/>
        <w:rPr/>
      </w:pPr>
      <w:bookmarkEnd w:id="92"/>
      <w:r>
        <w:rPr>
          <w:rFonts w:ascii="Amiri" w:hAnsi="Amiri" w:eastAsia="Amiri" w:cs="Amiri"/>
          <w:color w:val="111111"/>
          <w:sz w:val="28"/>
          <w:sz w:val="28"/>
          <w:szCs w:val="28"/>
          <w:rtl w:val="true"/>
          <w:lang w:bidi="ar-SA"/>
        </w:rPr>
        <w:t>وتثنية الغسلات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تثنية الغسلات</w:t>
      </w:r>
    </w:p>
    <w:p>
      <w:pPr>
        <w:pStyle w:val="Heading5"/>
        <w:numPr>
          <w:ilvl w:val="4"/>
          <w:numId w:val="1"/>
        </w:numPr>
        <w:rPr/>
      </w:pPr>
      <w:bookmarkStart w:id="93" w:name="__RefHeading___Toc10328687_73709187"/>
      <w:bookmarkStart w:id="94" w:name="_Toc36"/>
      <w:bookmarkEnd w:id="93"/>
      <w:r>
        <w:rPr>
          <w:rtl w:val="true"/>
        </w:rPr>
        <w:t>الأمر السّابع</w:t>
      </w:r>
      <w:r>
        <w:rPr>
          <w:rtl w:val="true"/>
        </w:rPr>
        <w:t xml:space="preserve">: </w:t>
      </w:r>
      <w:r>
        <w:rPr>
          <w:rtl w:val="true"/>
        </w:rPr>
        <w:t>تثنية الغَسَلات</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تثنية الغَسَلات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 بل المجمع عليه كما عن غير واحد</w:t>
      </w:r>
      <w:r>
        <w:rPr>
          <w:rStyle w:val="FootnoteAnchor"/>
          <w:rtl w:val="true"/>
        </w:rPr>
        <w:footnoteReference w:id="118"/>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عديدة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عن الإمام الصادق عليه السلام، عن الوضوء،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مثنى‌</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خبرا صفوان وزرارة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ابن أبي المقدام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لأعجب ممّن يرغب أن يتوضّأ اثنتين، وقد توضّأ رسول اللّه صلى الله عليه و آله اثنتين اثنتين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الفضل عن الإمام الرضا عليه السلام أنّه قال في كتابه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الوضوء مرّة فريضة، واثنتان إسباغ</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مرسل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رسول اللّه صلى الله عليه و آله للناس اثنتين اثنتين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مكاتبة علي بن يقطين،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وجهك مرّة فريضةً‌، واُخرى إسباغاً، واغسل يديك من المرفقين كذلك</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موثّق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يتوضّأ مرّتين مرّتين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داود الرقي،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بن زربي توضّأ مثنى مثنى‌، ولا تزدن عليه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تعارضها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البيانيّة المتقدّمة، فإنّها خالية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الوضوء واحدة واحدة، ففي حديث ميسرة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واحدة واحدة</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مرّة مرّة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ما في كتاب الإمام الرضا عليه السلام إلى المأمون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الوضوءواحدة فرض، واثنتان لايُؤجر، والثالثة بُدعة</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في واحدة، ومن زاد على اثنتين لم يُؤجر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توحيد الغَسَلات في وضوء النبيّ صلى الله عليه و آله، وأمير المؤمنين عليه السلام، لاحظ مصحّح عبد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وضوء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إلّامرّة مرّة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كان وضوء رسول اللّه صلى الله عليه و آله إلّامرّة مرّة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النبيّ صلى الله عليه و آله مرّة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لايقبل اللّه الصلاة إلّا به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مقام الجمع وجوهاً كثيرة، والذي يخطر بالبال أنّ خلوّ الأخبار البيانيّة عن ذلك، كخلوّها عن جملةٍ من المستحبّات الاُخر لا يدلّ على العدم، والطائفة الثانية لو لم تكن ظاهرة في إرادة الوجوب، فهي محمولة عليها بقرينة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مرسل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صورة اعتقاد الوجوب بقرينة خبر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يستيقن أنّ الواحدة من الوضوء تُجزيه لم يُؤجر على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قويّاً إرادة أنّ الفضل في غَسلة واحدة، يزيدها على الغسلة المفروضة،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زادَ على اثنتين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المراد منها الغَسلة اللّازمة كان يقتضي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زاد على الواحدة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أنّ منشأ مشروعيّة الثانية احتمال نقص الوضوء بالغَسلة الاُولى، وأنّه إنّما شُرّع للإسباغ واستيعاب الماء لتمام 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تشهد له جملةٍ من نصوص الباب، وهما معصومان من أن يغفلا عن بعض الوضوء في الغَسلة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فمداومتهما على التوحيد لا تدلّ على عدم الاستحباب بالنسبة إلى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استحباب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الأقوال الاُخر، فلا حاجة إلى تطويل الكلام في 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95" w:name="pg11795_115326"/>
    </w:p>
    <w:p>
      <w:pPr>
        <w:pStyle w:val="BookText"/>
        <w:rPr/>
      </w:pPr>
      <w:bookmarkEnd w:id="95"/>
      <w:r>
        <w:rPr>
          <w:rFonts w:ascii="Amiri" w:hAnsi="Amiri" w:eastAsia="Amiri" w:cs="Amiri"/>
          <w:color w:val="111111"/>
          <w:sz w:val="28"/>
          <w:sz w:val="28"/>
          <w:szCs w:val="28"/>
          <w:rtl w:val="true"/>
          <w:lang w:bidi="ar-SA"/>
        </w:rPr>
        <w:t>وضع الماء في غَسل اليدين في الرَّجل على ظَهر الذِّراعين، وفي المرأة على باطنهما، وبالعكس لهما في الثانية</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0328689_73709187"/>
      <w:bookmarkStart w:id="97" w:name="_Toc37"/>
      <w:bookmarkEnd w:id="96"/>
      <w:r>
        <w:rPr>
          <w:rtl w:val="true"/>
        </w:rPr>
        <w:t>الأمر الثامن</w:t>
      </w:r>
      <w:r>
        <w:rPr>
          <w:rtl w:val="true"/>
        </w:rPr>
        <w:t xml:space="preserve">: </w:t>
      </w:r>
      <w:r>
        <w:rPr>
          <w:rtl w:val="true"/>
        </w:rPr>
        <w:t>وضع الماء في غسل اليدين في الرَّجل على ظهر الذِّراعين</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الماء في غسل اليدين في الرَّجل على ظهر الذِّراعين، وفي المرأة على باطنهما، وبالعكس لهما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جملةٍ من كتب الشيخ</w:t>
      </w:r>
      <w:r>
        <w:rPr>
          <w:rStyle w:val="FootnoteAnchor"/>
          <w:rtl w:val="true"/>
        </w:rPr>
        <w:footnoteReference w:id="136"/>
      </w:r>
      <w:r>
        <w:rPr>
          <w:rFonts w:ascii="Amiri" w:hAnsi="Amiri" w:eastAsia="Amiri" w:cs="Amiri"/>
          <w:color w:val="111111"/>
          <w:sz w:val="28"/>
          <w:sz w:val="28"/>
          <w:szCs w:val="28"/>
          <w:rtl w:val="true"/>
          <w:lang w:bidi="ar-SA"/>
        </w:rPr>
        <w:t>والمصنّف</w:t>
      </w:r>
      <w:r>
        <w:rPr>
          <w:rStyle w:val="FootnoteAnchor"/>
          <w:rtl w:val="true"/>
        </w:rPr>
        <w:footnoteReference w:id="137"/>
      </w:r>
      <w:r>
        <w:rPr>
          <w:rFonts w:ascii="Amiri" w:hAnsi="Amiri" w:eastAsia="Amiri" w:cs="Amiri"/>
          <w:color w:val="111111"/>
          <w:sz w:val="28"/>
          <w:sz w:val="28"/>
          <w:szCs w:val="28"/>
          <w:rtl w:val="true"/>
          <w:lang w:bidi="ar-SA"/>
        </w:rPr>
        <w:t>والشهيد</w:t>
      </w:r>
      <w:r>
        <w:rPr>
          <w:rStyle w:val="FootnoteAnchor"/>
          <w:rtl w:val="true"/>
        </w:rPr>
        <w:footnoteReference w:id="13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الأكثر</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بدئة الرجل بالظاهر مطلقاً، والمرأة بالباطن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أقوى، إذ يشهد له خبر ابن بزيع،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تعالى على النساء في الوضوء للصّلاة ان يبدأن بباطن أذرُعهن، وفي الرَّجل بظاهر الذراع</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محمول على الاستحباب للإجماع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اعترف جماعة بعدم الوقوف على مستنده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بعض المحقّقين رحمه الله من عدم تعرّض الخبر للغسلة الثانية، إذ المتبادر </w:t>
      </w:r>
    </w:p>
    <w:p>
      <w:pPr>
        <w:pStyle w:val="BookText"/>
        <w:rPr/>
      </w:pPr>
      <w:r>
        <w:rPr>
          <w:rFonts w:ascii="Amiri" w:hAnsi="Amiri" w:eastAsia="Amiri" w:cs="Amiri"/>
          <w:color w:val="111111"/>
          <w:sz w:val="28"/>
          <w:sz w:val="28"/>
          <w:szCs w:val="28"/>
          <w:rtl w:val="true"/>
          <w:lang w:bidi="ar-SA"/>
        </w:rPr>
        <w:t>منه استحباب الشروع في غَسل الذراع من باطنه للنساء، ومن ظاهره للرِّجال، والغسلة الثانية ليس ابتدائها ابتداء غَسل الذراع</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سديد، إذ مقتضى إطلاقه استحباب ذلك في كلّ ما يُعدّ من غَسلات الوضوء، ولو كان جزءً استحبابيّاً</w:t>
      </w:r>
      <w:r>
        <w:rPr>
          <w:rFonts w:eastAsia="Amiri" w:cs="Amiri" w:ascii="Amiri" w:hAnsi="Amiri"/>
          <w:color w:val="111111"/>
          <w:sz w:val="28"/>
          <w:szCs w:val="28"/>
          <w:rtl w:val="true"/>
          <w:lang w:bidi="ar-SA"/>
        </w:rPr>
        <w:t>.</w:t>
      </w:r>
      <w:bookmarkStart w:id="98" w:name="pg11795_115328"/>
    </w:p>
    <w:p>
      <w:pPr>
        <w:pStyle w:val="BookText"/>
        <w:rPr/>
      </w:pPr>
      <w:bookmarkEnd w:id="98"/>
      <w:r>
        <w:rPr>
          <w:rFonts w:ascii="Amiri" w:hAnsi="Amiri" w:eastAsia="Amiri" w:cs="Amiri"/>
          <w:color w:val="111111"/>
          <w:sz w:val="28"/>
          <w:sz w:val="28"/>
          <w:szCs w:val="28"/>
          <w:rtl w:val="true"/>
          <w:lang w:bidi="ar-SA"/>
        </w:rPr>
        <w:t>والدُّعاء عند كلّ فعل</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0328691_73709187"/>
      <w:bookmarkStart w:id="100" w:name="_Toc38"/>
      <w:bookmarkEnd w:id="99"/>
      <w:r>
        <w:rPr>
          <w:rtl w:val="true"/>
        </w:rPr>
        <w:t>الأمر التاسع</w:t>
      </w:r>
      <w:r>
        <w:rPr>
          <w:rtl w:val="true"/>
        </w:rPr>
        <w:t xml:space="preserve">: </w:t>
      </w:r>
      <w:r>
        <w:rPr>
          <w:rtl w:val="true"/>
        </w:rPr>
        <w:t>الدّعاء عند كلّ فعل</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عند كلّ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تضمّنه خبر عبد الرحمن بن كثير الهاشمي،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أمير المؤمنين عليه السلام ذاتَ يومٍ جالسٌ مع محمّد بن حنفيّة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ائتني بإناء من ماءٍ أتوضّأ للصلاة، فأتاه محمّد بالماء، فاكفى بيده اليسرى على يده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للّه الذي جَعَلَ الماء طهوراً ولم يَجعله نَجساً، ثمّ استنجى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واعفه، واستر عورتي وحرّمها على النار، ثمّ 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يوم ألقاك، وأطلق لساني بذكرك، 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عليَّ ريح الجنّة، واجعلني ممّن يشمّ ريحها وروحها وطيبها، ثمّ غَسَل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تَسوّد فيه الوجوه، ولا تُسوّد وجهي يوم تبيّض فيه الوجوه، ثمّ غَسَل يده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والخُلد في الجنان بيساري، وحاسبني حساباً يسيراً، ثمّ غَسل يده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بشمالي، ولا تجعلها مغلولةً إلى عنقي، وأعوذ بك من مقطعات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 وبركاتك وعفوك، ثمّ مسح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ثبّتني على الصّراط يومَ تزلّ فيه الأقدام، واجعل سعيي فيما يُرضيك عنّي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رأسه فنظر إلى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توضّأ مثل وضوئي، وقال مثل قولي، خَلَق اللّه له من كلّ قطرةِ ماءٍ مَلَكاً يُقدِّسه ويسبّحه ويُكبّره، فيكتب اللّه له ثواب ذلك إلى يوم القيامة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101" w:name="pg11795_115329"/>
    </w:p>
    <w:p>
      <w:pPr>
        <w:pStyle w:val="BookText"/>
        <w:rPr/>
      </w:pPr>
      <w:bookmarkEnd w:id="101"/>
      <w:r>
        <w:rPr>
          <w:rFonts w:ascii="Amiri" w:hAnsi="Amiri" w:eastAsia="Amiri" w:cs="Amiri"/>
          <w:color w:val="111111"/>
          <w:sz w:val="28"/>
          <w:sz w:val="28"/>
          <w:szCs w:val="28"/>
          <w:rtl w:val="true"/>
          <w:lang w:bidi="ar-SA"/>
        </w:rPr>
        <w:t>عددٌ من مستحبّات الوضوء</w:t>
      </w:r>
    </w:p>
    <w:p>
      <w:pPr>
        <w:pStyle w:val="Heading5"/>
        <w:numPr>
          <w:ilvl w:val="4"/>
          <w:numId w:val="1"/>
        </w:numPr>
        <w:rPr/>
      </w:pPr>
      <w:bookmarkStart w:id="102" w:name="__RefHeading___Toc10328693_73709187"/>
      <w:bookmarkStart w:id="103" w:name="_Toc39"/>
      <w:bookmarkEnd w:id="102"/>
      <w:r>
        <w:rPr>
          <w:rtl w:val="true"/>
        </w:rPr>
        <w:t>الأمر العاشر</w:t>
      </w:r>
      <w:r>
        <w:rPr>
          <w:rtl w:val="true"/>
        </w:rPr>
        <w:t xml:space="preserve">: </w:t>
      </w:r>
      <w:r>
        <w:rPr>
          <w:rtl w:val="true"/>
        </w:rPr>
        <w:t>السّواك بلا خلاف</w:t>
      </w:r>
      <w:r>
        <w:rPr>
          <w:rtl w:val="true"/>
        </w:rPr>
        <w:t>.</w:t>
      </w:r>
      <w:bookmarkEnd w:id="103"/>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بالسّواك عند كلّ وضوء</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0328695_73709187"/>
      <w:bookmarkStart w:id="105" w:name="_Toc40"/>
      <w:bookmarkEnd w:id="104"/>
      <w:r>
        <w:rPr>
          <w:rtl w:val="true"/>
        </w:rPr>
        <w:t>الأمر الحادي عشر</w:t>
      </w:r>
      <w:r>
        <w:rPr>
          <w:rtl w:val="true"/>
        </w:rPr>
        <w:t xml:space="preserve">: </w:t>
      </w:r>
      <w:r>
        <w:rPr>
          <w:rtl w:val="true"/>
        </w:rPr>
        <w:t xml:space="preserve">أن يكون الوضوء </w:t>
      </w:r>
      <w:r>
        <w:rPr>
          <w:rtl w:val="true"/>
        </w:rPr>
        <w:t xml:space="preserve">- </w:t>
      </w:r>
      <w:r>
        <w:rPr>
          <w:rtl w:val="true"/>
        </w:rPr>
        <w:t xml:space="preserve">بجميع غرفاته الواجبة والمستحبّة </w:t>
      </w:r>
      <w:r>
        <w:rPr>
          <w:rtl w:val="true"/>
        </w:rPr>
        <w:t xml:space="preserve">- </w:t>
      </w:r>
      <w:r>
        <w:rPr>
          <w:rtl w:val="true"/>
        </w:rPr>
        <w:t>بمدٍّ</w:t>
      </w:r>
      <w:bookmarkEnd w:id="105"/>
    </w:p>
    <w:p>
      <w:pPr>
        <w:pStyle w:val="BookText"/>
        <w:rPr/>
      </w:pPr>
      <w:r>
        <w:rPr>
          <w:rFonts w:ascii="Amiri" w:hAnsi="Amiri" w:eastAsia="Amiri" w:cs="Amiri"/>
          <w:color w:val="111111"/>
          <w:sz w:val="28"/>
          <w:sz w:val="28"/>
          <w:szCs w:val="28"/>
          <w:rtl w:val="true"/>
          <w:lang w:bidi="ar-SA"/>
        </w:rPr>
        <w:t xml:space="preserve">بلا خلافٍ ظاهر، وهو مذهب علمائنا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يتوضّأ بمُدٍّ، ويغتسل بصاعٍ‌، والمدّ رطل ونصف، والصاع ستّة أرطال</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والصّاع هو ستّة أرطال بالمدني، كما في مكاتبة محمّد بن إبراهيم الهمداني الواردة في الفطرة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10328697_73709187"/>
      <w:bookmarkStart w:id="107" w:name="_Toc41"/>
      <w:bookmarkEnd w:id="106"/>
      <w:r>
        <w:rPr>
          <w:rtl w:val="true"/>
        </w:rPr>
        <w:t>الأمر الثاني عشر</w:t>
      </w:r>
      <w:r>
        <w:rPr>
          <w:rtl w:val="true"/>
        </w:rPr>
        <w:t xml:space="preserve">: </w:t>
      </w:r>
      <w:r>
        <w:rPr>
          <w:rtl w:val="true"/>
        </w:rPr>
        <w:t>أنْ يفتح عينيه حال غَسل الوجه،</w:t>
      </w:r>
      <w:bookmarkEnd w:id="1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لمرسل الصدوق،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عيونكم عند الوضوء لعلّها لا ترى نار جهنّم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بصبّ الماء، مع إمرار اليد على مواضع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لإستحباب الثاني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تَلْطم وَجهك بالماء لطماً، ولكن اغسله من أعلى وجهك إلى أسفله بالماء مَسْحاً، وكذلك فامسح بالماء على ذراعيك</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على الاستحباب للإجماع</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08" w:name="pg11795_115331"/>
    </w:p>
    <w:p>
      <w:pPr>
        <w:pStyle w:val="BookText"/>
        <w:rPr/>
      </w:pPr>
      <w:bookmarkEnd w:id="108"/>
      <w:r>
        <w:rPr>
          <w:rFonts w:ascii="Amiri" w:hAnsi="Amiri" w:eastAsia="Amiri" w:cs="Amiri"/>
          <w:color w:val="111111"/>
          <w:sz w:val="28"/>
          <w:sz w:val="28"/>
          <w:szCs w:val="28"/>
          <w:rtl w:val="true"/>
          <w:lang w:bidi="ar-SA"/>
        </w:rPr>
        <w:t>ويكره التَمندل</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0328699_73709187"/>
      <w:bookmarkStart w:id="110" w:name="_Toc42"/>
      <w:bookmarkEnd w:id="109"/>
      <w:r>
        <w:rPr>
          <w:rtl w:val="true"/>
        </w:rPr>
        <w:t>ما يكره في الوضوء</w:t>
      </w:r>
      <w:bookmarkEnd w:id="11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التمندل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روي بعدّة طرق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وتمندل كُتبت له حسنة، ومَن تَوضّأ ولم يتمندل حتّى يجفّ وضوؤه، كُتب له ثلاثون حسنة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يعارضه ما تضمّن نفي البأس عنه</w:t>
      </w:r>
      <w:r>
        <w:rPr>
          <w:rStyle w:val="FootnoteAnchor"/>
          <w:rtl w:val="true"/>
        </w:rPr>
        <w:footnoteReference w:id="150"/>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مع النصوص الكثيرة، المتضمّنة لمداومة الإمام أمير المؤمنين عليه السلام، وفعل الإمام الصادق عليه السلام وأمره إسماعيل بن الفضل به، وهي أصحّ سنداً وأشهر روايةً‌،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مداومة الإمام أمير المؤمنين عليه السلام كالنصّ في أنّه كان يتمندل بمنديلٍ مخصوص لذلك، وما دلَّ على فعل الإمام الصادق عليه السلام وإنْ كان مطلقاً، إلّاأنّه قابل للحمل على ذلك، فيقيّد بهذه النصوص ما دلَّ على مرجوحيّة التمندل، ويحمل على التمندل بغير ما عين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عدم دلالته على الكراهة، وإنّما يدلّ على استحباب تركه، واستحباب إبقاء أثر الوضوء في حدِّ ذاته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أفضليّة ترك التمندل بمنديل مشترك،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والاستعانة، ويحرم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بالغير في المقدّمات القريبة كما هو المعروف، وقد تقدّم تنقيح القول في ذلك في مبحث اشتراط المباشرة،</w:t>
      </w:r>
      <w:r>
        <w:rPr>
          <w:rStyle w:val="FootnoteAnchor"/>
          <w:rtl w:val="true"/>
        </w:rPr>
        <w:footnoteReference w:id="151"/>
      </w:r>
      <w:r>
        <w:rPr>
          <w:rFonts w:ascii="Amiri" w:hAnsi="Amiri" w:eastAsia="Amiri" w:cs="Amiri"/>
          <w:color w:val="111111"/>
          <w:sz w:val="28"/>
          <w:sz w:val="28"/>
          <w:szCs w:val="28"/>
          <w:rtl w:val="true"/>
          <w:lang w:bidi="ar-SA"/>
        </w:rPr>
        <w:t xml:space="preserve">وعرفت في ذلك المبحث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بالمياه المكروهة كالمشمَّس، ففي خبر إسماعيل،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تسخّنه الشمس لا تتوضّئوا به، ولا تعجنوا به، فإنّه يورث البرص</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الاستحباب بقرينة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الغُسالة من الحَدَث الأكبر، كما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الآجن لما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الوضوء في الماء الآجن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الماء المتغيّر لونه وطعمه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في المسجد من حَدَث البول والغائط، لخبر رفاعة،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الوضوء في المسجد، فكرهه من البول والغائط</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11" w:name="pg11795_115333"/>
    </w:p>
    <w:p>
      <w:pPr>
        <w:pStyle w:val="Heading4"/>
        <w:numPr>
          <w:ilvl w:val="3"/>
          <w:numId w:val="1"/>
        </w:numPr>
        <w:rPr/>
      </w:pPr>
      <w:bookmarkStart w:id="112" w:name="__RefHeading___Toc10328701_73709187"/>
      <w:bookmarkStart w:id="113" w:name="_Toc43"/>
      <w:bookmarkEnd w:id="111"/>
      <w:bookmarkEnd w:id="112"/>
      <w:r>
        <w:rPr>
          <w:rtl w:val="true"/>
        </w:rPr>
        <w:t>مسائل</w:t>
      </w:r>
      <w:r>
        <w:rPr>
          <w:rtl w:val="true"/>
        </w:rPr>
        <w:t>:</w:t>
      </w:r>
      <w:bookmarkEnd w:id="113"/>
    </w:p>
    <w:p>
      <w:pPr>
        <w:pStyle w:val="Heading5"/>
        <w:numPr>
          <w:ilvl w:val="4"/>
          <w:numId w:val="1"/>
        </w:numPr>
        <w:rPr/>
      </w:pPr>
      <w:bookmarkStart w:id="114" w:name="__RefHeading___Toc10328703_73709187"/>
      <w:bookmarkStart w:id="115" w:name="_Toc44"/>
      <w:bookmarkEnd w:id="114"/>
      <w:r>
        <w:rPr>
          <w:rtl w:val="true"/>
        </w:rPr>
        <w:t>الأولى</w:t>
      </w:r>
      <w:r>
        <w:rPr>
          <w:rtl w:val="true"/>
        </w:rPr>
        <w:t xml:space="preserve">: </w:t>
      </w:r>
      <w:r>
        <w:rPr>
          <w:rtl w:val="true"/>
        </w:rPr>
        <w:t>لا يجوز للمُحْدِث مسّ كتابة القرآن</w:t>
      </w:r>
      <w:bookmarkEnd w:id="115"/>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للمُحْدِث مسّ كتابة القرآن،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الحَدَث وشكَّ في الطهارة تطهر، وبالعكس، لا يجب عليه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للمُحْدِث مسّ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مبحث الغايات</w:t>
      </w:r>
      <w:r>
        <w:rPr>
          <w:rStyle w:val="FootnoteAnchor"/>
          <w:rtl w:val="true"/>
        </w:rPr>
        <w:footnoteReference w:id="156"/>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0328705_73709187"/>
      <w:bookmarkStart w:id="117" w:name="_Toc45"/>
      <w:bookmarkEnd w:id="116"/>
      <w:r>
        <w:rPr>
          <w:rtl w:val="true"/>
        </w:rPr>
        <w:t>الثانية</w:t>
      </w:r>
      <w:r>
        <w:rPr>
          <w:rtl w:val="true"/>
        </w:rPr>
        <w:t xml:space="preserve">: </w:t>
      </w:r>
      <w:r>
        <w:rPr>
          <w:rtl w:val="true"/>
        </w:rPr>
        <w:t>لو تيقّن الحَدَث وشكَّ في الطهارة تطهّر</w:t>
      </w:r>
      <w:bookmarkEnd w:id="11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تيقّن الحَدَث وشكَّ في الطهارة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 في الحَدَث بعد الطهارة، يبني على بقاء الوضوء،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لايجبُ عليه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جماعة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المدرك لحجيّة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نامت العين والاُذن والقلب وَجَب 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إلى جنبه شيء ولم يعلم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يستيقن أنّه قد نام، حتّى يجئ من ذلك أمرٌ </w:t>
      </w:r>
    </w:p>
    <w:p>
      <w:pPr>
        <w:pStyle w:val="BookText"/>
        <w:rPr/>
      </w:pPr>
      <w:r>
        <w:rPr>
          <w:rFonts w:ascii="Amiri" w:hAnsi="Amiri" w:eastAsia="Amiri" w:cs="Amiri"/>
          <w:color w:val="111111"/>
          <w:sz w:val="28"/>
          <w:sz w:val="28"/>
          <w:szCs w:val="28"/>
          <w:rtl w:val="true"/>
          <w:lang w:bidi="ar-SA"/>
        </w:rPr>
        <w:t>بيِّن، وإلّا فإنّه على يقين من وضوءه، ولا ينقض اليقين أبداً بالشكّ‌، وإنّما ينقضه بيقينٍ آخر</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 بكير،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تُحدِث وضوء أبداً حتّى تستيقن أنّك قد أحدثت</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ويستثنى من ذلك ما لو كان منشأ شكّه خروج رطوبةٍ مشتبهة بالبول، ولم يكن مُستبرئاً، لما تقدّم في مبحث الاستبراء</w:t>
      </w:r>
      <w:r>
        <w:rPr>
          <w:rStyle w:val="FootnoteAnchor"/>
          <w:rtl w:val="true"/>
        </w:rPr>
        <w:footnoteReference w:id="162"/>
      </w:r>
      <w:r>
        <w:rPr>
          <w:rFonts w:ascii="Amiri" w:hAnsi="Amiri" w:eastAsia="Amiri" w:cs="Amiri"/>
          <w:color w:val="111111"/>
          <w:sz w:val="28"/>
          <w:sz w:val="28"/>
          <w:szCs w:val="28"/>
          <w:rtl w:val="true"/>
          <w:lang w:bidi="ar-SA"/>
        </w:rPr>
        <w:t>أنّها بولٌ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الأمران، وشكّ في المتأخّر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تاريخهما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تاريخ أحدهما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أنّه يبني على كونه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وجماعة من المتأخّرين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الجهل بالحالة السابقة فكالمشهور، وبين صورة العلم بها فيؤخذ بضدّها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المصنّف في جملةٍ من كتبه</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الجهل بالحالة السابقة، فيبني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مُحدث، وبين صورة العلم بها فيبني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لقاعدة الاشتغال الحاكمة بلزوم إحراز الشرط التي هي المرجع بعد تعارض الاستصحابين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الطهارة، واستصحاب الحدث وتساقطهما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بأس بالإشارة إلى ما هو المختار في هذه المسألة من جريان الأصلين وتعارضهما، لا عدم جريان كلّ منهما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لعدم جريان الأصل فيهما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الخراساني رحمه الله</w:t>
      </w:r>
      <w:r>
        <w:rPr>
          <w:rStyle w:val="FootnoteAnchor"/>
          <w:rtl w:val="true"/>
        </w:rPr>
        <w:footnoteReference w:id="167"/>
      </w:r>
      <w:r>
        <w:rPr>
          <w:rFonts w:ascii="Amiri" w:hAnsi="Amiri" w:eastAsia="Amiri" w:cs="Amiri"/>
          <w:color w:val="111111"/>
          <w:sz w:val="28"/>
          <w:sz w:val="28"/>
          <w:szCs w:val="28"/>
          <w:rtl w:val="true"/>
          <w:lang w:bidi="ar-SA"/>
        </w:rPr>
        <w:t>من عدم اتّصال زمان اليقين بالشكّ‌، بمعنى أنّه لو رجعنا الققهرى من زمان الشكّ في وجود كلّ منهما إلى الأزمنة المتقدّمة عليه، لم نعثر على زمانٍ تفصيلي يعلم بوجود المشكوك فيه، بل كلّها زمانُ الشكّ‌، مع أنّ المعتبر في جريان الاستصحاب اتّصال زمان الشكّ باليقين،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علم بحدوث المشكوك بقاؤه، وتردّد زمانه بين زمانين وما زاد، واحتمل انعدامه في الزمان الأخير الذي هو من أطراف العلم، فإنّ لازم ما ذكره قدس سره عدم جريان الاستصحاب فيه، مثلاً لو علم بأنّه تطهر في إحدى الساعتين، واحتمل الحَدَث في الساعة الثانية بعد الطهارة، فلازم هذا البرهان عدم جريان الاستصحاب فيه، مع أنّه قدس سره لا يلتزم بذلك، وقد نقل بعض مشايخنا أنّه أورد بعض الفحول هذا الإيراد عليه في مجلس درسه ولم يجب عنه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أنّه لا يعتبر في جريان الاستصحاب إلّاثبوت اليقين والشكّ الفعليين بأن يكون الحدوث معلوماً والبقاء مشكوكاً فيه، ولا دليل على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شيء زائداً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المحقّقين رحمهم الله وهو أنّه يعتبر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اليقين بالحدوث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البقاء، وأمّا إذا كان عوض الشكّ يقينان، فلا يجري الاستصحاب، والمقام من هذا القبيل، إذ الحَدَث مثلاً لو كان متحقّقاً قبل الوضوء، فهو مرتفعٌ قطعاً، ولو كان متحقّقاً بعده، فهو باقٍ كذلك، فلا شكّ في البقاء وكذلك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بجميع موارد الاستصحاب، مثلاً لو علم حياة زيد وشكّ في موته، يمكن أن يُقال إنّه لو كان في علم اللّه أن يموت قبل هذه الساعة فهو ميّتٌ قطعاً، وإلّا فهو حيّ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اليقينين المزبورين هما اليقين بالملازمة لا باللّازم، وهما منشأ الشكّ في البقاء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الأكابر رحمهم الله</w:t>
      </w:r>
      <w:r>
        <w:rPr>
          <w:rStyle w:val="FootnoteAnchor"/>
          <w:rtl w:val="true"/>
        </w:rPr>
        <w:footnoteReference w:id="168"/>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يعتبر في جريان الاستصحاب بحسب ظواهر الأدلّة كون الشكّ الذي يجوز نقض اليقين به شكّاً في البقاء والارتفاع في زمان واحد، والمقام ليس كذلك إذ كلّ واحدٍ من الحادثين إذا لوحظ في الأزمنة، يظهر أنّه لا شكّ في زمان واحد في بقائه وارتفاعه، إذ في الساعة الثالثة التي هي زمان الشكّ في البقاء لا يحتمل ارتفاعه، وفي الساعة الاُولى التي هي زمان حدوث أحدهما لا شكّ في الارتفاع، بل زمان الشكّ في الارتفاع هو الساعة الثانية، التي هي زمان حدوث الآخر 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شكّ في البقاء، إذ هو إمّا وجد فيه أو ارتفع، فزمان الشكّ في البقاء غير زمان الشكّ في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هذا القيد لا يستفاد من النصوص، ولا دليل آخر عليه، فلا وجه لاعتباره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لعدم جريان الأصل في مجهولي التاريخ وجوهاً اُخر ضعيفة، يظهر وجه الضعف ممّا ذكرناه، لرجوعها إلى بعض الوجوه المتقدّمة، والاختلاف إنّما يكون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جريان الاستصحاب في مجهولي التاريخ، فيتعارضان ويتساقطان، والمرجع إلى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تساقط الاستصحابين، المرجع إلى استصحاب نفس الحالة السابقة لو كانت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الحالة السابقة مرتفعة قطعاً للعلم بحدوث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يعلم بحدوث الضدّ، ويشكّ في ارتفاعه فيستصحب، ولا يعارضه استصحاب نفس الحالة السابقة، للعلم بارتفاعها، ولا استصحاب مثلها إذ لا علم بحدوثه، لاحتمال تعاقب المتجانسين، فلو كانت الحالة السابقة هي الحَدَث، وعلم بوقوع حَدَثٍ ووضوء بعده وجهل تاريخهما، فالحدث الأوّل يكون مرتفعاً قطعاً، وحيث أنّه يحتمل تقدّم الحدث الثاني على الوضوء، فلا علم بتحقّق فردٍ آخر منه، وهذا بخلاف الوضوء فيستصحب ما علم تحقّقه وهو الطهارة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حقّقنا في محلّه</w:t>
      </w:r>
      <w:r>
        <w:rPr>
          <w:rStyle w:val="FootnoteAnchor"/>
          <w:rtl w:val="true"/>
        </w:rPr>
        <w:footnoteReference w:id="169"/>
      </w:r>
      <w:r>
        <w:rPr>
          <w:rFonts w:ascii="Amiri" w:hAnsi="Amiri" w:eastAsia="Amiri" w:cs="Amiri"/>
          <w:color w:val="111111"/>
          <w:sz w:val="28"/>
          <w:sz w:val="28"/>
          <w:szCs w:val="28"/>
          <w:rtl w:val="true"/>
          <w:lang w:bidi="ar-SA"/>
        </w:rPr>
        <w:t>جريان الاستصحاب في القسم الرابع من أقسام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الاستصحاب الكلّي، وهو ما لو علم بتحقّق فردٍ تفصيلاً، وعلم بارتفاعه وثبوت فردٍ إجمالاً مردّداً بين أن يكون هو الفرد الأوّل المعلوم ارتفاعه، وبين أن يكون فردا آخر باقياً، والمقام كذلك إذ علم بوجود الحَدَث في أحد الزمانين المعلوم ثبوت الحادثين فيهما، ولكن يكون ذلك الحدث المعلوم مردّداً بين أن يكون هو الفرد الأوّل المعلوم لاحتمال التعاقب، وأن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يكون مرتفعاً، وعلى الثاني يكون باقياً، فيستصحب ذلك الحَدَث المعلوم ثبوته في أحد الزمانين المشكوك ارتفاعه، فيعارض مع استصحاب الطهارة فيتساقطان، فالمرجع على كلا التقديرين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علم تاريخ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 من المحقّقين اختيار جريان الأصل في خصوص معلوم التاريخ، وعدم معارضته باستصحاب مجهول التاريخ، لعدم جريانه فيه، وقد عرفت ضعف هذا القول</w:t>
      </w:r>
      <w:r>
        <w:rPr>
          <w:rStyle w:val="FootnoteAnchor"/>
          <w:rtl w:val="true"/>
        </w:rPr>
        <w:footnoteReference w:id="170"/>
      </w:r>
      <w:r>
        <w:rPr>
          <w:rFonts w:ascii="Amiri" w:hAnsi="Amiri" w:eastAsia="Amiri" w:cs="Amiri"/>
          <w:color w:val="111111"/>
          <w:sz w:val="28"/>
          <w:sz w:val="28"/>
          <w:szCs w:val="28"/>
          <w:rtl w:val="true"/>
          <w:lang w:bidi="ar-SA"/>
        </w:rPr>
        <w:t>، وأنّ الأصل يجري في مجهول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جماعة آخرون من الفحول</w:t>
      </w:r>
      <w:r>
        <w:rPr>
          <w:rStyle w:val="FootnoteAnchor"/>
          <w:rtl w:val="true"/>
        </w:rPr>
        <w:footnoteReference w:id="171"/>
      </w:r>
      <w:r>
        <w:rPr>
          <w:rFonts w:ascii="Amiri" w:hAnsi="Amiri" w:eastAsia="Amiri" w:cs="Amiri"/>
          <w:color w:val="111111"/>
          <w:sz w:val="28"/>
          <w:sz w:val="28"/>
          <w:szCs w:val="28"/>
          <w:rtl w:val="true"/>
          <w:lang w:bidi="ar-SA"/>
        </w:rPr>
        <w:t>منهم الشيخ الأعظم قدس سره</w:t>
      </w:r>
      <w:r>
        <w:rPr>
          <w:rStyle w:val="FootnoteAnchor"/>
          <w:rtl w:val="true"/>
        </w:rPr>
        <w:footnoteReference w:id="172"/>
      </w:r>
      <w:r>
        <w:rPr>
          <w:rFonts w:ascii="Amiri" w:hAnsi="Amiri" w:eastAsia="Amiri" w:cs="Amiri"/>
          <w:color w:val="111111"/>
          <w:sz w:val="28"/>
          <w:sz w:val="28"/>
          <w:szCs w:val="28"/>
          <w:rtl w:val="true"/>
          <w:lang w:bidi="ar-SA"/>
        </w:rPr>
        <w:t>عدم جريانه في معلوم التاريخ</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عدم تحقّق مجهول التاريخ إلى زمان العلم بتحقّق الآخر، يقتضي تأخّره عنه، فلو علم المكلّف أنّه توضّأ في أوّل الزوال، وعَلم أيضاً بالحدث، وشكّ في تقدّم الحَدَث على الوضوء وتأخّره عنه، يجري استصحاب عدم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الحدث إلى زمان الوضوء، وهو يقتضي تأخّر الحدث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لا يجري إلّاعلى القول بالأصل المثبت الذي لا نقول به، لترتّب الأثر على تأخّر الحَدَث عن الوضوء، ليكون رافعاً لأثره، ولا يثبت ذلك باستصحاب عدم الحَدَث إلى زمان الوضوء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جريان الاستصحاب في كلّ منهما في نفسه، وتعارض الأصلين لو علم بهما، وشكّ في المتأخّر والمتقدّم، من غير فرقٍ بين الجهل بتاريخهما، وبين ما لو علم تاريخ أحدهما، وأنّ الأقوى في جميع الصور هو وجوب الوضوء لقاعدة الاشتغال</w:t>
      </w:r>
      <w:r>
        <w:rPr>
          <w:rFonts w:eastAsia="Amiri" w:cs="Amiri" w:ascii="Amiri" w:hAnsi="Amiri"/>
          <w:color w:val="111111"/>
          <w:sz w:val="28"/>
          <w:szCs w:val="28"/>
          <w:rtl w:val="true"/>
          <w:lang w:bidi="ar-SA"/>
        </w:rPr>
        <w:t>.</w:t>
      </w:r>
      <w:bookmarkStart w:id="118" w:name="pg11795_115340"/>
    </w:p>
    <w:p>
      <w:pPr>
        <w:pStyle w:val="Heading5"/>
        <w:numPr>
          <w:ilvl w:val="4"/>
          <w:numId w:val="1"/>
        </w:numPr>
        <w:rPr/>
      </w:pPr>
      <w:bookmarkStart w:id="119" w:name="__RefHeading___Toc10328707_73709187"/>
      <w:bookmarkStart w:id="120" w:name="_Toc46"/>
      <w:bookmarkEnd w:id="118"/>
      <w:bookmarkEnd w:id="119"/>
      <w:r>
        <w:rPr>
          <w:rtl w:val="true"/>
        </w:rPr>
        <w:t>الثالثة</w:t>
      </w:r>
      <w:r>
        <w:rPr>
          <w:rtl w:val="true"/>
        </w:rPr>
        <w:t xml:space="preserve">: </w:t>
      </w:r>
      <w:r>
        <w:rPr>
          <w:rtl w:val="true"/>
        </w:rPr>
        <w:t>لو شكّ في شيءٍ من أفعال الوضوء، وهو على حاله، أتى به وبما بعده</w:t>
      </w:r>
      <w:bookmarkEnd w:id="120"/>
    </w:p>
    <w:p>
      <w:pPr>
        <w:pStyle w:val="Heading6"/>
        <w:numPr>
          <w:ilvl w:val="5"/>
          <w:numId w:val="1"/>
        </w:numPr>
        <w:rPr/>
      </w:pPr>
      <w:bookmarkStart w:id="121" w:name="__RefHeading___Toc10328709_73709187"/>
      <w:bookmarkStart w:id="122" w:name="_Toc47"/>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شيءٍ من أفعال الوضوء، وهو على حاله، أتى به وبما بعده</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10328711_73709187"/>
      <w:bookmarkStart w:id="124" w:name="_Toc48"/>
      <w:bookmarkEnd w:id="123"/>
      <w:r>
        <w:rPr>
          <w:rtl w:val="true"/>
        </w:rPr>
        <w:t>الشكّ في أثناء الوضوء</w:t>
      </w:r>
      <w:bookmarkEnd w:id="12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 في شيءٍ من أفعال الوضوء، وهو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في أثناء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به وبما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الصحيح الذي رواه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قاعداً على وضوئك فلم تدرِ أغَسَلت ذراعيك أم لا، فأعد عليهما وعلى جميع ما شككت فيه أنّك لم تغسله أو تمسحه، ممّا سمّى اللّه، ما دمت في حال الوضوء، فإذا قُمتَ من الوضوء وفرغت منه، وقد صرت في حال اُخرى في الصلاة أو في غيرها، فشككت في بعض ما سمّى اللّه ممّا وجب اللّه عليك فيه وضوئك، لا شيء عليك فيه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موثّق ابن أبي يعفور، عن الإمام الصادق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من الوضوء، وقد دخلت في غيره، فليس شكّك بشيء، 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 الظاهر منه وإنْ كان رجوع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 لا إلى الوضوء، لأنّ جهة المتبوعيّة أولى بالملاحظة من جهة القُرب عرفاً، ولازمه حمل الصحيح على الاستحباب، ولكن الإجماع على عدم جريان قاعدة التجاوز في الوضوء يوجب طرحه، لإعراض الأصحاب عنه، أو حمله على خلاف ظاهره بإرجاع الضمير إلى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إرجاع الضمير إلى الوضوء، يوجب عدم انطباق الكبرى الكليّة المذكورة في ذيله على الحكم المذكور في الصدر،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رجوع الضمير إلى الوضوء، يستكشف من تطبيق الكبرى المزبورة عليه أنّ الشارع اعتبر الوضوء شيئاً واحداً من جهة انطباق عنوانٍ واحد عليه، أو ترتّب أثرٍ واحد عليه وهو الطهارة على اختلاف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الشكّ في صحّة الجزء وفساده، بالشكّ في الوجود حيث لا تجري فيه قاعدة التجاوز، أم لا يكون ملحقاً به فتجري‌؟</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العلّامة الأكبر الشيخ الأنصاري رحمه الله</w:t>
      </w:r>
      <w:r>
        <w:rPr>
          <w:rStyle w:val="FootnoteAnchor"/>
          <w:rtl w:val="true"/>
        </w:rPr>
        <w:footnoteReference w:id="176"/>
      </w:r>
      <w:r>
        <w:rPr>
          <w:rFonts w:ascii="Amiri" w:hAnsi="Amiri" w:eastAsia="Amiri" w:cs="Amiri"/>
          <w:color w:val="111111"/>
          <w:sz w:val="28"/>
          <w:sz w:val="28"/>
          <w:szCs w:val="28"/>
          <w:rtl w:val="true"/>
          <w:lang w:bidi="ar-SA"/>
        </w:rPr>
        <w:t>الإلحاق إلى المشهور، وهو الأقوى‌، لإطلاق صحيح زرارة، لاسيّما بناءً على الصحيح من رجوع الشكّ في الصحّة إلى الشكّ في الوجود، إذ لا يشكّ فيها ما لم يشك في تحقّق أمر وجودي أو عدمي اعتبر في ذلك الموجود الخارجي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المحقّق النائيني رحمه الله</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قاعدة التجاوز في الأجزاء والشرائط في غير باب الصلاة، لعدم الدليل عليها، فعدم جريانها في الوضوء إنّما يكون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 لما حقّقناه في محلّه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في كتابنا هذا لاحقاً أنّه سواءً أكانت قاعدة التجاوز متّحدة مع قاعدة الفراغ، أم كانت غيرها، تجري القاعدة في جميع الأبواب، ولا تختصّ بباب الصلاة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125" w:name="pg11795_115343"/>
    </w:p>
    <w:p>
      <w:pPr>
        <w:pStyle w:val="BookText"/>
        <w:rPr/>
      </w:pPr>
      <w:bookmarkEnd w:id="125"/>
      <w:r>
        <w:rPr>
          <w:rFonts w:ascii="Amiri" w:hAnsi="Amiri" w:eastAsia="Amiri" w:cs="Amiri"/>
          <w:color w:val="111111"/>
          <w:sz w:val="28"/>
          <w:sz w:val="28"/>
          <w:szCs w:val="28"/>
          <w:rtl w:val="true"/>
          <w:lang w:bidi="ar-SA"/>
        </w:rPr>
        <w:t>ولو انصرف لم يلتفت</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0328713_73709187"/>
      <w:bookmarkStart w:id="127" w:name="_Toc49"/>
      <w:bookmarkEnd w:id="126"/>
      <w:r>
        <w:rPr>
          <w:rtl w:val="true"/>
        </w:rPr>
        <w:t>في حكم الشكّ بعد الانصراف</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 في شيءٍ من أفعال الوضوء بعد الفراغ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على الصحّة، بلا خلافٍ‌، بل عن غير واحدٍ دعوى الإجماع على الصحّة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كصحيح زرارة المتقدّم، وخبر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مضى من صلاتك وطهورك فذكرته تذكّراً، فامضه ولا إعادة عليك فيه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بعدما يتوضّأ؟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اذكر منه حين يشكّ‌</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المشكوك فيه غير الجزء الأخير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يعتبر في جريان القاعدة غير ما يتحقّق به الفراغ، الدخول في الغير كالصلاة ونحوها، كما عن جماعةٍ منهم بعض مشايخنا المحقّقين رحمهم الله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 لا يعتبر في جريانها في الوضوء شيءٌ سوى ما يتحقّق به الفراغ، كما هو الشأن في سائر الموارد، للإطلاقات كما هو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الإجماع عليه‌؟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 من الوضوء وفَرَغت منه، فقد صرت في حال اُخرى من صلاة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ابن أبي يعفور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وقد دخلت في غيره، فليس شكّك بشيء</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ولا أقلّ من المحتمل كونه تصريحاً بمفهوم الشرطيّة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الاعتناء في صدر الخبر بالشكّ على الاشتغال بالوضوء،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يؤخذ بمفهوم الصدر، لأنّ التصرّف في الذيل أولى من التصرّف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يتعارضان، فيحكم بالإجمال والرجوع إلى العمومات والمطلقات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به بحسب الظاهر غير حال الوضوء، ويؤيّده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الصلاة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 المراد هو الحال المخصوصة، كان 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اعتبار شيء زائداً على ما يتحقّق به الفراغ من الخروج عن العمل، الملازم للدخول في غيره، بل يدلّ على العدم إطلاقه، والكبرى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الكليّة المذكورة 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موضوعها التجاوز المسارق للفراغ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اعتبار شيء في جريانها، سوى الفراغ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الجزء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ذلك قبل الجلوس الطويل الموجب لفوات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ذلك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ذلك بعد الدخول في عمل مترتّب عليه كالصلاة،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جريان القاعدة إذا كان الشكّ بعد الدخول في ما هو مترتّب عليه، وكذا إذا كان بعد الجلوس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شكّ فيه، ولم تفت الموالاة، ولم يدخل في الصلاة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جريانها فيه إذا اعتقد الفراغ ولو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شيخنا الأعظم</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إثبات الفراغ باليقين الزائل، غير ظاهر الوجه، ونفس اليقين الزائل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الفراغ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تفسيراً للقيام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الفراغ البنائي، إذ إرادة الفراغ الحقيقي تستلزم عدم حجيّة القاعدة، لأنّه ما لم يحرز الفراغ لا مورد لجريانها، ومع إحرازه لا شكّ في الوضوء كي تجري فيه، فيكون مفاد الصحيح جريان القاعدة فيما اعتقد تماميّة الوضوء ثمّ شكّ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فالأقوى 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28" w:name="pg11795_115346"/>
    </w:p>
    <w:p>
      <w:pPr>
        <w:pStyle w:val="Heading6"/>
        <w:numPr>
          <w:ilvl w:val="5"/>
          <w:numId w:val="1"/>
        </w:numPr>
        <w:rPr/>
      </w:pPr>
      <w:bookmarkStart w:id="129" w:name="__RefHeading___Toc10328715_73709187"/>
      <w:bookmarkStart w:id="130" w:name="_Toc50"/>
      <w:bookmarkEnd w:id="128"/>
      <w:bookmarkEnd w:id="129"/>
      <w:r>
        <w:rPr>
          <w:rtl w:val="true"/>
        </w:rPr>
        <w:t>فروع الخلل في الوضوء</w:t>
      </w:r>
      <w:bookmarkEnd w:id="130"/>
    </w:p>
    <w:p>
      <w:pPr>
        <w:pStyle w:val="Heading6"/>
        <w:numPr>
          <w:ilvl w:val="5"/>
          <w:numId w:val="1"/>
        </w:numPr>
        <w:rPr/>
      </w:pPr>
      <w:bookmarkStart w:id="131" w:name="__RefHeading___Toc10328717_73709187"/>
      <w:bookmarkStart w:id="132" w:name="_Toc51"/>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المقام بيان جملة من فروع الخلل في الوضوء، والأحكام المرتبطة بها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10328719_73709187"/>
      <w:bookmarkStart w:id="134" w:name="_Toc52"/>
      <w:bookmarkEnd w:id="133"/>
      <w:r>
        <w:rPr>
          <w:rtl w:val="true"/>
        </w:rPr>
        <w:t>الشاكّ المأمور بالوضوء لو نسي وصَلّى بدونه</w:t>
      </w:r>
      <w:bookmarkEnd w:id="134"/>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مأموراً بالوضوء من جهة الشكّ فيه بعد الحَدَث، إذا نسي وصلّى، وجب عليه إعادة الصلاة على المشهور بين الأصحاب، وعن بعض المحقّقين</w:t>
      </w:r>
      <w:r>
        <w:rPr>
          <w:rStyle w:val="FootnoteAnchor"/>
          <w:rtl w:val="true"/>
        </w:rPr>
        <w:footnoteReference w:id="190"/>
      </w:r>
      <w:r>
        <w:rPr>
          <w:rFonts w:ascii="Amiri" w:hAnsi="Amiri" w:eastAsia="Amiri" w:cs="Amiri"/>
          <w:color w:val="111111"/>
          <w:sz w:val="28"/>
          <w:sz w:val="28"/>
          <w:szCs w:val="28"/>
          <w:rtl w:val="true"/>
          <w:lang w:bidi="ar-SA"/>
        </w:rPr>
        <w:t>الحكم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تجري في الفرض، من جهة اختصاص جريانها بما إذا كان الشكّ حادثاً بعد العمل، ولا تشمل صورة كون المكلّف شاكّاً قبل الفراغ كما في المقام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بعد العمل في الفرض، غير الشكّ الموجود قبل الفراغ، لأنّه انعدم بالنسيان والغَفلة، فالصحيح أنْ يورد عليه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قاعدة الفراغ من الطرق الشرعيّة والأمارات النوعيّة لوقوع المشكوك فيه، وجريانها إنّما يكون فيما إذا احتمل طروّ الغفلة حال العمل، لا فيما إذا أحرز ذلك، كما يشهد له تعليله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حين ما يتوضّأ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استصحاب الحَدَث في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جريانه يتوقّف على فعلية الشكّ‌، لأنّ ظاهر دخل كلّ عنوان في الموضوع، عدم فعليَّة الحكم مع عدم فعليته، وحيث أنّه حال العمل غير شاك لفرض الغفلة،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الأعظم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له بجريان استصحاب الحدث في نفسه بعد العمل لتماميّة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فساد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المانعيّة المنتزعة من الأمر بالصلاة مقيّداً بعدم الحَدَث، إنّما تثبت ظاهراً من حين جريان الاستصحاب، وأمّا قبله في حال الصلاة، فإنّ عدم جريان الاستصحاب لم تكن ثابتة، ولم يكن الأمر بها حال وقوعها مقيّداً بعدم المانع الظاهري، والشيء لا ينقلب عمّا هو عليه،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ما استدلّ به في المسألة للصحّة والفساد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النسيان على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النسيان مستوعباً للوقت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لا يكون كذلك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لا يجري حديث الرفع، من جهة أنّ ما طرأ عليه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متعلّق التكليف، وما هو متعلّق التكليف لم يطرؤ عليه النسيان، فيتعيّن الرجوع إلى قاعدة الاشتغال والإتيان بالصلاة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حديث الرفع، وترفع به شرطيّة الطهارة، فيحكم بصحّة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حكم فرعٍ آخر، وهو ما لو أحدث ثمّ غفل وصلّى‌، ثمّ شكّ في أنّه تطهر قبل الصلاة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المشهور بين الفرعين، والحكم بالصحّة في الثاني دون الأوّل، إنّما يكون من جهة أنّ ما ذكروه في وجه عدم جريان قاعدة الفراغ في الفرع السابق، لا مورد له في هذا الفرع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عدم جريانها فيه من جهة اُخرى، وتلك الجهة مشتركة بين الفرعين، فلاحظ وتدبّر</w:t>
      </w:r>
      <w:r>
        <w:rPr>
          <w:rFonts w:eastAsia="Amiri" w:cs="Amiri" w:ascii="Amiri" w:hAnsi="Amiri"/>
          <w:color w:val="111111"/>
          <w:sz w:val="28"/>
          <w:szCs w:val="28"/>
          <w:rtl w:val="true"/>
          <w:lang w:bidi="ar-SA"/>
        </w:rPr>
        <w:t>.</w:t>
      </w:r>
      <w:bookmarkStart w:id="135" w:name="pg11795_115349"/>
    </w:p>
    <w:p>
      <w:pPr>
        <w:pStyle w:val="Heading6"/>
        <w:numPr>
          <w:ilvl w:val="5"/>
          <w:numId w:val="1"/>
        </w:numPr>
        <w:rPr/>
      </w:pPr>
      <w:bookmarkStart w:id="136" w:name="__RefHeading___Toc10328721_73709187"/>
      <w:bookmarkStart w:id="137" w:name="_Toc53"/>
      <w:bookmarkEnd w:id="135"/>
      <w:bookmarkEnd w:id="136"/>
      <w:r>
        <w:rPr>
          <w:rtl w:val="true"/>
        </w:rPr>
        <w:t>لو توضّأ للتجديد، ثُمَّ علم ببطلان أحد الوضوئين</w:t>
      </w:r>
      <w:bookmarkEnd w:id="137"/>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متوضّئاً ثمّ توضّأ للتجديد وصلّى، ثمّ تيقّن لاحقاً بطلان أحد الوضوئين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المصنّف رحمه الله</w:t>
      </w:r>
      <w:r>
        <w:rPr>
          <w:rStyle w:val="FootnoteAnchor"/>
          <w:rtl w:val="true"/>
        </w:rPr>
        <w:footnoteReference w:id="193"/>
      </w:r>
      <w:r>
        <w:rPr>
          <w:rFonts w:ascii="Amiri" w:hAnsi="Amiri" w:eastAsia="Amiri" w:cs="Amiri"/>
          <w:color w:val="111111"/>
          <w:sz w:val="28"/>
          <w:sz w:val="28"/>
          <w:szCs w:val="28"/>
          <w:rtl w:val="true"/>
          <w:lang w:bidi="ar-SA"/>
        </w:rPr>
        <w:t xml:space="preserve">في بعض كتبه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الوضوء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وابني سعيد</w:t>
      </w:r>
      <w:r>
        <w:rPr>
          <w:rStyle w:val="FootnoteAnchor"/>
          <w:rtl w:val="true"/>
        </w:rPr>
        <w:footnoteReference w:id="196"/>
      </w:r>
      <w:r>
        <w:rPr>
          <w:rFonts w:ascii="Amiri" w:hAnsi="Amiri" w:eastAsia="Amiri" w:cs="Amiri"/>
          <w:color w:val="111111"/>
          <w:sz w:val="28"/>
          <w:sz w:val="28"/>
          <w:szCs w:val="28"/>
          <w:rtl w:val="true"/>
          <w:lang w:bidi="ar-SA"/>
        </w:rPr>
        <w:t>وحمزة</w:t>
      </w:r>
      <w:r>
        <w:rPr>
          <w:rStyle w:val="FootnoteAnchor"/>
          <w:rtl w:val="true"/>
        </w:rPr>
        <w:footnoteReference w:id="197"/>
      </w:r>
      <w:r>
        <w:rPr>
          <w:rFonts w:ascii="Amiri" w:hAnsi="Amiri" w:eastAsia="Amiri" w:cs="Amiri"/>
          <w:color w:val="111111"/>
          <w:sz w:val="28"/>
          <w:sz w:val="28"/>
          <w:szCs w:val="28"/>
          <w:rtl w:val="true"/>
          <w:lang w:bidi="ar-SA"/>
        </w:rPr>
        <w:t>والقاضي</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الحقّ من أنّ الوضوء التجديدي إذا صادف الحَدَث يكون رافعاً له، لا إشكال في صحّة أحد الوضوئين للعلم بها، والصلاة لليقين بصحّة أحد الوضوئين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أنّه لا يصلح لرفع الحدث لو صادفه واقعاً، فقد استدلّ للبطلان بأنّ الوضوء الثاني لا يكون رافعاً ولم يحرز صحّة الأوّل، فيتعيّن الرجوع إلى استصحاب الحَدَث، ويترتّب عليه فساد الصلاة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الأوّل تُحرز صحّته بقاعدة الفراغ، ولا تعارضها قاعدة </w:t>
      </w:r>
    </w:p>
    <w:p>
      <w:pPr>
        <w:pStyle w:val="BookText"/>
        <w:rPr/>
      </w:pPr>
      <w:r>
        <w:rPr>
          <w:rFonts w:ascii="Amiri" w:hAnsi="Amiri" w:eastAsia="Amiri" w:cs="Amiri"/>
          <w:color w:val="111111"/>
          <w:sz w:val="28"/>
          <w:sz w:val="28"/>
          <w:szCs w:val="28"/>
          <w:rtl w:val="true"/>
          <w:lang w:bidi="ar-SA"/>
        </w:rPr>
        <w:t>الفراغ في الوضوء الثاني،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التفصيلي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 الخلل فيه، أو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في فرض كونه مُحْدِثاً لبطلان وضوئه، لا يكون الوضوء التجديدي مأموراً به وصحيحاً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أثرٍ عملي على صحّة التجديدي، وإذا صحَّ الوضوء صحّت الصلاة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أنّه إذا صلّى بعد كلّ من الوضوئين، ثمّ تيقّن فساد أحدهما، صحّت كلتا صلاتيه</w:t>
      </w:r>
      <w:r>
        <w:rPr>
          <w:rFonts w:eastAsia="Amiri" w:cs="Amiri" w:ascii="Amiri" w:hAnsi="Amiri"/>
          <w:color w:val="111111"/>
          <w:sz w:val="28"/>
          <w:szCs w:val="28"/>
          <w:rtl w:val="true"/>
          <w:lang w:bidi="ar-SA"/>
        </w:rPr>
        <w:t>.</w:t>
      </w:r>
      <w:bookmarkStart w:id="138" w:name="pg11795_115351"/>
    </w:p>
    <w:p>
      <w:pPr>
        <w:pStyle w:val="Heading6"/>
        <w:numPr>
          <w:ilvl w:val="5"/>
          <w:numId w:val="1"/>
        </w:numPr>
        <w:rPr/>
      </w:pPr>
      <w:bookmarkStart w:id="139" w:name="__RefHeading___Toc10328723_73709187"/>
      <w:bookmarkStart w:id="140" w:name="_Toc54"/>
      <w:bookmarkEnd w:id="138"/>
      <w:bookmarkEnd w:id="139"/>
      <w:r>
        <w:rPr>
          <w:rtl w:val="true"/>
        </w:rPr>
        <w:t>في حكم ما لو صلّى بعد كلّ واحدٍ من الوضوئين</w:t>
      </w:r>
      <w:bookmarkEnd w:id="140"/>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وضوئين، وصلّى بعد كلّ واحدٍ صلاة، ثمّ علم حدوث حَدَث بعد أحدهما، وجب عليه إعادة الصلاتين السابقتين وكذلك الوضوء للصلوات الآتية على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الجواهر</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الإجمالي بفساد إحدى الصلاتين، وهو يمنعُ من الرجوع إلى استصحابي الوضوء إلى تمام الصلاة، أو قاعدتي الفراغ في الصلاتين، فيجب الاحتياط بفعلهما معاً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استصحاب بقاء الوضوء الأوّل لا يجري للقطع بارتفاعه، فيجري استصحاب الطهارة الحاصلة من الثاني بلا معارض، وبه تُحرز صحّة الصلاة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بارتفاع الوضوء الأوّل بعد العلم الإجمالي، لا يوجب اليقين بارتفاعه قبل الصلاة الاُولى، فبما أنّه يشكّ في ذلك، يجري الاستصحاب فيه إلى تمام الصلاة الاُولى، فيعارض مع الأصل الجاري في الثاني،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تقدّم في المسألة الاُولى، أنّه لو عَلم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الحَدَث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المتأخّر منهما كما في المقام، لا يكون شيءٌ منهما مجرى للاستصحاب للمعارضة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 الأقوى هو الحكم بصحّة الصلاة الاُولى، إذ بعد تعارض الاستصحاب الجاري في الوضوء الثاني، مع الاستصحاب الجاري في الحَدَث، </w:t>
      </w:r>
      <w:bookmarkStart w:id="141" w:name="pg11795_115352"/>
    </w:p>
    <w:p>
      <w:pPr>
        <w:pStyle w:val="BookText"/>
        <w:rPr/>
      </w:pPr>
      <w:bookmarkEnd w:id="141"/>
      <w:r>
        <w:rPr>
          <w:rFonts w:ascii="Amiri" w:hAnsi="Amiri" w:eastAsia="Amiri" w:cs="Amiri"/>
          <w:color w:val="111111"/>
          <w:sz w:val="28"/>
          <w:sz w:val="28"/>
          <w:szCs w:val="28"/>
          <w:rtl w:val="true"/>
          <w:lang w:bidi="ar-SA"/>
        </w:rPr>
        <w:t>للعلم بتحقّقها والشكّ في المتقدّم والمتأخّر وتساقطهما، يرجع إلى استصحاب بقاء الوضوء الأوّل إلى تمام الصلاة الأُولى، حيث أنّه يشكّ في وقوع الحَدَث بينه وبين تلك الصلاة، ويترتّب عليه صحّة الصلاة الاُولى‌، و أمّا الصلاة الثانية فتجب إعادتها</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0328725_73709187"/>
      <w:bookmarkStart w:id="143" w:name="_Toc55"/>
      <w:bookmarkEnd w:id="142"/>
      <w:r>
        <w:rPr>
          <w:rtl w:val="true"/>
        </w:rPr>
        <w:t>حكم المسح على الحائل</w:t>
      </w:r>
      <w:bookmarkEnd w:id="143"/>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الفراغ من الوضوء أنّه مسح على الحائل، وشكّ في أنّه هل كان هناك مسوّغٌ لذلك أم لا، بل فعل ذلك على غير الوجه الشرعي، فهل يحكم بالصحّة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جريانها، لاختصاصها بالشكّ في صحّة الموظف وفساده، فارغاً عن كونه موظّفاً، فلا تعمّ صورة الشكّ في الصحّة، من جهة الشكّ في كونه موظّفاً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هذا الاختصاص، ما ذكرناه في محلّه من أنّه لا تجري القاعدة فيما كانت صورة العمل محفوظة، وكان الشكّ في المصادفة الواقعيّة، وتختصّ بما إذا لم تكن صورة العمل محفوظة، لعدم الطريقيّة والأماريّة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للجواب عنه بإطلاقات الأدلّة، إلّابناءً على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ما يتوضّأ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 الحِكمة لأصل التشريع، لا من قبيل العلَّة الذي هو خلاف التحقيق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لزوم الإعادة</w:t>
      </w:r>
      <w:r>
        <w:rPr>
          <w:rFonts w:eastAsia="Amiri" w:cs="Amiri" w:ascii="Amiri" w:hAnsi="Amiri"/>
          <w:color w:val="111111"/>
          <w:sz w:val="28"/>
          <w:szCs w:val="28"/>
          <w:rtl w:val="true"/>
          <w:lang w:bidi="ar-SA"/>
        </w:rPr>
        <w:t>.</w:t>
      </w:r>
      <w:bookmarkStart w:id="144" w:name="pg11795_115353"/>
    </w:p>
    <w:p>
      <w:pPr>
        <w:pStyle w:val="Heading6"/>
        <w:numPr>
          <w:ilvl w:val="5"/>
          <w:numId w:val="1"/>
        </w:numPr>
        <w:rPr/>
      </w:pPr>
      <w:bookmarkStart w:id="145" w:name="__RefHeading___Toc10328727_73709187"/>
      <w:bookmarkStart w:id="146" w:name="_Toc56"/>
      <w:bookmarkEnd w:id="144"/>
      <w:bookmarkEnd w:id="145"/>
      <w:r>
        <w:rPr>
          <w:rtl w:val="true"/>
        </w:rPr>
        <w:t>لو شكّ في الوضوء لاحتمال الإخلال العَمدي</w:t>
      </w:r>
      <w:bookmarkEnd w:id="146"/>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بطلان الوضوء، من جهة احتمال الإخلال العمدي، فهل يحكم بصحّته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غير قابلة للجريان في المقام، من جهة التعليل في نصوصها بالأذكريّة، الموجب لتقييد المطلقات، واختصاصها بصورة احتمال البطلان من جهة احتمال طرؤ الغفلة حال العمل، وعليه فالصحيح أن يستدلّ له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المحقّق النائيني رحمه الله</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لا تجري في المقام، وتختصّ بعمل الغير، للعلم بأنّه لم يجعل الشارع للشكّ في عمل نفسه 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لهذه الدعوى‌، سوى ما ذكره بعضٌ من أنّ وحدة المجعول تستدعي وحدة الجعل، ولا يُعقل تعدّده مع وحدته، وهو فاسدٌ، إذ ذلك يتمّ في الأحكام التأسيسيّة دون الحكم الإمضائي كما في المقام، إذ لا مانع من إمضاء ما عليه بناء العقلاء والسيرة بعدم الردع،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وطهورك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عن فخر المحقّقين</w:t>
      </w:r>
      <w:r>
        <w:rPr>
          <w:rStyle w:val="FootnoteAnchor"/>
          <w:rtl w:val="true"/>
        </w:rPr>
        <w:footnoteReference w:id="201"/>
      </w:r>
      <w:r>
        <w:rPr>
          <w:rFonts w:ascii="Amiri" w:hAnsi="Amiri" w:eastAsia="Amiri" w:cs="Amiri"/>
          <w:color w:val="111111"/>
          <w:sz w:val="28"/>
          <w:sz w:val="28"/>
          <w:szCs w:val="28"/>
          <w:rtl w:val="true"/>
          <w:lang w:bidi="ar-SA"/>
        </w:rPr>
        <w:t>وكاشف الغطاء</w:t>
      </w:r>
      <w:r>
        <w:rPr>
          <w:rStyle w:val="FootnoteAnchor"/>
          <w:rtl w:val="true"/>
        </w:rPr>
        <w:footnoteReference w:id="202"/>
      </w:r>
      <w:r>
        <w:rPr>
          <w:rFonts w:ascii="Amiri" w:hAnsi="Amiri" w:eastAsia="Amiri" w:cs="Amiri"/>
          <w:color w:val="111111"/>
          <w:sz w:val="28"/>
          <w:sz w:val="28"/>
          <w:szCs w:val="28"/>
          <w:rtl w:val="true"/>
          <w:lang w:bidi="ar-SA"/>
        </w:rPr>
        <w:t>من الحكم بالصحّة لأصالتها هو الأقوى‌</w:t>
      </w:r>
      <w:r>
        <w:rPr>
          <w:rFonts w:eastAsia="Amiri" w:cs="Amiri" w:ascii="Amiri" w:hAnsi="Amiri"/>
          <w:color w:val="111111"/>
          <w:sz w:val="28"/>
          <w:szCs w:val="28"/>
          <w:rtl w:val="true"/>
          <w:lang w:bidi="ar-SA"/>
        </w:rPr>
        <w:t>.</w:t>
      </w:r>
      <w:bookmarkStart w:id="147" w:name="pg11795_115354"/>
    </w:p>
    <w:p>
      <w:pPr>
        <w:pStyle w:val="Heading6"/>
        <w:numPr>
          <w:ilvl w:val="5"/>
          <w:numId w:val="1"/>
        </w:numPr>
        <w:rPr/>
      </w:pPr>
      <w:bookmarkStart w:id="148" w:name="__RefHeading___Toc10328729_73709187"/>
      <w:bookmarkStart w:id="149" w:name="_Toc57"/>
      <w:bookmarkEnd w:id="147"/>
      <w:bookmarkEnd w:id="148"/>
      <w:r>
        <w:rPr>
          <w:rtl w:val="true"/>
        </w:rPr>
        <w:t>حكم كثير الشكّ في الوضوء</w:t>
      </w:r>
      <w:bookmarkEnd w:id="149"/>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غير واحدٍ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والشهيدين</w:t>
      </w:r>
      <w:r>
        <w:rPr>
          <w:rStyle w:val="FootnoteAnchor"/>
          <w:rtl w:val="true"/>
        </w:rPr>
        <w:footnoteReference w:id="204"/>
      </w:r>
      <w:r>
        <w:rPr>
          <w:rFonts w:ascii="Amiri" w:hAnsi="Amiri" w:eastAsia="Amiri" w:cs="Amiri"/>
          <w:color w:val="111111"/>
          <w:sz w:val="28"/>
          <w:sz w:val="28"/>
          <w:szCs w:val="28"/>
          <w:rtl w:val="true"/>
          <w:lang w:bidi="ar-SA"/>
        </w:rPr>
        <w:t>، والمحقّق الثاني</w:t>
      </w:r>
      <w:r>
        <w:rPr>
          <w:rStyle w:val="FootnoteAnchor"/>
          <w:rtl w:val="true"/>
        </w:rPr>
        <w:footnoteReference w:id="205"/>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وغيرهم على ما حكي عنهم </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بشكّ كثير الشكّ في الوضوء كما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إلغاء شكّ كثير الشكّ في الصلاة، وأنّه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وأبي بصير الوارد في كثير الشكّ في الصلاة، فإنّ الإمام عليه السلام بعد أن أمر بالمُضيّ في الشكّ‌،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تعوّدوا الخبيثَ من أنفسكم نقض الصلاة فتطمعوه، فإنّ الشيطان خبيثٌ معتادٌ لما عُوّد، فليمضِ أحدكم في الوهم، ولا يكثرنَّ نقضَ الصلاة، فإنّه إذا فَعَل ذلك مرّاتٍ لم يعد إليه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في صلاتك، فإنّه يوشكَ أن يَدَعك، إنّما هو من الشيطان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لأبي عبد اللّه عليه السلام رجلاً مبتلى بالوضوء والصّلاة،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عقلٍ له وهو يطيع الشيطان‌؟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يطيع الشيطان‌؟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الذي يأتيه من أيّ شيءٍ هو، فإنّه يقول لك من عمل الشيطان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على الاستدلال بها بعض الأعاظم</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مورد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صحيح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الصلاة، والتعدّي منها إلى الوضوء غير ظاهر، لأنّ كونه من شرائط الصلاة غير كافٍ في ذلك، والتعليل يقتضي التعدّي لو اُحرز كون الشكّ من الشيطان، نعم في خصوص باب الصلاة دلَّت النصوص على أنّ كثرة الشكّ من الشيطان، ولكنّها لا تدلّ على كونها مطلقاً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ابن سنان مورده الوضوء والصلاة، وهو يدلّ على أنّ كثرة الشكّ في الوضوء أيضاً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 كون كثرة الشكّ في الصلاة من الشيطان، ليس في مقام بيان حكم تعبّدي، كي يحتمل اختصاصه بمورده، بل في مقام بيان أمرٍ واقعي فلا يحتمل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اعتبار شكّ كثير الشكّ‌، سواءً أكان في الأجزاء أو في الشرائط أو الموانع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50" w:name="pg11795_115356"/>
    </w:p>
    <w:p>
      <w:pPr>
        <w:pStyle w:val="Heading5"/>
        <w:numPr>
          <w:ilvl w:val="4"/>
          <w:numId w:val="1"/>
        </w:numPr>
        <w:rPr/>
      </w:pPr>
      <w:bookmarkStart w:id="151" w:name="__RefHeading___Toc10328731_73709187"/>
      <w:bookmarkStart w:id="152" w:name="_Toc58"/>
      <w:bookmarkEnd w:id="150"/>
      <w:bookmarkEnd w:id="151"/>
      <w:r>
        <w:rPr>
          <w:rtl w:val="true"/>
        </w:rPr>
        <w:t>المسألة الرابعة</w:t>
      </w:r>
      <w:r>
        <w:rPr>
          <w:rtl w:val="true"/>
        </w:rPr>
        <w:t xml:space="preserve">: </w:t>
      </w:r>
      <w:r>
        <w:rPr>
          <w:rtl w:val="true"/>
        </w:rPr>
        <w:t>في أحكام الجبائر</w:t>
      </w:r>
      <w:bookmarkEnd w:id="152"/>
    </w:p>
    <w:p>
      <w:pPr>
        <w:pStyle w:val="Heading6"/>
        <w:numPr>
          <w:ilvl w:val="5"/>
          <w:numId w:val="1"/>
        </w:numPr>
        <w:rPr/>
      </w:pPr>
      <w:bookmarkStart w:id="153" w:name="__RefHeading___Toc10328733_73709187"/>
      <w:bookmarkStart w:id="154" w:name="_Toc59"/>
      <w:bookmarkEnd w:id="153"/>
      <w:r>
        <w:rPr>
          <w:rtl w:val="true"/>
        </w:rPr>
        <w:t>وجوب إيصال الماء تحت الجبيرة</w:t>
      </w:r>
      <w:bookmarkEnd w:id="15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الجبائر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جبيرة، وهي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الموضوع على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اصطلاح الفقهاء</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ما يوضع على القروح والجروح، لإتّحادهما في الحكم، ويشير إليه صحيح ابن الحجّاج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الجبيرة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محلّ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محلّ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الجبيرة على بعض العضو، أو تمامه، أو تمام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 إمّا يمكن غَسل المحلّ أو مسحه، أو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يكون الجرح أو نحوه مكشوفاً، وقد يكون مجبوراً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القول في المقام يقتضي التكلّم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الجرح ونحوه في موضع الغَسل، وأمكن غَسل المحلّ بلا مشقّةٍ‌، ولو بوضعه في الماء حتّى يصل إليه، وكان المحلّ والجبيرة طاهرين، أو أمكن تطهيرهما، وجب الغسل بلا خلاف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لزوم الوضوء التامّ‌، لعدم شمول دليل البدليّة للفرض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ينكسر ساعده، أو موضعٍ من مواضع الوضوء، فلا يقدر أن يحلّه لحال الجبر إذ أجبر، كيف يصنع‌؟ قال عليه السلام إذا أراد ان يتوضّأ فليضع إناء فيه ماء، ويضع موضع الجبر في الماء، حتّى يصل الماء إلى جلده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تكون به القرحة في ذراعه، أو نحو ذلك من مواضع الوضوء، فيعصّبها بالخِرقة، ويتوضّأ ويمسح عليها إذا توضّأ؟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يؤذيه الماء فليمسح على الخرقة، وإنْ كان لا يؤذيه الماء، فلينزع الخرقة ثمّ ليغسلها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النزع والغَسل إنْ أمكن، وإلّا فإيصال الماء بالتكرير أو الغمس</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اللّثام</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Pr>
        <w:footnoteReference w:id="22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النزع والغَسل، وبين تكرار الماء عليه وبين الغمس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قدس سره</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التخيير بين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التخيير بين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الامتثال، مع عدم الدليل على اشتراطه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بناءً على عدم اعتبار الجريان في مفهوم الغَسل أو اعتباره، وتحقّق الجريان بالتكرار أو الوضع في الماء، وحيثُ عرفت في مبحث المطهّرات</w:t>
      </w:r>
      <w:r>
        <w:rPr>
          <w:rStyle w:val="FootnoteAnchor"/>
          <w:rtl w:val="true"/>
        </w:rPr>
        <w:footnoteReference w:id="227"/>
      </w:r>
      <w:r>
        <w:rPr>
          <w:rFonts w:ascii="Amiri" w:hAnsi="Amiri" w:eastAsia="Amiri" w:cs="Amiri"/>
          <w:color w:val="111111"/>
          <w:sz w:val="28"/>
          <w:sz w:val="28"/>
          <w:szCs w:val="28"/>
          <w:rtl w:val="true"/>
          <w:lang w:bidi="ar-SA"/>
        </w:rPr>
        <w:t>فساد الأوّل، فالتخيير يتوقّف على حصول الجريان بهما، وإلّا فالأظهر عدم التخيير وتعيّن النزع والغسل،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الغسل المستفاد من الأدلّة عرفاً ما كان خالياً عن الحائل، وبما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من الإجماع على عدم الاكتفاء بالغَمس عند إمكان النزع، وبقوله عليه السلام في صحيح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لا يؤذيه، فلينزع الخرقة ثم ليغسلها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ممنوعٌ‌، والثاني مخالف لكلمات جملةٍ من الأصحاب، وأمّا الأمر بالنزع في صحيح الحلبي فلا بأس بالاستدلال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للإرشاد إلى التخلّص عن بلل الخرقة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البعيد جدّاً أن يكون ذو الجبيرة أشدّ حكماً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 عدم الاجتزاء بالمسح على الخرقة، لا عدم الاجتزاء بالغَسل بغير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معارضٌ بموثّق عمّار المتقدّم، الدالّ على الاجتزاء بالوضع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 الأمر الظاهر في نفسه في المولوية على الإرشاد خلاف الظاهر، لا يصار إليه مع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واستبعاد أشدّية حكم ذي الجبيرة من غيره وإنْ كان في محلّه، إلّاأنّه لا يقتضي صرف ظهور الأمر، بل لازمه ثبوت هذا الحكم في غيره أيضاً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التفصيل بين صورة ايذاء الماء وصورة عدمه، والحكم في الأُولى بالمسح على الخرقة، وفي الثانية بالنزع والغسل، وإنْ كان يشعر بذلك، إلّا أنّه لا يدلّ عليه، فحيثُ لا صارف عن ظهوره في ما ذكره، فلا وجه لحمله على إرادة عدم الاجتزاء بالمسح على الخرقة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جهة كون الموثّق أعمّ من الصحيح يقيّد إطلاقه به، فالصحيح يدلّ على هذا القول،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الجريان غالباً بالتكرار أو الوضع في الماء،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ما اختاره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وهو تعيّن النزع والغسل إنْ أمكن، وإنْ لم يمكن ذلك وأمكن إيصال الماء إليه تعيّن ذلك، ولا ينتقل الفرض إلى المسح على الخرقة لموثّق عمّار المتقدّم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55" w:name="pg11795_115360"/>
    </w:p>
    <w:p>
      <w:pPr>
        <w:pStyle w:val="Heading6"/>
        <w:numPr>
          <w:ilvl w:val="5"/>
          <w:numId w:val="1"/>
        </w:numPr>
        <w:rPr/>
      </w:pPr>
      <w:bookmarkStart w:id="156" w:name="__RefHeading___Toc10328735_73709187"/>
      <w:bookmarkStart w:id="157" w:name="_Toc60"/>
      <w:bookmarkEnd w:id="155"/>
      <w:bookmarkEnd w:id="156"/>
      <w:r>
        <w:rPr>
          <w:rtl w:val="true"/>
        </w:rPr>
        <w:t>إذا لم يمكن إيصال الماء تحت الجبيرة</w:t>
      </w:r>
      <w:bookmarkEnd w:id="157"/>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إيصال الماء تحت الجبيرة، إمّا لضرر الماء، أو لعدم إمكان إيصاله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رفعها والمسح على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تعيّن المسح على البشرة فيها، بدعوى عدم شمول النصوص لهذه الصورة، واختصاصها بما إذا لم يمكن نزع الجبيرة، وعليه فمقتضى قاعدة الميسور تعيّن الإكتفاء بالمسح على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توهّم فاسد، إذ صحيح الحلبي المتقدّم مطلقٌ شامل للفرض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فيمن يؤذيه الماء ولو بنحو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 من يؤذيه الماء بالغَسل الذي هو المأمور به، كما يشهد له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لا يؤذيه فلينزع الخرقة ثمّ ليغسلها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خبر كُلَيب الأسدي الآتي أيضاً مطلق يشمل المقام، مع أنّ قاعدة الميسور غير تامّة سنداً ودلالةً كما تقدّم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أوّلاً ظهر ضعف ما عن بعضٍ من وجوب المسح على كلٍّ من البشرة والجبيرة بدعوى عدم شمول نصوص الجبيرة للمقام، والعلم الإجمالي بوجوب مسح أحدهما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عدم الفرق بين ما إذا أمكن رفع الجبيرة أو ما بحكمها والمسح على البشرة، وبين ما لم يمكن ذلك في الحكم، وهو غسل أطراف المجبور مع مراعاة الشرائط والمسح على الجبيرة أو ما بحكمها إنْ كانت طاهرة، أو أمكن </w:t>
      </w:r>
    </w:p>
    <w:p>
      <w:pPr>
        <w:pStyle w:val="BookText"/>
        <w:rPr/>
      </w:pPr>
      <w:r>
        <w:rPr>
          <w:rFonts w:ascii="Amiri" w:hAnsi="Amiri" w:eastAsia="Amiri" w:cs="Amiri"/>
          <w:color w:val="111111"/>
          <w:sz w:val="28"/>
          <w:sz w:val="28"/>
          <w:szCs w:val="28"/>
          <w:rtl w:val="true"/>
          <w:lang w:bidi="ar-SA"/>
        </w:rPr>
        <w:t>تطهيرها كما هو المشهور، بل عن غير واحدٍ دعوى الإجماع عليه</w:t>
      </w:r>
      <w:r>
        <w:rPr>
          <w:rStyle w:val="FootnoteAnchor"/>
          <w:rtl w:val="true"/>
        </w:rPr>
        <w:footnoteReference w:id="230"/>
      </w:r>
      <w:r>
        <w:rPr>
          <w:rFonts w:ascii="Amiri" w:hAnsi="Amiri" w:eastAsia="Amiri" w:cs="Amiri"/>
          <w:color w:val="111111"/>
          <w:sz w:val="28"/>
          <w:sz w:val="28"/>
          <w:szCs w:val="28"/>
          <w:rtl w:val="true"/>
          <w:lang w:bidi="ar-SA"/>
        </w:rPr>
        <w:t>، وعن ظاهر الشهيدين</w:t>
      </w:r>
      <w:r>
        <w:rPr>
          <w:rStyle w:val="FootnoteAnchor"/>
          <w:rtl w:val="true"/>
        </w:rPr>
        <w:footnoteReference w:id="231"/>
      </w:r>
      <w:r>
        <w:rPr>
          <w:rFonts w:ascii="Amiri" w:hAnsi="Amiri" w:eastAsia="Amiri" w:cs="Amiri"/>
          <w:color w:val="111111"/>
          <w:sz w:val="28"/>
          <w:sz w:val="28"/>
          <w:szCs w:val="28"/>
          <w:rtl w:val="true"/>
          <w:lang w:bidi="ar-SA"/>
        </w:rPr>
        <w:t>وجماعةٍ عدم تعيّن المسح حينئذٍ، فيجوز الغسل أيضاً، وعن جماعة منهم الشيخ الأعظم رحمه الله</w:t>
      </w:r>
      <w:r>
        <w:rPr>
          <w:rStyle w:val="FootnoteAnchor"/>
          <w:rtl w:val="true"/>
        </w:rPr>
        <w:footnoteReference w:id="232"/>
      </w:r>
      <w:r>
        <w:rPr>
          <w:rFonts w:ascii="Amiri" w:hAnsi="Amiri" w:eastAsia="Amiri" w:cs="Amiri"/>
          <w:color w:val="111111"/>
          <w:sz w:val="28"/>
          <w:sz w:val="28"/>
          <w:szCs w:val="28"/>
          <w:rtl w:val="true"/>
          <w:lang w:bidi="ar-SA"/>
        </w:rPr>
        <w:t xml:space="preserve">احتمال الاكتفاء بمجرّد إيصال البلل، وإنْ لم يكن غَسلاً ولا مسحاً،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تعيّن غسل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كصحيح الحلبي المتقدّم، وخبر كُلَيب الأسدي المرويّ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إذا كان كسيراً كيف يصنع بالصلاة‌؟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يتخوّف على نفسه فليمسح على جبائره وليصلِّ‌</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ابن عيسى، عن الوشا،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الدواء يكون على يد الرجل، أيجزيه أن يمسح في الوضوء على الدواء المطلي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أن يمسح عليه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على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تعارضها طوائف من النصوص</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وجوب المسح عليها أيضاً، كصحيح ابن الحجّاج،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الكسير تكون به الجبائر، أو تكون به الجراحة، كيف يصنع بالوضوء؟ وعند غُسل الجنابة وغُسل الجمعة‌؟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وصل إليه الغَسل ممّا ظهر ممّا ليس عليه الجبائر، ويدع ما سوى ذلك ممّا لا يستطيع غَسله، ولا ينزع الجبائر ولا يعبث بجراحته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بغَسل ما حول الجبيرة، كمصحّح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الجرح كيف يصنع به صاحبه‌؟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ما في ذيل صحيح الحلبي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الآمرة بالتيمّم، كصحيح البزنطي،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تُصيبه الجنابة، وبه قروحٌ أو جروح، أو يكون يخاف على نفسه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ويتيمّم</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ساكتة عن حكم الجبيرة من حيث المسح، وإنّما تدلّ على عدم وجوب غَسل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عن الأردبيلي</w:t>
      </w:r>
      <w:r>
        <w:rPr>
          <w:rStyle w:val="FootnoteAnchor"/>
          <w:rtl w:val="true"/>
        </w:rPr>
        <w:footnoteReference w:id="2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من حمل تلك النصوص على الاستحباب، جمعاً بينها وبين هذه الطائفة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فموردها الجرح المكشوف، فمفادها أجنبيّ عن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بين المسح على الجبيرة، والاكتفاء بغسل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في مقام الجمع بين نصوص المقام وهذه الطائفة من النصوص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نصوص الجبيرة على الجُرح الواحد، وحملها على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استقربه الشيخ الأعظم رحمه الله</w:t>
      </w:r>
      <w:r>
        <w:rPr>
          <w:rStyle w:val="FootnoteAnchor"/>
          <w:rtl w:val="true"/>
        </w:rPr>
        <w:footnoteReference w:id="244"/>
      </w:r>
      <w:r>
        <w:rPr>
          <w:rFonts w:ascii="Amiri" w:hAnsi="Amiri" w:eastAsia="Amiri" w:cs="Amiri"/>
          <w:color w:val="111111"/>
          <w:sz w:val="28"/>
          <w:sz w:val="28"/>
          <w:szCs w:val="28"/>
          <w:rtl w:val="true"/>
          <w:lang w:bidi="ar-SA"/>
        </w:rPr>
        <w:t>مِنْ حمل نصوص التيمّم على صورة التضرّر بغَسل الصحيح، ونصوص الجبيرة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فلو تمّ شيءٌ منها فهو، وإلّا فيتعيّن طرح نصوص التيمّم، كمالا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نُسب إلى الشهيدين</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بالمسح في نصوص الباب لوروده مورد توهّم الحظر، لا يدلّ إلّاعلى الجواز في الاجتزاء بالمسح عن الغَسل، بمقتضى بدليّة الجبيرة عن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الآمرة بالمسح على الجبيرة، في مقابل غَسل البشرة، إنّما تدلّ على عدم وجوبه، وبدليّة المسح عليها عن غَسل البشرة لا عن غسل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النصوص إرادة انتقال حكم المحلّ إلى الحال، وكفاية إيصال الماء إلى الجبيرة بدلاً من محلّها، وأنّ التعبير بالمسح إنّما هو لبيان كفاية إيصال البلّة إليها، وعدم وجوب إجراء الماء عليها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بدليّة الجبيرة عن البشرة ليست من المرتكزات العرفيّة، بل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الاُمور التعبّدية، وعليه فيتعيّن الإقتصار على ما هو ظاهر النصوص، وليس هو إلّا تعيّن المسح عليها وبدليّته عن غَسل البشرة، وبدليّة غيره عنه تحتاج إلى دليل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ضعف ما استدلّ به للقول الرابع، من أنّ ظاهر النصوص بدليّة الجبيرة عن البشرة، فكما يجب غَسل البشرة يجب غَسل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تعيّن المسح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تلحق بصورتي ضرر الماء وعدم إمكان إيصاله تحت الجبيرة، صورة النجاسة، وعدم إمكان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دعوى نفي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 xml:space="preserve">أم يفصّل بين صورة تضاعف النجاسة فالأوّل، وصورة عدمه فالثاني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الميسور، وباعتبار طهارة محلّ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مراراً عدم تماميّة القاعدة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لا يقتضي صحّة وضوء الجبيرة، إذ تعذّر الشرط يستدعي سقوط التكليف بالمشروط</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شمول نصوص الباب لما إذا تضرّر من رفع النجاسة، وأمّا إذا لم يتضرّر، ولكن لم يمكن رفعها من جهة دوام نبع الدم، فجملةٍ من نصوص الباب وإنْ لم تشمله، ولكن دعوى استفادة ثبوت الحكم له من إطلاق مصحّح ابن سنان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الجرح كيف يصنع به صاحبه‌؟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فإنّ مورده وإنْ كان هو الجرح المكشوف على ما عرفت، إلّاأنّه إذا ثبت الحكم في ذلك المورد، يثبت في المجبور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الجهة المسؤول عنها، وهو مانعٌ من صحّة الاستدلال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الجواب وعدم الاستفصال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هو الإلحاق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 النصّ والفتوى‌، عدم الفرق في هذا الحكم بين ما لو كانت الجبيرة على بعض العضو، وبين ما لو كانت على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على تمام الأعضاء، فظاهر كلمات جماعةٍ وصريح آخرين</w:t>
      </w:r>
      <w:r>
        <w:rPr>
          <w:rStyle w:val="FootnoteAnchor"/>
          <w:rtl w:val="true"/>
        </w:rPr>
        <w:footnoteReference w:id="248"/>
      </w:r>
      <w:r>
        <w:rPr>
          <w:rFonts w:ascii="IRNazanin" w:hAnsi="IRNazanin" w:eastAsia="IRNazanin"/>
          <w:color w:val="111111"/>
          <w:sz w:val="28"/>
          <w:sz w:val="28"/>
          <w:szCs w:val="28"/>
          <w:rtl w:val="true"/>
          <w:lang w:bidi="fa-IR"/>
        </w:rPr>
        <w:t>منهم المصنّف رحمه الله</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خصوصيّة المورد عرفاً، وبالعلم بالمساواة، وهما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رواه العيّاشي في محكي تفسيره،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الجبائر تكون على الكسير، كيف يتوضّأ صاحبه، وكيف يغتسل إذا أجنب‌؟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المسح عليها في الجنابة والوضوء، الحديث</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58" w:name="pg11795_115366"/>
    </w:p>
    <w:p>
      <w:pPr>
        <w:pStyle w:val="Heading6"/>
        <w:numPr>
          <w:ilvl w:val="5"/>
          <w:numId w:val="1"/>
        </w:numPr>
        <w:rPr/>
      </w:pPr>
      <w:bookmarkStart w:id="159" w:name="__RefHeading___Toc10328737_73709187"/>
      <w:bookmarkStart w:id="160" w:name="_Toc61"/>
      <w:bookmarkEnd w:id="158"/>
      <w:bookmarkEnd w:id="159"/>
      <w:r>
        <w:rPr>
          <w:rtl w:val="true"/>
        </w:rPr>
        <w:t>هل الجرح المكشوف يلحق بالجبيرة أم لا</w:t>
      </w:r>
      <w:bookmarkEnd w:id="160"/>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الجرح مكشوفاً،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251"/>
      </w:r>
      <w:r>
        <w:rPr>
          <w:rFonts w:ascii="Amiri" w:hAnsi="Amiri" w:eastAsia="Amiri" w:cs="Amiri"/>
          <w:color w:val="111111"/>
          <w:sz w:val="28"/>
          <w:sz w:val="28"/>
          <w:szCs w:val="28"/>
          <w:rtl w:val="true"/>
          <w:lang w:bidi="ar-SA"/>
        </w:rPr>
        <w:t>أنّ المعروف الاكتفاء بغَسل ما حوله مع تعذّر المسح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ابن سنان المتقدّم، وما في ذيل صحيح الحلبي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الجرح كيف أصنع به في غسله‌؟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وضع خرقةٍ طاهرة عليه، والمسح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شدَّ الجرح بخرقة، يندرج في موضوع الأخبار الآمرة بالمسح على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الخبرين غير متعرّضين لهذه الجهة، بل هما في مقام بيان نفي غَسل الجرح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فيجب وضع الجبيرة، والمسح عليها، لأصالة الاحتياط، بناءً على كون المقام من قبيل الشكّ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النصوص أنّ موضوعهاالجبيرة الموضوعة لامطلقها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في أوائل الوضوء، من أنّ المرجع فيما شكّ في اعتباره في الوضوء هو أصالة البراءة، مع أنّ الخبرين لورودهما في مقام بيان الوظيفة الفعليّة </w:t>
      </w:r>
    </w:p>
    <w:p>
      <w:pPr>
        <w:pStyle w:val="BookText"/>
        <w:rPr/>
      </w:pPr>
      <w:r>
        <w:rPr>
          <w:rFonts w:ascii="Amiri" w:hAnsi="Amiri" w:eastAsia="Amiri" w:cs="Amiri"/>
          <w:color w:val="111111"/>
          <w:sz w:val="28"/>
          <w:sz w:val="28"/>
          <w:szCs w:val="28"/>
          <w:rtl w:val="true"/>
          <w:lang w:bidi="ar-SA"/>
        </w:rPr>
        <w:t>مطلقين من هذه الجهة أيضاً، فالأقوى الاكتفاء بغسل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تعذّر المسح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المسح عليه متعذّراً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وغيرها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مسحه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عدم الوجوب إلى نصّ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ومصحّح ابن سنان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أحدالواجبين، وبتضمّن الغَسل إيّاه، فلايسقط بتعذّرأصله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المسح في موضعٍ‌، لايقتضي وجوب المسح في موضعٍ آخر الذي هو موضع الغَسل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النسبة بين الغَسل والمسح خارجاً هي العموم من وجه، ومفهوماً هي التباين، فلا يكون الغَسل متضمّناً للمسح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على فرض تسليم تضمّنه إيّاه، لا دليل على وجوبه عند تعذّره إلّا قاعدة الميسور التي قد عرفت مراراً عدم تماميّتها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المسح لأصالة الاحتياط بناءً على عدم تعرّض الخبرين لهذه الجهة قد عرفت ما فيها آنفاً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الاكتفاء بغسل ما حوله مطلقاً</w:t>
      </w:r>
      <w:r>
        <w:rPr>
          <w:rFonts w:eastAsia="Amiri" w:cs="Amiri" w:ascii="Amiri" w:hAnsi="Amiri"/>
          <w:color w:val="111111"/>
          <w:sz w:val="28"/>
          <w:szCs w:val="28"/>
          <w:rtl w:val="true"/>
          <w:lang w:bidi="ar-SA"/>
        </w:rPr>
        <w:t>.</w:t>
      </w:r>
      <w:bookmarkStart w:id="161" w:name="pg11795_115369"/>
    </w:p>
    <w:p>
      <w:pPr>
        <w:pStyle w:val="Heading6"/>
        <w:numPr>
          <w:ilvl w:val="5"/>
          <w:numId w:val="1"/>
        </w:numPr>
        <w:rPr/>
      </w:pPr>
      <w:bookmarkStart w:id="162" w:name="__RefHeading___Toc10328739_73709187"/>
      <w:bookmarkStart w:id="163" w:name="_Toc62"/>
      <w:bookmarkEnd w:id="161"/>
      <w:bookmarkEnd w:id="162"/>
      <w:r>
        <w:rPr>
          <w:rtl w:val="true"/>
        </w:rPr>
        <w:t>الجبيرة في موضع المسح</w:t>
      </w:r>
      <w:bookmarkEnd w:id="163"/>
    </w:p>
    <w:p>
      <w:pPr>
        <w:pStyle w:val="BookText"/>
        <w:rPr/>
      </w:pPr>
      <w:r>
        <w:rPr>
          <w:rFonts w:ascii="Amiri" w:hAnsi="Amiri" w:eastAsia="Amiri" w:cs="Amiri"/>
          <w:color w:val="111111"/>
          <w:sz w:val="28"/>
          <w:sz w:val="28"/>
          <w:szCs w:val="28"/>
          <w:rtl w:val="true"/>
          <w:lang w:bidi="ar-SA"/>
        </w:rPr>
        <w:t>إذا كان الجرح أو نحوه على موضع المسح، فهنا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مجبوراً ولم يمكن رفع الجبيرة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تكرار الماء إلى أن يصل المحل فحينئذٍ لا خلاف في تعيّن المسح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الأعلى مولى آل سام،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عثرتُ فانقطع ظُفري، فجعلت على إصبعي مرارة، كيف أصنع بالوضوء؟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وأشباهه من كتاب اللّه عزّ وجلّ‌،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259"/>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أمكن إيصال الماء إلى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يتعيّن ذلك، أو المسح على الجبيرة، أو ينتقل الفرض إلى التيمّم‌؟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الالتزام بالأخير، إذ لا يحتمل أن تكون الجبيرة في الفرض موجبة لوجوب التيمّم، وفيما إذا لم يمكن إيصال الماء من ورائها موجبة للوضوء والمسح عليها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تمّ دعوى عدم الفصل بين الصورتين في الحكم، يتعيّن القول الثاني لخبر عبد الأعلى المتقدّم، وإلّا فلابدَّ من الاحتياط بالجمع بين المسح على الجبيرة وإيصال الماء إلى البشرة، إذ قاعدة الميسور التي استدلّوا بها لتعيّن إيصال الماء غير تامّة، كما عرفت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مكشوفاً ولم يمكن المسح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ينتقل الفرض إلى التيمّم، أم يجب وضع خرقةٍ طاهرةٍ والمسح عليها بنداوة‌؟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عبد الأعلى المتقدّم، وبقاعدة الميسور، وبالإجماع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الخبر مختصٌّ بالجبيرة الموضوعة، ولا يدلّ على لزوم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 فهي غير تامّة، كما أنّ الإجماع ممنوع لوجود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هو انتقال الفرض إلى التيمّم، وعدم الاجتزاء بالوضوء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لم يمكن المسح على البشرة، وكانت الجبيرة في موضع المسح بتمامه، وإلّا فلو أمكن المسح عليها، أو كانت بمقدار المسح بلا جبيرة، يجب المسح على البشرة، لإطلاق ما دلَّ على وجوب ذلك، وخبر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التمسّك فيه بآية نفي الحرج</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بغير الفرضين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64" w:name="pg11795_115371"/>
    </w:p>
    <w:p>
      <w:pPr>
        <w:pStyle w:val="Heading6"/>
        <w:numPr>
          <w:ilvl w:val="5"/>
          <w:numId w:val="1"/>
        </w:numPr>
        <w:rPr/>
      </w:pPr>
      <w:bookmarkStart w:id="165" w:name="__RefHeading___Toc10328741_73709187"/>
      <w:bookmarkStart w:id="166" w:name="_Toc63"/>
      <w:bookmarkEnd w:id="164"/>
      <w:bookmarkEnd w:id="165"/>
      <w:r>
        <w:rPr>
          <w:rtl w:val="true"/>
        </w:rPr>
        <w:t>وضوء الجبيرة رافع للحَدَث</w:t>
      </w:r>
      <w:bookmarkEnd w:id="166"/>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مع الجبيرة رافعٌ للحدث لا مبيح، بمعنى أنّه بعد زوال العُذر لا يجب الاستئناف للغايات التي يريد إيجادها بعده،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وكتب الشهيد</w:t>
      </w:r>
      <w:r>
        <w:rPr>
          <w:rStyle w:val="FootnoteAnchor"/>
          <w:rtl w:val="true"/>
        </w:rPr>
        <w:footnoteReference w:id="2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وغيرها</w:t>
      </w:r>
      <w:r>
        <w:rPr>
          <w:rStyle w:val="FootnoteAnchor"/>
          <w:rtl w:val="true"/>
        </w:rPr>
        <w:footnoteReference w:id="265"/>
      </w:r>
      <w:r>
        <w:rPr>
          <w:rFonts w:ascii="Amiri" w:hAnsi="Amiri" w:eastAsia="Amiri" w:cs="Amiri"/>
          <w:color w:val="111111"/>
          <w:sz w:val="28"/>
          <w:sz w:val="28"/>
          <w:szCs w:val="28"/>
          <w:rtl w:val="true"/>
          <w:lang w:bidi="ar-SA"/>
        </w:rPr>
        <w:t>، لأنّ مقتضى إطلاق نصوص الجبيرة أنّ وضوء الجبيرة فردٌ من طبيعة الوضوء الذي تتوقّف عليه جميع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الصحّة، وما دلَّ على أنّ الوضوء لا يُنتقض إلّابالحدث، وليس زوال العذر منه،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إمرءٍ ما نَوى‌</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استدلّوا بها لهذا القول، فقد عرفت في مبحث التقيَّة</w:t>
      </w:r>
      <w:r>
        <w:rPr>
          <w:rStyle w:val="FootnoteAnchor"/>
          <w:rtl w:val="true"/>
        </w:rPr>
        <w:footnoteReference w:id="267"/>
      </w:r>
      <w:r>
        <w:rPr>
          <w:rFonts w:ascii="Amiri" w:hAnsi="Amiri" w:eastAsia="Amiri" w:cs="Amiri"/>
          <w:color w:val="111111"/>
          <w:sz w:val="28"/>
          <w:sz w:val="28"/>
          <w:szCs w:val="28"/>
          <w:rtl w:val="true"/>
          <w:lang w:bidi="ar-SA"/>
        </w:rPr>
        <w:t>فسادها، فلا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مبيحاً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Style w:val="FootnoteAnchor"/>
          <w:rtl w:val="true"/>
        </w:rPr>
        <w:footnoteReference w:id="271"/>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النصوص عن إثبات الرافعيّة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العرفي بين دليل وجوب التامّ‌، وبين دليل وجوب الناقص عند العجز عن التامّ‌، يقتضي بدليّة الناقص في ظرف سقوط التامّ من جهة العجز، فيكون ملاك التامّ ثابتاً في حال العجز، كثبوته في حال الاختيار، غاية الأمر أنّه يعذر المكلّف في تركه للعجز، ومقتضى ذلك عدم رافعيّة الناقص، وإلّا لم يتعيّن التامّ للرافعيّة، مع أنّه خلاف إطلاق الأدلّة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الالتزام إمّا بكون الناقص مبيحاً، أو أنّ له رافعيّة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إطلاق دليل وضوء الجبيرة، الاكتفاء به حتّى بعد ارتفاع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دلالة الدليل على أنّ الوضوء الناقص في حال العجز كالوضوء التامّ في حال الاختيار فردٌ من طبيعة الوضوء، الذي لابدَّ وأن يكون عليه المكلّف عند الدخول في الغايات، كما هو مقتضى إطلاقه، لا محيص إلّاعن الالتزام بأنّ مقتضى الجمع بينه وبين دليل التامّ‌، أنّ الرافع في حال الاختيار هو التامّ‌، وفي حال العجز عنه هو الناقص،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ملاك التامّ في حال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سقوط التكليف عنه للعجز، والأمر بالناقص، لا كاشف عن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تعيّن التامّ للرافعيّة مخالفٌ لإطلاق الأدلّة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مخالفاً له، ولكن نلتزم به من جهة ورود دليل الناقص الذي هو المقيّد لإطلاق تلك الأدلّة</w:t>
      </w:r>
      <w:r>
        <w:rPr>
          <w:rFonts w:eastAsia="Amiri" w:cs="Amiri" w:ascii="Amiri" w:hAnsi="Amiri"/>
          <w:color w:val="111111"/>
          <w:sz w:val="28"/>
          <w:szCs w:val="28"/>
          <w:rtl w:val="true"/>
          <w:lang w:bidi="ar-SA"/>
        </w:rPr>
        <w:t>.</w:t>
      </w:r>
      <w:bookmarkStart w:id="167" w:name="pg11795_115373"/>
    </w:p>
    <w:p>
      <w:pPr>
        <w:pStyle w:val="Heading6"/>
        <w:numPr>
          <w:ilvl w:val="5"/>
          <w:numId w:val="1"/>
        </w:numPr>
        <w:rPr/>
      </w:pPr>
      <w:bookmarkStart w:id="168" w:name="__RefHeading___Toc10328743_73709187"/>
      <w:bookmarkStart w:id="169" w:name="_Toc64"/>
      <w:bookmarkEnd w:id="167"/>
      <w:bookmarkEnd w:id="168"/>
      <w:r>
        <w:rPr>
          <w:rtl w:val="true"/>
        </w:rPr>
        <w:t>حكم الشاكّ في البُرء</w:t>
      </w:r>
      <w:bookmarkEnd w:id="169"/>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يتيقّن البُرء، يجري حكم الجبيرة، وإنْ احتمل البُرء للاستصحاب، وهل تجب الإعادة إذا تبيّن البرء سابقاً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خبر كُليب المتقدّم، الذي أُخذ فيه الخوف المساوق للاحتمال وجوداً موضوعاً لأحكام الجبائر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باقتضاء الأمر الظاهري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الخوف بما أنّه طريق إلى ثبوت الضرر، فبحصوله تكون الحجّة قائمة على الحرمة، وهي مانعة عن إمكان التقرّب، لقبح التجرّي، فهو غير متمكّن من الوضوء التامّ حينئذٍ، فيكون مكلّفاً بالناقص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الجمع بين خبر كُليب، وبين سائر النصوص التي أُخذ فيها الضرر الواقعي موضوعاً لتلك الأحكام، أنّ موضوع الحكم هو الضرر الواقعي، وثبوته مع الخوف من باب الحكم الشرعي الظاهري، لا أنّه موضوع للحكم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جمعٌ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w:t>
      </w:r>
      <w:r>
        <w:rPr>
          <w:rStyle w:val="FootnoteAnchor"/>
          <w:rtl w:val="true"/>
        </w:rPr>
        <w:footnoteReference w:id="272"/>
      </w:r>
      <w:r>
        <w:rPr>
          <w:rFonts w:ascii="Amiri" w:hAnsi="Amiri" w:eastAsia="Amiri" w:cs="Amiri"/>
          <w:color w:val="111111"/>
          <w:sz w:val="28"/>
          <w:sz w:val="28"/>
          <w:szCs w:val="28"/>
          <w:rtl w:val="true"/>
          <w:lang w:bidi="ar-SA"/>
        </w:rPr>
        <w:t>التي أُخذ موضوع المنع فيها الضرر الواقعي في الخبر المرويّ عن تفسير العيّاشي على الخوف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في محلّه من أنّ الأمر الظاهري غير مقتضٍ للإجزاء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تمام الموضوع لصحّة وضوء الجبيرة، ليس هو عدم التمكّن </w:t>
      </w:r>
    </w:p>
    <w:p>
      <w:pPr>
        <w:pStyle w:val="BookText"/>
        <w:rPr/>
      </w:pPr>
      <w:r>
        <w:rPr>
          <w:rFonts w:ascii="Amiri" w:hAnsi="Amiri" w:eastAsia="Amiri" w:cs="Amiri"/>
          <w:color w:val="111111"/>
          <w:sz w:val="28"/>
          <w:sz w:val="28"/>
          <w:szCs w:val="28"/>
          <w:rtl w:val="true"/>
          <w:lang w:bidi="ar-SA"/>
        </w:rPr>
        <w:t>من التامّ ولو من جهة عدم التمكّن من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اعتقد الضرر في غَسل البشرة، فعمل بالجبيرة، ثمّ تبيّن عدم الضرر في الواقع لا يصحّ وضوؤه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اعتقد عدم الضرر، فغسل العضو، ثمّ تبيّن أنّه كان مضرّاً، وكان وظيفته الجبيرة، لم يصحّ وضوؤه، لما عرفت آنفاً من أنّ مقتضى الجمع بين الأدلّة عدم ثبوت ملاك الوضوء التامّ فيما كان مكلّفاً بالناقص،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اعتقد الضرر، ومع ذلك ترك الجبيرة، ثمّ تبيّن عدم الضرر، فهل يصحّ وضوؤه إذا تحقّق منه قصد القُربة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الإقدام على ما يعتقد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حرامٌ إذا كان موضوع الحرمة ما يعتقد ضرره، أو تجرؤ إذا كان موضوعها نفس الضرر الواقعي، وهما منافيان للتقرّب المعتبر في صحّة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حقّقناه في محلّه من عدم حرمة الإضرار بالنفس، إذا لم يبلغ إلى إلقائها في التهلكة، ولم يكن ممّا عُلم مبغوضيّته في الشريعة كقطع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الحرمة هو نفس الضرر الواقعي، والتجرؤ وإنْ كان قبيحاً، لكن قبحه لا يسري إلى الفعل، بحيث ينافي التقرّب المعتبر في صحّة العبادة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أن يكون المكلّف جاهلاً معذوراً بوجوب وضوء الجبيرة للمتضرّر</w:t>
      </w:r>
      <w:r>
        <w:rPr>
          <w:rFonts w:eastAsia="Amiri" w:cs="Amiri" w:ascii="Amiri" w:hAnsi="Amiri"/>
          <w:color w:val="111111"/>
          <w:sz w:val="28"/>
          <w:szCs w:val="28"/>
          <w:rtl w:val="true"/>
          <w:lang w:bidi="ar-SA"/>
        </w:rPr>
        <w:t>.</w:t>
      </w:r>
      <w:bookmarkStart w:id="170" w:name="pg11795_115375"/>
    </w:p>
    <w:p>
      <w:pPr>
        <w:pStyle w:val="Heading6"/>
        <w:numPr>
          <w:ilvl w:val="5"/>
          <w:numId w:val="1"/>
        </w:numPr>
        <w:rPr/>
      </w:pPr>
      <w:bookmarkStart w:id="171" w:name="__RefHeading___Toc10328745_73709187"/>
      <w:bookmarkStart w:id="172" w:name="_Toc65"/>
      <w:bookmarkEnd w:id="170"/>
      <w:bookmarkEnd w:id="171"/>
      <w:r>
        <w:rPr>
          <w:rtl w:val="true"/>
        </w:rPr>
        <w:t>عدم إحراز كون الوظيفة الوضوء أو التيمّم</w:t>
      </w:r>
      <w:bookmarkEnd w:id="172"/>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وظيفته الوضوء الجبيري أو التيمّم‌؟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كانت حالته السابقة معلومة يؤخذ بها، سواءً أكانت الطهارة من العناوين المنطبقة على الوضوء كما هو الحق، أو كانت هي الأثر الحاصل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فجريان الاستصحاب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كونه استصحاباً تعليقيّاً، فيجري فيه ما يجري في الاستصحاب التعليقي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بما أنّ بيان الوضوء المحصّل للطهارة من وظائف المولى، فتجري فيه الاُصول، ولأجل ذلك بنينا على أنّه لو شكّ في اعتبار شيء فيه تجري فيه البراءة لا الاشتغال،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تكن حالته السابقة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تكون الشبهة حكميّة، أو تكون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هو التيمّم، لعموم ما دلَّ على انتقال الفرض إلى التيمّم عند العجز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لوجوب الوضوء الناقص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الميسور التي يعوَّل عليها في الأبواب الفقهيّة المستفادة من المراسيل</w:t>
      </w:r>
      <w:r>
        <w:rPr>
          <w:rStyle w:val="FootnoteAnchor"/>
          <w:rtl w:val="true"/>
        </w:rPr>
        <w:footnoteReference w:id="273"/>
      </w:r>
      <w:r>
        <w:rPr>
          <w:rFonts w:ascii="Amiri" w:hAnsi="Amiri" w:eastAsia="Amiri" w:cs="Amiri"/>
          <w:color w:val="111111"/>
          <w:sz w:val="28"/>
          <w:sz w:val="28"/>
          <w:szCs w:val="28"/>
          <w:rtl w:val="true"/>
          <w:lang w:bidi="ar-SA"/>
        </w:rPr>
        <w:t>المعروفة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قوله عليه السلام في خبر عبد الأعلى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 هذا وأشباهه من </w:t>
      </w:r>
    </w:p>
    <w:p>
      <w:pPr>
        <w:pStyle w:val="BookText"/>
        <w:rPr/>
      </w:pPr>
      <w:r>
        <w:rPr>
          <w:rFonts w:ascii="Amiri" w:hAnsi="Amiri" w:eastAsia="Amiri" w:cs="Amiri"/>
          <w:color w:val="111111"/>
          <w:sz w:val="28"/>
          <w:sz w:val="28"/>
          <w:szCs w:val="28"/>
          <w:rtl w:val="true"/>
          <w:lang w:bidi="ar-SA"/>
        </w:rPr>
        <w:t xml:space="preserve">كتاب اللّه 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وبفهمه من النصّ الوارد في الجرح المكشوف، بإلغاء خصوصيّة المورد، ولذا ترى تعدّي الفقهاء عنه إلى الكسر والقرح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مستندها، وعدم ظهورها في إرادة عدم سقوطالميسور من الأجزاء بالمعسور منها، بل ظاهرها عدم سقوطالميسور من الأفراد بالمعسور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التمسّك فيه بالآية الشريفة إنّما يكون لنفي وجوب المسح على البشرة، لا لوجوب المسح على المرارة، لأنّ الآية الشريفة نافية لا مثبتة، وبذلك يظهر عدم صحّة الاستدلال لهذا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ورد في المُغمى عليه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ورد في المسلوس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يقدر على حبسه فاللّه أولى بالعذر</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وبحديث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الأدلّة نافية للتكليف ولا تصلح لإثباته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الجرح إلى غيره من العلل المانعة عن وصول الماء إلى البشرة، فهو يحتاج إلى دليل، لكنّه مفقود، والتعدّي إلى الكسر والقرح إنّما يكون للإجماع لا لإلغاء خصوصيّة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المراد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يُراد به استصحاب التكليف الجامع بين الضمني والاستقلالي الثابت للأجزاء غير الجزء المتعذّر قبل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القسم الثالث من استصحاب الكلّي، ولا نقول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يُراد منه استصحاب التكليف الاستقلالي الثابت للمركّب قبل التعذّر، إذا لم يكن المتعذّر من الأجزاء المقوِّمة، بأن يُقال إنّ المركّب الفاقد للجزء المتعذّر الذي هو متّحدٌ مع الواجد له عرفاً، كان مأموراً به قبل التعذّر، فيستصحب بقاؤه، أو استصحاب التكليف الضمني المتعلّق بكلّ واحد من الأجزاء قبل التعذّر، بدعوى أنّه بتعلّق التكليف بالمركّب ينبسط الأمر على الأجزاء بالأسر، فبعد ارتفاع تعلّقه، وانبساطه عن الجزء المتعذّر، يشكّ في ارتفاع انبساطه على سائر الأجزاء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من عدم جريان الاستصحاب في الأحكام، إذا كان الشكّ فيها من جهة الجهل بكيفيّة الجعل، لكونه محكوماً لاستصحاب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وجوب الوضوء الجبيري في هذه الصورة، وأنّه ينتقل الفرض إلى التيمّم، لعموم دليل بدليّته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الشبهة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جواز التمسّك بالعام في الشبهة المصداقيّة، يتعيّن الرجوع إلى عموم بدليّة التيمّم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عدم جوازه، كما هو الحقّ‌، فاللّازم هو الجمع بين الوضوء الجبيري والتيمّم للعلم الإجمالي بوجوب أحدهما</w:t>
      </w:r>
      <w:r>
        <w:rPr>
          <w:rFonts w:eastAsia="Amiri" w:cs="Amiri" w:ascii="Amiri" w:hAnsi="Amiri"/>
          <w:color w:val="111111"/>
          <w:sz w:val="28"/>
          <w:szCs w:val="28"/>
          <w:rtl w:val="true"/>
          <w:lang w:bidi="ar-SA"/>
        </w:rPr>
        <w:t>.</w:t>
      </w:r>
      <w:bookmarkStart w:id="173" w:name="pg11795_115378"/>
    </w:p>
    <w:p>
      <w:pPr>
        <w:pStyle w:val="BookText"/>
        <w:rPr/>
      </w:pPr>
      <w:bookmarkEnd w:id="173"/>
      <w:r>
        <w:rPr>
          <w:rFonts w:ascii="Amiri" w:hAnsi="Amiri" w:eastAsia="Amiri" w:cs="Amiri"/>
          <w:color w:val="111111"/>
          <w:sz w:val="28"/>
          <w:sz w:val="28"/>
          <w:szCs w:val="28"/>
          <w:rtl w:val="true"/>
          <w:lang w:bidi="ar-SA"/>
        </w:rPr>
        <w:t>حكم دائم الحَدَث</w:t>
      </w:r>
    </w:p>
    <w:p>
      <w:pPr>
        <w:pStyle w:val="Heading5"/>
        <w:numPr>
          <w:ilvl w:val="4"/>
          <w:numId w:val="1"/>
        </w:numPr>
        <w:rPr/>
      </w:pPr>
      <w:bookmarkStart w:id="174" w:name="__RefHeading___Toc10328747_73709187"/>
      <w:bookmarkStart w:id="175" w:name="_Toc66"/>
      <w:bookmarkEnd w:id="174"/>
      <w:r>
        <w:rPr>
          <w:rtl w:val="true"/>
        </w:rPr>
        <w:t>المسألة الخامسة</w:t>
      </w:r>
      <w:r>
        <w:rPr>
          <w:rtl w:val="true"/>
        </w:rPr>
        <w:t xml:space="preserve">: </w:t>
      </w:r>
      <w:r>
        <w:rPr>
          <w:rtl w:val="true"/>
        </w:rPr>
        <w:t>في المبطون والمسلوس</w:t>
      </w:r>
      <w:r>
        <w:rPr>
          <w:rtl w:val="true"/>
        </w:rPr>
        <w:t>:</w:t>
      </w:r>
      <w:bookmarkEnd w:id="175"/>
    </w:p>
    <w:p>
      <w:pPr>
        <w:pStyle w:val="Heading6"/>
        <w:numPr>
          <w:ilvl w:val="5"/>
          <w:numId w:val="1"/>
        </w:numPr>
        <w:rPr/>
      </w:pPr>
      <w:bookmarkStart w:id="176" w:name="__RefHeading___Toc10328749_73709187"/>
      <w:bookmarkStart w:id="177" w:name="_Toc67"/>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10328751_73709187"/>
      <w:bookmarkStart w:id="179" w:name="_Toc68"/>
      <w:bookmarkEnd w:id="178"/>
      <w:r>
        <w:rPr>
          <w:rtl w:val="true"/>
        </w:rPr>
        <w:t>حكم المبطون</w:t>
      </w:r>
      <w:bookmarkEnd w:id="179"/>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إمّا أن يكون له فترة تسع الصلاة والطهارة، أمّا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خروج الحَدَث في مقدار الصلاة مرّتين أو ثلاثة مثلاً، أو هو 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إتيان الصلاة في تلك الفترة، كما لعلّه المشهور، وإنْ احتمل بعضهم عدم لزومه، وجريان النزاع في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ينافيه التأمّل في مطاوي كلماتهم بل تصريح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للمشهور أنّ ذلك ما تقتضيه القواعد الأوّليّة،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الأردبيلي رحمه الله</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النصوص الآتي بعضها، وبأنّه في غير تلك الفترة مكلّف بالصلاة، فيجب عليه الإتيان بالناقصة لا التامّة، لعدم القدرة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النصوص، إرادة بيان حكم من لم يتمكّن من الصلاة، من غير تخلّل الحَدَث بينها، ولا تشمل الفرض</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النقض بما إذا لم يقدر في أوّل الوقت على الصلاة مع </w:t>
      </w:r>
    </w:p>
    <w:p>
      <w:pPr>
        <w:pStyle w:val="BookText"/>
        <w:rPr/>
      </w:pPr>
      <w:r>
        <w:rPr>
          <w:rFonts w:ascii="Amiri" w:hAnsi="Amiri" w:eastAsia="Amiri" w:cs="Amiri"/>
          <w:color w:val="111111"/>
          <w:sz w:val="28"/>
          <w:sz w:val="28"/>
          <w:szCs w:val="28"/>
          <w:rtl w:val="true"/>
          <w:lang w:bidi="ar-SA"/>
        </w:rPr>
        <w:t xml:space="preserve">الطهارة، وتمكّن منها في آخره، فإنّ مقتضى هذا البرهان جواز الإتيان بها بلا طهارة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الفرض لا يكون التكليف بالصلاة فعليّاً في غير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على ما نُسب إليهم أنّه يتوضّأ، ويشتغل بالصلاة، ويضع الماء على جنبه، فإذا خرج منه شيء توضّأ بلا مهلة، وبنى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 رحمه الله في جملةٍ من كتبه</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البطن الغالب يتوضّأ ثمّ يرجع في صلاته فيتمّ ما بقي</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صحيحه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البطن الغالب يتوضّأ ويبني على صلاته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إرادة الإتيان بالصلاة الباقية،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يرجع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والاعتداد بصلاته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ويبني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ذكر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فائدة في التجديد، لأنّ هذا المتكرّر إنْ نقض الطهارة، نَقَضَ الصلاة، لما دلَّ على اشتراط الصلاة باستمرارها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لا وجه للاعتماد على هذه الوجوه في مقابل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التفكيك بين قاطعيّة الحَدَث، واشتراط الطهارة في أفعال الصلاة، والالتزام بعدم قاطعيّته في مورد مع بقاء شرطيّتها لو ساعد الدليل كما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يجب عليه إزالة الخبث عند تجديد الطهارة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الثاني لإطلاق الخبرين المتقدّمين الآمرين بالوضوء، والبناء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كونهما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في مقام بيان الوظيفة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إهمالهما من هذه الجهة، فيقع التعارض بين إطلاق أدلّة اعتبار الطهارة الخَبَثيّة في الصلاة، وإطلاق أدلّة إبطال الفعل الكثير، ويتساقطان فيرجع إلى الأصل، وهو يقتضي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عدم لزوم تجديد الوضوء في أثناء الصلاة، لكونه حرجيّاً،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الوضوء قبل كلّ صلاة، فلا يجوز أن يُصلّي صلاتين بوضوءٍ واحد؟</w:t>
      </w:r>
    </w:p>
    <w:p>
      <w:pPr>
        <w:pStyle w:val="BookText"/>
        <w:rPr/>
      </w:pPr>
      <w:r>
        <w:rPr>
          <w:rFonts w:ascii="Amiri" w:hAnsi="Amiri" w:eastAsia="Amiri" w:cs="Amiri"/>
          <w:color w:val="111111"/>
          <w:sz w:val="28"/>
          <w:sz w:val="28"/>
          <w:szCs w:val="28"/>
          <w:rtl w:val="true"/>
          <w:lang w:bidi="ar-SA"/>
        </w:rPr>
        <w:t>أم لا فيجوز أن يُصلّي بوضوءٍ واحد صلوات كثيرة إلى أن يحدث حَدث آخر؟</w:t>
      </w:r>
    </w:p>
    <w:p>
      <w:pPr>
        <w:pStyle w:val="BookText"/>
        <w:rPr/>
      </w:pPr>
      <w:r>
        <w:rPr>
          <w:rFonts w:ascii="Amiri" w:hAnsi="Amiri" w:eastAsia="Amiri" w:cs="Amiri"/>
          <w:color w:val="111111"/>
          <w:sz w:val="28"/>
          <w:sz w:val="28"/>
          <w:szCs w:val="28"/>
          <w:rtl w:val="true"/>
          <w:lang w:bidi="ar-SA"/>
        </w:rPr>
        <w:t>أم يفصّل بين ما لو كان الحَدَث مستمرّاً بلا فترة، يمكن إتيان شيء من الصلاة مع الطهارة فالثاني، وبين غيره فالأوّل كما هو المشهور؟</w:t>
      </w:r>
    </w:p>
    <w:p>
      <w:pPr>
        <w:pStyle w:val="BookText"/>
        <w:rPr/>
      </w:pPr>
      <w:r>
        <w:rPr>
          <w:rFonts w:ascii="Amiri" w:hAnsi="Amiri" w:eastAsia="Amiri" w:cs="Amiri"/>
          <w:color w:val="111111"/>
          <w:sz w:val="28"/>
          <w:sz w:val="28"/>
          <w:szCs w:val="28"/>
          <w:rtl w:val="true"/>
          <w:lang w:bidi="ar-SA"/>
        </w:rPr>
        <w:t>وجوهٌ وأقوال 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وجوب تجديد الوضوء في الأوّل فلعدم الفائدة فيه، ولازم ذلك وإنْ كان عدم وجوب الوضوء قبل الصلاة الاُولى أيضاً، ولكن يشهد له الإجماع على وجوبه لها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وجوبه في الثاني، فلأنّه إذا أمكن إيقاع أوّل الصلاة الثانية مثلاً مع الطهارة، ولم يدلّ دليل على‌عدم اعتبارها والعفو عن الحَدَث في الفرض، وجب ذلك</w:t>
      </w:r>
      <w:r>
        <w:rPr>
          <w:rFonts w:eastAsia="Amiri" w:cs="Amiri" w:ascii="Amiri" w:hAnsi="Amiri"/>
          <w:color w:val="111111"/>
          <w:sz w:val="28"/>
          <w:szCs w:val="28"/>
          <w:rtl w:val="true"/>
          <w:lang w:bidi="ar-SA"/>
        </w:rPr>
        <w:t>.</w:t>
      </w:r>
      <w:bookmarkStart w:id="180" w:name="pg11795_115381"/>
    </w:p>
    <w:p>
      <w:pPr>
        <w:pStyle w:val="Heading6"/>
        <w:numPr>
          <w:ilvl w:val="5"/>
          <w:numId w:val="1"/>
        </w:numPr>
        <w:rPr/>
      </w:pPr>
      <w:bookmarkStart w:id="181" w:name="__RefHeading___Toc10328753_73709187"/>
      <w:bookmarkStart w:id="182" w:name="_Toc69"/>
      <w:bookmarkEnd w:id="180"/>
      <w:bookmarkEnd w:id="181"/>
      <w:r>
        <w:rPr>
          <w:rtl w:val="true"/>
        </w:rPr>
        <w:t>حكم المسلوس</w:t>
      </w:r>
      <w:bookmarkEnd w:id="182"/>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له فترة تسع الصلاة والطهارة، يجب عليه إتيان الصلاة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الانتظار كما صرّح به جمع من الأصحاب، بل لا أجد فيه خلافاً هنا، سوى ما يُنقل من الأردبيلي</w:t>
      </w:r>
      <w:r>
        <w:rPr>
          <w:rStyle w:val="FootnoteAnchor"/>
          <w:rtl w:val="true"/>
        </w:rPr>
        <w:footnoteReference w:id="283"/>
      </w:r>
      <w:r>
        <w:rPr>
          <w:rFonts w:ascii="IRNazanin" w:hAnsi="IRNazanin" w:eastAsia="IRNazanin"/>
          <w:color w:val="111111"/>
          <w:sz w:val="28"/>
          <w:sz w:val="28"/>
          <w:szCs w:val="28"/>
          <w:rtl w:val="true"/>
          <w:lang w:bidi="fa-IR"/>
        </w:rPr>
        <w:t>من احتمال 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عرفت في المبطون عدم تماميّة ما استدلّ به لما احتمله الأردبيلي، وأنّ الأقوى ما هو المشهور، فلا 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له فترة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خروج الحدث في مقدار الصلاة مرّتين أو ثلاثة مثلاً، فالمنسوب إلى المشهور أنّه يُعفى عمّا يتقاطر منه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284"/>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خرج منه شيء في الأثناء، توضّأ بلا مهلة، وبنى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إذا كانت الطهارة وضوءاً ارتماسيّاً لا يحتاج إلى فعل كثير، فيجب التجديد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غيره فلا يجب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القول الثاني، لما عرفت في المبطون من أنّه ممّا تقتضيه القواعد، فراجع</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المصنّف رحمه الله في جملةٍ من كتبه</w:t>
      </w:r>
      <w:r>
        <w:rPr>
          <w:rStyle w:val="FootnoteAnchor"/>
          <w:rtl w:val="true"/>
        </w:rPr>
        <w:footnoteReference w:id="286"/>
      </w:r>
      <w:r>
        <w:rPr>
          <w:rFonts w:ascii="Amiri" w:hAnsi="Amiri" w:eastAsia="Amiri" w:cs="Amiri"/>
          <w:color w:val="111111"/>
          <w:sz w:val="28"/>
          <w:sz w:val="28"/>
          <w:szCs w:val="28"/>
          <w:rtl w:val="true"/>
          <w:lang w:bidi="ar-SA"/>
        </w:rPr>
        <w:t>، بأنّ هذا المتكرّر إنْ نقض الطهارة، نقض الصلاة، لما دلّ على اشتراط الصلاة باستمرارها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غَلَب اللّه عليه فهو فاللّه أولى بالعذر</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المُشار إليها في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المبطون عند التعرّض لكلامه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تدلّ على عدم قادحيّة الحَدث، وأنّه لا ينقض الصلاة، وأمّا ترك الوضوء لبقيّة أجزاء الصلاة الذي لا عُذر عند العقلاء فيه، فهي لا تدلّ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يمكن الوضوء الارتماسي، وتعيّن أن يكون ترتيبيّاً، فيقع التعارض بين أدلّة إبطال الفعل الكثير، وما دلَّ على شرطيّة الطهارة لأفعال الصلاة، فيتساقطان، ويرجع إلى الأصل، وهو يقتضي جواز المضيّ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في صورة حصول مقدّماته، مع الاقتصار على خصوص الواجبات، لا يكون فعلاً كثيراً، وإلّا لم يبق موردٌ للنصوص المتضمّنة للأمر بغَسل الثوب والبدن في أثناء الصلاة عن دم الرّعاف وغيره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قاطعيّة الفعل الكثير فيما إذا لم يكن ماحياً للصلاة هو الإجماع،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والمتيقّن منه غير الفرض، لذهاب جماعةٍ إلى 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الحلّي رحمه الله، وتؤيّده النصوص الواردة في المبطون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خروج الحدث متّصلاً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الحدث مستمرّاً بلا فترة يمكن إتيان شيء من الصلاة مع الطهارة، فلا يجب عليه تجديد الوضوء، لعدم الفائدة في تجديده، بل يجوز أن يُصلّي بوضوءٍ واحد صلوات عديدة، بل لولا الإجماع على وجوبه للصلاة الاُولى‌، كان الأقوى عدم وجوبه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الحَدَث مستمرّاً، ولكن كان بحيث لو توضّأ بعد كلّ حدثٍ وبنى، لزم الحرج، فلا خلاف في عدم وجوب تجديده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فائدة التجديد، وبكونه حرجيّاً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فائدة التجديد، وقوع أفعال الصلاة مع الطهارة، ولازم الوجه الثاني سقوط الوضوء إذا لزم منه الحرج، لا سقوطه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الاستدلال له بصحيح حريز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المشهور بين الأصحاب عدم جواز أنْ يصلّي صلاتين بوضوءٍ واحد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وجماعةٍ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الجمع بين الظهرين بوضوء، وبين العشائين بوضوء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أنْ يُصلّي بوضوءٍ واحد صلوات كثيرة، إلى أن يحدث حدث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هو القول الأوّل، إذ لا دليل على عدم اعتبار الطهارة في أوّل الصلاة الثانية، كي يوجب تقييد إطلاق ما دلَّ على اعتبارها في كلّ جزءٍ من أجزاء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حَريز،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يقطر منه البول والدّم، إذا كان حين الصلاة، اتّخذ كيساً وجعل فيه قطناً، ثمّ علّقه عليه، وأدخلَ ذَكَره فيه، ثمّ صلّى‌؛ يجمع بين الصلاتين الظهر والعصر، يؤخّر الظهر ويعجِّل العصر بأذانٍ وإقامتين، ويؤخِّر المغرب ويجعل العشاء بأذانٍ وإقامتين، ويفعل ذلك في الصبح</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كالصريح في عدم لزوم تجديد الوضوء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لايكون مسوقاً لبيان هذا الحكم، بل واردٌ لبيان الحكم من حيث الطهارة الخَبَثيّة، ولذا ذكر الدّم فيه، فلا يصحّ التمسّك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يقطر منه البول والدّم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ذلك، ولا يشمل ما إذا كانت له فترات ولو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فلا أقلّ من إجماله من هذه الجهة، فيتعيّن حمله على ذلك كي لا ينافي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الأخير بأدلّة عديدة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عليه فهو أولى بالعذر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أخذه تقطير من قرحة إمّا دم وغيره،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فليضع خريطة وليتوضّأ، وليصلِّ فإنّما ذلك بلاءٌ اُبتلي به، فلا يعيدنّ إلّامن الحَدَث الذي يتوضّأ منه</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المراد من الحَدَث في ذيله، الحدث المتعارف في مقابل ما يتقاطر من المسلوس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تقطير البول‌؟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خريطةً إذا صلّى‌</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يقطر منه البول، ولا يقدر على حبسه‌؟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على حبسه، فاللّه أولى بالعذر، يجعل خريطة</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ما لا يقدر على حبسه، فهو معذور من ناحيته، لا يجب عليه إزالته للصلاة، ولا تجديد الطهارة حتّى بين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ومكاتبة عبد الرحيم، إلى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خصيّ يبول فيلقى من ذلك شدّة، ويرى البَلَل بعد البَلَل‌؟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ثمّ ينضح ثوبه في النهار مرّة واحدة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الصورة السابقة من أنّها لا تدلّ على المعذوريّة في ترك الوضوء لما يمكن إتيانه من الصلاة مع الطهارة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ظاهر في المسلوس، إلّابواسطة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الظاهر من جهة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غيره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المتعارف لا شاهد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سكوته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كونه في مقام البيان من هذه الجهة، يحتمل أن يكون المراد منه التوضّأ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محطّ النظر سؤالاً وجواباً فيه جهة النجاسة، ويحتمل أن يكون ناقضيّة الحدث للصلاة، ومع هذين الاحتمالين لا سبيل إلى دعوى دلالته على سقوط شرطيّة الطهارة لأوّل جزءٍ من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ظاهرة في المقام، إذ يحتمل أن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البَلَل بعد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وجوب تجديد الوضوء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بعض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أمكنهما إتيان الصلاة الإضطراريّة، ولو بأن يقتصرا في كلّ ركعةٍ عليتسبيحة، ويؤميا للركوع والسجود، يجب عليهما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رحمه الله</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الأحوط الجمع بين الصلاة المذكورة، وبين الصلاة التامّة في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في المقام ما ذكره في طهارته</w:t>
      </w:r>
      <w:r>
        <w:rPr>
          <w:rStyle w:val="FootnoteAnchor"/>
          <w:rtl w:val="true"/>
        </w:rPr>
        <w:footnoteReference w:id="296"/>
      </w:r>
      <w:r>
        <w:rPr>
          <w:rFonts w:ascii="IRNazanin" w:hAnsi="IRNazanin" w:eastAsia="IRNazanin"/>
          <w:color w:val="111111"/>
          <w:sz w:val="28"/>
          <w:sz w:val="28"/>
          <w:szCs w:val="28"/>
          <w:rtl w:val="true"/>
          <w:lang w:bidi="fa-IR"/>
        </w:rPr>
        <w:t>بقوله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في السلس ونحوه أنّ له أن يُصلّي الصلاة المتعارفة، وأنّ هذا المرض موجبٌ للعفو عن الحَدَث، لا للرخصة في ترك أكثر الواجبات تحفّظاً عن هذا الحدث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أغمض عن النصوص، كان مقتضى القاعدة هو التخيير بين الكيفيّتين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المذكورتين، لما حقّقناه في محلّه، وذكرناه إجمالاً في الفصل الثالث من مبحث القبلة</w:t>
      </w:r>
      <w:r>
        <w:rPr>
          <w:rStyle w:val="FootnoteAnchor"/>
          <w:rtl w:val="true"/>
        </w:rPr>
        <w:footnoteReference w:id="297"/>
      </w:r>
      <w:r>
        <w:rPr>
          <w:rFonts w:ascii="Amiri" w:hAnsi="Amiri" w:eastAsia="Amiri" w:cs="Amiri"/>
          <w:color w:val="111111"/>
          <w:sz w:val="28"/>
          <w:sz w:val="28"/>
          <w:szCs w:val="28"/>
          <w:rtl w:val="true"/>
          <w:lang w:bidi="ar-SA"/>
        </w:rPr>
        <w:t>في كتابنا هذا، من أنّ التنافي بين الأوامر الضمنيّة لا يكون من باب التزاحم، بل إنّما يرجع إلى التعارض، ويظهر إنْ شاء اللّه تعالى في ذلك المقام أنّ مركز التنافي هو إطلاق دليلهما، وأنّه إذا كان لكلٍّ منهما إطلاقٌ‌، فإنّ مقتضى القاعدة تساقطهما</w:t>
      </w:r>
      <w:r>
        <w:rPr>
          <w:rStyle w:val="FootnoteAnchor"/>
          <w:rtl w:val="true"/>
        </w:rPr>
        <w:footnoteReference w:id="298"/>
      </w:r>
      <w:r>
        <w:rPr>
          <w:rFonts w:ascii="IRNazanin" w:hAnsi="IRNazanin" w:eastAsia="IRNazanin"/>
          <w:color w:val="111111"/>
          <w:sz w:val="28"/>
          <w:sz w:val="28"/>
          <w:szCs w:val="28"/>
          <w:rtl w:val="true"/>
          <w:lang w:bidi="fa-IR"/>
        </w:rPr>
        <w:t>والرجوع إلى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نحن فيه فإنّه بعد العلم بسقوط الأمر بالصلاة التامّة مع الطهارة، وحدوث الأمر بالخالية عن الطهارة أو تلك الاُمور، يقع التعارض بين إطلاق دليل اعتبار الطهارة، وإطلاق أدلّة تلك الاُمور، فيتساقطان، فيجب الرجوع إلى الأصل، وهو هاهنا التخيير كما لا يخفى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3" w:name="pg11795_115388"/>
    </w:p>
    <w:p>
      <w:pPr>
        <w:pStyle w:val="BookText"/>
        <w:rPr/>
      </w:pPr>
      <w:bookmarkEnd w:id="183"/>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بالجنابة، والحيض، والاستحاضة، والنفاس، ومَسّ الأموات بعد بَردهم وقبل تطهيرهم بالغُسل، وللموت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 هنا فصول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الطهارة</w:t>
      </w:r>
    </w:p>
    <w:p>
      <w:pPr>
        <w:pStyle w:val="Heading3"/>
        <w:numPr>
          <w:ilvl w:val="2"/>
          <w:numId w:val="1"/>
        </w:numPr>
        <w:rPr/>
      </w:pPr>
      <w:bookmarkStart w:id="184" w:name="__RefHeading___Toc10328755_73709187"/>
      <w:bookmarkStart w:id="185" w:name="_Toc70"/>
      <w:bookmarkEnd w:id="184"/>
      <w:r>
        <w:rPr>
          <w:rtl w:val="true"/>
        </w:rPr>
        <w:t>الباب الثالث</w:t>
      </w:r>
      <w:r>
        <w:rPr>
          <w:rtl w:val="true"/>
        </w:rPr>
        <w:t xml:space="preserve">: </w:t>
      </w:r>
      <w:r>
        <w:rPr>
          <w:rtl w:val="true"/>
        </w:rPr>
        <w:t>في الغُسل</w:t>
      </w:r>
      <w:bookmarkEnd w:id="185"/>
    </w:p>
    <w:p>
      <w:pPr>
        <w:pStyle w:val="Heading4"/>
        <w:numPr>
          <w:ilvl w:val="3"/>
          <w:numId w:val="1"/>
        </w:numPr>
        <w:rPr/>
      </w:pPr>
      <w:bookmarkStart w:id="186" w:name="__RefHeading___Toc10328757_73709187"/>
      <w:bookmarkStart w:id="187" w:name="_Toc71"/>
      <w:bookmarkEnd w:id="186"/>
      <w:r>
        <w:rPr>
          <w:rtl w:val="true"/>
        </w:rPr>
        <w:t>اشارة</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الواجب والمَندوب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الجنابة، والحيض والاستحاضة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تُثقب الكُرْسُف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والنفاس، ومسّ الأموات بعد بردهم بالموت وقبل تطهيرهم بالغُسل، وللموت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بلا خلافٍ ظاهرٍ في شيء منها غير الخامس، وسيجيء الكلام في كلّ واحد من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أيضاً لتعلّق النذر ونحوه به، ولم يذكره المصنّف رحمه الله، من جهة أنّ المقصود في هذا الباب بيان الأغسال الواجبة والمستحبّة بعنوان أنّها أغسال، لا من جهة انطباق عناوين اُخر عليها، وقد أضاف بعضٌ إليها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له في الأغسال المندوبة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لما يأتي، فها هنا فصول</w:t>
      </w:r>
      <w:r>
        <w:rPr>
          <w:rFonts w:eastAsia="Amiri" w:cs="Amiri" w:ascii="Amiri" w:hAnsi="Amiri"/>
          <w:color w:val="111111"/>
          <w:sz w:val="28"/>
          <w:szCs w:val="28"/>
          <w:rtl w:val="true"/>
          <w:lang w:bidi="ar-SA"/>
        </w:rPr>
        <w:t xml:space="preserve">): </w:t>
      </w:r>
      <w:bookmarkStart w:id="188" w:name="pg11795_115389"/>
    </w:p>
    <w:p>
      <w:pPr>
        <w:pStyle w:val="Heading4"/>
        <w:numPr>
          <w:ilvl w:val="3"/>
          <w:numId w:val="1"/>
        </w:numPr>
        <w:rPr/>
      </w:pPr>
      <w:bookmarkStart w:id="189" w:name="__RefHeading___Toc10328759_73709187"/>
      <w:bookmarkStart w:id="190" w:name="_Toc72"/>
      <w:bookmarkEnd w:id="188"/>
      <w:bookmarkEnd w:id="189"/>
      <w:r>
        <w:rPr>
          <w:rtl w:val="true"/>
        </w:rPr>
        <w:t>الفصل الأوّل</w:t>
      </w:r>
      <w:r>
        <w:rPr>
          <w:rtl w:val="true"/>
        </w:rPr>
        <w:t xml:space="preserve">: </w:t>
      </w:r>
      <w:r>
        <w:rPr>
          <w:rtl w:val="true"/>
        </w:rPr>
        <w:t>في الجنابة</w:t>
      </w:r>
      <w:bookmarkEnd w:id="190"/>
    </w:p>
    <w:p>
      <w:pPr>
        <w:pStyle w:val="Heading5"/>
        <w:numPr>
          <w:ilvl w:val="4"/>
          <w:numId w:val="1"/>
        </w:numPr>
        <w:rPr/>
      </w:pPr>
      <w:bookmarkStart w:id="191" w:name="__RefHeading___Toc10328761_73709187"/>
      <w:bookmarkStart w:id="192" w:name="_Toc73"/>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الجنابة، وهي تَحصل بإنزال الماء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الجنابة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0328763_73709187"/>
      <w:bookmarkStart w:id="194" w:name="_Toc74"/>
      <w:bookmarkEnd w:id="193"/>
      <w:r>
        <w:rPr>
          <w:rtl w:val="true"/>
        </w:rPr>
        <w:t>ما يحصل به الجنابة</w:t>
      </w:r>
      <w:bookmarkEnd w:id="194"/>
    </w:p>
    <w:p>
      <w:pPr>
        <w:pStyle w:val="Heading6"/>
        <w:numPr>
          <w:ilvl w:val="5"/>
          <w:numId w:val="1"/>
        </w:numPr>
        <w:rPr/>
      </w:pPr>
      <w:bookmarkStart w:id="195" w:name="__RefHeading___Toc10328765_73709187"/>
      <w:bookmarkStart w:id="196" w:name="_Toc75"/>
      <w:bookmarkEnd w:id="195"/>
      <w:r>
        <w:rPr>
          <w:rtl w:val="true"/>
        </w:rPr>
        <w:t>الأمر الأوّل</w:t>
      </w:r>
      <w:r>
        <w:rPr>
          <w:rtl w:val="true"/>
        </w:rPr>
        <w:t>: (</w:t>
      </w:r>
      <w:r>
        <w:rPr>
          <w:rtl w:val="true"/>
        </w:rPr>
        <w:t>إنزال الماء</w:t>
      </w:r>
      <w:r>
        <w:rPr>
          <w:rtl w:val="true"/>
        </w:rPr>
        <w:t xml:space="preserve">) </w:t>
      </w:r>
      <w:r>
        <w:rPr>
          <w:rtl w:val="true"/>
        </w:rPr>
        <w:t xml:space="preserve">الدّافق </w:t>
      </w:r>
      <w:r>
        <w:rPr>
          <w:rtl w:val="true"/>
        </w:rPr>
        <w:t>(</w:t>
      </w:r>
      <w:r>
        <w:rPr>
          <w:rtl w:val="true"/>
        </w:rPr>
        <w:t>مطلقاً</w:t>
      </w:r>
      <w:r>
        <w:rPr>
          <w:rtl w:val="true"/>
        </w:rPr>
        <w:t>)</w:t>
      </w:r>
      <w:r>
        <w:rPr>
          <w:rtl w:val="true"/>
        </w:rPr>
        <w:t>،</w:t>
      </w:r>
      <w:bookmarkEnd w:id="196"/>
    </w:p>
    <w:p>
      <w:pPr>
        <w:pStyle w:val="Heading6"/>
        <w:numPr>
          <w:ilvl w:val="5"/>
          <w:numId w:val="1"/>
        </w:numPr>
        <w:rPr/>
      </w:pPr>
      <w:bookmarkStart w:id="197" w:name="__RefHeading___Toc10328767_73709187"/>
      <w:bookmarkStart w:id="198" w:name="_Toc76"/>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من غير فرقٍ بين أحوال الإنزال وأفراد المنزَل، بلا خلافٍ فيه في الجملة، بل إجماعاً، كما عن جماعة</w:t>
      </w:r>
      <w:r>
        <w:rPr>
          <w:rStyle w:val="FootnoteAnchor"/>
          <w:rtl w:val="true"/>
        </w:rPr>
        <w:footnoteReference w:id="299"/>
      </w:r>
      <w:r>
        <w:rPr>
          <w:rFonts w:ascii="Amiri" w:hAnsi="Amiri" w:eastAsia="Amiri" w:cs="Amiri"/>
          <w:color w:val="111111"/>
          <w:sz w:val="28"/>
          <w:sz w:val="28"/>
          <w:szCs w:val="28"/>
          <w:rtl w:val="true"/>
          <w:lang w:bidi="ar-SA"/>
        </w:rPr>
        <w:t>، والنصوص به متواترة، وستمرّ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الخارج قليلاً، فمقتضى إطلاق النصوص حصولها به، ولكن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احتلم، فلمّا انتبه وَجَدَ بَلَلاً قليلاً؟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إلّاأنْ يكون مريضاً، فإنّه يضعف فعليه الغُسل</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في بادي النظر في العدم، إلّاأنّه بعد التدبّر فيه صدراً وذيلاً يظهر أنّه يدلّ على عدم وجوب الغُسل لخروج غير المنيّ أو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الظاهر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عنبسة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رآى في المنام أنّه احتلم، فلمّا قام وجدَ بَلَلاً قليلاً على طرف </w:t>
      </w:r>
    </w:p>
    <w:p>
      <w:pPr>
        <w:pStyle w:val="BookText"/>
        <w:rPr/>
      </w:pPr>
      <w:r>
        <w:rPr>
          <w:rFonts w:ascii="Amiri" w:hAnsi="Amiri" w:eastAsia="Amiri" w:cs="Amiri"/>
          <w:color w:val="111111"/>
          <w:sz w:val="28"/>
          <w:sz w:val="28"/>
          <w:szCs w:val="28"/>
          <w:rtl w:val="true"/>
          <w:lang w:bidi="ar-SA"/>
        </w:rPr>
        <w:t>ذكره‌؟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 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الغُسل من الماء الأكبر</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الفرق بين الكثير والقليل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عدم الفرق بين مقارنته الشهوة والدّفق والفتور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عليه من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من المسلمين</w:t>
      </w:r>
      <w:r>
        <w:rPr>
          <w:rStyle w:val="FootnoteAnchor"/>
          <w:rtl w:val="true"/>
        </w:rPr>
        <w:footnoteReference w:id="304"/>
      </w:r>
      <w:r>
        <w:rPr>
          <w:rFonts w:ascii="Amiri" w:hAnsi="Amiri" w:eastAsia="Amiri" w:cs="Amiri"/>
          <w:color w:val="111111"/>
          <w:sz w:val="28"/>
          <w:sz w:val="28"/>
          <w:szCs w:val="28"/>
          <w:rtl w:val="true"/>
          <w:lang w:bidi="ar-SA"/>
        </w:rPr>
        <w:t>، سوى ما يُنقل</w:t>
      </w:r>
      <w:r>
        <w:rPr>
          <w:rStyle w:val="FootnoteAnchor"/>
          <w:rtl w:val="true"/>
        </w:rPr>
        <w:footnoteReference w:id="305"/>
      </w:r>
      <w:r>
        <w:rPr>
          <w:rFonts w:ascii="Amiri" w:hAnsi="Amiri" w:eastAsia="Amiri" w:cs="Amiri"/>
          <w:color w:val="111111"/>
          <w:sz w:val="28"/>
          <w:sz w:val="28"/>
          <w:szCs w:val="28"/>
          <w:rtl w:val="true"/>
          <w:lang w:bidi="ar-SA"/>
        </w:rPr>
        <w:t>عن مالك</w:t>
      </w:r>
      <w:r>
        <w:rPr>
          <w:rStyle w:val="FootnoteAnchor"/>
          <w:rtl w:val="true"/>
        </w:rPr>
        <w:footnoteReference w:id="306"/>
      </w:r>
      <w:r>
        <w:rPr>
          <w:rFonts w:ascii="Amiri" w:hAnsi="Amiri" w:eastAsia="Amiri" w:cs="Amiri"/>
          <w:color w:val="111111"/>
          <w:sz w:val="28"/>
          <w:sz w:val="28"/>
          <w:szCs w:val="28"/>
          <w:rtl w:val="true"/>
          <w:lang w:bidi="ar-SA"/>
        </w:rPr>
        <w:t>وأحمد وأبي حنيفة، من اعتبار مقارنة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وغيرهم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الدّفق، حيث قيّدوا سبب الجنابة بإنزال الماء الدّافق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يتعيّن حملها على أنّه لما كان الأغلب في أحواله الدّفق قيّدوه به، كما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صرّح به الحلّي</w:t>
      </w:r>
      <w:r>
        <w:rPr>
          <w:rStyle w:val="FootnoteAnchor"/>
          <w:rtl w:val="true"/>
        </w:rPr>
        <w:footnoteReference w:id="309"/>
      </w:r>
      <w:r>
        <w:rPr>
          <w:rFonts w:ascii="Amiri" w:hAnsi="Amiri" w:eastAsia="Amiri" w:cs="Amiri"/>
          <w:color w:val="111111"/>
          <w:sz w:val="28"/>
          <w:sz w:val="28"/>
          <w:szCs w:val="28"/>
          <w:rtl w:val="true"/>
          <w:lang w:bidi="ar-SA"/>
        </w:rPr>
        <w:t>، لما عرفت من كون الحكم مجمعاً عليه عندنا، والنصوص الكثيرة شاهدة به، لأنّها متضمّنة لترتّب الحكم على الإنزال وخروج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صحيح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يلعب مع المرأة ويقبّلها، فيخرج المنيّ فما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الشهوة ودفعٍ وفترٍ لخروجه فعليه الغُسل، وإنْ كان إنّما هو شيءٌ لم يجد له فترةً ولا شهوةً لا بأس</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وعليه، فيحمل على صورة الاشتباه، كما حَمَله الشيخ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فيتعيّن حمله على التقيَّة،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صريح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 وظاهر جماعةٍ‌</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خروجه من المخرج المعتاد أو غيره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الاعتياد في غير ثقبة الإحليل والخُصية والصّلب</w:t>
      </w:r>
      <w:r>
        <w:rPr>
          <w:rFonts w:eastAsia="Amiri" w:cs="Amiri" w:ascii="Amiri" w:hAnsi="Amiri"/>
          <w:color w:val="111111"/>
          <w:sz w:val="28"/>
          <w:szCs w:val="28"/>
          <w:rtl w:val="true"/>
          <w:lang w:bidi="ar-SA"/>
        </w:rPr>
        <w:t xml:space="preserve">.). </w:t>
      </w:r>
      <w:bookmarkStart w:id="199" w:name="pg11795_115392"/>
    </w:p>
    <w:p>
      <w:pPr>
        <w:pStyle w:val="BookText"/>
        <w:rPr/>
      </w:pPr>
      <w:bookmarkEnd w:id="199"/>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الخروج من الموضع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لإطلاق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الناشيء من الاعتياد، وغلبة وجود فردٍ وندرة آخر، لا توجبان رفع اليد عن الإطلاق، وقد تقدّم تنقيح القول في ذلك في مبحث ناقضيّة البول والغائط،</w:t>
      </w:r>
      <w:r>
        <w:rPr>
          <w:rStyle w:val="FootnoteAnchor"/>
          <w:rtl w:val="true"/>
        </w:rPr>
        <w:footnoteReference w:id="31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6"/>
        <w:numPr>
          <w:ilvl w:val="5"/>
          <w:numId w:val="1"/>
        </w:numPr>
        <w:rPr/>
      </w:pPr>
      <w:bookmarkStart w:id="200" w:name="__RefHeading___Toc10328769_73709187"/>
      <w:bookmarkStart w:id="201" w:name="_Toc77"/>
      <w:bookmarkEnd w:id="200"/>
      <w:r>
        <w:rPr>
          <w:rtl w:val="true"/>
        </w:rPr>
        <w:t>خروج المنيّ من المرأة يوجب جنابتها</w:t>
      </w:r>
      <w:bookmarkEnd w:id="201"/>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جماعةٍ‌</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أنّه لا فرق بين الرّجل والمرأة في أنّ خروج المنيّ موجبٌ للجنابة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321"/>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المسلمين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موجباً لجنابة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وتشهد له نصوص كثيرة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يُجامع المرأة فيما دون </w:t>
      </w:r>
    </w:p>
    <w:p>
      <w:pPr>
        <w:pStyle w:val="BookText"/>
        <w:rPr/>
      </w:pPr>
      <w:r>
        <w:rPr>
          <w:rFonts w:ascii="Amiri" w:hAnsi="Amiri" w:eastAsia="Amiri" w:cs="Amiri"/>
          <w:color w:val="111111"/>
          <w:sz w:val="28"/>
          <w:sz w:val="28"/>
          <w:szCs w:val="28"/>
          <w:rtl w:val="true"/>
          <w:lang w:bidi="ar-SA"/>
        </w:rPr>
        <w:t>الفرج، وتنزل المرأة، هل عليها غسل‌؟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ترى في المنام ما يرى 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أنزلت فعليها الغسل</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صحاح ابن سنان، وإسماعيل بن سعد، ومحمّد بن إسماعيل وغيرها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أمْنَت هي ولم يَدخله‌؟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الغُسل</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اُذينة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تحتلم في المنام فتهريق الماء الأعظم‌؟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مقتضى الجمع بين هذه النصوص، وبين النصوص المتقدّمة حملها على الاستحباب، إلّاأنّه لاعراض الأصحاب عنها يتعيّن طرحها، أو حملها على الاشتباه، أو على مجرّد الرؤية في المنام بلا إنزال، أو على صورة تحرك المنيّ من محلّه واستقراره في الرّحم، وعدم خروجه، أو على التقيَّة لموافقتها لمذهب بعض العامّة، أو حرمة الإعلام بالحكم المذكور، أو كراهته، أو غير ذلك من المحامل المذكورة في الوسائل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لبعض هذه المحامل بعض النصوص، كما يظهر لمن تدبّر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الأظهر عدم إمكان الجمع بين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هما متعارضتان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عليه السلام في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عليها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قوله عليه السلام في صحيح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أحدهما قرينة على الآخر، فلابدَّ من الرجوع إلى المرجّحات، ولا ريب في أنّ الترجيح لنصوص الوجوب</w:t>
      </w:r>
      <w:r>
        <w:rPr>
          <w:rFonts w:eastAsia="Amiri" w:cs="Amiri" w:ascii="Amiri" w:hAnsi="Amiri"/>
          <w:color w:val="111111"/>
          <w:sz w:val="28"/>
          <w:szCs w:val="28"/>
          <w:rtl w:val="true"/>
          <w:lang w:bidi="ar-SA"/>
        </w:rPr>
        <w:t>.</w:t>
      </w:r>
      <w:bookmarkStart w:id="202" w:name="pg11795_115395"/>
    </w:p>
    <w:p>
      <w:pPr>
        <w:pStyle w:val="Heading6"/>
        <w:numPr>
          <w:ilvl w:val="5"/>
          <w:numId w:val="1"/>
        </w:numPr>
        <w:rPr/>
      </w:pPr>
      <w:bookmarkStart w:id="203" w:name="__RefHeading___Toc10328771_73709187"/>
      <w:bookmarkStart w:id="204" w:name="_Toc78"/>
      <w:bookmarkEnd w:id="202"/>
      <w:bookmarkEnd w:id="203"/>
      <w:r>
        <w:rPr>
          <w:rtl w:val="true"/>
        </w:rPr>
        <w:t>أمارات المنيّ‌</w:t>
      </w:r>
      <w:bookmarkEnd w:id="204"/>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خارجٍ أنّه منيٌّ أم لا إختُبر بالصفات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حَصَل العلم أو الاطمئنان بكونه منيّاً، ولو من جهة وجود صفةٍ من الصفات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فمع اجتماع الصفات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الدّفق والفتور والشهوة، يُحكم بكونه منيّاً، كما هو المشهور شهرة عظيمة، بل لم يُنقل الخلاف إلّاعن ظاهر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حيث اعتبر كون رائحته كرائحة الطّلْع والعجين رَطباً، وبياض البيض جافّاً، مع الأوصاف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يلعب مع المرأة ويُقبّلها، فيخرج منه الشيء؟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الشهوة ودفعٍ وفترٍ لخروجه، فعليه الغُسل، وإنْ كان إنّما هو شيءٌ لم يجد له فترةً ولا شهوةً فلا بأس</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 عدم اجتماعها، فظاهر جماعةٍ كثيرة</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الحكم به ولو بفقد واحدة منها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صريح جماعةٍ ممّن تقدّم على الشهيد الثاني، وظاهر آخرين</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w:t>
      </w:r>
    </w:p>
    <w:p>
      <w:pPr>
        <w:pStyle w:val="BookText"/>
        <w:rPr/>
      </w:pPr>
      <w:r>
        <w:rPr>
          <w:rFonts w:ascii="Amiri" w:hAnsi="Amiri" w:eastAsia="Amiri" w:cs="Amiri"/>
          <w:color w:val="111111"/>
          <w:sz w:val="28"/>
          <w:sz w:val="28"/>
          <w:szCs w:val="28"/>
          <w:rtl w:val="true"/>
          <w:lang w:bidi="ar-SA"/>
        </w:rPr>
        <w:t>بحصول واحدة من الصفات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ظاهر الشهيد</w:t>
      </w:r>
      <w:r>
        <w:rPr>
          <w:rStyle w:val="FootnoteAnchor"/>
          <w:rtl w:val="true"/>
        </w:rPr>
        <w:footnoteReference w:id="333"/>
      </w:r>
      <w:r>
        <w:rPr>
          <w:rFonts w:ascii="Amiri" w:hAnsi="Amiri" w:eastAsia="Amiri" w:cs="Amiri"/>
          <w:color w:val="111111"/>
          <w:sz w:val="28"/>
          <w:sz w:val="28"/>
          <w:szCs w:val="28"/>
          <w:rtl w:val="true"/>
          <w:lang w:bidi="ar-SA"/>
        </w:rPr>
        <w:t>والمحقّق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المسلّمات، وأنّه لا خلاف في كفاية وجود الرائحة،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معلّلاً له بتلازم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بالدّفق والشهوة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بالدفق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بالدفق والفتور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التدبّر في كلمات هؤلاء الأعاظم، تطمئن النفس بأنّ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التلازم بين الصفات إلّالعارض، ومن الملازمة بين تلك الصفات والمنيّ يحصل العلم بوجوده من العلم بوجود واحدة منها أو اثنتين، لا أنّه يجب البناء على وجوده تعبّداً للعلم بوجود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فمع عدم العلم بكونه منيّاً، وعدم اجتماع الصفات، لا يُحكم بأنّه منيّ للأصل، ولمفهوم صدر الصحيح المتقدّم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لكون الشهوة وحدها أمارة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أبي يعفور، عن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يرى في المنام ويجد الشهوة فيستيقظ، فينظر فلا يجد شيئاً، ثمّ يمكث الهوين بعد فيخرج‌؟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مريضاً فليغتسل، وإنْ لم يكن مريضاً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إذا كان صحيحاً جاء الماء بدفقة قويّة، وإنْ كان مريضاً لم يجيء إلّابعد</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أنّ الفرق بين الصحيح والمريض، ليس قصور شهوة الأوّل عن الأماريّة، بل لاقترانها بالأمارة على العدم، وهي عدم الدّفق، وتعارض الأمارتين لا يحكم فيه بكونه منيّاً، وفي المريض بما أنّ عدم الدّفق لا يكون أمارة على العدم، فيرجع إلى أماريّة الشهوة، حيث لا معارض لها، وعلى ذلك فلو علم الصحيح بالشهوة، وشكّ في الدّفق، أو علم بعدمه يحكم بكونه منيّاً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ظاهر في أنّه عليه السلام في مقام الإرشاد إلى الملازمة بين وجود المنيّ ووجود الدّفق في الصحيح، وعدمها في المريض، وليس في مقام جعل الطريقيّة والحجيّة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الجواب عن الاستدلال لكفاية الفتور، بما في مرسل ابن رباط، من قول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المنيّ فهو الذي تسترخي له العظام ويفتر منه الجسد</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ولكفاية الدّفق بما ورد في المنيّ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الماء الدافق</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هذه النصوص، أنّ وجود المنيّ يلازم وجود الفتور والدّفق، ولا تدلّ على ثبوت التلازم من الطرفين بين المنيّ وكلّ واحدٍ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كون كلّ منهما خاصّة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لا مفهوم لها، كي تدلّ على ذلك، فهذه النصوص تدلّ على أنّ عدم كلّ واحد منهما ملازمٌ لعدم المنيّ‌، كما أنّ المستفاد من ذيل صحيح ابن جعفر المتقدّم أنّ عدم الشهوة والفتور ملازمٌ لعدم المنيّ‌، فعلى فرض تلازمهما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الصحيح على طريقيّة عدم كلّ منهما إلى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مجموع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العلم به، لو اجتمعت الصفات الثلاث، حُكم بأنّه منيّ‌، ومع عدم اجتماعها ولو بفقد واحدةٍ منها، حُكم بعدمه، لطريقيّة فقد كلّ منها إلى العدم، ولا أقلّ من عدم الحكم به لعدم الطريق إلى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الرّجل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كفاية الشهوة وفتور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النصوص، كصحيح ابن أبي يعفور المتقدّم، وصحيح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مريضاً فأصابتك شهوة، فإنّه ربما كان هو الدّفق، لكنّه يجيء مجيئاً ضعيفاً، ليس له قوّة، لمكان مرضك ساعةً بعد ساعة قليلاً قليلاً فاغتسل منه</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الاكتفاء بالشهوة وحدها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ابن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رآى في منامه فَوَجد اللّذة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والشهوة، ثمّ قام فلم يرَ في ثوبه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مريضاً فعليه الغُسل</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في وجوب الغُسل مع عدم وجدان شيء بمجرّد الشهوة، فلعدم عمل فقيهٍ واحد به، ومخالفته لسائر النصوص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حمله على غير ظاهره أو طرحه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الاكتفاء بالشهوة، 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سعد،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يلمس فرج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أنزلت من شهوة فعليها الغُسل</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أخبار محمّد بن الفضل والحَلبي</w:t>
      </w:r>
      <w:r>
        <w:rPr>
          <w:rStyle w:val="FootnoteAnchor"/>
          <w:rtl w:val="true"/>
        </w:rPr>
        <w:footnoteReference w:id="347"/>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05" w:name="pg11795_115400"/>
    </w:p>
    <w:p>
      <w:pPr>
        <w:pStyle w:val="Heading6"/>
        <w:numPr>
          <w:ilvl w:val="5"/>
          <w:numId w:val="1"/>
        </w:numPr>
        <w:rPr/>
      </w:pPr>
      <w:bookmarkStart w:id="206" w:name="__RefHeading___Toc10328773_73709187"/>
      <w:bookmarkStart w:id="207" w:name="_Toc79"/>
      <w:bookmarkEnd w:id="205"/>
      <w:bookmarkEnd w:id="206"/>
      <w:r>
        <w:rPr>
          <w:rtl w:val="true"/>
        </w:rPr>
        <w:t>الأمر الثاني الجماع في الفرج</w:t>
      </w:r>
      <w:bookmarkEnd w:id="207"/>
    </w:p>
    <w:p>
      <w:pPr>
        <w:pStyle w:val="Heading6"/>
        <w:numPr>
          <w:ilvl w:val="5"/>
          <w:numId w:val="1"/>
        </w:numPr>
        <w:rPr/>
      </w:pPr>
      <w:bookmarkStart w:id="208" w:name="__RefHeading___Toc10328775_73709187"/>
      <w:bookmarkStart w:id="209" w:name="_Toc80"/>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وبالجماع في الفرج، حتّى تغيب الحَشَفة، سواءٌ القُبُل أو الدُّبر وإنْ لم ينزل، ويجب فيه الغُسل</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10328777_73709187"/>
      <w:bookmarkStart w:id="211" w:name="_Toc81"/>
      <w:bookmarkEnd w:id="210"/>
      <w:r>
        <w:rPr>
          <w:rtl w:val="true"/>
        </w:rPr>
        <w:t>الجماع موجبٌ للجنابة</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بالجماع في الفرج حتّى تغيب الحَشَفة،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 أو الدُّبر، وإنْ لم يُنزل، ويجب فيه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بلا خلافٍ في الجماع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الإجماع محصّلاً ومنقولاً نقلاً مستفيضاً، كاد أن يكون متواتراً، بل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يجامع المرأة قريباً من الفرج فلا ينزلان، متى يجب الغسل‌؟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متى يجب الغُسل على الرجل والمرأة‌؟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فقد وجب الغُسل والمَهر والرَّجم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رجوع الضمير إلى الذَكَر، وإنْ كان يدلّ على اعتبار إدخال جميع الذَكَر في الفرج، إلّاأنّه يقيّد إطلاقه بالصحيح المتقدّم، </w:t>
      </w:r>
    </w:p>
    <w:p>
      <w:pPr>
        <w:pStyle w:val="BookText"/>
        <w:rPr/>
      </w:pPr>
      <w:r>
        <w:rPr>
          <w:rFonts w:ascii="Amiri" w:hAnsi="Amiri" w:eastAsia="Amiri" w:cs="Amiri"/>
          <w:color w:val="111111"/>
          <w:sz w:val="28"/>
          <w:sz w:val="28"/>
          <w:szCs w:val="28"/>
          <w:rtl w:val="true"/>
          <w:lang w:bidi="ar-SA"/>
        </w:rPr>
        <w:t>فالجمع بين النصوص يقتضي الاكتفاء بدخول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ابن عذافر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يجبُ على الرَّجل والمرأة الغُسل‌؟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عليهما الغُسل حين يدخله، وإذا التقى الختانان فيغسلان فرجهما</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فلقصور سنده، وعدم صلاحيّته لمعارضة غيره، يُحمل على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وجوب غَسل الفرج المأمور به في الذيل وجوبٌ مقدّمي للاغتسال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الغُسل من الماء الأكبر</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فلا إطلاق لمفهومه، لكون الحصر فيه إضافيّاً، مع أنّه لو سُلّم الإطلاق يقيّد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الوطئ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أنّه موجبٌ للجنابة، كما عن جماعة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المسلمين عليه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356"/>
      </w:r>
      <w:r>
        <w:rPr>
          <w:rFonts w:ascii="Amiri" w:hAnsi="Amiri" w:eastAsia="Amiri" w:cs="Amiri"/>
          <w:color w:val="111111"/>
          <w:sz w:val="28"/>
          <w:sz w:val="28"/>
          <w:szCs w:val="28"/>
          <w:rtl w:val="true"/>
          <w:lang w:bidi="ar-SA"/>
        </w:rPr>
        <w:t>والكُليني</w:t>
      </w:r>
      <w:r>
        <w:rPr>
          <w:rStyle w:val="FootnoteAnchor"/>
          <w:rtl w:val="true"/>
        </w:rPr>
        <w:footnoteReference w:id="357"/>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وغيرهما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حفص بن سوقة، عمّن أخبره،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يأتي أهله من خلفه‌؟،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إرساله بعد كون الراوي ابن أبي عمير، الذي لا يروي إلّاعن ثقة،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جبره بعمل المشهور، وإطلاق صحيح ابن مسلم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الرّجل يُصيب المرأة فيما دون الفرج، أعليها الغُسل إذا أنزل هو ولم تُنزل هي‌؟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 وإنْ لم ينزل هو فليس عليه غُسل</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ومرفوع البرقي،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الرّجل المرأة في دُبُرها فلم ينزلا، فلا غُسل عليهما، وإنْ أنزل فعليه الغُسل ولا غُسل عليها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مرفوع بعض الكوفيين،</w:t>
      </w:r>
      <w:r>
        <w:rPr>
          <w:rStyle w:val="FootnoteAnchor"/>
          <w:rtl w:val="true"/>
        </w:rPr>
        <w:footnoteReference w:id="365"/>
      </w:r>
      <w:r>
        <w:rPr>
          <w:rFonts w:ascii="Amiri" w:hAnsi="Amiri" w:eastAsia="Amiri" w:cs="Amiri"/>
          <w:color w:val="111111"/>
          <w:sz w:val="28"/>
          <w:sz w:val="28"/>
          <w:szCs w:val="28"/>
          <w:rtl w:val="true"/>
          <w:lang w:bidi="ar-SA"/>
        </w:rPr>
        <w:t>ومرسل ابن الحكم، وبمفهوم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التقى الختانان فقد وَجَب الغُسل</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الغسل من الماء</w:t>
      </w:r>
      <w:r>
        <w:rPr>
          <w:rFonts w:eastAsia="Amiri" w:cs="Amiri" w:ascii="Amiri" w:hAnsi="Amiri"/>
          <w:color w:val="111111"/>
          <w:sz w:val="28"/>
          <w:szCs w:val="28"/>
          <w:rtl w:val="true"/>
          <w:lang w:bidi="ar-SA"/>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الاستدلال به يبتني على اختصاص الفرج بالقُبُل، وهو ممنوعٌ‌، لما عن المرتضى رحمه الله</w:t>
      </w:r>
      <w:r>
        <w:rPr>
          <w:rStyle w:val="FootnoteAnchor"/>
          <w:rtl w:val="true"/>
        </w:rPr>
        <w:footnoteReference w:id="3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خلاف بين أهل اللّغة في صدق اسم الفرج على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مرفوعة البرقي وبعض الكوفيين والمُرسل، فجميعها مهجورة غير 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في المقام، فيقيّد إطلاقه بما تقدّم، ومقتضى إطلاق ما تقدّم عدم الفرق بين الواطئ والموطوء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212" w:name="pg11795_115404"/>
    </w:p>
    <w:p>
      <w:pPr>
        <w:pStyle w:val="Heading6"/>
        <w:numPr>
          <w:ilvl w:val="5"/>
          <w:numId w:val="1"/>
        </w:numPr>
        <w:rPr/>
      </w:pPr>
      <w:bookmarkStart w:id="213" w:name="__RefHeading___Toc10328779_73709187"/>
      <w:bookmarkStart w:id="214" w:name="_Toc82"/>
      <w:bookmarkEnd w:id="212"/>
      <w:bookmarkEnd w:id="213"/>
      <w:r>
        <w:rPr>
          <w:rtl w:val="true"/>
        </w:rPr>
        <w:t>الوطئ في دُبر الرَّجل يوجبُ الغُسل</w:t>
      </w:r>
      <w:bookmarkEnd w:id="214"/>
    </w:p>
    <w:p>
      <w:pPr>
        <w:pStyle w:val="BookText"/>
        <w:rPr/>
      </w:pPr>
      <w:r>
        <w:rPr>
          <w:rFonts w:ascii="Amiri" w:hAnsi="Amiri" w:eastAsia="Amiri" w:cs="Amiri"/>
          <w:color w:val="111111"/>
          <w:sz w:val="28"/>
          <w:sz w:val="28"/>
          <w:szCs w:val="28"/>
          <w:rtl w:val="true"/>
          <w:lang w:bidi="ar-SA"/>
        </w:rPr>
        <w:t>ثمّ إنّ المشهور بين الأصحاب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حكم وجوب الغُسل بين الرَّجل والمرأة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المصنّف رحمه الله</w:t>
      </w:r>
      <w:r>
        <w:rPr>
          <w:rStyle w:val="FootnoteAnchor"/>
          <w:rtl w:val="true"/>
        </w:rPr>
        <w:footnoteReference w:id="369"/>
      </w:r>
      <w:r>
        <w:rPr>
          <w:rFonts w:ascii="Amiri" w:hAnsi="Amiri" w:eastAsia="Amiri" w:cs="Amiri"/>
          <w:color w:val="111111"/>
          <w:sz w:val="28"/>
          <w:sz w:val="28"/>
          <w:szCs w:val="28"/>
          <w:rtl w:val="true"/>
          <w:lang w:bidi="ar-SA"/>
        </w:rPr>
        <w:t>، والشهيد</w:t>
      </w:r>
      <w:r>
        <w:rPr>
          <w:rStyle w:val="FootnoteAnchor"/>
          <w:rtl w:val="true"/>
        </w:rPr>
        <w:footnoteReference w:id="370"/>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أوجب الغُسل بالوطئ في دُبر المرأة، أوجبه في دُبُر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عدم حصول الجنابة بوطئه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الإجماع المركّب</w:t>
      </w:r>
      <w:r>
        <w:rPr>
          <w:rStyle w:val="FootnoteAnchor"/>
          <w:rtl w:val="true"/>
        </w:rPr>
        <w:footnoteReference w:id="372"/>
      </w:r>
      <w:r>
        <w:rPr>
          <w:rFonts w:ascii="Amiri" w:hAnsi="Amiri" w:eastAsia="Amiri" w:cs="Amiri"/>
          <w:color w:val="111111"/>
          <w:sz w:val="28"/>
          <w:sz w:val="28"/>
          <w:szCs w:val="28"/>
          <w:rtl w:val="true"/>
          <w:lang w:bidi="ar-SA"/>
        </w:rPr>
        <w:t xml:space="preserve">المُدّعى في كلمات جماعةٍ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الحضرمي أو حسنه،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غلاماً جاء جنباً يوم القيامة لا ينفعه ماءُ الدُّنيا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ما تقدّم في المسألة السابقة، وقد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هذا الحكم بين الكبير والصغير، العاقل والمجنون،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 والمجنون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فلأجل إسناد الرفع إلى نفس الصبي والمجنون لا إلى أفعالهما، يكون ظاهراً في </w:t>
      </w:r>
    </w:p>
    <w:p>
      <w:pPr>
        <w:pStyle w:val="BookText"/>
        <w:rPr/>
      </w:pPr>
      <w:r>
        <w:rPr>
          <w:rFonts w:ascii="Amiri" w:hAnsi="Amiri" w:eastAsia="Amiri" w:cs="Amiri"/>
          <w:color w:val="111111"/>
          <w:sz w:val="28"/>
          <w:sz w:val="28"/>
          <w:szCs w:val="28"/>
          <w:rtl w:val="true"/>
          <w:lang w:bidi="ar-SA"/>
        </w:rPr>
        <w:t>إرادة قلم المؤاخذة، سواءٌ أكانت اُخرويّة أم دنيويّة، ولا يدلّ على رفع قلم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ذلك، فإنّما هو بالنسبة إلى ما يكون مترتّباً على الفعل، فلايعمّ مثل النجاسة المترتّبة على الملاقاة، والجنابة المترتّبة على دخول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في مبحث نجاسة الكافر،</w:t>
      </w:r>
      <w:r>
        <w:rPr>
          <w:rStyle w:val="FootnoteAnchor"/>
          <w:rtl w:val="true"/>
        </w:rPr>
        <w:footnoteReference w:id="375"/>
      </w:r>
      <w:r>
        <w:rPr>
          <w:rFonts w:ascii="IRNazanin" w:hAnsi="IRNazanin" w:eastAsia="IRNazanin"/>
          <w:color w:val="111111"/>
          <w:sz w:val="28"/>
          <w:sz w:val="28"/>
          <w:szCs w:val="28"/>
          <w:rtl w:val="true"/>
          <w:lang w:bidi="fa-IR"/>
        </w:rPr>
        <w:t>اختصاصها بباب الضمانات،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الحَيّ والميّت،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وانصرافه إلى خصوص الأحياء، ليس بنحوٍ يصلح لرفع اليد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والمرسل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أوجب الحَدّ أوجب الغُسل</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الإمام علي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أتوجبون عليه الحَدّ والرَّجم، ولا توجبون عليه صاعاً من ماء؟</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إمكان الالتزام بالملازمة بين الوجوبين في جملةٍ من الموارد، لا يوجب عدم ظهورهما فيها، بل يوجب تقييد إطلاقهما بالنسبة إلى تلك الموارد خاصّة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تثبت له الجنابة أم لا؟ 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أقواهما الأوّل، لخبر عبد الرحمن بن تميم، الوارد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إِذا فَعَلُوا فاحِشَةً‌ </w:t>
      </w:r>
      <w:r>
        <w:rPr>
          <w:rStyle w:val="FootnoteAnchor"/>
          <w:rtl w:val="true"/>
        </w:rPr>
        <w:footnoteReference w:id="382"/>
      </w:r>
      <w:r>
        <w:rPr>
          <w:rFonts w:ascii="Amiri" w:hAnsi="Amiri" w:eastAsia="Amiri" w:cs="Amiri"/>
          <w:color w:val="111111"/>
          <w:sz w:val="28"/>
          <w:sz w:val="28"/>
          <w:szCs w:val="28"/>
          <w:rtl w:val="true"/>
          <w:lang w:bidi="ar-SA"/>
        </w:rPr>
        <w:t>والحديث طويل، ملخّصه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نبّاشاً نبش قبر شابّة وجامعها وتركها، فإذا بصوتٍ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ويلٌ لك من ديّان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وتركتني أقوم جُنُبةً إلى حسابي</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تحصل الجنابة بالإيلاج في فرج 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والمرتضى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حصولها به، بل عن السيّد دعوى الإجماع عليه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والمرسل المتقدّمان، بناءً على أنّ وطي البهيمة موجبٌ لثبوت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اختاره المصنّف رحمه الله من التعزير بوطئها، فلا يصحّ الاستدلال بهما،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على هذا المبنى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عليه الجمع بين الغُسل والوضوء، على فرض الترديد في أنّه يُحدّ أم يُعزَّر، إذا كان مُحْدِثاً بالأصغر قبل الوطئ أم لا؟ وجهان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هذه المسألة مفصّلاً في آخر مسائل الاستبراء،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فيما ذكرناه بين أنْ يكون الدخول في حال الاختيار، وبين أنْ يكون في حال الاضطرار في النوم أو اليقظة، حتّى لو أُدخلت حشفةُ طفلٍ رضيعٍ‌، فإنّهما يجنبان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رفع الاضطرار، فهو لا يصلح لرفع هذا الحكم، لأنّه إنّما يرفع الحكم المترتّب على فعل المكلّف، سواءً أكان فعله موضوعاً له أم متعلّقاً، وأمّا الحكم المترتّب على الموضوع الخارجي، بلا دخلٍ لفعل المكلّف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كالنجاسة المترتّبة على الملاقاة، والجنابة المترتّبة على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لا يرفعه، كما حقّقناه في محلّه</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أمّا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الوطي في دُبُر الخنثى موجبٌ للجنابة، لإطلاق ما دلَّ على أنّ الوطئ في الدُّبر موجبٌ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الوطي في قُبُلها، فلا يوجبها، لعدم العلم بكونه فرجاً، والاستصحاب يقتضي العدم،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ظاهره الفرج الحقيقي، ولا يشمل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من جعل وجوب الغُسل وجهاً ضعيفاً، إذ لا وجه له سوى تخيّل صدق الفرج عليه حقيقةً‌،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حكم ما لو أدخلت الخنثى بالرجل أو الاُنثى‌، مع عدم الإنزال وأنّهما لا يُجنبان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أدخل الرجل بالخنثى وهي بالاُنثى‌، وجب الغُسل على الخنثى، للعلم بجنابتها دون الرجل والاُنثى‌، لاستصحاب عدمها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15" w:name="pg11795_115408"/>
    </w:p>
    <w:p>
      <w:pPr>
        <w:pStyle w:val="Heading5"/>
        <w:numPr>
          <w:ilvl w:val="4"/>
          <w:numId w:val="1"/>
        </w:numPr>
        <w:rPr/>
      </w:pPr>
      <w:bookmarkStart w:id="216" w:name="__RefHeading___Toc10328781_73709187"/>
      <w:bookmarkStart w:id="217" w:name="_Toc83"/>
      <w:bookmarkEnd w:id="215"/>
      <w:bookmarkEnd w:id="216"/>
      <w:r>
        <w:rPr>
          <w:rtl w:val="true"/>
        </w:rPr>
        <w:t>مسائل</w:t>
      </w:r>
      <w:r>
        <w:rPr>
          <w:rtl w:val="true"/>
        </w:rPr>
        <w:t>:</w:t>
      </w:r>
      <w:bookmarkEnd w:id="217"/>
    </w:p>
    <w:p>
      <w:pPr>
        <w:pStyle w:val="Heading6"/>
        <w:numPr>
          <w:ilvl w:val="5"/>
          <w:numId w:val="1"/>
        </w:numPr>
        <w:rPr/>
      </w:pPr>
      <w:bookmarkStart w:id="218" w:name="__RefHeading___Toc10328783_73709187"/>
      <w:bookmarkStart w:id="219" w:name="_Toc84"/>
      <w:bookmarkEnd w:id="218"/>
      <w:r>
        <w:rPr>
          <w:rtl w:val="true"/>
        </w:rPr>
        <w:t>إذا رأى في ثوبه منيّاً</w:t>
      </w:r>
      <w:bookmarkEnd w:id="219"/>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في ثوبه منيّاً، وعلم أنّه منه ولم يغتسل بعده، وجب عليه الغسل إجماعاً لحجيّة العلم، وقضاء ما تيقّن من الصَّلوات التي صلّاها بعد خروجه، لأنّ فقدان الشرط يستدعي عدم تحقّق المشروط، ولحديث لا تعاد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الصَّلوات التي يحتمل سَبق الخروج عليها، فالمشهور بين الأصحاب عدم وجوب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الفراغ، واستصحاب عدم الجنابة حين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الإجمالي بوجوب قضاء صلواتٍ عليه، لا يمنعُ من جريانهما، لانحلاله إلى العلم التفصلي بوجوب قضاء جملةٍ منها، فالشكّ في وجوب قضاء غيرها تجري فيه القاعدة والأصل بلا معارض، فما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من وجوب قضائها معلّلاً بالاحتياط،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 في أنّه منه أو من غيره، فلا يجب عليه الغُسل، كما هو المشهور، لموثّق أبي بصير الآتي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صريح جماعةٍ‌</w:t>
      </w:r>
      <w:r>
        <w:rPr>
          <w:rStyle w:val="FootnoteAnchor"/>
          <w:rtl w:val="true"/>
        </w:rPr>
        <w:footnoteReference w:id="391"/>
      </w:r>
      <w:r>
        <w:rPr>
          <w:rFonts w:ascii="Amiri" w:hAnsi="Amiri" w:eastAsia="Amiri" w:cs="Amiri"/>
          <w:color w:val="111111"/>
          <w:sz w:val="28"/>
          <w:sz w:val="28"/>
          <w:szCs w:val="28"/>
          <w:rtl w:val="true"/>
          <w:lang w:bidi="ar-SA"/>
        </w:rPr>
        <w:t>وظاهر آخرين منهم الشيخ قدس سره</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الثوب </w:t>
      </w:r>
    </w:p>
    <w:p>
      <w:pPr>
        <w:pStyle w:val="BookText"/>
        <w:rPr/>
      </w:pPr>
      <w:r>
        <w:rPr>
          <w:rFonts w:ascii="Amiri" w:hAnsi="Amiri" w:eastAsia="Amiri" w:cs="Amiri"/>
          <w:color w:val="111111"/>
          <w:sz w:val="28"/>
          <w:sz w:val="28"/>
          <w:szCs w:val="28"/>
          <w:rtl w:val="true"/>
          <w:lang w:bidi="ar-SA"/>
        </w:rPr>
        <w:t>المشترك والمختصّ‌، واختيار العدم في الأوّل، والوجوب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يرى في ثوبه منيّاً بعدما يصبح، ولم يكن رأى في منامه أنّه قد احتلم‌؟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وليغسل ثوبه ويُعيد صلاته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موثّقه الآخر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يصبُ ثوبه منيّاً ولم يَعلم أنّه احتلم‌؟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ليغسل ما وجد بثوبه وليتوضّأ</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الجمع بينهما يقتضي حمل الأوّل على ما إذا شاركه في الثوب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السؤال في موثّقي سماعة، من جهة فرض رؤية المنيّ بعد النوم بلا فصل، وذكر الفخذ في أحدهما، السؤال عمّا لو علم بأنّه منه، ووجّه حينئذٍ احتمال عدم وجوب الغُسل له، إذا لم يكن خروجه عن احتلامٍ‌، فهما أجنبيّان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أبي بصير ظاهر في إرادة الفرض، ومقتضى إطلاقه عدم الوجوب، حتّى إذا كان الثوب من مختصّاته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عدم وجوب الغُسل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 بأنّه منه، ولكن لم يعلم أنّه من جنابةٍ سابقة اغتسل منها، أو جنابةٍ اُخرى لم يغتسل منها، 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الغُسل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اختاره المحقّق الهمداني رحمه الله</w:t>
      </w:r>
      <w:r>
        <w:rPr>
          <w:rStyle w:val="FootnoteAnchor"/>
          <w:rtl w:val="true"/>
        </w:rPr>
        <w:footnoteReference w:id="396"/>
      </w:r>
      <w:r>
        <w:rPr>
          <w:rFonts w:ascii="Amiri" w:hAnsi="Amiri" w:eastAsia="Amiri" w:cs="Amiri"/>
          <w:color w:val="111111"/>
          <w:sz w:val="28"/>
          <w:sz w:val="28"/>
          <w:szCs w:val="28"/>
          <w:rtl w:val="true"/>
          <w:lang w:bidi="ar-SA"/>
        </w:rPr>
        <w:t xml:space="preserve">، ولعلّه الظاهر من كلمات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397"/>
      </w:r>
      <w:r>
        <w:rPr>
          <w:rFonts w:ascii="Amiri" w:hAnsi="Amiri" w:eastAsia="Amiri" w:cs="Amiri"/>
          <w:color w:val="111111"/>
          <w:sz w:val="28"/>
          <w:sz w:val="28"/>
          <w:szCs w:val="28"/>
          <w:rtl w:val="true"/>
          <w:lang w:bidi="ar-SA"/>
        </w:rPr>
        <w:t>، وهو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لو علم بكونه من غير الجنابة التي اغتسل منها، لكن شكّ في حدوثه قبل الغسل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لو احتمل كونه من الجنابة التي اغتسل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 وجوب الغُسل عليه في الأوّل، وعدمه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الصورة الأُولى يعارض استصحاب الطهارة المتيقّنة الحاصلة بالغُسل، استصحاب الحَدَث المتيقّن عند خروج المنيّ الموجود في الثوب، فيتساقطان ويرجع إلى قاعدة الاشتغال، القاضية بوجوب تحصيل القطع بالطهارة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 بما أنّ الرؤية لا توجب العلم بثبوت تكليف وراء ما علم سقوطه، فلا محالة يكون الشكّ في التكليف فيها مورداً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الصورة الأولى بما أنّه يحتمل تعاقب الجنابتين، وعلى فرضه لا توجب الجنابة الثانية تكليفاً آخر، بل يكون وجودها كعدمها، فتكون بعينها الصورة الثانية من هذه الجهة، فلابدَّ من الالتزام بجريان البراءة فيها أيضاً، ولعلّه يكون هذا هو مدرك القول بعدم الوجوب مطلقاً، وستعرف ضعفه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الحَدَث المتيقّن وجوده حين خروج المنيّ الموجود في الثوب، من قبيل القسم الرابع من أقسام استصحاب الكلّي، والمختار جريانه في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لعدم جريانه بوجوه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اتّصال زمان الشكّ باليقين،، إذ لو رجعنا القهقري من زمان الشكّ إلى زمان العلم بالطهارة والاغتسال، لم نعثر على زمانٍ يُعلم بوجود المشكوك فيه، مع أنّ المعتبر في جريانه اتّصال زمان الشكّ باليقين،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ذكرناه في مسائل الوضوء، في مبحث مجهولي التاريخ، من النقض بما لو علم بحدوث المشكوك بقائه، وتردّد زمانه بين زمانين وما زاد، واحتمل انعدامه في الزمان الأخير الذي هو من أطراف العلم، فإنّ لازم هذا الوجه عدم جريان الاستصحاب فيه، لأنّه لا دليل على اعتبار شيء زائداً على اليقين والشكّ الفعليين، بأن يكون الثبوت معلوماً والبقاء مشكوكاً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جهة احتمال كون المنيّ الموجود في الثوب من الجنابة المتحقّقة قبل الغُسل، المرتفعة قطعاً، لا يجري الاستصحاب، لعدم إحراز كونه نقضاً لليقين بالشكّ‌، بل لعلّه يكون من النقض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والشكّ من الحالات النفسانيّة الوجدانيّة، فلا يعقل أن لا يعلم أنّه متيقّن أو شاكّ‌، فالجنابة المعلومة بما أنّه يحتمل كون زمانها قبل الغُسل، يكون بقاؤها مشكوكاً فيه، ولا يُحتمل انتقاض العلم بها باليقين بالاغتسال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بقاء الجنابة مسبّبٌ عن الشكّ في حدوث فردٍ آخر غير ما ارتفع، فيجري استصحاب عدم الحدوث، ويترتّب عليه عدم بقائها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عدم حدوث فردٍ آخر، لا يُثبت كون الحادث هو الفرد الأوّل حتّى يكون مرتفعاً، بل احتمال كون الحادث غير الفرد الأوّل موجودٌ، فيكون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الشكّ في الجنابة الفعليّة مورداً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لاحتمال كون المنيّ الذي وجده، هو المنيّ الذي أوجب الجنابة، يكون تاريخ الجنابة مجهولاً، فلا يجري فيها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مسائل الوضوء من ضعف المبنى، وأنّ الأظهر جريان الاستصحاب في مجهول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جريان الاستصحاب في الجنابة في الفرض، ولكن يعارضه استصحاب الطهارة المتيقّنة الحاصلة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فعبِّر عنه باستصحاب عدم حدوث فردٍ آخر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 والمرجع قاعدة الاشتغال الموجبة لتجديد الغُسل، والجمع بينه وبين الوضوء لو صار مُحْدِثاً بالأصغر بعد الغُسل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لوجوب الغُسل، والاكتفاء به وحده، بموثّق سماعة المتقدّم في الفرع السابق، بدعوى حمله على الفرض، جمعاً بينه وبين موثّق أبي بصير، وقد عرفت في ذلك الفرع ضعفه، فراجع</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20" w:name="pg11795_115413"/>
    </w:p>
    <w:p>
      <w:pPr>
        <w:pStyle w:val="Heading6"/>
        <w:numPr>
          <w:ilvl w:val="5"/>
          <w:numId w:val="1"/>
        </w:numPr>
        <w:rPr/>
      </w:pPr>
      <w:bookmarkStart w:id="221" w:name="__RefHeading___Toc10328785_73709187"/>
      <w:bookmarkStart w:id="222" w:name="_Toc85"/>
      <w:bookmarkEnd w:id="220"/>
      <w:bookmarkEnd w:id="221"/>
      <w:r>
        <w:rPr>
          <w:rtl w:val="true"/>
        </w:rPr>
        <w:t>الجنابة الدائرة بين شخصين</w:t>
      </w:r>
      <w:bookmarkEnd w:id="22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دارت الجنابة بين شخصين، لا يجب الغُسل على واحدٍ منهما، كما هو المشهور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عن صريح بعضٍ‌، وظاهرُ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إذا لم يكن صاحبه محلّ الابتلاء من حيث استأجاره لكنس المسجد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في الأوّل، لأنّ كلّاً منهما يرجع حينئذٍ إلى استصحاب عدم الجنابة، ولا يمنع عنه العلم الإجمالي، لخروج طرفه الآخر عن محلّ الابتلاء، ويجب في الثاني للعلم الإجمالي بوجوبه أو بحرمة الاستئجار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أنّه لو كان الشخص الآخر محلّ الابتلاء من حيث الاقتداء به وجبَ الغُسل، فما وجه حكم المشهور بعدم جواز الاقتداء في الفرض وعدم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الوجه فيه العلم التفصيلي بعدم جواز الإقتداء، لإستلزامه العلم بفساد صلاته، إمّا لجنابته، أو لجنابة إمامه على ماستعرف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حكمخ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فيما لا يجب الغُسل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لأحدهما الاقتداء بالآخر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0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لا يجوز،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4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تصحّ الصّلاة ويفسد الائتمام، كما احتمله بعض أعاظم المعاصرين‌؟ وجوه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أقواها الثاني، لأنّه يعتبر في صحّة صلاة المأموم طهارته من الحَدَث، وصحّة صلاة إمامه، ولا يمكن في الفرض إحرازهما بالأصل، للعلم الإجمالي بجنابته أو جنابة إمامه، الموجبة لفساد صلاته، فيحصل العلم التفصيلي بفساد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بأنّها جنابة أسقط الشارع حكمها، ولذا يجوز لكلٍّ منهما ما يحرم للجُنُب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صلاة كلّ منهما شرعاً، ولا دليل على اعتبار ما زاد على ذلك، ولعلّه إلى ذلك يرجع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أقصى ما ثبت من الأدلّة اشتراطه بالنسبة إلى الائتمام، هو عدم علم المأموم بفساد صلاة الإمام، لا العلم بصحّتها، فوجود الجنابة واقعاً لا يؤثّر في فساد صلاة المأموم، كما أنّ عدم العلم بها من خصوص الإمام يُصحّح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وبأنّا نمنع حصول الحَدَث إلّامع تحقّق الإنزال من شخصٍ بعينه، ولهذا ارتفع لازمه وهو وجوب الطهارة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يدلّ دليلٌ على سقوط حكم هذه الجنابة مع وجود سببها وهو الإنزال، وإنّما نفيا بعض لوازمها، لإحراز عدمها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نصوص الائتمام، اعتبار إحراز المأموم صحّة صلاة الإمام ولو بالأصل، وعدم الاكتفاء بإحراز الإمام، ولذا لو اعتقد الإمام كونه متطهّراً ولكن المأموم علم تفصيلاً بجنابته، لا يجوز له 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إحرازها في المقام باجراء الأصل في طهارة الإمام لا يمكن، لمعارضته باستصحاب طهارة المأموم نفسه، فلا يصحّ الائتمام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من النصوص الكثيرة الدالّة على عدم وجوب الإعادة على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كون الإمام على غير طهارةٍ‌، أو غير مستقبلٍ للقبلة، أو غير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ناوٍ للصلاة أو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عند الإمام تكفي في جواز الائتمام، ولولم يَحرز المأموم صحّتها، بل ولو أحرز عدم صحّتها، وعليه فيجوز الائتمام في المقام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مختصّة بصورة تبيّن الفساد بعد الفراغ، مع إحراز المأموم صحّتها حال الصّلاة، والتعدِّي عنها إلى المقام محتاجٌ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دخل إحراز ذلك في تحقّق الجنابة خلاف إطلاق النصوص، والالتزام به مستلزمٌ لتقييد إطلاق الأدلّة من دون مقيّد،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المشار إليها آنفاً، بدعوى أنّها تدلّ على صحّة صلاة المأمومين، ولا تدلّ على صحّة الائتمام، ولا تلازم بين صحّة صلاة المأموم حال مخالفتها لصلاة المنفرد بترك القراءة ونحوها، ممّا لا يقدح سهواً، وصحّة الائتمام، لأنّ الإخلال بمثل تلك في صلاة المنفرد سهواً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أنّها أجنبيّة عن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إطلاقها صحّة الصّلاة حتّى في الصّلاة التي يعتبر فيها الائتمام، ومع زيادة الركوع للتبعيّة الموجبة لبطلان صلاة المنفرد، فتدلّ على صحّة الائتمام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عدم جواز اقتداء أحدهما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ظهر أنّه لا يجوز للثالث العالم بجنابة أحدهما الاقتداء بواحد منهما، إذا كانا محلّ ابتلائه، وإلّا فلا مانع، لأنّ العلم الإجمالي إذا كان بعض أطرافه خارجاً عن محلّ الابتلاء، يجري الأصل في طرفه الآخر دون مانع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المقام يجري استصحاب عدم جنابة مَنْ هو محلّ الابتلاء، ويترتّب عليه جواز الاقتداء، كما أنّه لو كان أحدهما فاسقاً عنده، أو كان مشكوك الحال، يجري الاستصحاب في معلوم العدالة، ولا يعارضه الأصل في الآخر لعدم جريانه فيه لعدم الأثر</w:t>
      </w:r>
      <w:r>
        <w:rPr>
          <w:rFonts w:eastAsia="Amiri" w:cs="Amiri" w:ascii="Amiri" w:hAnsi="Amiri"/>
          <w:color w:val="111111"/>
          <w:sz w:val="28"/>
          <w:szCs w:val="28"/>
          <w:rtl w:val="true"/>
          <w:lang w:bidi="ar-SA"/>
        </w:rPr>
        <w:t>.</w:t>
      </w:r>
      <w:bookmarkStart w:id="223" w:name="pg11795_115417"/>
    </w:p>
    <w:p>
      <w:pPr>
        <w:pStyle w:val="Heading6"/>
        <w:numPr>
          <w:ilvl w:val="5"/>
          <w:numId w:val="1"/>
        </w:numPr>
        <w:rPr/>
      </w:pPr>
      <w:bookmarkStart w:id="224" w:name="__RefHeading___Toc10328787_73709187"/>
      <w:bookmarkStart w:id="225" w:name="_Toc86"/>
      <w:bookmarkEnd w:id="223"/>
      <w:bookmarkEnd w:id="224"/>
      <w:r>
        <w:rPr>
          <w:rtl w:val="true"/>
        </w:rPr>
        <w:t>خروج المنيّ بصورة الدّم</w:t>
      </w:r>
      <w:bookmarkEnd w:id="22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المنيّ بصورة الدّم وجبَ الغُسل، كما عن الشهيد</w:t>
      </w:r>
      <w:r>
        <w:rPr>
          <w:rStyle w:val="FootnoteAnchor"/>
          <w:rtl w:val="true"/>
        </w:rPr>
        <w:footnoteReference w:id="418"/>
      </w:r>
      <w:r>
        <w:rPr>
          <w:rFonts w:ascii="Amiri" w:hAnsi="Amiri" w:eastAsia="Amiri" w:cs="Amiri"/>
          <w:color w:val="111111"/>
          <w:sz w:val="28"/>
          <w:sz w:val="28"/>
          <w:szCs w:val="28"/>
          <w:rtl w:val="true"/>
          <w:lang w:bidi="ar-SA"/>
        </w:rPr>
        <w:t xml:space="preserve">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4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العدم، لأنّ المنيّ دمٌ في الأصل، فلمّا لم يستحلّ أُلْحِق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صدق عنوان المنيّ عليه، لابدَّ من الرجوع إلى ما جُعل أمارةً له، وقد عرفت أنّه مع اجتماع الصفات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الدّفق والفتور والشهوة يحكم بكونه 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نصوص الطريقيّة بالشبهة المصداقيّة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النصوص، بل احتمل بعضٌ اختصاصها بالشبهة المفهوميّة، فلاحظ وتدبّر</w:t>
      </w:r>
      <w:r>
        <w:rPr>
          <w:rFonts w:eastAsia="Amiri" w:cs="Amiri" w:ascii="Amiri" w:hAnsi="Amiri"/>
          <w:color w:val="111111"/>
          <w:sz w:val="28"/>
          <w:szCs w:val="28"/>
          <w:rtl w:val="true"/>
          <w:lang w:bidi="ar-SA"/>
        </w:rPr>
        <w:t>.</w:t>
      </w:r>
      <w:bookmarkStart w:id="226" w:name="pg11795_115418"/>
    </w:p>
    <w:p>
      <w:pPr>
        <w:pStyle w:val="Heading6"/>
        <w:numPr>
          <w:ilvl w:val="5"/>
          <w:numId w:val="1"/>
        </w:numPr>
        <w:rPr/>
      </w:pPr>
      <w:bookmarkStart w:id="227" w:name="__RefHeading___Toc10328789_73709187"/>
      <w:bookmarkStart w:id="228" w:name="_Toc87"/>
      <w:bookmarkEnd w:id="226"/>
      <w:bookmarkEnd w:id="227"/>
      <w:r>
        <w:rPr>
          <w:rtl w:val="true"/>
        </w:rPr>
        <w:t>في حكم إجناب الشخص نفسه</w:t>
      </w:r>
      <w:bookmarkEnd w:id="22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جواز إجناب الشخص نفسه، لو لم يقدر على الغُسل، وكان بعد دخول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كلامي المفيد</w:t>
      </w:r>
      <w:r>
        <w:rPr>
          <w:rStyle w:val="FootnoteAnchor"/>
          <w:rtl w:val="true"/>
        </w:rPr>
        <w:footnoteReference w:id="425"/>
      </w:r>
      <w:r>
        <w:rPr>
          <w:rFonts w:ascii="Amiri" w:hAnsi="Amiri" w:eastAsia="Amiri" w:cs="Amiri"/>
          <w:color w:val="111111"/>
          <w:sz w:val="28"/>
          <w:sz w:val="28"/>
          <w:szCs w:val="28"/>
          <w:rtl w:val="true"/>
          <w:lang w:bidi="ar-SA"/>
        </w:rPr>
        <w:t>وابن الجنيد</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وجوب الغُسل على مَن أجنب نفسه، وإنْ 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يدلّ على عدم جواز الإجناب، وستعرف في مبحث التيمّم</w:t>
      </w:r>
      <w:r>
        <w:rPr>
          <w:rStyle w:val="FootnoteAnchor"/>
          <w:rtl w:val="true"/>
        </w:rPr>
        <w:footnoteReference w:id="427"/>
      </w:r>
      <w:r>
        <w:rPr>
          <w:rFonts w:ascii="Amiri" w:hAnsi="Amiri" w:eastAsia="Amiri" w:cs="Amiri"/>
          <w:color w:val="111111"/>
          <w:sz w:val="28"/>
          <w:sz w:val="28"/>
          <w:szCs w:val="28"/>
          <w:rtl w:val="true"/>
          <w:lang w:bidi="ar-SA"/>
        </w:rPr>
        <w:t>أنّه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مصحّح إسحاق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معه أهله في السفر، لا يجد الماء أيأتي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يفعل إلّاأنْ يخاف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بذلك اللّذة، أو يكون شَبَقاً إلى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الشَّبق يخاف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بذلك اللّذة‌؟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حلال</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 في الجواز، والأصحاب عملوا به فهو المعتمد، وعليه فالأقوى هو الجواز</w:t>
      </w:r>
      <w:r>
        <w:rPr>
          <w:rFonts w:eastAsia="Amiri" w:cs="Amiri" w:ascii="Amiri" w:hAnsi="Amiri"/>
          <w:color w:val="111111"/>
          <w:sz w:val="28"/>
          <w:szCs w:val="28"/>
          <w:rtl w:val="true"/>
          <w:lang w:bidi="ar-SA"/>
        </w:rPr>
        <w:t>.</w:t>
      </w:r>
      <w:bookmarkStart w:id="229" w:name="pg11795_115419"/>
    </w:p>
    <w:p>
      <w:pPr>
        <w:pStyle w:val="Heading6"/>
        <w:numPr>
          <w:ilvl w:val="5"/>
          <w:numId w:val="1"/>
        </w:numPr>
        <w:rPr/>
      </w:pPr>
      <w:bookmarkStart w:id="230" w:name="__RefHeading___Toc10328791_73709187"/>
      <w:bookmarkStart w:id="231" w:name="_Toc88"/>
      <w:bookmarkEnd w:id="229"/>
      <w:bookmarkEnd w:id="230"/>
      <w:r>
        <w:rPr>
          <w:rtl w:val="true"/>
        </w:rPr>
        <w:t>حكم مقطوع الحَشَفة</w:t>
      </w:r>
      <w:bookmarkEnd w:id="23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قُطعت حَشَفته، يجنب بإدخال مقدارها من مقطوعها،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الاكتفاء بمجرّد صدق الإدخال، واحتمال اعتبار إدخال تمام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31"/>
      </w:r>
      <w:r>
        <w:rPr>
          <w:rFonts w:ascii="Amiri" w:hAnsi="Amiri" w:eastAsia="Amiri" w:cs="Amiri"/>
          <w:color w:val="111111"/>
          <w:sz w:val="28"/>
          <w:sz w:val="28"/>
          <w:szCs w:val="28"/>
          <w:rtl w:val="true"/>
          <w:lang w:bidi="ar-SA"/>
        </w:rPr>
        <w:t>وتبعه بعض المعاصرين</w:t>
      </w:r>
      <w:r>
        <w:rPr>
          <w:rStyle w:val="FootnoteAnchor"/>
          <w:rtl w:val="true"/>
        </w:rPr>
        <w:footnoteReference w:id="432"/>
      </w:r>
      <w:r>
        <w:rPr>
          <w:rFonts w:ascii="Amiri" w:hAnsi="Amiri" w:eastAsia="Amiri" w:cs="Amiri"/>
          <w:color w:val="111111"/>
          <w:sz w:val="28"/>
          <w:sz w:val="28"/>
          <w:szCs w:val="28"/>
          <w:rtl w:val="true"/>
          <w:lang w:bidi="ar-SA"/>
        </w:rPr>
        <w:t>سقوط الغسل بالمرّة لولا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بين نصوص التقاء الختانين وغيبوبة الحَشَفة، وبين الأخبار المطلقة، يقتضي الالتزام بأنّه لا يعتبر في حصول الجنابة إدخال الجميع، ولا يكفي إدخال جزءٍ يسيرٍ منه، بل المدار على إدخال مقدارٍ معتدٍّ به، يتّحد ذلك المقدار خارجاً مع غيبوبة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التقدير مطلقاً خلاف الظاهر، لا يُصار إليه إلّامع القرينة المفقودة في المقام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للاكتفاء بمجرّد صدق الإدخال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وَجَب الغُسل</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يقتصر في تقييد إطلاقه بغيبوبة الحَشَفة على واجدها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يرجع إلى الذَكَر، وهو موضوع للعضو المخصوص بتمامه، وظاهر اسناد الإدخال إليه اعتبار إدخاله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وجه القول باعتبار إدخال تمام الباقي، وستعرف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 المطلقة إنّما قيّدت بالنصوص المتضمّنة لالتقاء الختانين وغيبوبة الحَشَفة، ولا وجه للاقتصار في التقييد على خصوص الواجد، لأنّه مخالفٌ لإطلاق المقيّد، فبعد الحمل يكون موضوع الحكم خصوص المقيّد، فمع انتفاء الشرط ينتفي الحكم، وهو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الهمداني رحمه الله</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نصوص التقييد لورودها مورد الغالب، لا يستفاد منها التقييد، خصوصاً في مثل المقام الذي هو بمنزلة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أخذ كلّ قيدٍ في الموضوع، دخله في الحكم، وكونه غالبيّاً لا يصلح قرينةً لصرف هذا الظاهر عن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بحسب النصوص هو الأخير، إلّاأنّه من جهة الإجماع على وجوب الغُسل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وجوب الغُسل عليه بإدخال تمام الباقي، للشكّ في وجوبه بإدخال جزءٍ منه، وإنْ كان هو بمقدار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يقتضى العدم، إلّا أنْ يثبت الإجماع أيضاً على وجوبه بإدخال مقدارها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232" w:name="pg11795_115421"/>
    </w:p>
    <w:p>
      <w:pPr>
        <w:pStyle w:val="BookText"/>
        <w:rPr/>
      </w:pPr>
      <w:bookmarkEnd w:id="232"/>
      <w:r>
        <w:rPr>
          <w:rFonts w:ascii="Amiri" w:hAnsi="Amiri" w:eastAsia="Amiri" w:cs="Amiri"/>
          <w:color w:val="111111"/>
          <w:sz w:val="28"/>
          <w:sz w:val="28"/>
          <w:szCs w:val="28"/>
          <w:rtl w:val="true"/>
          <w:lang w:bidi="ar-SA"/>
        </w:rPr>
        <w:t>والواجبُ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عند غَسل اليدين أو الرأس مستدامة الحكم</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0328793_73709187"/>
      <w:bookmarkStart w:id="234" w:name="_Toc89"/>
      <w:bookmarkEnd w:id="233"/>
      <w:r>
        <w:rPr>
          <w:rtl w:val="true"/>
        </w:rPr>
        <w:t>واجبات الغُسل</w:t>
      </w:r>
      <w:bookmarkEnd w:id="234"/>
    </w:p>
    <w:p>
      <w:pPr>
        <w:pStyle w:val="Heading6"/>
        <w:numPr>
          <w:ilvl w:val="5"/>
          <w:numId w:val="1"/>
        </w:numPr>
        <w:rPr/>
      </w:pPr>
      <w:bookmarkStart w:id="235" w:name="__RefHeading___Toc10328795_73709187"/>
      <w:bookmarkStart w:id="236" w:name="_Toc90"/>
      <w:bookmarkEnd w:id="235"/>
      <w:r>
        <w:rPr>
          <w:rtl w:val="true"/>
        </w:rPr>
        <w:t>اشارة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10328797_73709187"/>
      <w:bookmarkStart w:id="238" w:name="_Toc91"/>
      <w:bookmarkEnd w:id="237"/>
      <w:r>
        <w:rPr>
          <w:rtl w:val="true"/>
        </w:rPr>
        <w:t>النيّة</w:t>
      </w:r>
      <w:bookmarkEnd w:id="2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في العبادات، لأنّه من العبادات، وقد تقدّم في مبحث الوضوء</w:t>
      </w:r>
      <w:r>
        <w:rPr>
          <w:rStyle w:val="FootnoteAnchor"/>
          <w:rtl w:val="true"/>
        </w:rPr>
        <w:footnoteReference w:id="435"/>
      </w:r>
      <w:r>
        <w:rPr>
          <w:rFonts w:ascii="Amiri" w:hAnsi="Amiri" w:eastAsia="Amiri" w:cs="Amiri"/>
          <w:color w:val="111111"/>
          <w:sz w:val="28"/>
          <w:sz w:val="28"/>
          <w:szCs w:val="28"/>
          <w:rtl w:val="true"/>
          <w:lang w:bidi="ar-SA"/>
        </w:rPr>
        <w:t>تحقيق ماهيّة النيَّة، وجميع ما يتعلّق بها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ممّا حقّقناه في ذلك المبحث أنّه لا يعتبر أن تكون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غَسل اليدين أو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المنسوب إلى المشهور ذلك، بل لو نوى حال الأخذ بمقدّمات العمل، وكانت النيَّة باقية في النفس إلى حين الغُسل، يقع عبادةً وامتثالاً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تبيّن في ذلك المبحث أنّه بناءً على تفسير النيَّة بالإرادة التفصيليّة، والصورة المخطرة، يعتبر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مستدامة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وبناءً على تفسيرها بالداعية إلى العمل يعتبر استدامتها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كونه مستحبّاً نفسيّاً لنفسه من حيث هو، أو للكون على الطهارة‌؟ هو الكلام في الوضوء فتواً ودليلاً، فلا مورد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يقع في أنّه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يكون واجباً نفسيّاً كما عن المصنّف في جملةٍ من كتبه</w:t>
      </w:r>
      <w:r>
        <w:rPr>
          <w:rStyle w:val="FootnoteAnchor"/>
          <w:rtl w:val="true"/>
        </w:rPr>
        <w:footnoteReference w:id="436"/>
      </w:r>
      <w:r>
        <w:rPr>
          <w:rFonts w:ascii="IRNazanin" w:hAnsi="IRNazanin" w:eastAsia="IRNazanin"/>
          <w:color w:val="111111"/>
          <w:sz w:val="28"/>
          <w:sz w:val="28"/>
          <w:szCs w:val="28"/>
          <w:rtl w:val="true"/>
          <w:lang w:bidi="fa-IR"/>
        </w:rPr>
        <w:t>وولده</w:t>
      </w:r>
      <w:r>
        <w:rPr>
          <w:rStyle w:val="FootnoteAnchor"/>
          <w:rtl w:val="true"/>
        </w:rPr>
        <w:footnoteReference w:id="437"/>
      </w:r>
      <w:r>
        <w:rPr>
          <w:rFonts w:ascii="Amiri" w:hAnsi="Amiri" w:eastAsia="Amiri" w:cs="Amiri"/>
          <w:color w:val="111111"/>
          <w:sz w:val="28"/>
          <w:sz w:val="28"/>
          <w:szCs w:val="28"/>
          <w:rtl w:val="true"/>
          <w:lang w:bidi="ar-SA"/>
        </w:rPr>
        <w:t>والمحقّق الأردبيلي</w:t>
      </w:r>
      <w:r>
        <w:rPr>
          <w:rStyle w:val="FootnoteAnchor"/>
          <w:rtl w:val="true"/>
        </w:rPr>
        <w:footnoteReference w:id="43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أنّه لا يكون كذلك، بل إنّما يجب شرطاً لغيره، كما هو المنسوب إلى الأكثر أو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دعوى إجماع المحقّقين من أصحابنا، ومصنّفي كتب الاُصول عليه،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نسبته إلى ظاهر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للأوّل بعدّة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 أمير المؤمنين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أتوجبون عليه الحَدّ والرَّجم، ولا توجبون عليه صاعاً من ماء؟</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الغُسل من الماء الأكبر</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وجوبه في الصوم قبل الفجر، إذ لو لم يكن واجباً نفسيّاً لما وجب قبل وقت المشروط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معاذ،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الدين الذي لا يقبل اللّه تعالى من العباد غيره، ولا يعذرهم على جهله‌؟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إلّااللّه، وأنّ محمّداً رسول اللّه صلى الله عليه و آله، والصَّلوات الخمس، وصوم شهر رمضان، والغُسل من الجنابة، وحجّ البيت، والإقرار بما جاء من عند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والائتمام بأئمّة الحقّ من آل محمّد صلى الله عليه و آله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البصري،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يواقع أهله، أينام على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يتوفّى الأنفس في منامها، ولا يدري ما يطرقه من البليّة، إذا فرغ فليغتسل</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الأمر به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والعلم بشرطيّته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الإرشاد إلى الوجوب الشرطي، كالأمر بالوضوء عند القيام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قولهم المتضمّن لوجوبه عند تحقّق سببه، فهو واردٌ في مقام بيان السببيّة، لا في مقام بيان الوجوب، كي يتمسّك بإطلاقه لإثبات كونه واجباً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وجوبه قبل الفجر، لا يدلّ على وجوبه النفسي، لعدم منافاته مع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للالتزام بالواجب المعلّق، أو لتماميّة مصلحة الواجب قبل الغُسل، وإنْ لم يمكن التكليف به لعدم القدرة عليه أو لغيرهما من الوجوه المذكورة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لا يُعتمد عليه، مع أنّه لا إطلاق له كي يستكشف منه الوجوب النفسي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حمله على الاستحباب، بقرينة ما هو صريحٌ في عدم الوجوب في الفرض، كموثّق 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يُجنب ثمّ يريد النوم‌؟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يتوضّأ فليفعل، والغُسل أحبُّ إليَّ وأفضل من ذلك</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وجوبه النفسي، والأصل يقتضي عدمه، ويشهد له خبر حسن الكاهلي،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يجامعها الرجل فتحيّض، وهي في المغتسل، تغتسل أم لا تغتسل‌؟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جاءها ما يفسد الصّلاة، فلا تغتسل</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ظاهرٌ في أنّ وجوبه إنّما يكون للصلاة، وعليه فالأقوى هو القول الثاني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39" w:name="pg11795_115425"/>
    </w:p>
    <w:p>
      <w:pPr>
        <w:pStyle w:val="BookText"/>
        <w:rPr/>
      </w:pPr>
      <w:bookmarkEnd w:id="239"/>
      <w:r>
        <w:rPr>
          <w:rFonts w:ascii="Amiri" w:hAnsi="Amiri" w:eastAsia="Amiri" w:cs="Amiri"/>
          <w:color w:val="111111"/>
          <w:sz w:val="28"/>
          <w:sz w:val="28"/>
          <w:szCs w:val="28"/>
          <w:rtl w:val="true"/>
          <w:lang w:bidi="ar-SA"/>
        </w:rPr>
        <w:t>واستيعاب الجَسَد بالغُسل</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10328799_73709187"/>
      <w:bookmarkStart w:id="241" w:name="_Toc92"/>
      <w:bookmarkEnd w:id="240"/>
      <w:r>
        <w:rPr>
          <w:rtl w:val="true"/>
        </w:rPr>
        <w:t>لزوم استيعاب الجَسَد</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من واجبات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الجَسَد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عن المصنّف رحمه الله</w:t>
      </w:r>
      <w:r>
        <w:rPr>
          <w:rStyle w:val="FootnoteAnchor"/>
          <w:rtl w:val="true"/>
        </w:rPr>
        <w:footnoteReference w:id="449"/>
      </w:r>
      <w:r>
        <w:rPr>
          <w:rFonts w:ascii="Amiri" w:hAnsi="Amiri" w:eastAsia="Amiri" w:cs="Amiri"/>
          <w:color w:val="111111"/>
          <w:sz w:val="28"/>
          <w:sz w:val="28"/>
          <w:szCs w:val="28"/>
          <w:rtl w:val="true"/>
          <w:lang w:bidi="ar-SA"/>
        </w:rPr>
        <w:t>والشيخ</w:t>
      </w:r>
      <w:r>
        <w:rPr>
          <w:rStyle w:val="FootnoteAnchor"/>
          <w:rtl w:val="true"/>
        </w:rPr>
        <w:footnoteReference w:id="450"/>
      </w:r>
      <w:r>
        <w:rPr>
          <w:rFonts w:ascii="Amiri" w:hAnsi="Amiri" w:eastAsia="Amiri" w:cs="Amiri"/>
          <w:color w:val="111111"/>
          <w:sz w:val="28"/>
          <w:sz w:val="28"/>
          <w:szCs w:val="28"/>
          <w:rtl w:val="true"/>
          <w:lang w:bidi="ar-SA"/>
        </w:rPr>
        <w:t>والشهيد</w:t>
      </w:r>
      <w:r>
        <w:rPr>
          <w:rStyle w:val="FootnoteAnchor"/>
          <w:rtl w:val="true"/>
        </w:rPr>
        <w:footnoteReference w:id="45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الصحيح الذي رواه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إلى قدميك</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أفض على رأسك وسائر جسدك</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حجر بن زائدة،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شعرةً من الجنابة متعمّداً فهو في النار</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يفيض الماء على جَسَده كلّه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غَسل ما تركه من بعض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الكثيرة الظاهرة جميعها في لزوم غَسل جميع الأجزاء، وعدم بقاء شيءٍ يسير من الجسد بلا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الخونساري</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الاعتداد ببقاء شيءٍ يسير لا يخلّ عرفاً بغَسل جميع البدن إمّا مطلقاً أو مع النسيان،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فيصيب جسده ورأسه الخَلُوق والطيب والشيء اللكد، مثل عَلَك الروم والظرب وما أشبهه، فيغتسل، فإذا فرغ وجد شيئاً قد بقي في جسده من أثر الخلوق والطيب وغيره‌؟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السكوني، عن جعفر، عن أبيه،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نساء النبيّ صلى الله عليه و آله إذا اغتسلن من الجنابة، يبقين صفرة الطيب على أجسادهن، وذلك أنّ النبيّ صلى الله عليه و آله أمرهن أن يصببن الماء صبّاً على أجسادهن</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الحسين بن أبي العلاء،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الخاتم إذا اغتسل‌؟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 وقال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تديره فإنْ نسيتَ حتّى تقوم في الصّلاة فلا آمرك أن تُعيد الصّلاة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الجائز أنْ يكون المراد بما بقي، الأثر الذي لا يمنع وصول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الماء أو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فلأظهريّته في هذا الاحتمال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يدلّ على عدم إعادة الصّلاة، لا صحّة الغُسل، مع احتمال أنْ يكون المراد منه الخاتم الذي لا يمنع وصول الماء، ويكون الأمر بالتحويل والإدارة استحبابيّاً، هذا كلّه مضافاً إلى مخالفة هذا القول للإجماع</w:t>
      </w:r>
      <w:r>
        <w:rPr>
          <w:rFonts w:eastAsia="Amiri" w:cs="Amiri" w:ascii="Amiri" w:hAnsi="Amiri"/>
          <w:color w:val="111111"/>
          <w:sz w:val="28"/>
          <w:szCs w:val="28"/>
          <w:rtl w:val="true"/>
          <w:lang w:bidi="ar-SA"/>
        </w:rPr>
        <w:t>.</w:t>
      </w:r>
      <w:bookmarkStart w:id="242" w:name="pg11795_115428"/>
    </w:p>
    <w:p>
      <w:pPr>
        <w:pStyle w:val="BookText"/>
        <w:rPr/>
      </w:pPr>
      <w:bookmarkEnd w:id="242"/>
      <w:r>
        <w:rPr>
          <w:rFonts w:ascii="Amiri" w:hAnsi="Amiri" w:eastAsia="Amiri" w:cs="Amiri"/>
          <w:color w:val="111111"/>
          <w:sz w:val="28"/>
          <w:sz w:val="28"/>
          <w:szCs w:val="28"/>
          <w:rtl w:val="true"/>
          <w:lang w:bidi="ar-SA"/>
        </w:rPr>
        <w:t>وتخليل ما لا يصل إليه الماء إلّابه</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10328801_73709187"/>
      <w:bookmarkStart w:id="244" w:name="_Toc93"/>
      <w:bookmarkEnd w:id="243"/>
      <w:r>
        <w:rPr>
          <w:rtl w:val="true"/>
        </w:rPr>
        <w:t>وجوب التخليل</w:t>
      </w:r>
      <w:bookmarkEnd w:id="244"/>
    </w:p>
    <w:p>
      <w:pPr>
        <w:pStyle w:val="Heading6"/>
        <w:numPr>
          <w:ilvl w:val="5"/>
          <w:numId w:val="1"/>
        </w:numPr>
        <w:rPr/>
      </w:pPr>
      <w:bookmarkStart w:id="245" w:name="__RefHeading___Toc10328803_73709187"/>
      <w:bookmarkStart w:id="246" w:name="_Toc94"/>
      <w:bookmarkEnd w:id="245"/>
      <w:r>
        <w:rPr>
          <w:rtl w:val="true"/>
        </w:rPr>
        <w:t>اشارة</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واجبات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تخليل ما لا يَصلُ إليه الماء إلّابه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خلاف،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فلا يجتزي بغَسل الشعر، سواء أكان كثيفاً أم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الدالّة على وجوب غَسل الجَسَد والرأس كليهما، فإنّ المتبادر من الأمر بغَسلهما، غَسلُ البشرة لا ما أحاط بها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جلدك الماء فَحَسبك</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اليوم أحدثن مشطاً، تعمد إحداهنّ إلى القرامل من الصوف تفعله الماشطة، تصنعه مع الشعر، ثمّ تحشوه بالرياحين، ثمّ تجعل عليه خرقة رقيقة، ثمّ تخيطه بمسلّة، ثمّ تجعلها في رأسها، ثمّ تصيبها الجنابة‌؟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النساء الأول إنّما يتمشّطن المقاديم، فإذا أصابهن الغُسل بقذرٍ، مُرها أن تُرويّ رأسها من الماء، تعصره حتّى يروى، فإذا روى فلا بأس عليها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 فليس على العباد أن يطلبوه، ولا يبحثوا عنه، ولكن يجري عليه الماء</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 مختصٌّ بالوضوء، وما دلَّ على إجزاء الغُرفتين أو الثلاث لا يدلّ على الاكتفاء بغَسل الشَّعر، لعدم استلزام ذلك، لعدم وصول الماء إلى البشرة وإنْ كان كثيفاً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من التأمّل في الحكم،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أنّ التخليل لا يكون واجباً مستقلّاً قسيماً لغَسل البشرة، بل يكون وجوبه مقدّميّاً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47" w:name="pg11795_115430"/>
    </w:p>
    <w:p>
      <w:pPr>
        <w:pStyle w:val="Heading6"/>
        <w:numPr>
          <w:ilvl w:val="5"/>
          <w:numId w:val="1"/>
        </w:numPr>
        <w:rPr/>
      </w:pPr>
      <w:bookmarkStart w:id="248" w:name="__RefHeading___Toc10328805_73709187"/>
      <w:bookmarkStart w:id="249" w:name="_Toc95"/>
      <w:bookmarkEnd w:id="247"/>
      <w:bookmarkEnd w:id="248"/>
      <w:r>
        <w:rPr>
          <w:rtl w:val="true"/>
        </w:rPr>
        <w:t>لا يجبُ غَسل الشَّعر</w:t>
      </w:r>
      <w:bookmarkEnd w:id="249"/>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عدم وجوب غَسل الشَّعر مع وصول الماء إلى البشرة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وجوبه،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الشَّعر مشدوداً 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تقويته، وعن البهائي قدس سره</w:t>
      </w:r>
      <w:r>
        <w:rPr>
          <w:rStyle w:val="FootnoteAnchor"/>
          <w:rtl w:val="true"/>
        </w:rPr>
        <w:footnoteReference w:id="469"/>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المرأة شعرها إذا اغتسلت من الجنابة</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غياث</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يصل الماء عادةً إلى الشَّعر بتمامه مع أحكام إبرامه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صحّة الاستدلال له بحَسَن الكاهلي المتقدّم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الثاني بعدّة أدلّة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بالأصل، فإنّ الشكّ في دخل شيءٍ في الغُسل من قبيل الشكّ في المحصّل، والمرجع فيه هو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حجر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شعرةً من الجنابة متعمّداً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بلّوا الشَّعر وانقوا البشرة</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ما تضع النساء في الشَّعر والقرون، يبالغن في الغَسل</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ابن مسلم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تغتسل، ولم تنقض شعرها، كم يجزيها من 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يشرب شعرها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وجوب غَسل الرأس والجَسَد، فإنّه يدلّ على وجوب غَسل الشَّعر النابت عليهما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أشرنا إليه مراراً من أنّ بيان المحصّل إذا كان من وظائف المولى، لو شكّ دخل شيءٍ فيه، يكون المرجع فيه هو البراءة لا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عرفت أنّ الطهارة التي أمر بها إنّما تكون من العناوين المنطبقة على الغُسل لا الأثر الحاصل منه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ظاهراً في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بعض أعاظم المحقّقين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إنّما يدلّ على الوجوب وهو أعمٌّ من النفسي والغيري، وإنّما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يحمل لفظ الوجوب وصيغة الأمر على الوجوب النفسي عند الإطلاق، إذا لم يتعلّق التكليف بما يحتمل أنْ يكون الأمر بغَسل الشَّعر مقدّمة لغَسل البشرة المأمور به، فلا موجب لحمله على الوجوب النفسي، غير تامّ‌، فإنّ التوعّد على ترك شيءٍ‌، ظاهرٌ في وجوبه لنفسه لا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الجمع بينه وبين النصوص المتقدّمة، يقتضي حمله على إرادة مقدار شعرة من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 جميل، وصحيح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يكونان ظاهرين في هذا القول، إذ الأمر بالمبالغة يمكن أنْ يكون لإيصال الماء إلى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فرض عدم نقض الشَّعر فيه، والتعبير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ظاهراً في خلاف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إنّما تكون خارجاً، وثبوتها كذلك لا يقتضي التبعيّة في الدلالة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وجوب غَسل الشَّعر</w:t>
      </w:r>
      <w:r>
        <w:rPr>
          <w:rFonts w:eastAsia="Amiri" w:cs="Amiri" w:ascii="Amiri" w:hAnsi="Amiri"/>
          <w:color w:val="111111"/>
          <w:sz w:val="28"/>
          <w:szCs w:val="28"/>
          <w:rtl w:val="true"/>
          <w:lang w:bidi="ar-SA"/>
        </w:rPr>
        <w:t>.</w:t>
      </w:r>
      <w:bookmarkStart w:id="250" w:name="pg11795_115433"/>
    </w:p>
    <w:p>
      <w:pPr>
        <w:pStyle w:val="Heading6"/>
        <w:numPr>
          <w:ilvl w:val="5"/>
          <w:numId w:val="1"/>
        </w:numPr>
        <w:rPr/>
      </w:pPr>
      <w:bookmarkStart w:id="251" w:name="__RefHeading___Toc10328807_73709187"/>
      <w:bookmarkStart w:id="252" w:name="_Toc96"/>
      <w:bookmarkEnd w:id="250"/>
      <w:bookmarkEnd w:id="251"/>
      <w:r>
        <w:rPr>
          <w:rtl w:val="true"/>
        </w:rPr>
        <w:t>لا يجب غسل البواطن</w:t>
      </w:r>
      <w:bookmarkEnd w:id="252"/>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شهرة عظيمة، عدم وجوب غسل البواطن،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الواسطي، عن بعض أصحابه،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يتمضمض‌؟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يجنب الظاهر</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الصدوق روايته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يجنب الباطن، والفمُ من الباطن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أن تمضمض وتستنشق فافعل، وليس بواجبٍ‌، لأنّ الغُسل على ما ظهر لا على ما بطن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أن تَغسل ما ظَهَر</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إلى ما تضمّن الإجتزاء بالارتماس</w:t>
      </w:r>
      <w:r>
        <w:rPr>
          <w:rFonts w:eastAsia="IRNazanin" w:cs="IRNazanin"/>
          <w:color w:val="111111"/>
          <w:sz w:val="28"/>
          <w:szCs w:val="28"/>
          <w:rtl w:val="true"/>
          <w:lang w:bidi="fa-IR"/>
        </w:rPr>
        <w:t>.</w:t>
      </w:r>
      <w:bookmarkStart w:id="253" w:name="pg11795_115434"/>
    </w:p>
    <w:p>
      <w:pPr>
        <w:pStyle w:val="Heading6"/>
        <w:numPr>
          <w:ilvl w:val="5"/>
          <w:numId w:val="1"/>
        </w:numPr>
        <w:rPr/>
      </w:pPr>
      <w:bookmarkStart w:id="254" w:name="__RefHeading___Toc10328809_73709187"/>
      <w:bookmarkStart w:id="255" w:name="_Toc97"/>
      <w:bookmarkEnd w:id="253"/>
      <w:bookmarkEnd w:id="254"/>
      <w:r>
        <w:rPr>
          <w:rtl w:val="true"/>
        </w:rPr>
        <w:t>في حكم ما يشكّ أنّه من الظاهر أو الباطن</w:t>
      </w:r>
      <w:bookmarkEnd w:id="255"/>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 شيء من الظاهر أو الباطن، كأوائل الأنف ونحوها، فقد اختار جملةٌ من الأعاظم وجوب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بالغُسل معلومٌ‌، فيجب تحصيل اليقين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غيرهااستدلّله</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بأنّ‌المأمور به هو الطهارة، التي هي الأثرالحاصل من الغسل، فيرجع الشكّ في المقام إلى الشكّ في المحصّل الذي هو مجرى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المعلوم بالاجمال إذا كان مردّداًبين الأقلّ والأكثر، ينحلّ بالعلم بوجوب الأقلّ‌، والشكّ في وجوب الأكثر، فتجري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المحصَّل الذي يكون بيانه وظيفة المولى يكون مجرى قاعدة البراءة، مع أنّك عرفت آنفاً أنّ الشكّ في المقام ليس من قبيل الشكّ في المحصَّل، لأنّ الطهارة من العناوين المنطبقة على الغُسل لا على الأثر الحاصل منه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عدم وجوب غَسله، فالثُّقب الذي يكون في الاُذن إنْ جزم بأنّه من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المقدّس الأردبيلي وتلميذه</w:t>
      </w:r>
      <w:r>
        <w:rPr>
          <w:rStyle w:val="FootnoteAnchor"/>
          <w:rtl w:val="true"/>
        </w:rPr>
        <w:footnoteReference w:id="48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غَسله، ولعلّ نظر المحقّق الثاني</w:t>
      </w:r>
      <w:r>
        <w:rPr>
          <w:rStyle w:val="FootnoteAnchor"/>
          <w:rtl w:val="true"/>
        </w:rPr>
        <w:footnoteReference w:id="484"/>
      </w:r>
      <w:r>
        <w:rPr>
          <w:rFonts w:ascii="Amiri" w:hAnsi="Amiri" w:eastAsia="Amiri" w:cs="Amiri"/>
          <w:color w:val="111111"/>
          <w:sz w:val="28"/>
          <w:sz w:val="28"/>
          <w:szCs w:val="28"/>
          <w:rtl w:val="true"/>
          <w:lang w:bidi="ar-SA"/>
        </w:rPr>
        <w:t>إلى ذلك حيث أفتى بالوجوب، وإلّا فلايجب</w:t>
      </w:r>
      <w:r>
        <w:rPr>
          <w:rFonts w:eastAsia="Amiri" w:cs="Amiri" w:ascii="Amiri" w:hAnsi="Amiri"/>
          <w:color w:val="111111"/>
          <w:sz w:val="28"/>
          <w:szCs w:val="28"/>
          <w:rtl w:val="true"/>
          <w:lang w:bidi="ar-SA"/>
        </w:rPr>
        <w:t>.</w:t>
      </w:r>
      <w:bookmarkStart w:id="256" w:name="pg11795_115435"/>
    </w:p>
    <w:p>
      <w:pPr>
        <w:pStyle w:val="BookText"/>
        <w:rPr/>
      </w:pPr>
      <w:bookmarkEnd w:id="256"/>
      <w:r>
        <w:rPr>
          <w:rFonts w:ascii="Amiri" w:hAnsi="Amiri" w:eastAsia="Amiri" w:cs="Amiri"/>
          <w:color w:val="111111"/>
          <w:sz w:val="28"/>
          <w:sz w:val="28"/>
          <w:szCs w:val="28"/>
          <w:rtl w:val="true"/>
          <w:lang w:bidi="ar-SA"/>
        </w:rPr>
        <w:t>والبدأة بالرأس</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10328811_73709187"/>
      <w:bookmarkStart w:id="258" w:name="_Toc98"/>
      <w:bookmarkEnd w:id="257"/>
      <w:r>
        <w:rPr>
          <w:rtl w:val="true"/>
        </w:rPr>
        <w:t>لزوم الترتيب</w:t>
      </w:r>
      <w:bookmarkEnd w:id="258"/>
    </w:p>
    <w:p>
      <w:pPr>
        <w:pStyle w:val="Heading6"/>
        <w:numPr>
          <w:ilvl w:val="5"/>
          <w:numId w:val="1"/>
        </w:numPr>
        <w:rPr/>
      </w:pPr>
      <w:bookmarkStart w:id="259" w:name="__RefHeading___Toc10328813_73709187"/>
      <w:bookmarkStart w:id="260" w:name="_Toc99"/>
      <w:bookmarkEnd w:id="259"/>
      <w:r>
        <w:rPr>
          <w:rtl w:val="true"/>
        </w:rPr>
        <w:t>اشارة</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واجبات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البدأة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على سائر بدنه، كما هو المشهور، وفي الجواهر</w:t>
      </w:r>
      <w:r>
        <w:rPr>
          <w:rStyle w:val="FootnoteAnchor"/>
          <w:rtl w:val="true"/>
        </w:rPr>
        <w:footnoteReference w:id="4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486"/>
      </w:r>
      <w:r>
        <w:rPr>
          <w:rFonts w:ascii="Amiri" w:hAnsi="Amiri" w:eastAsia="Amiri" w:cs="Amiri"/>
          <w:color w:val="111111"/>
          <w:sz w:val="28"/>
          <w:sz w:val="28"/>
          <w:szCs w:val="28"/>
          <w:rtl w:val="true"/>
          <w:lang w:bidi="ar-SA"/>
        </w:rPr>
        <w:t>، والشيخ</w:t>
      </w:r>
      <w:r>
        <w:rPr>
          <w:rStyle w:val="FootnoteAnchor"/>
          <w:rtl w:val="true"/>
        </w:rPr>
        <w:footnoteReference w:id="487"/>
      </w:r>
      <w:r>
        <w:rPr>
          <w:rFonts w:ascii="Amiri" w:hAnsi="Amiri" w:eastAsia="Amiri" w:cs="Amiri"/>
          <w:color w:val="111111"/>
          <w:sz w:val="28"/>
          <w:sz w:val="28"/>
          <w:szCs w:val="28"/>
          <w:rtl w:val="true"/>
          <w:lang w:bidi="ar-SA"/>
        </w:rPr>
        <w:t>، وابن زُهرة</w:t>
      </w:r>
      <w:r>
        <w:rPr>
          <w:rStyle w:val="FootnoteAnchor"/>
          <w:rtl w:val="true"/>
        </w:rPr>
        <w:footnoteReference w:id="488"/>
      </w:r>
      <w:r>
        <w:rPr>
          <w:rFonts w:ascii="IRNazanin" w:hAnsi="IRNazanin" w:eastAsia="IRNazanin"/>
          <w:color w:val="111111"/>
          <w:sz w:val="28"/>
          <w:sz w:val="28"/>
          <w:szCs w:val="28"/>
          <w:rtl w:val="true"/>
          <w:lang w:bidi="fa-IR"/>
        </w:rPr>
        <w:t>، والمصنّف رحمه الله</w:t>
      </w:r>
      <w:r>
        <w:rPr>
          <w:rStyle w:val="FootnoteAnchor"/>
          <w:rtl w:val="true"/>
        </w:rPr>
        <w:footnoteReference w:id="489"/>
      </w:r>
      <w:r>
        <w:rPr>
          <w:rFonts w:ascii="Amiri" w:hAnsi="Amiri" w:eastAsia="Amiri" w:cs="Amiri"/>
          <w:color w:val="111111"/>
          <w:sz w:val="28"/>
          <w:sz w:val="28"/>
          <w:szCs w:val="28"/>
          <w:rtl w:val="true"/>
          <w:lang w:bidi="ar-SA"/>
        </w:rPr>
        <w:t>، والشهيد</w:t>
      </w:r>
      <w:r>
        <w:rPr>
          <w:rStyle w:val="FootnoteAnchor"/>
          <w:rtl w:val="true"/>
        </w:rPr>
        <w:footnoteReference w:id="490"/>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النصوص المتضمّنة لعطف غيره عليه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 في غُسل الجنابة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تصبّ على رأسك ثلاثاً، ثمّ تصبّ على سائر جسدك مرّتين، فما جرى عليه الماء فقد طَهُر</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ونحوه</w:t>
      </w:r>
      <w:r>
        <w:rPr>
          <w:rStyle w:val="FootnoteAnchor"/>
          <w:rtl w:val="true"/>
        </w:rPr>
        <w:footnoteReference w:id="492"/>
      </w:r>
      <w:r>
        <w:rPr>
          <w:rFonts w:ascii="Amiri" w:hAnsi="Amiri" w:eastAsia="Amiri" w:cs="Amiri"/>
          <w:color w:val="111111"/>
          <w:sz w:val="28"/>
          <w:sz w:val="28"/>
          <w:szCs w:val="28"/>
          <w:rtl w:val="true"/>
          <w:lang w:bidi="ar-SA"/>
        </w:rPr>
        <w:t>في ذلك صحيح زرارة، وموثّق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من جنابةٍ‌، فلم يغسل رأسه، ثمّ بدا له أن يغسل رأسه لم يجد بُدّاً من إعادة الغسل</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عدم جواز تقديم الجانبين على الرأس، وبضميمة عدم القول بالفصل بين عدم جواز تقديمهما ولزوم تأخيرهما،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يكون منشأ الفساد فيه التشريع المنافي لقصد الامتثال، لا فوات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لا يعبأ به، إذ من المستبعد جدّاً كون المُسلم المغتسل في مقام الامتثال تاركاً لجزءٍ من المأمور به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الجارية التي أصاب منها في طريق مكّة،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اغسلي رأسك وامسحيه مسحاً شديداً لا تعلم به مولاتكِ‌، فإذا أردتِ الإحرام فاغسلي جَسَدك ولا تَغسلي رأسك</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ينافيه صحيح هشام</w:t>
      </w:r>
      <w:r>
        <w:rPr>
          <w:rStyle w:val="FootnoteAnchor"/>
          <w:rtl w:val="true"/>
        </w:rPr>
        <w:footnoteReference w:id="495"/>
      </w:r>
      <w:r>
        <w:rPr>
          <w:rFonts w:ascii="Amiri" w:hAnsi="Amiri" w:eastAsia="Amiri" w:cs="Amiri"/>
          <w:color w:val="111111"/>
          <w:sz w:val="28"/>
          <w:sz w:val="28"/>
          <w:szCs w:val="28"/>
          <w:rtl w:val="true"/>
          <w:lang w:bidi="ar-SA"/>
        </w:rPr>
        <w:t>المتضمّن لأمرها بغَسل الجسد قبل الرأس، فأنّ راوي هذا الخبر قد روى الخبر المتقدّم عن محمّد بن مسلم، وعليه فيُحمل هذا على وهم الراوي واشتباهه، كما عن الشيخ</w:t>
      </w:r>
      <w:r>
        <w:rPr>
          <w:rStyle w:val="FootnoteAnchor"/>
          <w:rtl w:val="true"/>
        </w:rPr>
        <w:footnoteReference w:id="496"/>
      </w:r>
      <w:r>
        <w:rPr>
          <w:rFonts w:ascii="Amiri" w:hAnsi="Amiri" w:eastAsia="Amiri" w:cs="Amiri"/>
          <w:color w:val="111111"/>
          <w:sz w:val="28"/>
          <w:sz w:val="28"/>
          <w:szCs w:val="28"/>
          <w:rtl w:val="true"/>
          <w:lang w:bidi="ar-SA"/>
        </w:rPr>
        <w:t xml:space="preserve">ومن تأخّر عنه، أو على إرادة غُسل الإحرام كما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 أو على غير ذلك من المحامل المذكورة </w:t>
      </w:r>
    </w:p>
    <w:p>
      <w:pPr>
        <w:pStyle w:val="BookText"/>
        <w:rPr/>
      </w:pPr>
      <w:r>
        <w:rPr>
          <w:rFonts w:ascii="Amiri" w:hAnsi="Amiri" w:eastAsia="Amiri" w:cs="Amiri"/>
          <w:color w:val="111111"/>
          <w:sz w:val="28"/>
          <w:sz w:val="28"/>
          <w:szCs w:val="28"/>
          <w:rtl w:val="true"/>
          <w:lang w:bidi="ar-SA"/>
        </w:rPr>
        <w:t>في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وابدأ بالرأس، ثمّ أفِض على سائر جسدك</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النصوص والإجماع، يقيّد إطلاق ما يكون ظاهراً في عدم الوجوب، كصحيح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إلى قدميك</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أفِضْ على رأسكِ وجَسَدكِ ولا وضوء فيه</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إبائها عن التقييد، من جهة تضمّنها لذكر اُمور كثيرة خارجة عن الغُسل، وبعضها مستحبٌّ‌، وعدم تعرّضها للترتيب بين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اشتمالها على تلك الاُمور، لا يوجب قوّة دلالتها على عدم الوجوب، وتصير نصّاً فيه أو كالنصّ‌، كي لا يصحّ تقييد إطلاقها، كما أنّ اشتمال المقيّدات على ما لا يقول بوجوبه المشهور، لا يستلزم عدم وجوب الترتيب مع ظهورها فيه، وعدم الصارف عنه كي لا تصلح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النصوص، اعتبار الترتيب بين الرأس والجانبين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61" w:name="pg11795_115438"/>
    </w:p>
    <w:p>
      <w:pPr>
        <w:pStyle w:val="BookText"/>
        <w:rPr/>
      </w:pPr>
      <w:bookmarkEnd w:id="261"/>
      <w:r>
        <w:rPr>
          <w:rFonts w:ascii="Amiri" w:hAnsi="Amiri" w:eastAsia="Amiri" w:cs="Amiri"/>
          <w:color w:val="111111"/>
          <w:sz w:val="28"/>
          <w:sz w:val="28"/>
          <w:szCs w:val="28"/>
          <w:rtl w:val="true"/>
          <w:lang w:bidi="ar-SA"/>
        </w:rPr>
        <w:t>ثمّ بالجانب الأيمن ثمّ الأيسر</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10328815_73709187"/>
      <w:bookmarkStart w:id="263" w:name="_Toc100"/>
      <w:bookmarkEnd w:id="262"/>
      <w:r>
        <w:rPr>
          <w:rtl w:val="true"/>
        </w:rPr>
        <w:t>الترتيب بين الجانبين</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 الأيمن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كماهو المشهور،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انفراد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علمائنا خاصّة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ظاهر الصدوقين</w:t>
      </w:r>
      <w:r>
        <w:rPr>
          <w:rStyle w:val="FootnoteAnchor"/>
          <w:rtl w:val="true"/>
        </w:rPr>
        <w:footnoteReference w:id="507"/>
      </w:r>
      <w:r>
        <w:rPr>
          <w:rFonts w:ascii="Amiri" w:hAnsi="Amiri" w:eastAsia="Amiri" w:cs="Amiri"/>
          <w:color w:val="111111"/>
          <w:sz w:val="28"/>
          <w:sz w:val="28"/>
          <w:szCs w:val="28"/>
          <w:rtl w:val="true"/>
          <w:lang w:bidi="ar-SA"/>
        </w:rPr>
        <w:t>، وابني الجُنيد</w:t>
      </w:r>
      <w:r>
        <w:rPr>
          <w:rStyle w:val="FootnoteAnchor"/>
          <w:rtl w:val="true"/>
        </w:rPr>
        <w:footnoteReference w:id="508"/>
      </w:r>
      <w:r>
        <w:rPr>
          <w:rFonts w:ascii="Amiri" w:hAnsi="Amiri" w:eastAsia="Amiri" w:cs="Amiri"/>
          <w:color w:val="111111"/>
          <w:sz w:val="28"/>
          <w:sz w:val="28"/>
          <w:szCs w:val="28"/>
          <w:rtl w:val="true"/>
          <w:lang w:bidi="ar-SA"/>
        </w:rPr>
        <w:t>وأبي عقيل</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وإليه مالَ شيخنا البهائي</w:t>
      </w:r>
      <w:r>
        <w:rPr>
          <w:rStyle w:val="FootnoteAnchor"/>
          <w:rtl w:val="true"/>
        </w:rPr>
        <w:footnoteReference w:id="510"/>
      </w:r>
      <w:r>
        <w:rPr>
          <w:rFonts w:ascii="Amiri" w:hAnsi="Amiri" w:eastAsia="Amiri" w:cs="Amiri"/>
          <w:color w:val="111111"/>
          <w:sz w:val="28"/>
          <w:sz w:val="28"/>
          <w:szCs w:val="28"/>
          <w:rtl w:val="true"/>
          <w:lang w:bidi="ar-SA"/>
        </w:rPr>
        <w:t>والمجلسي</w:t>
      </w:r>
      <w:r>
        <w:rPr>
          <w:rStyle w:val="FootnoteAnchor"/>
          <w:rtl w:val="true"/>
        </w:rPr>
        <w:footnoteReference w:id="511"/>
      </w:r>
      <w:r>
        <w:rPr>
          <w:rFonts w:ascii="Amiri" w:hAnsi="Amiri" w:eastAsia="Amiri" w:cs="Amiri"/>
          <w:color w:val="111111"/>
          <w:sz w:val="28"/>
          <w:sz w:val="28"/>
          <w:szCs w:val="28"/>
          <w:rtl w:val="true"/>
          <w:lang w:bidi="ar-SA"/>
        </w:rPr>
        <w:t xml:space="preserve">وأصحاب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والوافي</w:t>
      </w:r>
      <w:r>
        <w:rPr>
          <w:rStyle w:val="FootnoteAnchor"/>
          <w:rtl w:val="true"/>
        </w:rPr>
        <w:footnoteReference w:id="514"/>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اعتبار الترتيب بين الرأس والجانبين، بضميمة عدم الفصل في الترتيب بين الرأس والجانبين وفيما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اعتبار الترتيب في الوضوء، بدعوى عدم الفصل بين الترتيب في الوضوء، وبينه في أعضاء الغسل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وبالأخبار</w:t>
      </w:r>
      <w:r>
        <w:rPr>
          <w:rStyle w:val="FootnoteAnchor"/>
          <w:rtl w:val="true"/>
        </w:rPr>
        <w:footnoteReference w:id="515"/>
      </w:r>
      <w:r>
        <w:rPr>
          <w:rFonts w:ascii="Amiri" w:hAnsi="Amiri" w:eastAsia="Amiri" w:cs="Amiri"/>
          <w:color w:val="111111"/>
          <w:sz w:val="28"/>
          <w:sz w:val="28"/>
          <w:szCs w:val="28"/>
          <w:rtl w:val="true"/>
          <w:lang w:bidi="ar-SA"/>
        </w:rPr>
        <w:t>الدالّة على اعتبار الترتيب بين الجانبين في غُسل الأموات، بضميمة ما دلَّ على أنّ غُسل الميّت بعينه هو غُسل الجنابة</w:t>
      </w:r>
      <w:r>
        <w:rPr>
          <w:rStyle w:val="FootnoteAnchor"/>
          <w:rtl w:val="true"/>
        </w:rPr>
        <w:footnoteReference w:id="516"/>
      </w:r>
      <w:r>
        <w:rPr>
          <w:rFonts w:ascii="Amiri" w:hAnsi="Amiri" w:eastAsia="Amiri" w:cs="Amiri"/>
          <w:color w:val="111111"/>
          <w:sz w:val="28"/>
          <w:sz w:val="28"/>
          <w:szCs w:val="28"/>
          <w:rtl w:val="true"/>
          <w:lang w:bidi="ar-SA"/>
        </w:rPr>
        <w:t>، مع أنّه لو كانت كيفيّة غُسل الجنابة تختلف عن كيفيّة غُسل الميّت، للزم في كلّ مقامٍ أمر فيه بالغُسل، التنبيه على أنّه كغُسل الجنابة أو كغُسل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غير الإجماع نظر؛ إذ ظاهر الصدوقين وجملة من المتأخّرين المتقدّم ذكرهم، اختيار التفصيل، فما دلَّ على اعتبار الترتيب بين الرأس والجانبين، لا يدلّ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صحّة الاستدلال له بما دلَّ على اعتباره في الوضوء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وكون غُسل الميّت بعينه غُسل الجنابة، لا يستلزم اعتبار جميع ما يعتبر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في الثاني، بعد كون الفرق بين جنابة الحيّ والميّت ممّا لا يخفى، ولذا لم يستدلّ أحدٌ بالنصوص الدالّة على أنّ غُسل الميّت هو غُسل الجنابة، على اعتبار السِّدر وتثليث الغُسُلات وغيرهما ممّا يعتبر في غُسل الميّت في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النصوص أنّ اعتبار الترتيب فيه إنّما يكون مسبّباً عن كونه جُنُباً، كان الاستدلال بهذه النصوص في محلّه، وبما أنّ غُسل الميّت غير غُسل الحيّ‌، وهو عبارةٌ عن غُسل الإنسان غيره، فاختلاف كيفيّته مع كيفيّة غُسل الجنابة، لا يلازم التنبيه في كلّ غُسلٍ على أنّه كأحدهما، لعدم كونه من سنخ سائرالأغسال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ابن مسلم،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مثل غسل الجنابة، وإنْ كان كثير الشَّعر فردّ عليه الماء</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وإنْ كان في نفسه ظاهراً في اعتبار الترتيب في غُسل الجنابة أيضاً، لأنّه مقتضى تماثلهما من جميع الجهات، وليس مفاده تنزيل غُسل الميّت منزلة غُسل الجنابة كي يقال إنّه يدلّ على ترتيب أحكام غُسل الجنابة عليه، لا ترتيب أحكامه على غُسل الجنابة، إلّاأنّه لا يصلح لرفع اليد عن ظهور النصوص الدالّة على عدم اعتباره بالخصوص، كموثّق سماعة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ليصبّ على رأسه ثلاث مرّات ملء كفيّه، ثمّ يضرب بكفٍّ من ماء على صدره، وكفٍّ بين كتفيه، ثمّ يفيض الماء على جسده كلّه</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اعتباره بين الجانبين، سوى الإجماع إنْ تمّ‌، والاحتياط سبيل النجاة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64" w:name="pg11795_115441"/>
    </w:p>
    <w:p>
      <w:pPr>
        <w:pStyle w:val="BookText"/>
        <w:rPr/>
      </w:pPr>
      <w:bookmarkEnd w:id="264"/>
      <w:r>
        <w:rPr>
          <w:rFonts w:ascii="Amiri" w:hAnsi="Amiri" w:eastAsia="Amiri" w:cs="Amiri"/>
          <w:color w:val="111111"/>
          <w:sz w:val="28"/>
          <w:sz w:val="28"/>
          <w:szCs w:val="28"/>
          <w:rtl w:val="true"/>
          <w:lang w:bidi="ar-SA"/>
        </w:rPr>
        <w:t>ويسقط الترتيب مع الإرتماس</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10328817_73709187"/>
      <w:bookmarkStart w:id="266" w:name="_Toc101"/>
      <w:bookmarkEnd w:id="265"/>
      <w:r>
        <w:rPr>
          <w:rtl w:val="true"/>
        </w:rPr>
        <w:t>الترتيب يَسقُط بالارتماس</w:t>
      </w:r>
      <w:bookmarkEnd w:id="266"/>
    </w:p>
    <w:p>
      <w:pPr>
        <w:pStyle w:val="Heading6"/>
        <w:numPr>
          <w:ilvl w:val="5"/>
          <w:numId w:val="1"/>
        </w:numPr>
        <w:rPr/>
      </w:pPr>
      <w:bookmarkStart w:id="267" w:name="__RefHeading___Toc10328819_73709187"/>
      <w:bookmarkStart w:id="268" w:name="_Toc102"/>
      <w:bookmarkEnd w:id="267"/>
      <w:r>
        <w:rPr>
          <w:rtl w:val="true"/>
        </w:rPr>
        <w:t>اشارة</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الترتيب مع الإرتماس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بلا مخالف،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للإجماع المحصّل والمنقول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رجلاً جُنُباً ارتمس في الماء ارتماسةً واحدة أجزأه ذلك، وإنْ لم يدلك جسده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حَسَن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ارتمس الرّجل الجُنُب في الماء ارتماسةً واحدة أجزأه ذلك من غُسله</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ما دلَّ على اعتبار الترتيب، إنّما يدلّ على اعتباره في الغُسل الترتيبي، فلا موجب لرفع اليد عن ظاهر هذه النصوص</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10328821_73709187"/>
      <w:bookmarkStart w:id="270" w:name="_Toc103"/>
      <w:bookmarkEnd w:id="269"/>
      <w:r>
        <w:rPr>
          <w:rtl w:val="true"/>
        </w:rPr>
        <w:t>في معنى الارتماس</w:t>
      </w:r>
      <w:bookmarkEnd w:id="270"/>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الارتماس، غَمس تمام البدن في الماء دفعةً واحدةً عرفيّة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غَمس البدن في الماء، ولو في آناتٍ متعدّدة، بحيث لا تصدق معه الدفعة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كاشف الغطاء</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تغطية البدن بالماء، فأوّله أوّل التغطية، وآخره آخر جزء الغُسل في تلك التغطية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استيلاء الماء على البدن في آنٍ واحدٍ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الارتماس قيدٌ بالوحدة في النصوص، وذُكِر في مقابل الترتيب، وعلى ذلك فالمراد من الارتماسة الواحدة، ارتماس جميع البدن في الماء، من غير أنْ يُجزّء على أعضاء الغُسل، وبما أنّ الوحدة الحقيقيّة لا تعقل، فيتعيّن الحمل على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عدم تحقّق الغُسل الارتماسي ممّن كان تمام بدنه تحت الماء، وممّن كان بعضه في الماء من دون أن يخرج منه، مع أنّ المشهور بين الأصحاب تحقّقه في الفرضين، فيكشف ذلك عن عدم تماميّة الضابط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وإنْ كان تحقّقه في الموردين، إلّاأنّه لا بمجرّد قصده في ظرف استيلاء الماء على البدن، بل يعتبر عندهم في هذين الموردين تحريك البدن بنحو يصدق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اكتفى منهم باستيلاء الماء على البدن، استدلّ له بأنّ المستفاد من الأدلّة تحقّقه بإيجاد الارتماس، وببقائه مرتمساً، وستعرف ما في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الأخبار أنّ المراد من الارتماس الواحد، هو ما يقال رَوْسُ كلّ عضوٍ على حدة، أو رَوْسُ المجموع ارتماسات متعدّدة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المنساق إلى الذهن من الارتماسة الواحدة، هو الغمس في الماء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دفعةً واحدة لا تدريجيّاً،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الرمس الذي أُخذ منه الارتماس، هو الكتمان والتغطية، فما دام لم يستر الماء البدن لا يصدق الارتماس، وإذا سَتَره فهو مرتمسٌ مادام لم يخرج، سواءٌ طال زمانه أم قصُر، فإذا رَمَس أعضاءه تدريجاً، كان ذلك الرَّمس خارجاً عن الغُسل إلى أن يرتمس بتمامه، وعلى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آنيّاً وهو ما إذا تحقّق الاستيلاء بمجرّد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تدريجيّاً، إذا توقّف الاستيلاء على التخليل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رمس البدن وتغطيته بالماء بما أنّه يتحقّق تدريجاً، فيكون ابتداء الارتماس أوّل آنات الشروع في الفعل، لا أوّل آنات تحقّق رمس البدن بتمامه، كما هو الشأن في جميع الافعال التي تتحقّق تدريجيّاً كالتكلّم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المحقّق الثاني جعله مخالفاً لإجماع المسلمين،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أهون من أنْ يتصدّى لردّه، لأنّه لا يعلم قولاً لأحدٍ من معتبري الأصحاب، ولا يتوهّم دلالة شيءٍ من اُصول المذهب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القطع بفساده من وجوه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هو ما اختاره المشهور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71" w:name="pg11795_115444"/>
    </w:p>
    <w:p>
      <w:pPr>
        <w:pStyle w:val="Heading6"/>
        <w:numPr>
          <w:ilvl w:val="5"/>
          <w:numId w:val="1"/>
        </w:numPr>
        <w:rPr/>
      </w:pPr>
      <w:bookmarkStart w:id="272" w:name="__RefHeading___Toc10328823_73709187"/>
      <w:bookmarkStart w:id="273" w:name="_Toc104"/>
      <w:bookmarkEnd w:id="271"/>
      <w:bookmarkEnd w:id="272"/>
      <w:r>
        <w:rPr>
          <w:rtl w:val="true"/>
        </w:rPr>
        <w:t>فروع</w:t>
      </w:r>
      <w:r>
        <w:rPr>
          <w:rtl w:val="true"/>
        </w:rPr>
        <w:t>:</w:t>
      </w:r>
      <w:bookmarkEnd w:id="273"/>
    </w:p>
    <w:p>
      <w:pPr>
        <w:pStyle w:val="Heading6"/>
        <w:numPr>
          <w:ilvl w:val="5"/>
          <w:numId w:val="1"/>
        </w:numPr>
        <w:rPr/>
      </w:pPr>
      <w:bookmarkStart w:id="274" w:name="__RefHeading___Toc10328825_73709187"/>
      <w:bookmarkStart w:id="275" w:name="_Toc105"/>
      <w:bookmarkEnd w:id="274"/>
      <w:r>
        <w:rPr>
          <w:rtl w:val="true"/>
        </w:rPr>
        <w:t>في جواز غَسل الأعضاء ارتماساً</w:t>
      </w:r>
      <w:bookmarkEnd w:id="275"/>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جواز غَسل كلّ عضوٍ من أعضائه الثلاثة بنحو الارتماس، وما عن عبارة جمع من القدماء من الاشتمال على الأمر بالصَّب، فإنّما هو لتبعيّة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الصَّب في الترتيبي، واستدلّ له بالنصوص البيانيّة المشتملة على الأمر بالصَّب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إرادة الغسل منه، ويشهد به قوله عليه السلام في صحيح ابن مسلم بعدما أمر بالصَّب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 الماء فقد طهُر</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جَرى عليه الماء فقد أجزأه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فإنّهما يكونان قرينة لإرادة الغَسل من الصَّب،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بالغَسل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وتعليق الحكم عليه في سائر النصوص</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وورود الأمر بالصَّب في تطهير النجاسات، وفي باب الوضوء، مع أنّه لا ريب في كفاية الارتماس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صدق عنوان الغَسل، سواءٌ أكان بالصَّب أو بالارتماس، وعليه فيكفي تحريك بدنه تحت الماء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من هذه النصوص، اعتبار جريان الماء في الغُسل، ولا تعارضها نصوص</w:t>
      </w:r>
      <w:r>
        <w:rPr>
          <w:rStyle w:val="FootnoteAnchor"/>
          <w:rtl w:val="true"/>
        </w:rPr>
        <w:footnoteReference w:id="529"/>
      </w:r>
      <w:r>
        <w:rPr>
          <w:rFonts w:ascii="Amiri" w:hAnsi="Amiri" w:eastAsia="Amiri" w:cs="Amiri"/>
          <w:color w:val="111111"/>
          <w:sz w:val="28"/>
          <w:sz w:val="28"/>
          <w:szCs w:val="28"/>
          <w:rtl w:val="true"/>
          <w:lang w:bidi="ar-SA"/>
        </w:rPr>
        <w:t>التشبيه بالدّهن، لأنّه لا ينافي جريان الماء وحركته من محلّ إلى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بينها وبين ما دلَّ على اعتبار الجريان، يقتضي أن يُقال إنّها سيقت لبيان عدم اعتبار الماء الكثير، وأنّه يكفي ما يوجب جريان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جمعٌ 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عن الإمام الصادق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الجنابة والوضوء يُجزي من الماء ما أجرى من الدّهن الذي يبلّ الجسد</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76" w:name="pg11795_115446"/>
    </w:p>
    <w:p>
      <w:pPr>
        <w:pStyle w:val="Heading6"/>
        <w:numPr>
          <w:ilvl w:val="5"/>
          <w:numId w:val="1"/>
        </w:numPr>
        <w:rPr/>
      </w:pPr>
      <w:bookmarkStart w:id="277" w:name="__RefHeading___Toc10328827_73709187"/>
      <w:bookmarkStart w:id="278" w:name="_Toc106"/>
      <w:bookmarkEnd w:id="276"/>
      <w:bookmarkEnd w:id="277"/>
      <w:r>
        <w:rPr>
          <w:rtl w:val="true"/>
        </w:rPr>
        <w:t>لزوم غسل الرقبة مع الرأس</w:t>
      </w:r>
      <w:bookmarkEnd w:id="278"/>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لزوم غَسل الرقبة مع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ذلك، بدعوى أنّ خبر أبي بصير الوارد فيه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تصبُّ الماءَ على رأسك ثلاث مرّات، وتَغسل وجهك، وتفيض على جَسَدك الماء</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يُشعر بعدم دخول الوجه في الرأس، فضلاً عن دخول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ثبوت كون الرأس موضوعاً لما يعمّها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عدم كونه موضوعاً لما يعمّها في اللّغة والنصوص، لا ينافي لزوم غَسلها مع غَسله، فضلاً عن عدم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صارف عن ظهور صحيح زرارة الوارد فيه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صبَّ على رأسه ثلاث أكفّ‌، ثمّ صبَّ على منكبه الأيسر مرّتين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ليُصبَّ على رأسه ثلاث مرّات ملء كفّه، ثمّ يضرب بكفٍّ من ماء على صدره</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الأعضاء المستقلّة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الحدود المشتركة كالعورة، فالظاهر من النصوص الدالّة على تنصيف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دلَّ على لزوم غَسل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غسل نصفها الأيمن مع الأيمن، ونصفها الأيسر مع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لاحتمال أن تكون هي أعضاء مستقلّة، وكونها من الأيمن أو كونها من الأيسر، يتعيّن الجمع، بأنْ يغسل تمامها مع كلٍّ من الطرفين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النصوص إرادة التنصيف الحقيقي، وهو يستلزم تنصيفها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أعضاء مستقلّة، لا يوجب دخولها في الأيمن ولا في الأيسر، بعد كونها واقعة في الحَدّ المشترك، الموجب لأنْ يكون نصفها في الأيمن ونصفها في الأيسر</w:t>
      </w:r>
      <w:r>
        <w:rPr>
          <w:rFonts w:eastAsia="Amiri" w:cs="Amiri" w:ascii="Amiri" w:hAnsi="Amiri"/>
          <w:color w:val="111111"/>
          <w:sz w:val="28"/>
          <w:szCs w:val="28"/>
          <w:rtl w:val="true"/>
          <w:lang w:bidi="ar-SA"/>
        </w:rPr>
        <w:t>.</w:t>
      </w:r>
      <w:bookmarkStart w:id="279" w:name="pg11795_115448"/>
    </w:p>
    <w:p>
      <w:pPr>
        <w:pStyle w:val="Heading6"/>
        <w:numPr>
          <w:ilvl w:val="5"/>
          <w:numId w:val="1"/>
        </w:numPr>
        <w:rPr/>
      </w:pPr>
      <w:bookmarkStart w:id="280" w:name="__RefHeading___Toc10328829_73709187"/>
      <w:bookmarkStart w:id="281" w:name="_Toc107"/>
      <w:bookmarkEnd w:id="279"/>
      <w:bookmarkEnd w:id="280"/>
      <w:r>
        <w:rPr>
          <w:rtl w:val="true"/>
        </w:rPr>
        <w:t>عدم وجوب الموالاة</w:t>
      </w:r>
      <w:bookmarkEnd w:id="281"/>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عدم وجوب الموالاة العرفيّة في الغُسل، فلو غَسل رأسه في أوّل النهار، والأيمن في آخره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قصّة اُمّ إسماعيل المتقدّمة في لزوم الترتيب، وحسن إبراهيم اليماني،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لم يرَ بأساً أن يَغسل الجُنُب رأسه غدوةً‌، ويغسل سائر جسده عند الصّلاة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يعتبر بين أجزاء عضوٍ واحدٍ، بلا خلاف ظاهر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وإطلاق الأدلّة، وتشعر به نصوص اللُّمعة</w:t>
      </w:r>
      <w:r>
        <w:rPr>
          <w:rFonts w:eastAsia="Amiri" w:cs="Amiri" w:ascii="Amiri" w:hAnsi="Amiri"/>
          <w:color w:val="111111"/>
          <w:sz w:val="28"/>
          <w:szCs w:val="28"/>
          <w:rtl w:val="true"/>
          <w:lang w:bidi="ar-SA"/>
        </w:rPr>
        <w:t>.</w:t>
      </w:r>
      <w:bookmarkStart w:id="282" w:name="pg11795_115449"/>
    </w:p>
    <w:p>
      <w:pPr>
        <w:pStyle w:val="Heading6"/>
        <w:numPr>
          <w:ilvl w:val="5"/>
          <w:numId w:val="1"/>
        </w:numPr>
        <w:rPr/>
      </w:pPr>
      <w:bookmarkStart w:id="283" w:name="__RefHeading___Toc10328831_73709187"/>
      <w:bookmarkStart w:id="284" w:name="_Toc108"/>
      <w:bookmarkEnd w:id="282"/>
      <w:bookmarkEnd w:id="283"/>
      <w:r>
        <w:rPr>
          <w:rtl w:val="true"/>
        </w:rPr>
        <w:t>حكم البدء بالأعلى فالأعلى‌</w:t>
      </w:r>
      <w:bookmarkEnd w:id="284"/>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البدأة بالأعلى في كلّ عضو، ولا الأعلى فالأعلى، على المشهور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الحلبي</w:t>
      </w:r>
      <w:r>
        <w:rPr>
          <w:rStyle w:val="FootnoteAnchor"/>
          <w:rtl w:val="true"/>
        </w:rPr>
        <w:footnoteReference w:id="5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بالصَّب على المنكب، في مصحّح زرارة، وبصحيحه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إلى قدميك</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ولا أقلّ من المحتمل إرادة تمام الجانب من المنكب، ولذا بعد الأمر بالصَّب على المنكب الأيمن؛ أمر عليه السلام بالصَّب على الأيسر، مع أنّ المنكب ليس هو أعلى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ظاهره إرادة غَسل تمام الجسد، فيكون الظرف قيداً للجسد لا للغسل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فالأقوى عدم الوجوب، ويؤيّده ما دلَّ على لزوم غسل خصوص الجزء المنسيّ‌</w:t>
      </w:r>
      <w:r>
        <w:rPr>
          <w:rFonts w:eastAsia="Amiri" w:cs="Amiri" w:ascii="Amiri" w:hAnsi="Amiri"/>
          <w:color w:val="111111"/>
          <w:sz w:val="28"/>
          <w:szCs w:val="28"/>
          <w:rtl w:val="true"/>
          <w:lang w:bidi="ar-SA"/>
        </w:rPr>
        <w:t>.</w:t>
      </w:r>
      <w:bookmarkStart w:id="285" w:name="pg11795_115450"/>
    </w:p>
    <w:p>
      <w:pPr>
        <w:pStyle w:val="Heading6"/>
        <w:numPr>
          <w:ilvl w:val="5"/>
          <w:numId w:val="1"/>
        </w:numPr>
        <w:rPr/>
      </w:pPr>
      <w:bookmarkStart w:id="286" w:name="__RefHeading___Toc10328833_73709187"/>
      <w:bookmarkStart w:id="287" w:name="_Toc109"/>
      <w:bookmarkEnd w:id="285"/>
      <w:bookmarkEnd w:id="286"/>
      <w:r>
        <w:rPr>
          <w:rtl w:val="true"/>
        </w:rPr>
        <w:t>عدم اعتبار طهارة الأعضاء</w:t>
      </w:r>
      <w:bookmarkEnd w:id="287"/>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اعتبار أنْ يكون كلّ عضوٍ طاهراً حين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الحلبي</w:t>
      </w:r>
      <w:r>
        <w:rPr>
          <w:rStyle w:val="FootnoteAnchor"/>
          <w:rtl w:val="true"/>
        </w:rPr>
        <w:footnoteReference w:id="544"/>
      </w:r>
      <w:r>
        <w:rPr>
          <w:rFonts w:ascii="Amiri" w:hAnsi="Amiri" w:eastAsia="Amiri" w:cs="Amiri"/>
          <w:color w:val="111111"/>
          <w:sz w:val="28"/>
          <w:sz w:val="28"/>
          <w:szCs w:val="28"/>
          <w:rtl w:val="true"/>
          <w:lang w:bidi="ar-SA"/>
        </w:rPr>
        <w:t>وابني حمزة</w:t>
      </w:r>
      <w:r>
        <w:rPr>
          <w:rStyle w:val="FootnoteAnchor"/>
          <w:rtl w:val="true"/>
        </w:rPr>
        <w:footnoteReference w:id="545"/>
      </w:r>
      <w:r>
        <w:rPr>
          <w:rFonts w:ascii="Amiri" w:hAnsi="Amiri" w:eastAsia="Amiri" w:cs="Amiri"/>
          <w:color w:val="111111"/>
          <w:sz w:val="28"/>
          <w:sz w:val="28"/>
          <w:szCs w:val="28"/>
          <w:rtl w:val="true"/>
          <w:lang w:bidi="ar-SA"/>
        </w:rPr>
        <w:t>وزُهرة</w:t>
      </w:r>
      <w:r>
        <w:rPr>
          <w:rStyle w:val="FootnoteAnchor"/>
          <w:rtl w:val="true"/>
        </w:rPr>
        <w:footnoteReference w:id="546"/>
      </w:r>
      <w:r>
        <w:rPr>
          <w:rFonts w:ascii="Amiri" w:hAnsi="Amiri" w:eastAsia="Amiri" w:cs="Amiri"/>
          <w:color w:val="111111"/>
          <w:sz w:val="28"/>
          <w:sz w:val="28"/>
          <w:szCs w:val="28"/>
          <w:rtl w:val="true"/>
          <w:lang w:bidi="ar-SA"/>
        </w:rPr>
        <w:t>وسلّار</w:t>
      </w:r>
      <w:r>
        <w:rPr>
          <w:rStyle w:val="FootnoteAnchor"/>
          <w:rtl w:val="true"/>
        </w:rPr>
        <w:footnoteReference w:id="5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طهارة جميع الأعضاء قبل الشروع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الغُسل في الكثير وبين غيره، والحكم بعدم الاعتبار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الأوّل</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كلّ واحدٍ من الحَدَث والخَبَث سببٌ لوجوب غَسل البدن، فإذا تحقّق السببان، وجب أن يتعدّد حكمهما، لأنّ التداخل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ماء الغُسل لابدَّ وأنْ يقع على محلّ طاهر، وإلّا لأجزأ الغسل مع بقاء عين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وبانفعال الماء بمجرّد الملاقاة، وماء الطهارة يشترط أنْ يكون ظاهراً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وبالنصوص الآمرة بغَسل الفَرج واليدين قبل الغُسل، كصحيح حكم بن </w:t>
      </w:r>
    </w:p>
    <w:p>
      <w:pPr>
        <w:pStyle w:val="BookText"/>
        <w:rPr/>
      </w:pPr>
      <w:r>
        <w:rPr>
          <w:rFonts w:ascii="Amiri" w:hAnsi="Amiri" w:eastAsia="Amiri" w:cs="Amiri"/>
          <w:color w:val="111111"/>
          <w:sz w:val="28"/>
          <w:sz w:val="28"/>
          <w:szCs w:val="28"/>
          <w:rtl w:val="true"/>
          <w:lang w:bidi="ar-SA"/>
        </w:rPr>
        <w:t>حكيم،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اغسل ما أصاب جَسَدك من أذى، ثمّ اغسل فَرجك، وأفِضْ على رأسك وجسدك فاغتسل</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ظاهرها وإنْ كان اعتبار طهارة جميع الأعضاء قبل الغُسل، إلّاأنّ شدَّة المناسبة بين تطهير الموضع النجس مقدّمةً لغَسل نفس ذلك العضو، وبعد مدخليّة تطهيره في صحّة غَسل سائر الأجزاء، توجب ظهورها في إرادة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ما ورد في صحيح حكم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في مكانٍ نظيفٍ فلا يضرّك أن لا تغسل رجليك، وإنْ كنتَ في مكانٍ ليس بنظيفٍ فاغسل رجليك</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صريحٌ في عدم اعتبار طهارة الرِّجل حال غَسل 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مدرك القول الثاني،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أصالة عدم التداخل، عدم الاجتزاء بغُسلٍ واحدٍ لرفع الحَدَث والخَبَث، لا اعتبار رفع الخَبث في الغُسل، فلو نوى رفع الحَدَث بغُسله، فإنّ مقتضى إطلاق الأدلّة الاجتزاء به، وبما أنّ الأمر برفع الخَبَث يسقط بحصول الطهارة الخبثيّة ولو قهراً، فيسقط الأمر به لذلك، لا لتحقّق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النجاسة إذا لم تكن مانعة عن وصول الماء إلى البشرة، لا مانع من الالتزام بالصحّة حتّى مع بقائها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مدرك اعتبار طهارة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أنْ يكون هي النصوص التي أشرنا إليها في مبحث اعتبار الطهارة في ما يتوضّأ به</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أو تكون هي القاعدة المُجمع عليها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النجس 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فموردها النجاسة قبل الاستعمال، والتعدّي إلى النجاسة الحاصلة به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أنّها قاعدة مصطادة من النصوص، لا أنّها ممّا انعقد عليه الإجماع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المجمعين صرّحوا بأنّ المراد النجاسة قبل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الوجه لو تمّ‌، فإنّما يبتني على القول بتنجيس المتنجّس في صورة عدم وجود عين النجاسة، مضافاً إلى أنّه لا يشمل الكثير الذي لا 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مدرك القول الثالث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ما تضمّن الأمر بغَسل الفرج واليدين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الوجوب النفسي، ولذا حكم بصحّة الغُسل مع عدم الإزالة، مع حكمه في صدر كلامه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في أمثال المقام إرادة الوجوب الغيري لا النفسي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 نظائره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بعض الأعاظم</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على إرادة الاستحباب، لاشتمال تلك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على كثيرٍ من السُّنن والآداب، ولما عن الحلّي</w:t>
      </w:r>
      <w:r>
        <w:rPr>
          <w:rStyle w:val="FootnoteAnchor"/>
          <w:rtl w:val="true"/>
        </w:rPr>
        <w:footnoteReference w:id="555"/>
      </w:r>
      <w:r>
        <w:rPr>
          <w:rFonts w:ascii="Amiri" w:hAnsi="Amiri" w:eastAsia="Amiri" w:cs="Amiri"/>
          <w:color w:val="111111"/>
          <w:sz w:val="28"/>
          <w:sz w:val="28"/>
          <w:szCs w:val="28"/>
          <w:rtl w:val="true"/>
          <w:lang w:bidi="ar-SA"/>
        </w:rPr>
        <w:t xml:space="preserve">من عَدّ ذلك من الآداب والسُّنن بغير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أنّه من باب الأولى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اشتمالها على السُّنن والآداب التي ثبت عدم وجوبها بدليلٍ آخر، لا يصلح أنْ يكون صارفاً لظهور الأمر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الحِلّي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يكون مرادهما أنّ مِن الآداب طهارة جميع الأعضاء قبل الشروع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 دعوى كون الأمر بالغَسل إرشاديّاً إلى إيجاد الغُسل بنحوٍ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حمل الأمر الظاهر في المولويّة في نفسه على الإرشاد، يتوقّف على وجود القرينة المفقودة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دلالة هذه النصوص لهذا القول، ولكن الإنصاف أنّها لا تدلّ عليه، إذ في هذه النصوص أمروا عليهم السلام بغَسل الفرج وما أصابه الأذى قبل غَسل الرأس، ولا يصحّ أن يُحمل على إرادة الغُسل بعد غَسل الرأس قبل غَسل الجانب الأيمن، فيتعيّن حمل تلك النصوص على أحد المحامل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اعتبار طهارة كلّ عضوٍ حين غسله، وإنْ كانت رعايتها أولى وأحوط، وأولى منها طهارة جميع الأعضاء قبل الشروع في الغُسل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8" w:name="pg11795_115454"/>
    </w:p>
    <w:p>
      <w:pPr>
        <w:pStyle w:val="Heading6"/>
        <w:numPr>
          <w:ilvl w:val="5"/>
          <w:numId w:val="1"/>
        </w:numPr>
        <w:rPr/>
      </w:pPr>
      <w:bookmarkStart w:id="289" w:name="__RefHeading___Toc10328835_73709187"/>
      <w:bookmarkStart w:id="290" w:name="_Toc110"/>
      <w:bookmarkEnd w:id="288"/>
      <w:bookmarkEnd w:id="289"/>
      <w:r>
        <w:rPr>
          <w:rtl w:val="true"/>
        </w:rPr>
        <w:t>الغُسل تحت المطر والميزاب</w:t>
      </w:r>
      <w:bookmarkEnd w:id="290"/>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جواز الغُسل تحت المطر والميزاب ترتيباً، إنّما الكلام في جوازه ارتماساً، بمعنى إلحاق الجلوس تحت المطر والميزاب بالارتماس في سقوط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به في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استدلّ به للقول الثاني، الذي سيمرّ عليك، بضميمة إلغاء خصوصيّة المطر عرفاً، ولذا حُكي عن بعضهم إلحاق الصبّ بالإناء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ستعرف من عدم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إحراز المناط لا وجه لإلغاء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وجود الدليل على اعتبار الترتيب 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دليلٍ لفظي على اعتبار الترتيب، وانحصار المدرك بالإجماع، تتمّ هذه الدعوى، فإنّ المتيقّن منه غير المقام، فيرجع فيه إلى ما يقتضيه الأصل، وهو عدم الاعتبار بناءً على عدم كون المورد من قبيل الشكّ في المحصّل، أو أنّه يكون الشكّ في المحصّل الذي بيانه وظيفة الشارع مجرى للبراءة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عرفت في محلّه أنّه يدلّ على اعتبار الترتيب جملة من النصوص، </w:t>
      </w:r>
    </w:p>
    <w:p>
      <w:pPr>
        <w:pStyle w:val="BookText"/>
        <w:rPr/>
      </w:pPr>
      <w:r>
        <w:rPr>
          <w:rFonts w:ascii="Amiri" w:hAnsi="Amiri" w:eastAsia="Amiri" w:cs="Amiri"/>
          <w:color w:val="111111"/>
          <w:sz w:val="28"/>
          <w:sz w:val="28"/>
          <w:szCs w:val="28"/>
          <w:rtl w:val="true"/>
          <w:lang w:bidi="ar-SA"/>
        </w:rPr>
        <w:t>وبذلك يظهر ضعف الاستدلال لهذا القول بإطلاق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إلى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لتعيّن تقييده بما دلَّ على اعتبار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يَجنب، هل يجزيه مِنْ غُسل الجنابة أن يقوم في المطر حتّى يغسل رأسه وجَسَده، وهو يقدر على ما سوى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يغسله اغتساله بالماء أجزأه ذلك</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تصيبه الجنابة، ولا يقدر على الماء، فيصيبه المطر، أيجزيه ذلك أو عليه التيمّم‌؟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غَسله أجزأه وإلّا تيمّم</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محمّد بن أبي حمزة،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أصابته جنابة فقام في المطر حتّى سال على جسده، أيجزيه من الغُسل‌؟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المرسل ضعيفٌ‌، والصحيحين واردان في مقام بيان كفاية المطر عن الماء، ولذا ترى أنّه قيّد السائل سؤاله عنه بالقُدرة على ما سواه في أحدهما، وعدم القدرة عليه في الآخر، فلا إطلاق لهما من هذه الجهة كي يُتمسّك به لعدم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تقدير كونهما في مقام البيان من هذه الجهة أيضاً، لأظهريّة نصوص الترتيب، تقدّم تلك النصوص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سقوط الترتيب في المطر وما أشبهه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91" w:name="pg11795_115456"/>
    </w:p>
    <w:p>
      <w:pPr>
        <w:pStyle w:val="Heading6"/>
        <w:numPr>
          <w:ilvl w:val="5"/>
          <w:numId w:val="1"/>
        </w:numPr>
        <w:rPr/>
      </w:pPr>
      <w:bookmarkStart w:id="292" w:name="__RefHeading___Toc10328837_73709187"/>
      <w:bookmarkStart w:id="293" w:name="_Toc111"/>
      <w:bookmarkEnd w:id="291"/>
      <w:bookmarkEnd w:id="292"/>
      <w:r>
        <w:rPr>
          <w:rtl w:val="true"/>
        </w:rPr>
        <w:t>في جواز الغُسل بالغسالة وعدمه</w:t>
      </w:r>
      <w:bookmarkEnd w:id="293"/>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المستعمل في رفع الحَدَث الأكبر، لا يجوز رفع الحَدَث به إذا كان الماء أقلّ من الكرّ، هل يجوز الاغتسال فيه بالارتماس مع طهارة البدن أم لا؟</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الاغتسال منه بعد ذلك أيضاً أم لا؟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العمده في وجه المنع خبر ابن سنان الوارد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الذي يُغسل به الثوب أو يغتسل به الرَّجل من الجنابة، لا يجوز أن يتوضّأ منه وأشباهه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يختصُّ بالاغتسال بالصَّب على المحلّ‌، ولا يشمل ما لو كان بالارتماس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لعدم التزام الأصحاب بذلك، يتعيّن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الاستعانة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الارتماس بما أنّه تدريجي الحصول، فبعد غُسل جزءٍ من البدن، يصدق عليه هذا العنوان، فلا يجوز غَسل العضو الثاني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بما أنّهم يرون هذا الغُسل شيئاً يحصل مرّةً واحدة، ولا يلاحظون كلّ جزءٍ منه عملاً مستقلّاً، فلا يصدق هذا العنوان إلّابعد تماميّة الغُسل، فهذا الغُسل جائزٌ بمقتضى إطلاق الأدلّة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الثاني</w:t>
      </w:r>
      <w:r>
        <w:rPr>
          <w:rFonts w:eastAsia="Amiri" w:cs="Amiri" w:ascii="Amiri" w:hAnsi="Amiri"/>
          <w:color w:val="111111"/>
          <w:sz w:val="28"/>
          <w:szCs w:val="28"/>
          <w:rtl w:val="true"/>
          <w:lang w:bidi="ar-SA"/>
        </w:rPr>
        <w:t>.</w:t>
      </w:r>
      <w:bookmarkStart w:id="294" w:name="pg11795_115457"/>
    </w:p>
    <w:p>
      <w:pPr>
        <w:pStyle w:val="Heading6"/>
        <w:numPr>
          <w:ilvl w:val="5"/>
          <w:numId w:val="1"/>
        </w:numPr>
        <w:rPr/>
      </w:pPr>
      <w:bookmarkStart w:id="295" w:name="__RefHeading___Toc10328839_73709187"/>
      <w:bookmarkStart w:id="296" w:name="_Toc112"/>
      <w:bookmarkEnd w:id="294"/>
      <w:bookmarkEnd w:id="295"/>
      <w:r>
        <w:rPr>
          <w:rtl w:val="true"/>
        </w:rPr>
        <w:t>الشكّ في الغسل</w:t>
      </w:r>
      <w:bookmarkEnd w:id="296"/>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شيء من أفعال الغُسل، وهو في أثنائه، كما لو شكّ في غَسل الرأس وهو يغسل جانبه الأيمن، فهل يأتي به وبما بعده كما عن جماعةٍ ممّن تأخّر عن المحقّق كالعلّامة</w:t>
      </w:r>
      <w:r>
        <w:rPr>
          <w:rStyle w:val="FootnoteAnchor"/>
          <w:rtl w:val="true"/>
        </w:rPr>
        <w:footnoteReference w:id="563"/>
      </w:r>
      <w:r>
        <w:rPr>
          <w:rFonts w:ascii="IRNazanin" w:hAnsi="IRNazanin" w:eastAsia="IRNazanin"/>
          <w:color w:val="111111"/>
          <w:sz w:val="28"/>
          <w:sz w:val="28"/>
          <w:szCs w:val="28"/>
          <w:rtl w:val="true"/>
          <w:lang w:bidi="fa-IR"/>
        </w:rPr>
        <w:t>وولده</w:t>
      </w:r>
      <w:r>
        <w:rPr>
          <w:rStyle w:val="FootnoteAnchor"/>
          <w:rtl w:val="true"/>
        </w:rPr>
        <w:footnoteReference w:id="564"/>
      </w:r>
      <w:r>
        <w:rPr>
          <w:rFonts w:ascii="Amiri" w:hAnsi="Amiri" w:eastAsia="Amiri" w:cs="Amiri"/>
          <w:color w:val="111111"/>
          <w:sz w:val="28"/>
          <w:sz w:val="28"/>
          <w:szCs w:val="28"/>
          <w:rtl w:val="true"/>
          <w:lang w:bidi="ar-SA"/>
        </w:rPr>
        <w:t>والشهيدين</w:t>
      </w:r>
      <w:r>
        <w:rPr>
          <w:rStyle w:val="FootnoteAnchor"/>
          <w:rtl w:val="true"/>
        </w:rPr>
        <w:footnoteReference w:id="565"/>
      </w:r>
      <w:r>
        <w:rPr>
          <w:rFonts w:ascii="Amiri" w:hAnsi="Amiri" w:eastAsia="Amiri" w:cs="Amiri"/>
          <w:color w:val="111111"/>
          <w:sz w:val="28"/>
          <w:sz w:val="28"/>
          <w:szCs w:val="28"/>
          <w:rtl w:val="true"/>
          <w:lang w:bidi="ar-SA"/>
        </w:rPr>
        <w:t>والمحقّق الثاني</w:t>
      </w:r>
      <w:r>
        <w:rPr>
          <w:rStyle w:val="FootnoteAnchor"/>
          <w:rtl w:val="true"/>
        </w:rPr>
        <w:footnoteReference w:id="566"/>
      </w:r>
      <w:r>
        <w:rPr>
          <w:rFonts w:ascii="Amiri" w:hAnsi="Amiri" w:eastAsia="Amiri" w:cs="Amiri"/>
          <w:color w:val="111111"/>
          <w:sz w:val="28"/>
          <w:sz w:val="28"/>
          <w:szCs w:val="28"/>
          <w:rtl w:val="true"/>
          <w:lang w:bidi="ar-SA"/>
        </w:rPr>
        <w:t>وغيرهم</w:t>
      </w:r>
      <w:r>
        <w:rPr>
          <w:rStyle w:val="FootnoteAnchor"/>
          <w:rtl w:val="true"/>
        </w:rPr>
        <w:footnoteReference w:id="567"/>
      </w:r>
      <w:r>
        <w:rPr>
          <w:rFonts w:ascii="Amiri" w:hAnsi="Amiri" w:eastAsia="Amiri" w:cs="Amiri"/>
          <w:color w:val="111111"/>
          <w:sz w:val="28"/>
          <w:sz w:val="28"/>
          <w:szCs w:val="28"/>
          <w:rtl w:val="true"/>
          <w:lang w:bidi="ar-SA"/>
        </w:rPr>
        <w:t>، ونَسَب الشيخ الأعظم</w:t>
      </w:r>
      <w:r>
        <w:rPr>
          <w:rStyle w:val="FootnoteAnchor"/>
          <w:rtl w:val="true"/>
        </w:rPr>
        <w:footnoteReference w:id="568"/>
      </w:r>
      <w:r>
        <w:rPr>
          <w:rFonts w:ascii="Amiri" w:hAnsi="Amiri" w:eastAsia="Amiri" w:cs="Amiri"/>
          <w:color w:val="111111"/>
          <w:sz w:val="28"/>
          <w:sz w:val="28"/>
          <w:szCs w:val="28"/>
          <w:rtl w:val="true"/>
          <w:lang w:bidi="ar-SA"/>
        </w:rPr>
        <w:t>هذا القول إلى المشهور، بل عن بعضهم التصريح بذلك على وجه يظهر منه كونه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يبني على الإتيان به‌؟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ابن أبي يعفور، عن الإمام الصادق عليه السلام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في شيءٍ من الوضوء، وقد دخلت في غيره، فليس شكّك بشيء، 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وإنْ كان رجوع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 لا إلى الوضوء كما تقدّم في مبحث الوضوء،</w:t>
      </w:r>
      <w:r>
        <w:rPr>
          <w:rStyle w:val="FootnoteAnchor"/>
          <w:rtl w:val="true"/>
        </w:rPr>
        <w:footnoteReference w:id="570"/>
      </w:r>
      <w:r>
        <w:rPr>
          <w:rFonts w:ascii="Amiri" w:hAnsi="Amiri" w:eastAsia="Amiri" w:cs="Amiri"/>
          <w:color w:val="111111"/>
          <w:sz w:val="28"/>
          <w:sz w:val="28"/>
          <w:szCs w:val="28"/>
          <w:rtl w:val="true"/>
          <w:lang w:bidi="ar-SA"/>
        </w:rPr>
        <w:t>إلّاأنّه للإجماع على عدم جريان قاعدة التجاوز في الوضوء، يتعيّن حمله على خلاف ظاهره، بإرجاع الضمير إلى الوضوء، وحينئذٍ يستكشف من تطبيق الكبرى المذكورة في ذيله أنّه اعتبر الشارع الوضوء شيئاً واحداً من جهة انطباق عنوان واحد، أو ترتّب أثرٍ واحدٍ عليه، وهي الطهارة على اختلاف المسلكين، فلا يلاحظ كلّ فعلٍ منه بحياله حتّى يجري في أجزائه حكم الشكّ بعد تجاوز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فالشكّ في أجزائه قبل الفراغ، ليس إلّاشكّاً واقعاً في الشيء قبل التجاوز، وحيثُ أنّ هذا المناط موجودٌ في الغُسل فلا تجري فيه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الخراساني رحمه الله</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عدم جريان قاعدة التجاوز في شيءٍ من العبادات، حتّى الصّلاة، لترتّب أثرٍ واحدٍ على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واضح بين المسبّبات التوليديّة وما شابهها كالطهارة على المختار الّتي يكون مأموراً بها، وهي التي تعلّق التكليف بها دون محصّلها أو ما تنطبق عليه، وبين غيرها ممّا لا تكون كذلك، كسائر العبادات التي تعلّق التكليف فيها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الموثّق على فرض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طرحه للإعراض، مع أنّها محلّ منعٍ كما عرفت في مبحث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دليلاً على إلحاق الغُسل به، لأنّ كون ما ذكر علّة لا من قبيل حكمة التشريع التي لا يتعدّى عنها غير معلوم، فلا وجه للتعدّي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المحقّق النائيني رحمه الله</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القول، بأنّ قاعدة التجاوز في الأجزاء والشرائط لا تجري في غير باب الصّلاة، لعدم الدليل عليها، فعدم جريانها في الغُسل إنّما يكون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w:t>
      </w:r>
      <w:r>
        <w:rPr>
          <w:rStyle w:val="FootnoteAnchor"/>
          <w:rtl w:val="true"/>
        </w:rPr>
        <w:footnoteReference w:id="573"/>
      </w:r>
      <w:r>
        <w:rPr>
          <w:rFonts w:ascii="Amiri" w:hAnsi="Amiri" w:eastAsia="Amiri" w:cs="Amiri"/>
          <w:color w:val="111111"/>
          <w:sz w:val="28"/>
          <w:sz w:val="28"/>
          <w:szCs w:val="28"/>
          <w:rtl w:val="true"/>
          <w:lang w:bidi="ar-SA"/>
        </w:rPr>
        <w:t>، وسيأتي في الأجزاء القادمة من كتابنا هذا، من أنّه سواءٌ أكانت قاعدة التجاوز متّحدة مع قاعدة الفراغ، أم كانت غيرها، فهي تجري في جميع الأبواب، ولا تختصّ بباب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الالتفات بالشكّ المذكور، وأنّه يبني على الصحّة، ولو شكّ في شيءٍ من أفعاله بعد الفراغ منه، لم يلتفت، وبنى على الصحّة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عدم الاعتناء بالشكّ بعد الفراغ، وخصوص خبر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وطهورك فذكرته تذكّراً، فامضه ولا إعادة عليك فيه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 الشكّ في جزئه الأخير، حكم الشكّ في جزءٍ أخير من الوضوء، فراجع ما ذكرناه</w:t>
      </w:r>
      <w:r>
        <w:rPr>
          <w:rStyle w:val="FootnoteAnchor"/>
          <w:rtl w:val="true"/>
        </w:rPr>
        <w:footnoteReference w:id="575"/>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بما أنّ الغسل يكون كالوضوء في الشرائط، وفي الأحكام عدا ما أشرنا إليه، فلا وجه لتطويل الكلام بذكر تلك الاُمور والأحكام ثانياً، ومن أراد الوقوف عليها فليراجع إلى مبحث الوضوء</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97" w:name="pg11795_115460"/>
    </w:p>
    <w:p>
      <w:pPr>
        <w:pStyle w:val="BookText"/>
        <w:rPr/>
      </w:pPr>
      <w:bookmarkEnd w:id="297"/>
      <w:r>
        <w:rPr>
          <w:rFonts w:ascii="Amiri" w:hAnsi="Amiri" w:eastAsia="Amiri" w:cs="Amiri"/>
          <w:color w:val="111111"/>
          <w:sz w:val="28"/>
          <w:sz w:val="28"/>
          <w:szCs w:val="28"/>
          <w:rtl w:val="true"/>
          <w:lang w:bidi="ar-SA"/>
        </w:rPr>
        <w:t>ويُستحبُّ فيه الاستبراء بالبول،</w:t>
      </w:r>
    </w:p>
    <w:p>
      <w:pPr>
        <w:pStyle w:val="Heading5"/>
        <w:numPr>
          <w:ilvl w:val="4"/>
          <w:numId w:val="1"/>
        </w:numPr>
        <w:rPr/>
      </w:pPr>
      <w:bookmarkStart w:id="298" w:name="__RefHeading___Toc10328841_73709187"/>
      <w:bookmarkStart w:id="299" w:name="_Toc113"/>
      <w:bookmarkEnd w:id="298"/>
      <w:r>
        <w:rPr>
          <w:rtl w:val="true"/>
        </w:rPr>
        <w:t>مستحبّات غُسل الجنابة</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الاستبراء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الغُسل، كما هو المشهور بين المتأخّرين،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 وعن المصنّف</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أكثر علمائنا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غُسل الجنابة‌؟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يدك اليُمنى من المرفق إلى أصابعك، وتبول إن قدرتَ على البول، ثمّ تُدخل يدك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اغتسل قبل أنْ يبول‌؟ 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الغسل بعد البول إلّاأنْ يكون ناسياً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وظاهرهما وإنْ كان الوجوب الغيري، ولكن لأجل ما ادّعاه في محكي </w:t>
      </w:r>
    </w:p>
    <w:p>
      <w:pPr>
        <w:pStyle w:val="BookText"/>
        <w:rPr/>
      </w:pPr>
      <w:r>
        <w:rPr>
          <w:rFonts w:ascii="IRNazanin" w:hAnsi="IRNazanin" w:eastAsia="IRNazanin"/>
          <w:color w:val="111111"/>
          <w:sz w:val="28"/>
          <w:sz w:val="28"/>
          <w:szCs w:val="28"/>
          <w:rtl w:val="true"/>
          <w:lang w:bidi="fa-IR"/>
        </w:rPr>
        <w:t>أو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اتّفقوا على أنّه لو أخلَّ به حتّى وجد بَلَلاً بعد الغُسل، فإنْ علم أنّه منيّ أو اشتبه عليه، وجب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وإنْ علم أنّه غير منيّ فلا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والنصوص الدالّة على الصحّة بدون الاستبراء، وخلوّ كثيرٍ من الأغسال البيانيّة عنه يتعيّن حملهما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جمعٍ من متقدِّمي الأصحاب،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وابنا حمزة</w:t>
      </w:r>
      <w:r>
        <w:rPr>
          <w:rStyle w:val="FootnoteAnchor"/>
          <w:rtl w:val="true"/>
        </w:rPr>
        <w:footnoteReference w:id="584"/>
      </w:r>
      <w:r>
        <w:rPr>
          <w:rFonts w:ascii="Amiri" w:hAnsi="Amiri" w:eastAsia="Amiri" w:cs="Amiri"/>
          <w:color w:val="111111"/>
          <w:sz w:val="28"/>
          <w:sz w:val="28"/>
          <w:szCs w:val="28"/>
          <w:rtl w:val="true"/>
          <w:lang w:bidi="ar-SA"/>
        </w:rPr>
        <w:t>وزُهرة</w:t>
      </w:r>
      <w:r>
        <w:rPr>
          <w:rStyle w:val="FootnoteAnchor"/>
          <w:rtl w:val="true"/>
        </w:rPr>
        <w:footnoteReference w:id="585"/>
      </w:r>
      <w:r>
        <w:rPr>
          <w:rFonts w:ascii="Amiri" w:hAnsi="Amiri" w:eastAsia="Amiri" w:cs="Amiri"/>
          <w:color w:val="111111"/>
          <w:sz w:val="28"/>
          <w:sz w:val="28"/>
          <w:szCs w:val="28"/>
          <w:rtl w:val="true"/>
          <w:lang w:bidi="ar-SA"/>
        </w:rPr>
        <w:t>، والكيدري</w:t>
      </w:r>
      <w:r>
        <w:rPr>
          <w:rStyle w:val="FootnoteAnchor"/>
          <w:rtl w:val="true"/>
        </w:rPr>
        <w:footnoteReference w:id="586"/>
      </w:r>
      <w:r>
        <w:rPr>
          <w:rFonts w:ascii="IRNazanin" w:hAnsi="IRNazanin" w:eastAsia="IRNazanin"/>
          <w:color w:val="111111"/>
          <w:sz w:val="28"/>
          <w:sz w:val="28"/>
          <w:szCs w:val="28"/>
          <w:rtl w:val="true"/>
          <w:lang w:bidi="fa-IR"/>
        </w:rPr>
        <w:t>، وابن البرّاج</w:t>
      </w:r>
      <w:r>
        <w:rPr>
          <w:rStyle w:val="FootnoteAnchor"/>
          <w:rtl w:val="true"/>
        </w:rPr>
        <w:footnoteReference w:id="587"/>
      </w:r>
      <w:r>
        <w:rPr>
          <w:rFonts w:ascii="IRNazanin" w:hAnsi="IRNazanin" w:eastAsia="IRNazanin"/>
          <w:color w:val="111111"/>
          <w:sz w:val="28"/>
          <w:sz w:val="28"/>
          <w:szCs w:val="28"/>
          <w:rtl w:val="true"/>
          <w:lang w:bidi="fa-IR"/>
        </w:rPr>
        <w:t>، وأبو الصلاح</w:t>
      </w:r>
      <w:r>
        <w:rPr>
          <w:rStyle w:val="FootnoteAnchor"/>
          <w:rtl w:val="true"/>
        </w:rPr>
        <w:footnoteReference w:id="588"/>
      </w:r>
      <w:r>
        <w:rPr>
          <w:rFonts w:ascii="IRNazanin" w:hAnsi="IRNazanin" w:eastAsia="IRNazanin"/>
          <w:color w:val="111111"/>
          <w:sz w:val="28"/>
          <w:sz w:val="28"/>
          <w:szCs w:val="28"/>
          <w:rtl w:val="true"/>
          <w:lang w:bidi="fa-IR"/>
        </w:rPr>
        <w:t xml:space="preserve">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من القول بالوجوب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ضعيفٌ‌، إذ لا مدرك له سوى الأمر به في الخبرين المتقدّمين، وقد عرفت تعيّن حمله على الاستحباب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بعد الحكم باستحبابه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بالخَرَطات، 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بين مقتصرٍ عليه،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xml:space="preserve">، وذاكرٍ له مع الاستبراء بالبول، كما عن ابن فهد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وفي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ومقيّدٍ لاستحبابه بما إذا لم يتيسّر الأوّل،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ومخيّر بينهما كما في المتن، وليس عليه دليلٌ ظاهرٌ كما صرّح به جماعة، واحتمل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أنْ يكون مدركه التخلّص من شُبهة خلاف الجُعفي، على ما نقل عنه من وجوبهما معاً،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استحباب الاستبراء بالبول من المنيّ‌، فلا يستحبّ لمن أجنب بالإيلاج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النصوص، وثبوت الفائدة، لاحتمال أن يُنزل ولم يطّلع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لا إطلاق له لما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اغسل ما أصابك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وخبر ابن هلال لا يكون وارداً في مقام بيان ذلك، كي يتمسّك بإطلاقه، مع أنّه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ما نُسب إلى المشهور من عدم استحبابه بعد الإيلاج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يُفرغ الرّجل على يده قبل أنْ يُدخلها الإناء؟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البول، واثنان من حَدَث الغائط، وثلاث من الجنابة</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وإنْ كان الوجوب إلّاأنّها تُحمَل على الاستحباب للإجماع، وصحيح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أصاب كفَّه شيء غَمَسها في الماء</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الجمع بين نصوص الباب، يقتضي الالتزام باختلاف مراتب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فالأفضلِ الغَسل إلى المرفقين لصحيح ابن يقطين،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فيَغسل يديه إلى المرفقين</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ودونه في الفضل الغَسل إلى نصف الذراع، لخبر يونس المتضمّن لغُسل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يَغسل يده ثلاث مرّات، كما يغسل الإنسان من الجنابة إلى نصف الذراع</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ولعلّه المراد من موثّق سماعة الذي رواه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أصاب الرجل جنابةً‌، وأراد الغُسل، فليفرغ على كفّيه فليغسلهما دون المرفق</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ودونه في الفضل غَسل اليدين إلى الزندين، لصحيح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بكفّيك فتغسلهما</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النصوص استحباب الغَسل حتّى مع العلم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لولا مخافة الخروج عن كلام الأصحاب، لأمكن دعوى كون الأمر بغَسل الكفّين من جهة احتمال النجاسة، وأمّا الغَسل من المرفق فهو مستحبٌّ من حيث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مضافاً إلى أنّه لم يظهر وجه للفرق، أنّه لو كان الأمر بغَسل الكفّين لاحتمال النجاسة، لما كان وجهٌ لاستحباب الغَسل ثلاثاً كما لا يخفى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والمَضْمَضة والإستنشاق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المَضْمَضة والإستنشاق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المشهور، بل عن جماعةٍ‌</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بغَسل كفّيك، ثمّ تفرغ بيمينك على شمالك وتغسل فرجك، ثمّ تُمضمض وتستنشق، ثمّ تغسل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المحمولة على الاستحباب، بقرينة ما هو صريح في عدم الوجوب، كمرسل الواسطي، عن بعض أصحابه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يتمضمض ويستنشق‌؟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يجنب الظاهر</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المنجبر ضعف تلك النصوص بعمل الأصحاب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والغُسل بصاع فما زاد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بصاعٍ‌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إجماعاً محصّلاً ومنقولاً،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الفضلاء المرويّ عن الإمامين الباقر والصادق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تَوضّأ رسول اللّه صلى الله عليه و آله بمُدٍّ واغتسل بصاع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انفرد بالغُسل وحده فلابدَّ له من صاع</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المحمولة على الاستحباب، للإجماع، ولما دلَّ على كفاية مجرّد جريان الماء على البدن وإمساسه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ثمّ‌إنّفي المتن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1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يستحبّ‌الغُسل بالصّاع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الأخير دعوى الإجماع عليه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618"/>
      </w:r>
      <w:r>
        <w:rPr>
          <w:rFonts w:ascii="Amiri" w:hAnsi="Amiri" w:eastAsia="Amiri" w:cs="Amiri"/>
          <w:color w:val="111111"/>
          <w:sz w:val="28"/>
          <w:sz w:val="28"/>
          <w:szCs w:val="28"/>
          <w:rtl w:val="true"/>
          <w:lang w:bidi="ar-SA"/>
        </w:rPr>
        <w:t>أنّ الصّاع منتهى الغاية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بمُدٍّ والغُسل بصاع، وسيأتي أقوام يستقلّون ذلك، اُولئك على خلاف سُنّتي، والثابت على سُنّتي معي في حظيرة القدس</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المستقلّ له على خلاف سنّته صلى الله عليه و آله، وأمّا من استعمل الزيادة غير أن يقصد الاستقلال في ذلك، فلا يكون مشمولاً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تخليل ما يصل إليه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استظهاراً للخبر الذي رواه علي بن جعفر، عن أخيه عليه السلام في الإغتسال بالمطر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يغسله اغتساله بالماء أجزأه، إلّاأنّه ينبغي له أن يتمضمض ويستنشق ويمرّ يده على ما نالت من جسده</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عمّار الوارد في غُسل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 يدها على جسدها كلّه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وإنْ دلّا على استحباب إمرار اليد، إلّاأنّه لمعلوميّة المناط، يحكم باستحباب التخليل، ولو بغير إمرار اليد، كما لايخفى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بالمأثور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موثّق عمّار،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من الجنابة،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قلبي، وتقبَّل سعيي، واجعل ما عندك خيراً لي، اللّهُمَّ اجعلني من التوّابين، واجعلني من المتطهِّرين</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محمّد بن مروان،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قلبي، وتقبَّل سعيي، واجعل ما عندك خيراً لي</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00" w:name="pg11795_115469"/>
    </w:p>
    <w:p>
      <w:pPr>
        <w:pStyle w:val="BookText"/>
        <w:rPr/>
      </w:pPr>
      <w:bookmarkEnd w:id="300"/>
      <w:r>
        <w:rPr>
          <w:rFonts w:ascii="Amiri" w:hAnsi="Amiri" w:eastAsia="Amiri" w:cs="Amiri"/>
          <w:color w:val="111111"/>
          <w:sz w:val="28"/>
          <w:sz w:val="28"/>
          <w:szCs w:val="28"/>
          <w:rtl w:val="true"/>
          <w:lang w:bidi="ar-SA"/>
        </w:rPr>
        <w:t>ويحرم عليه قبل الغُسل قراءة العزائم</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0328843_73709187"/>
      <w:bookmarkStart w:id="302" w:name="_Toc114"/>
      <w:bookmarkEnd w:id="301"/>
      <w:r>
        <w:rPr>
          <w:rtl w:val="true"/>
        </w:rPr>
        <w:t>الأفعال الممنوعة على المُجنب</w:t>
      </w:r>
      <w:bookmarkEnd w:id="302"/>
    </w:p>
    <w:p>
      <w:pPr>
        <w:pStyle w:val="Heading6"/>
        <w:numPr>
          <w:ilvl w:val="5"/>
          <w:numId w:val="1"/>
        </w:numPr>
        <w:rPr/>
      </w:pPr>
      <w:bookmarkStart w:id="303" w:name="__RefHeading___Toc10328845_73709187"/>
      <w:bookmarkStart w:id="304" w:name="_Toc115"/>
      <w:bookmarkEnd w:id="303"/>
      <w:r>
        <w:rPr>
          <w:rtl w:val="true"/>
        </w:rPr>
        <w:t>قراءة سور العزائم</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اقرأ، والنجم، وألم تنزيل، وحم السَّجدة كما هو المشهور</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صريحاً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عليه من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 المصنّف من عبارته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تحريم العزائم فبإجماع أهل البيت، هو ذلك أيضاً، إذ لو كان مراده خصوص آية السجدة لم يكن التعبير بحرمة السورة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للحرمة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6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للجُنُب والحائض أن يقرءا ما شاءا من القرآن إلّا </w:t>
      </w:r>
    </w:p>
    <w:p>
      <w:pPr>
        <w:pStyle w:val="BookText"/>
        <w:rPr/>
      </w:pPr>
      <w:r>
        <w:rPr>
          <w:rFonts w:ascii="Amiri" w:hAnsi="Amiri" w:eastAsia="Amiri" w:cs="Amiri"/>
          <w:color w:val="111111"/>
          <w:sz w:val="28"/>
          <w:sz w:val="28"/>
          <w:szCs w:val="28"/>
          <w:rtl w:val="true"/>
          <w:lang w:bidi="ar-SA"/>
        </w:rPr>
        <w:t>سور العزائم الأربع،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والنَّجم، وتنزيل السجدة، وحم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ذلك البزنطي في جامعه عن المثنّى‌، عن الحَسَن الصيقل، عن أبي عبد اللّه عليه السلام</w:t>
      </w:r>
      <w:r>
        <w:rPr>
          <w:rStyle w:val="FootnoteAnchor"/>
          <w:rtl w:val="true"/>
        </w:rPr>
        <w:footnoteReference w:id="630"/>
      </w:r>
      <w:r>
        <w:rPr>
          <w:rFonts w:ascii="IRNazanin" w:hAnsi="IRNazanin" w:eastAsia="IRNazanin"/>
          <w:color w:val="111111"/>
          <w:sz w:val="28"/>
          <w:sz w:val="28"/>
          <w:szCs w:val="28"/>
          <w:rtl w:val="true"/>
          <w:lang w:bidi="fa-IR"/>
        </w:rPr>
        <w:t>، وهو مذهب فقهائنا أجمع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الطريق المثنّى والحَسَن بن زياد، وهما غير 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البزنطي الذي هو من أصحاب الإجماع، وممّن قيل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يروي إلّاعن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الإيراد عليه بأنّه يمكن أنْ يكون ما ذكره فتوى بمضمون الخبر لا عينه، فاسدٌ، لأنّه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 وبين الخبر الصحيح الذي رواه زرارة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هل يقرءان من القرآن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إلّا السّجدة</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حسن ابن مسلم</w:t>
      </w:r>
      <w:r>
        <w:rPr>
          <w:rStyle w:val="FootnoteAnchor"/>
          <w:rtl w:val="true"/>
        </w:rPr>
        <w:footnoteReference w:id="632"/>
      </w:r>
      <w:r>
        <w:rPr>
          <w:rFonts w:ascii="Amiri" w:hAnsi="Amiri" w:eastAsia="Amiri" w:cs="Amiri"/>
          <w:color w:val="111111"/>
          <w:sz w:val="28"/>
          <w:sz w:val="28"/>
          <w:szCs w:val="28"/>
          <w:rtl w:val="true"/>
          <w:lang w:bidi="ar-SA"/>
        </w:rPr>
        <w:t>، بعد فرض تسليم كون السجدة مجملة، مع أنّ للمنع عنه مجالاً واسعاً، إذ الظاهر من السجدة فيهما سورة السجدة، لاشتهار التعبير عن السور بمثل هذه الألفاظ كالبقرة ونحوها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واستعمالها في آية السجدة في نصوص أبي بصير وعبد الرحمن وابن جعفر وغيرها مع القرينة، لا يوجب ظهورها فيها ولا إجمالها، بل يقتضي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على السورة، وحمل المنع في خبر البزنطي على المنع من مجموع السورة بلحاظ</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آية السجدة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الظاهر، لما عرفت من أنّ التعبير عن الآية بالسورة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أظهر، فلا أقلّ من مساواته للأوّل،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آية السجدة لا غير، غير سديد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حرمة قراءة بعض واحدة منها، حتّى البسملة التي عيّنت في الجزئيّة لها بكتابتها جزء من السورة، وقصد الآتي بها قراءة خصوص البسملة أو نوى بها إحداها</w:t>
      </w:r>
      <w:r>
        <w:rPr>
          <w:rFonts w:eastAsia="Amiri" w:cs="Amiri" w:ascii="Amiri" w:hAnsi="Amiri"/>
          <w:color w:val="111111"/>
          <w:sz w:val="28"/>
          <w:szCs w:val="28"/>
          <w:rtl w:val="true"/>
          <w:lang w:bidi="ar-SA"/>
        </w:rPr>
        <w:t>.</w:t>
      </w:r>
      <w:bookmarkStart w:id="305" w:name="pg11795_115472"/>
    </w:p>
    <w:p>
      <w:pPr>
        <w:pStyle w:val="BookText"/>
        <w:rPr/>
      </w:pPr>
      <w:bookmarkEnd w:id="305"/>
      <w:r>
        <w:rPr>
          <w:rFonts w:ascii="Amiri" w:hAnsi="Amiri" w:eastAsia="Amiri" w:cs="Amiri"/>
          <w:color w:val="111111"/>
          <w:sz w:val="28"/>
          <w:sz w:val="28"/>
          <w:szCs w:val="28"/>
          <w:rtl w:val="true"/>
          <w:lang w:bidi="ar-SA"/>
        </w:rPr>
        <w:t>ومسّ كتابة القرآن</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10328847_73709187"/>
      <w:bookmarkStart w:id="307" w:name="_Toc116"/>
      <w:bookmarkEnd w:id="306"/>
      <w:r>
        <w:rPr>
          <w:rtl w:val="true"/>
        </w:rPr>
        <w:t>حُرمة مسّ المصحف</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ممّا يَحرم على الجُنُب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 كتابة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إجماع علماء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بن عبد الحميد،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لا تمسّه على غير طُهر ولا جُنُباً، و لا تمسّ خيطه ولا تُعلّقه،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وعدم حرمة بعض ما ذُكر في الخبر للجنب وغير المتطهّر لا يصلح قرينةً لصرف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 وحمله على الكراهة، والتعليل فيه بالآية الشريفة إنّما يكون من جهة دلالتها على تعظيم اللّه تعالى للقرآن، وعليه فكون المراد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اَلْمُطَهَّرُونَ‌ فيها هم الأئمّة عليهم السلام، لا ينافي 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دلَّ على حرمة المسّ للمُحْدِث بالأصغر وهو خبرا حَريز وأبي بصير المتقدّمان في فصل غايات الوضوء، يوجبان التعدّي عنه إلى المُحْدِث بالأكبر بالأولويّة القطعيّة، وقد تقدّم في الفصل المذكور الأبحاث المتعلّقة بالمقام، فلا نُعيد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شيءٍ عليه اسمه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عليه اسمه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مسّ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الجُنُب درهماً ولا ديناراً عليه اسم اللّه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يعارضه ما عن ابن محبوب، عن خالد بن جرير، عن أبي الربيع،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الجُنُب يمسّ الدراهم وفيها اسم اللّه واسم رسوله‌؟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ثبوت وثاقة خالد وأبي الربيع لا يقدح، بعد كون الراوي عنهما من أصحاب الإجماع، وممّن لا يروي إلّاعن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ومصحّح إسحاق،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الجُنُب والطامث يمسّان بأيديهما الدراهم البيض‌؟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أيضاً يدلّ على الجواز، لما تحقّق أنّ الدراهم المسكوكة في عصر الأئمّة عليهم السلام كان مكتوباً عليها بعض آيات القرآن الشريف والشهادتان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محمّد بن مسلم،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يَمسّ الرجل الدرهم البيض وهو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لاُوتي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أسماء أنبيائه، أو أحدِ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بالدرهم فآخذه وإنّي لجُنُب، وما سمعتُ أحداً يكره من ذلك شيئاً، إلّاأنّ عبد اللّه ابن محمّد كان يعيبهم عيباً شديداً،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السورة من القرآن في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 النصوص يقتضي حمل الموثّق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الجمع لو سُلّم كونه جمعاً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للمنع عنه مجالاً واسعاً، لظهور الخبر الأخير في عدم الكراهة، بخلاف حمل نصوص الجواز على الضرورة، أو على مسّ غير الكتابة من الدرهم فإنّهما جمعان تبرعيّان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 لإعراض المشهور كالشيخين ومن تأخّر عنهما عنها، بل من تقدّم عليهما، إذ بناءً على ما تحقّق من أنّ الدراهم المسكوكة في عصرهم عليهم السلام كان مكتوباً عليها بعض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خبر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النصوص تدلّ على جواز مسّ كتابة القرآن أيضاً، يتعيّن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ما يختصّ بالذات المقدّسة، لا كلّ ما يستعمل فيها، ولو كان مشتركاً بينها وبين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يمنع على المُجنب كما في المتن وعن غيره بعد الحكم بحرمة مسّ اسمه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أسماء أنبيائه أو أحد الأئمّة عليهم السلام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الأصحاب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لهم دليلٌ ظاهر كما صرّح به جماعة، وعلى فرض الحرمة لا إشكال بالنسبة إلى الأسماء المختصّة بهم عليهم السلام، وأمّا الأسماء المشتركة بينهم وبين غيرهم، فالظاهر أنّ المدار على قصد الكاتب، إذ في الألفاظ المشتركة صدق كون المكتوب إسماً للمعنى الخاص يتوقّف على قصد الكاتب، لأنّ به يتعيّن المكتوب في المرآتيّة والكاشفيّة عن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وضع اسمٍ لأحدهم عليهم السلام يكون الموضوع كسائر موارد الأوضاع طبيعي ذلك اللّفظ، لا ما يوجد بالاستعمال المتأخّر عنه رتبةً‌، كما هو واضح، فالطبيعي أينما وجد يصدق أنّه اسمٌ له عليه السلام، وكونه إسماً لغيره أيضاً بالاشتراك اللّفظي لا يمنع عن ذلك، فيُحرم المسّ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يستعمل في الذات المقدّسة، الذي لم يوضع لها، وإنّما وضع لمعنى عام تكون ذاته المقدّسة إحدى مصاديقه، فإنّ دلالته عليها كدلالته على سائر مصاديقه بالوضع، بل يستعمل في ذلك المعنى العام دائماً، وينضمّ إليه ما يوجب انطباقه على الفرد والمصداق، فهو ليس إسماً له تعالى‌، سواءٌ قصده اللّافظ بخصوصه أم لا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08" w:name="pg11795_115476"/>
    </w:p>
    <w:p>
      <w:pPr>
        <w:pStyle w:val="BookText"/>
        <w:rPr/>
      </w:pPr>
      <w:bookmarkEnd w:id="308"/>
      <w:r>
        <w:rPr>
          <w:rFonts w:ascii="Amiri" w:hAnsi="Amiri" w:eastAsia="Amiri" w:cs="Amiri"/>
          <w:color w:val="111111"/>
          <w:sz w:val="28"/>
          <w:sz w:val="28"/>
          <w:szCs w:val="28"/>
          <w:rtl w:val="true"/>
          <w:lang w:bidi="ar-SA"/>
        </w:rPr>
        <w:t>ودخول المساجد إلّااجتيازاً</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0328849_73709187"/>
      <w:bookmarkStart w:id="310" w:name="_Toc117"/>
      <w:bookmarkEnd w:id="309"/>
      <w:r>
        <w:rPr>
          <w:rtl w:val="true"/>
        </w:rPr>
        <w:t>حرمة اللَّبث في المساجد</w:t>
      </w:r>
      <w:bookmarkEnd w:id="310"/>
    </w:p>
    <w:p>
      <w:pPr>
        <w:pStyle w:val="Heading6"/>
        <w:numPr>
          <w:ilvl w:val="5"/>
          <w:numId w:val="1"/>
        </w:numPr>
        <w:rPr/>
      </w:pPr>
      <w:bookmarkStart w:id="311" w:name="__RefHeading___Toc10328851_73709187"/>
      <w:bookmarkStart w:id="312" w:name="_Toc118"/>
      <w:bookmarkEnd w:id="311"/>
      <w:r>
        <w:rPr>
          <w:rtl w:val="true"/>
        </w:rPr>
        <w:t>اشارة</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ممّا يحرم على الجُنُب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المساجد إلّااجتيازاً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عبَّر به في جملةٍ من كتب الأصحاب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بالاستيطان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 الجميع 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وابن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يدخلان المسجد؟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لا يدخلان المسجد إلّامجتازين، 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عابِرِي سَبِيلٍ حَتَّى تَغْتَسِلُوا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هذا الصحيح حرمة ما لا يسمّى اجتيازاً كالتردّد فيه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يتوهّم منافاة جملةٍ من النصوص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رسول اللّه صلى الله عليه و آله كره إتيان المساجد</w:t>
      </w:r>
      <w:r>
        <w:rPr>
          <w:rStyle w:val="FootnoteAnchor"/>
          <w:rtl w:val="true"/>
        </w:rPr>
        <w:footnoteReference w:id="654"/>
      </w:r>
      <w:r>
        <w:rPr>
          <w:rFonts w:ascii="Amiri" w:hAnsi="Amiri" w:eastAsia="Amiri" w:cs="Amiri"/>
          <w:color w:val="111111"/>
          <w:sz w:val="28"/>
          <w:sz w:val="28"/>
          <w:szCs w:val="28"/>
          <w:rtl w:val="true"/>
          <w:lang w:bidi="ar-SA"/>
        </w:rPr>
        <w:t>، وعن سلّار</w:t>
      </w:r>
      <w:r>
        <w:rPr>
          <w:rStyle w:val="FootnoteAnchor"/>
          <w:rtl w:val="true"/>
        </w:rPr>
        <w:footnoteReference w:id="655"/>
      </w:r>
      <w:r>
        <w:rPr>
          <w:rFonts w:ascii="Amiri" w:hAnsi="Amiri" w:eastAsia="Amiri" w:cs="Amiri"/>
          <w:color w:val="111111"/>
          <w:sz w:val="28"/>
          <w:sz w:val="28"/>
          <w:szCs w:val="28"/>
          <w:rtl w:val="true"/>
          <w:lang w:bidi="ar-SA"/>
        </w:rPr>
        <w:t>القول بالكراهة مستنداً إلى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المذكورة في الأخبار المأثورة عنهم عليهم السلام، أعمٌّ من الكراهة المصطلحة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النوم في المساجد 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محمّد بن القاسم،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الجُنُب ينام في المسجد؟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ولا بأس أن ينام في المسجد ويمرّ فيه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الصدوق العمل بمضمونه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لإعراض الأصحاب عنه</w:t>
      </w:r>
      <w:r>
        <w:rPr>
          <w:rStyle w:val="FootnoteAnchor"/>
          <w:rtl w:val="true"/>
        </w:rPr>
        <w:footnoteReference w:id="658"/>
      </w:r>
      <w:r>
        <w:rPr>
          <w:rFonts w:ascii="Amiri" w:hAnsi="Amiri" w:eastAsia="Amiri" w:cs="Amiri"/>
          <w:color w:val="111111"/>
          <w:sz w:val="28"/>
          <w:sz w:val="28"/>
          <w:szCs w:val="28"/>
          <w:rtl w:val="true"/>
          <w:lang w:bidi="ar-SA"/>
        </w:rPr>
        <w:t xml:space="preserve">يتعيّن طرحه، وعمل الصدوق به لا يخرجه عن الشذوذ، بل الظاهر أنّه أيضاً لم يعمل به، فإنّه أفتى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النوم من دون أن يتوضّأ، مع أنّ ظاهره اعتبار الوضوء في المرور، وهو أيضاً ممّا لم يلتزم به أحد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ظاهراً في حرمة الجلوس دون مطلق الكون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كخبر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للجُنُب أن يمشي في المساجد كلّها ولا يجلس فيها إلّاالمسجد الحرام ومسجد النبيّ صلى الله عليه و آله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الثمالي،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أن يمرّ في سائر المساجد</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الجُنُب يجلس في المساجد؟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يمرّ فيها كلّها إلّاالمسجد الحرام ومسجد الرَّسول صلى الله عليه و آله</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عدا غير خبر جميل لا تدلّ على جواز غير المرور، كي تنافي مع صحيح زرارة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الجلوس فيها لا مفهوم له كي يدلّ على ذلك، بل نفي البأس عن المرور بعد النهي عنه دليلٌ اختصاص الجواز بالمرور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جميل الذي هو صحيحٌ بحسب الظاهر، فالنسبة بينه وبين صحيح زرارة عموم من وجه، ويقدّم الصحيح لأظهريّته من الخبر لإشتماله على الاستثناء، مع أنّ المحقَّق في محلّه أنّه لو تعارض العامّان من وجه وكان شمول كلّ منهما للمجمع بالإطلاق يتساقط الإطلاقان، ففي المقام بعد التساقط المرجع إلى ما دلَّ من الأخبار على أنّ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عابِرِي سَبِيلٍ‌ </w:t>
      </w:r>
      <w:r>
        <w:rPr>
          <w:rStyle w:val="FootnoteAnchor"/>
          <w:rtl w:val="true"/>
        </w:rPr>
        <w:footnoteReference w:id="662"/>
      </w:r>
      <w:r>
        <w:rPr>
          <w:rFonts w:ascii="Amiri" w:hAnsi="Amiri" w:eastAsia="Amiri" w:cs="Amiri"/>
          <w:color w:val="111111"/>
          <w:sz w:val="28"/>
          <w:sz w:val="28"/>
          <w:szCs w:val="28"/>
          <w:rtl w:val="true"/>
          <w:lang w:bidi="ar-SA"/>
        </w:rPr>
        <w:t>النهي عن إتيان المساجد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الدخول فيها بقصد أخذ شيء منها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الجُنُب والحائض يتناولان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المسجد المتاع يكون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يضعان في المسجد شيئاً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زرارة وابن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الحائض والجُنُب‌؟ ويأخذان منه ولا يضعان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بالهما يأخذان منه ولا يضعان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لا يقدران على أخذ ما فيه إلّا منه، ويقدران على وضع ما بيدهما في غيره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بدعوى أنّ الظاهر منها إرادة الدخول لتناول المتاع، وحيث أنّها أخصّ من الصحيح فيقيّد إطلاقه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النصوص لاسيّما بقرينة مقابلة الأخذ للوضع، جواز الأخذ منه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سؤال السائل في خبر ابن سنان إنّما هو السؤال عن دخوله للأخذ،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يظهر منشأ هذا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 زرارة في ذيل الصحيح الثاني، وجوابه عليه السلام، كما يلائمان مع جواز الدخول للأخذ وحرمته للوضع، كذلك يلائمان مع جواز الأخذ نفسه وحرمة الوضع كذلك، فلا يصلحان قرينةً لإرادة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صريح بعضٍ وظاهر آخر من حرمة الدخول بقصد أخذ شيء منها، إذا لم يصدق عليه الاجتياز، وأنّ الجائز مجرّد الأخذ، هو الأقوى‌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13" w:name="pg11795_115480"/>
    </w:p>
    <w:p>
      <w:pPr>
        <w:pStyle w:val="Heading6"/>
        <w:numPr>
          <w:ilvl w:val="5"/>
          <w:numId w:val="1"/>
        </w:numPr>
        <w:rPr/>
      </w:pPr>
      <w:bookmarkStart w:id="314" w:name="__RefHeading___Toc10328853_73709187"/>
      <w:bookmarkStart w:id="315" w:name="_Toc119"/>
      <w:bookmarkEnd w:id="313"/>
      <w:bookmarkEnd w:id="314"/>
      <w:r>
        <w:rPr>
          <w:rtl w:val="true"/>
        </w:rPr>
        <w:t>حكم المشاهد المشرّفة</w:t>
      </w:r>
      <w:bookmarkEnd w:id="315"/>
    </w:p>
    <w:p>
      <w:pPr>
        <w:pStyle w:val="BookText"/>
        <w:rPr/>
      </w:pPr>
      <w:r>
        <w:rPr>
          <w:rFonts w:ascii="Amiri" w:hAnsi="Amiri" w:eastAsia="Amiri" w:cs="Amiri"/>
          <w:color w:val="111111"/>
          <w:sz w:val="28"/>
          <w:sz w:val="28"/>
          <w:szCs w:val="28"/>
          <w:rtl w:val="true"/>
          <w:lang w:bidi="ar-SA"/>
        </w:rPr>
        <w:t xml:space="preserve">ألحقَ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الجنيد،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العتبات المقدّسة، والمشاهد المشرّفة بالمساجد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بتحقّق معنى المسجديّة فيها وزيادة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وبلزوم تعظيمها واحترامها، وأنّ دخول الجُنُب فيها منافٍ للتعظيم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وبالنصوص الدالّة على المنع عن دخول الجُنُب بيوت الأنبياء والأئمّة أحياءً‌، بضميمة ما دلَّ على أنّ حرمتهم أمواتاً كحرمتهم أحياءً‌، بل هم أحياءٌ عند ربّهم يُرزَقون،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للكشّي، عن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بصير المرادي،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أتبعك، فمضى فَدَخلنا عليه وأحدّ النظر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تَدخل بيوت الأنبياء وأنتَ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ولا أعود</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عنوان المسجديّة الذي هو من الاعتبارات القائمة بالمكان، وعليه فلا يشمل الدليل ما بمعناه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يظهر لنا كون مناط الحرمة الاحترام وتعظيم المسجد، بل </w:t>
      </w:r>
    </w:p>
    <w:p>
      <w:pPr>
        <w:pStyle w:val="BookText"/>
        <w:rPr/>
      </w:pPr>
      <w:r>
        <w:rPr>
          <w:rFonts w:ascii="Amiri" w:hAnsi="Amiri" w:eastAsia="Amiri" w:cs="Amiri"/>
          <w:color w:val="111111"/>
          <w:sz w:val="28"/>
          <w:sz w:val="28"/>
          <w:szCs w:val="28"/>
          <w:rtl w:val="true"/>
          <w:lang w:bidi="ar-SA"/>
        </w:rPr>
        <w:t>وجوب التعظيم في نفسه ممّا لم يدلّ عليه دليل، نعم تُحرم الاستهانة بالمشاهد المشرّفة، ودخول الجُنُب لا يستلزم المهانة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عليها بإيرادات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بعضها صريحٌ في تعمّده إلى الدخول ليطمئنّ قلبه، ومن البعيد جدّاً تعمّده إلى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البعيد أن لا يدخل في بيوتهم مَن يعوّلون به، من أزواجهم وأولادهم وجواريهم وخدّامهم إذا كانوا جُنُباً، وإلّا لما خفيَ على مثل أبي بصير الذي لم يزَل يتردّد على بيوتهم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مبادرة أبي بصير الداخل وهو جُنبٌ إلى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الظاهر منها صدور الفعل من أبي بصير مرّةً اُخرى غير تلك المرّة للاختبار، فلو كان فهم من النهي الحرمة لما عاد إلى مثله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البعيد تعمّده إلى ما ثَبَت عنده حرمته، لا ما هو حرامٌ واقعاً وهو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يمكن أنْ يكون دخول أبي بصير جُنُباً في أوائل تردّده إلى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تضمّنته النصوص التي بأيدينا، هو مبادرة أبي بصير بالخروج بعد النهي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الأخبار أنّ هذا الفعل لم يصدُر من أبي بصير إلّا مرّتين؛ مرّةً للاختبار، واُخرى مخافة فوت الدخول، وحيث أنّه عليه السلام نهاهُ في المرّة الأُولى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الظاهر في الحرمة، دخل ثانياً، فلذلك قال عليه السلام تعريضاً </w:t>
      </w:r>
    </w:p>
    <w:p>
      <w:pPr>
        <w:pStyle w:val="BookText"/>
        <w:rPr/>
      </w:pPr>
      <w:r>
        <w:rPr>
          <w:rFonts w:ascii="Amiri" w:hAnsi="Amiri" w:eastAsia="Amiri" w:cs="Amiri"/>
          <w:color w:val="111111"/>
          <w:sz w:val="28"/>
          <w:sz w:val="28"/>
          <w:szCs w:val="28"/>
          <w:rtl w:val="true"/>
          <w:lang w:bidi="ar-SA"/>
        </w:rPr>
        <w:t>على فعله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أما عَلِمْتَ أنّ بيوت الأنبياء وأولاد الأنبياء لا يدخلها 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والأظهر أنّها تدلّ على حرمة الدخول، ويؤيّدها تضمّن بعضها لغضبه عليه السلام واستغفار أبي بصير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عن بيوتهم إلى قبورهم يحتاج إلى دليل مفقود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أنّ حرمتهم أمواتاً كحرمتهم أحياء دليل التعدّي، ولكن مع ذلك كلّه دعوى أنّ حُرمة الدخول إلى بيوتهم في حال حياتهم إنّما تكون لمنافاته للاحترام، ولذلك يُتعدّى إلى قبورهم، عهدتها على مدّعيها، والاحتياط بترك الدخول لا يُترك</w:t>
      </w:r>
      <w:r>
        <w:rPr>
          <w:rFonts w:eastAsia="Amiri" w:cs="Amiri" w:ascii="Amiri" w:hAnsi="Amiri"/>
          <w:color w:val="111111"/>
          <w:sz w:val="28"/>
          <w:szCs w:val="28"/>
          <w:rtl w:val="true"/>
          <w:lang w:bidi="ar-SA"/>
        </w:rPr>
        <w:t>.</w:t>
      </w:r>
      <w:bookmarkStart w:id="316" w:name="pg11795_115483"/>
    </w:p>
    <w:p>
      <w:pPr>
        <w:pStyle w:val="BookText"/>
        <w:rPr/>
      </w:pPr>
      <w:bookmarkEnd w:id="316"/>
      <w:r>
        <w:rPr>
          <w:rFonts w:ascii="Amiri" w:hAnsi="Amiri" w:eastAsia="Amiri" w:cs="Amiri"/>
          <w:color w:val="111111"/>
          <w:sz w:val="28"/>
          <w:sz w:val="28"/>
          <w:szCs w:val="28"/>
          <w:rtl w:val="true"/>
          <w:lang w:bidi="ar-SA"/>
        </w:rPr>
        <w:t>إلّا المسجد الحرام، ومسجد الرَّسول صلى الله عليه و آله و سلم</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0328855_73709187"/>
      <w:bookmarkStart w:id="318" w:name="_Toc120"/>
      <w:bookmarkEnd w:id="317"/>
      <w:r>
        <w:rPr>
          <w:rtl w:val="true"/>
        </w:rPr>
        <w:t>حكم المَسجدين</w:t>
      </w:r>
      <w:bookmarkEnd w:id="318"/>
    </w:p>
    <w:p>
      <w:pPr>
        <w:pStyle w:val="BookText"/>
        <w:rPr/>
      </w:pPr>
      <w:r>
        <w:rPr>
          <w:rFonts w:ascii="Amiri" w:hAnsi="Amiri" w:eastAsia="Amiri" w:cs="Amiri"/>
          <w:color w:val="111111"/>
          <w:sz w:val="28"/>
          <w:sz w:val="28"/>
          <w:szCs w:val="28"/>
          <w:rtl w:val="true"/>
          <w:lang w:bidi="ar-SA"/>
        </w:rPr>
        <w:t>وفي المتن بعد الحكم بجواز الاجتياز في المساجد،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المسجد الحرام، ومسجد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فيهما فالمشهور بين الأصحاب حرمة الدخول، وإنْ كان بنحو المرور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ابن زُهرة</w:t>
      </w:r>
      <w:r>
        <w:rPr>
          <w:rStyle w:val="FootnoteAnchor"/>
          <w:rtl w:val="true"/>
        </w:rPr>
        <w:footnoteReference w:id="667"/>
      </w:r>
      <w:r>
        <w:rPr>
          <w:rFonts w:ascii="Amiri" w:hAnsi="Amiri" w:eastAsia="Amiri" w:cs="Amiri"/>
          <w:color w:val="111111"/>
          <w:sz w:val="28"/>
          <w:sz w:val="28"/>
          <w:szCs w:val="28"/>
          <w:rtl w:val="true"/>
          <w:lang w:bidi="ar-SA"/>
        </w:rPr>
        <w:t>والمحقّق</w:t>
      </w:r>
      <w:r>
        <w:rPr>
          <w:rStyle w:val="FootnoteAnchor"/>
          <w:rtl w:val="true"/>
        </w:rPr>
        <w:footnoteReference w:id="668"/>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محمّدبن مسلم، عن الإمام الباقر عليه السلام، في حديث الجُنُب والحائض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ويدخلان المسجدمجتازين، ولايقعدان فيه، ولايقربان المسجدين الحرمين</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الصدوق، عن الإمام الرضا عليه السلام، في حديثٍ طويل عن رسول اللّه صلى الله عليه و آله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هذا المسجد لا يَحلّ لجُنُبٍ إلّالمحمّدٍ وآله</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bookmarkStart w:id="319" w:name="pg11795_115484"/>
    </w:p>
    <w:p>
      <w:pPr>
        <w:pStyle w:val="Heading6"/>
        <w:numPr>
          <w:ilvl w:val="5"/>
          <w:numId w:val="1"/>
        </w:numPr>
        <w:rPr/>
      </w:pPr>
      <w:bookmarkStart w:id="320" w:name="__RefHeading___Toc10328857_73709187"/>
      <w:bookmarkStart w:id="321" w:name="_Toc121"/>
      <w:bookmarkEnd w:id="319"/>
      <w:bookmarkEnd w:id="320"/>
      <w:r>
        <w:rPr>
          <w:rtl w:val="true"/>
        </w:rPr>
        <w:t>وضعُ شيءٍ في المساجد</w:t>
      </w:r>
      <w:bookmarkEnd w:id="321"/>
    </w:p>
    <w:p>
      <w:pPr>
        <w:pStyle w:val="BookText"/>
        <w:rPr/>
      </w:pPr>
      <w:r>
        <w:rPr>
          <w:rFonts w:ascii="Amiri" w:hAnsi="Amiri" w:eastAsia="Amiri" w:cs="Amiri"/>
          <w:color w:val="111111"/>
          <w:sz w:val="28"/>
          <w:sz w:val="28"/>
          <w:szCs w:val="28"/>
          <w:rtl w:val="true"/>
          <w:lang w:bidi="ar-SA"/>
        </w:rPr>
        <w:t>ووضع شيءٍ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ممّا يحرم على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شيءٍ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المساجد، وتشهد له جملة من النصوص</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ابن سنان وزرارة وابن مسلم المتقدّمان في المسألة السابقة، وقد عرفت أنّ الظاهر منها حرمة الوضع بنفسه، كما هو ظاهر كلمات الأصحاب، حيث جعلوه قسيماً للدخول، وعليه فيحرم الوضع حتّى من خارج المسجد</w:t>
      </w:r>
      <w:r>
        <w:rPr>
          <w:rFonts w:eastAsia="Amiri" w:cs="Amiri" w:ascii="Amiri" w:hAnsi="Amiri"/>
          <w:color w:val="111111"/>
          <w:sz w:val="28"/>
          <w:szCs w:val="28"/>
          <w:rtl w:val="true"/>
          <w:lang w:bidi="ar-SA"/>
        </w:rPr>
        <w:t>.</w:t>
      </w:r>
      <w:bookmarkStart w:id="322" w:name="pg11795_115485"/>
    </w:p>
    <w:p>
      <w:pPr>
        <w:pStyle w:val="Heading6"/>
        <w:numPr>
          <w:ilvl w:val="5"/>
          <w:numId w:val="1"/>
        </w:numPr>
        <w:rPr/>
      </w:pPr>
      <w:bookmarkStart w:id="323" w:name="__RefHeading___Toc10328859_73709187"/>
      <w:bookmarkStart w:id="324" w:name="_Toc122"/>
      <w:bookmarkEnd w:id="322"/>
      <w:bookmarkEnd w:id="323"/>
      <w:r>
        <w:rPr>
          <w:rtl w:val="true"/>
        </w:rPr>
        <w:t>فروع</w:t>
      </w:r>
      <w:r>
        <w:rPr>
          <w:rtl w:val="true"/>
        </w:rPr>
        <w:t>:</w:t>
      </w:r>
      <w:bookmarkEnd w:id="324"/>
    </w:p>
    <w:p>
      <w:pPr>
        <w:pStyle w:val="Heading6"/>
        <w:numPr>
          <w:ilvl w:val="5"/>
          <w:numId w:val="1"/>
        </w:numPr>
        <w:rPr/>
      </w:pPr>
      <w:bookmarkStart w:id="325" w:name="__RefHeading___Toc10328861_73709187"/>
      <w:bookmarkStart w:id="326" w:name="_Toc123"/>
      <w:bookmarkEnd w:id="325"/>
      <w:r>
        <w:rPr>
          <w:rtl w:val="true"/>
        </w:rPr>
        <w:t>من أجنب في أحد المسجدين يتيمّم للخروج</w:t>
      </w:r>
      <w:bookmarkEnd w:id="32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 متعلّقة بدخول الجُنُب في المسجد، لا بأس بالإشارة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الجُنُب الذي في أحد المسجدين التيمّم للخروج، بلا خلاف فيه في الجملة، إلّامن ابن حمزة</w:t>
      </w:r>
      <w:r>
        <w:rPr>
          <w:rStyle w:val="FootnoteAnchor"/>
          <w:rtl w:val="true"/>
        </w:rPr>
        <w:footnoteReference w:id="672"/>
      </w:r>
      <w:r>
        <w:rPr>
          <w:rFonts w:ascii="Amiri" w:hAnsi="Amiri" w:eastAsia="Amiri" w:cs="Amiri"/>
          <w:color w:val="111111"/>
          <w:sz w:val="28"/>
          <w:sz w:val="28"/>
          <w:szCs w:val="28"/>
          <w:rtl w:val="true"/>
          <w:lang w:bidi="ar-SA"/>
        </w:rPr>
        <w:t>حيث جعله مستحبّاً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حمزة الثمالي،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نائماً في المسجد الحرام أو مسجد الرَّسول صلى الله عليه و آله فاحتَلم فأصابته جنابة، فليتيمّم ولا يمرّ في المسجد إلّامتيمّماً، ولا بأس أن يمرّ في سائر المساجد، ولا يجلس في شيء من المساجد</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وعموم ما دلَّ على بدليّة التيمّم عن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الفاقد للماء عليه، لتمكّنه من الاغتسال خارج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الفقدان بالنسبة إلى هذا الأثر، أي الاجتياز من أحدالمسجدين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فخر المحقّقين ابن المصنّف رحمه الله</w:t>
      </w:r>
      <w:r>
        <w:rPr>
          <w:rStyle w:val="FootnoteAnchor"/>
          <w:rtl w:val="true"/>
        </w:rPr>
        <w:footnoteReference w:id="675"/>
      </w:r>
      <w:r>
        <w:rPr>
          <w:rFonts w:ascii="Amiri" w:hAnsi="Amiri" w:eastAsia="Amiri" w:cs="Amiri"/>
          <w:color w:val="111111"/>
          <w:sz w:val="28"/>
          <w:sz w:val="28"/>
          <w:szCs w:val="28"/>
          <w:rtl w:val="true"/>
          <w:lang w:bidi="ar-SA"/>
        </w:rPr>
        <w:t>مَنَع من استباحة اللّبث في المساجد، ودخول المسجدين بالتيمّم، مستدلّاً عليه 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w:t>
      </w:r>
    </w:p>
    <w:p>
      <w:pPr>
        <w:pStyle w:val="BookText"/>
        <w:rPr/>
      </w:pPr>
      <w:r>
        <w:rPr>
          <w:rFonts w:ascii="Amiri" w:hAnsi="Amiri" w:eastAsia="Amiri" w:cs="Amiri"/>
          <w:color w:val="111111"/>
          <w:sz w:val="28"/>
          <w:sz w:val="28"/>
          <w:szCs w:val="28"/>
          <w:rtl w:val="true"/>
          <w:lang w:bidi="ar-SA"/>
        </w:rPr>
        <w:t xml:space="preserve">عابِرِي سَبِيلٍ حَتَّى تَغْتَسِلُوا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الجواب عنه في مبحث التيمّم، وستعرف أنّ جميع غايات الطهارة المائيّة غايات للترابيّة، ونشير إليه في الفرع الرابع،</w:t>
      </w:r>
      <w:r>
        <w:rPr>
          <w:rStyle w:val="FootnoteAnchor"/>
          <w:rtl w:val="true"/>
        </w:rPr>
        <w:footnoteReference w:id="677"/>
      </w:r>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تيمّم لغير هذا الأثر، فهو فاسدٌ لعدم كونه فاقداً بالنسبة إليه، وإن تيمّم له فسد من جهة أنّ جعل الخروج من المسجدين غاية له لا تخلو من إشكال، لأنّ المتوقّف على الطهارة جواز الخروج لا نفس الخروج، فلا يكون الأمر بالتيمّم حينئذٍ غيريّاً بل يكون عقليّاً من باب لزوم الجمع بين غرضي الشارع، فإذا وجب الخروج وأمر به، لم يكن ذلك الوجوب كافياً في تشريع التيمّم لعدم كونه مقدّمةً له، بل هو مقدّمة لجوازه، والجواز ليس من فعل المكلّف، والوجوب الغيري إنّما يتعلّق بما هو مقدّمة لفعل المكلّف إذا وجب، فعلى كلّ تقدير لا يصحّ هذا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نختار الشقّ الثاني، والجواب عن هذا الإشكال قد تقدّم في الجزء الأوّل من هذا الشرح، في مبحث غايات الوضوء،</w:t>
      </w:r>
      <w:r>
        <w:rPr>
          <w:rStyle w:val="FootnoteAnchor"/>
          <w:rtl w:val="true"/>
        </w:rPr>
        <w:footnoteReference w:id="678"/>
      </w:r>
      <w:r>
        <w:rPr>
          <w:rFonts w:ascii="Amiri" w:hAnsi="Amiri" w:eastAsia="Amiri" w:cs="Amiri"/>
          <w:color w:val="111111"/>
          <w:sz w:val="28"/>
          <w:sz w:val="28"/>
          <w:szCs w:val="28"/>
          <w:rtl w:val="true"/>
          <w:lang w:bidi="ar-SA"/>
        </w:rPr>
        <w:t>في مسألة جعل مسّ كتابة القرآن غايةً للوضوء،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أنّ ذكر الاحتلام خاصّة في النصّ‌، إنّما يكون لكونه السبب المتعارف للابتلاء بالجنابة، لا لخصوصيّةٍ فيه، بل تمام الموضوع للحكم كونه جُنُباً، قريبة جدّاً، وتؤيّده روايته 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وإنْ كان مقتضى الجمود على ظاهر النصّ الاختصاص بالُمحتلم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يعارض نقل 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ليس معدّاً لنقل الأخبار، بل هو من الكتب الاستدلاليّة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نقل غيره من أرباب الحديث،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فالأظهر هو ما اختاره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وشرحها</w:t>
      </w:r>
      <w:r>
        <w:rPr>
          <w:rStyle w:val="FootnoteAnchor"/>
          <w:rtl w:val="true"/>
        </w:rPr>
        <w:footnoteReference w:id="6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وغيرها، من عدم اختصاص الحكم بالُمحتلم، وشموله لمن حدثت له الجنابة عمداً في المسجد، ولمن كانت جنابته خارج المسجد 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جماعةٍ منهم الصدوق</w:t>
      </w:r>
      <w:r>
        <w:rPr>
          <w:rStyle w:val="FootnoteAnchor"/>
          <w:rtl w:val="true"/>
        </w:rPr>
        <w:footnoteReference w:id="684"/>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وابنا زُهرة</w:t>
      </w:r>
      <w:r>
        <w:rPr>
          <w:rStyle w:val="FootnoteAnchor"/>
          <w:rtl w:val="true"/>
        </w:rPr>
        <w:footnoteReference w:id="686"/>
      </w:r>
      <w:r>
        <w:rPr>
          <w:rFonts w:ascii="Amiri" w:hAnsi="Amiri" w:eastAsia="Amiri" w:cs="Amiri"/>
          <w:color w:val="111111"/>
          <w:sz w:val="28"/>
          <w:sz w:val="28"/>
          <w:szCs w:val="28"/>
          <w:rtl w:val="true"/>
          <w:lang w:bidi="ar-SA"/>
        </w:rPr>
        <w:t>وإدريس</w:t>
      </w:r>
      <w:r>
        <w:rPr>
          <w:rStyle w:val="FootnoteAnchor"/>
          <w:rtl w:val="true"/>
        </w:rPr>
        <w:footnoteReference w:id="687"/>
      </w:r>
      <w:r>
        <w:rPr>
          <w:rFonts w:ascii="Amiri" w:hAnsi="Amiri" w:eastAsia="Amiri" w:cs="Amiri"/>
          <w:color w:val="111111"/>
          <w:sz w:val="28"/>
          <w:sz w:val="28"/>
          <w:szCs w:val="28"/>
          <w:rtl w:val="true"/>
          <w:lang w:bidi="ar-SA"/>
        </w:rPr>
        <w:t>والمحقّق</w:t>
      </w:r>
      <w:r>
        <w:rPr>
          <w:rStyle w:val="FootnoteAnchor"/>
          <w:rtl w:val="true"/>
        </w:rPr>
        <w:footnoteReference w:id="688"/>
      </w:r>
      <w:r>
        <w:rPr>
          <w:rFonts w:ascii="Amiri" w:hAnsi="Amiri" w:eastAsia="Amiri" w:cs="Amiri"/>
          <w:color w:val="111111"/>
          <w:sz w:val="28"/>
          <w:sz w:val="28"/>
          <w:szCs w:val="28"/>
          <w:rtl w:val="true"/>
          <w:lang w:bidi="ar-SA"/>
        </w:rPr>
        <w:t>والمصنّف</w:t>
      </w:r>
      <w:r>
        <w:rPr>
          <w:rStyle w:val="FootnoteAnchor"/>
          <w:rtl w:val="true"/>
        </w:rPr>
        <w:footnoteReference w:id="689"/>
      </w:r>
      <w:r>
        <w:rPr>
          <w:rFonts w:ascii="Amiri" w:hAnsi="Amiri" w:eastAsia="Amiri" w:cs="Amiri"/>
          <w:color w:val="111111"/>
          <w:sz w:val="28"/>
          <w:sz w:val="28"/>
          <w:szCs w:val="28"/>
          <w:rtl w:val="true"/>
          <w:lang w:bidi="ar-SA"/>
        </w:rPr>
        <w:t>في بعض كتبه، من اختصاص الحكم بالمحتلم،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يختصّ وجوب التيمّم للخارج جُنُباً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بصورة عدم التمكّن من الغُسل، المساوي زمانه لزمان التيمّم، أو الناقص عنه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وغيرها؟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لايختصّ بها كما عن المحقّق الثاني في حاشيته</w:t>
      </w:r>
      <w:r>
        <w:rPr>
          <w:rStyle w:val="FootnoteAnchor"/>
          <w:rtl w:val="true"/>
        </w:rPr>
        <w:footnoteReference w:id="695"/>
      </w:r>
      <w:r>
        <w:rPr>
          <w:rFonts w:ascii="Amiri" w:hAnsi="Amiri" w:eastAsia="Amiri" w:cs="Amiri"/>
          <w:color w:val="111111"/>
          <w:sz w:val="28"/>
          <w:sz w:val="28"/>
          <w:szCs w:val="28"/>
          <w:rtl w:val="true"/>
          <w:lang w:bidi="ar-SA"/>
        </w:rPr>
        <w:t>وغيره، بل هو ظاهرُ جُلّ مَن تقدّم على الشهيد رحمه الله لولم نقل كلّهم‌؟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فيه جمعاً بين ما دلَّ على وجوب التيمّم هنا، وبين ما دلَّ على اشتراطه بعدم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إطلاق الحكم بوجوب التيمّم في الخبر مبنيٌّ على الغالب من عدم التمكّن من الاغتسال بدون تلويث المسجد، أو على الغالب من زيادة زمان الغسل على زمان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وبالأصل المعروف بين الأصحاب من أنّ التيمّم طهارة اضطراريّة لا ترتكب إلّامع فقد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النصّ أنّ التيمّم من حيث هو شرطٌ لجواز الخروج، لا من جهة حصول الطهارة به أو انطباقها عليه، ولذا قال في ذيل الصحيح المتقدّم المرويّ مرسلاً عن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الحائض إذا أصابها الحيض تفعل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 يرتفع حَدَث الحائض به قطعاً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النصوص المتضمّنة للأمر بالتيمّم في موارد خاصّة، لاسيّما بعد ملاحظة أنّ مشروعيّة التيمّم في المقام ممّا تقتضيه القواعد العامّة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التيمّم مأمورٌ به من جهة كونه طهارة أو محصّلاً لها، وأمر الحائض به أيضاً لو ثبت لا ينافيه، لأنّه من الجائز أنْ يكون التيمّم بالنسبة إليها رافعاً لمرتبةٍ من الحَدَث، وإنْ لم يكن رافعاً لحَدَثها بالمرّة، فالأقوى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أنّ الأقوى اختصاص الحكم بما إذا كان زمان التيمّم اقصر من زمان الخروج، وعدم ثبوته فيما إذا كان مساوياً أو أطول، كما عن الوحيد رحمه الله</w:t>
      </w:r>
      <w:r>
        <w:rPr>
          <w:rStyle w:val="FootnoteAnchor"/>
          <w:rtl w:val="true"/>
        </w:rPr>
        <w:footnoteReference w:id="697"/>
      </w:r>
      <w:r>
        <w:rPr>
          <w:rFonts w:ascii="Amiri" w:hAnsi="Amiri" w:eastAsia="Amiri" w:cs="Amiri"/>
          <w:color w:val="111111"/>
          <w:sz w:val="28"/>
          <w:sz w:val="28"/>
          <w:szCs w:val="28"/>
          <w:rtl w:val="true"/>
          <w:lang w:bidi="ar-SA"/>
        </w:rPr>
        <w:t>وتبعه جماعةٌ من المحقّقين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عدم الفرق بين الصور، مستدلّاً بأنّ الظاهر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إطلاقه الشامل لجميع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مكث الجُنُب في حال التيمّم أولى من المرور جُنُباً، ضعيفٌ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إفادة هذا التيمّم، إباحة غير الخروج من الاُمور المشروطة بالطهارة، لو صار فاقداً للماء في الخارج، أو غير متمكّن من الاغتسال حين الخروج، أو بعده بمقدارٍ لا يسعه، هو الكلام في إباحة التيمّم لأجل الضيق للغايات الاُخر غير الصّلاة لو صار فاقداً للماء حين الصّلاة، وسيأتي بيان ما هو الحقّ في مبحث التيمّم،</w:t>
      </w:r>
      <w:r>
        <w:rPr>
          <w:rStyle w:val="FootnoteAnchor"/>
          <w:rtl w:val="true"/>
        </w:rPr>
        <w:footnoteReference w:id="698"/>
      </w:r>
      <w:r>
        <w:rPr>
          <w:rFonts w:ascii="Amiri" w:hAnsi="Amiri" w:eastAsia="Amiri" w:cs="Amiri"/>
          <w:color w:val="111111"/>
          <w:sz w:val="28"/>
          <w:sz w:val="28"/>
          <w:szCs w:val="28"/>
          <w:rtl w:val="true"/>
          <w:lang w:bidi="ar-SA"/>
        </w:rPr>
        <w:t>فراجع ذلك المبحث</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27" w:name="pg11795_115490"/>
    </w:p>
    <w:p>
      <w:pPr>
        <w:pStyle w:val="Heading6"/>
        <w:numPr>
          <w:ilvl w:val="5"/>
          <w:numId w:val="1"/>
        </w:numPr>
        <w:rPr/>
      </w:pPr>
      <w:bookmarkStart w:id="328" w:name="__RefHeading___Toc10328863_73709187"/>
      <w:bookmarkStart w:id="329" w:name="_Toc124"/>
      <w:bookmarkEnd w:id="327"/>
      <w:bookmarkEnd w:id="328"/>
      <w:r>
        <w:rPr>
          <w:rtl w:val="true"/>
        </w:rPr>
        <w:t>إدخال الجُنُب في المسجد</w:t>
      </w:r>
      <w:bookmarkEnd w:id="329"/>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إدخال الجُنُب في المسجد مطلقاً، وإنْكان غير مكلّف، أم لا يجوز كذلك، أم يفصّل بين المكلّف فلا يجوز وغيره فيجوز؟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مقتضى إطلاق النهي عن الجلوس في المساجد، من دون توجيهه إلى خصوص الجُنُب هو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دخول الجُنُب حرامٌ وذو مفسدة، وإنّما لم ينه عنه بالنسبة إلى غير المكلّف لمانعٍ من التكليف، فاستناد هذا الفعل إلى البالغ قبيحٌ عقلاً وحرامٌ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الإدخال تسبيبٌلحصول مبغوض المولى، وهو قبيحٌ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نرَ في النصوص ما يدلّ على حرمة دخول الجُنُب أو جلوسه في المسجد لغير الجُنُب، بل هي متضمّنة لنهيه عنهما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 وإنْ كان بالنسبة إلى ما إذا كان الجُنُب مكلّفاً تامّاً، إلّا أنّه لا يتمّ فيما إذا كان صبيّاً، إذ مع عدم وجود النهي، لا سبيل لنا إلى كشف المفسدة والمبغوضيّة، وحيثُ أنّ الصبي أو من شابهه من غير المكلّفين لم يتعلّق بجلوسه نهيٌ‌، فلا مثبت لكونه مبغوضاً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هو القول الثالث</w:t>
      </w:r>
      <w:r>
        <w:rPr>
          <w:rFonts w:eastAsia="IRNazanin" w:cs="IRNazanin"/>
          <w:color w:val="111111"/>
          <w:sz w:val="28"/>
          <w:szCs w:val="28"/>
          <w:rtl w:val="true"/>
          <w:lang w:bidi="fa-IR"/>
        </w:rPr>
        <w:t>.</w:t>
      </w:r>
      <w:bookmarkStart w:id="330" w:name="pg11795_115491"/>
    </w:p>
    <w:p>
      <w:pPr>
        <w:pStyle w:val="Heading6"/>
        <w:numPr>
          <w:ilvl w:val="5"/>
          <w:numId w:val="1"/>
        </w:numPr>
        <w:rPr/>
      </w:pPr>
      <w:bookmarkStart w:id="331" w:name="__RefHeading___Toc10328865_73709187"/>
      <w:bookmarkStart w:id="332" w:name="_Toc125"/>
      <w:bookmarkEnd w:id="330"/>
      <w:bookmarkEnd w:id="331"/>
      <w:r>
        <w:rPr>
          <w:rtl w:val="true"/>
        </w:rPr>
        <w:t>في حكم استئجار الجُنُب للدخول</w:t>
      </w:r>
      <w:bookmarkEnd w:id="332"/>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عدم صحّة استئجار الجُنُب لدخول المسجد، أو المكث فيه، أو قراءة العزائم، أو نحو ذلك ممّا يحرم على الجُنُب، لأنّه يعتبر في صحّة الإجارة القدرة على العمل المستأجر عليه عقلاً وشرعاً إجماعاً، ولا يستحقّ الجُنُب اُجرةً لا لفساد الإجارة، فإنّه لا ينافي استحقاق اُجرة المثل، بل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 ذلك، بل الوجه في عدم الاستحقاق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ولعلّ نظره إلى الكتب الروائيّة الفقهيّة المتداولة، فإنّه لم يرد بهذا النصّ‌، لكنّه ورد في بعض كتبنا بهذا النصّ الموجود في المتن كما في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وفي نهج الحقّ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 في الحجر وتوابعه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ورد من النصوص في حرمة أجر النائحة بالباطل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لا يجوز استئجار الجُنُب لكنس المسجد، لأنّه ترغيبٌ لفعل المنكر، فهل تصحّ الإجارة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الثاني، إذ النهي عن الدخول الذي هو مقدّمة للكنس، يكون معجزاً شرعيّاً عن فعل المستأجر عليه، وقد اُدّعي الإجماع على اعتبار القدرة عليه شرعاً في صحّة الإجارة، فلا يستحقّ الاُجرة 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استحقاقه اُجرة المثل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دلَّ على أنّ العمل المحرّم ثمنه لا يشمل المقام، لأنّ العمل المستأجر عليه لا يكون حراماً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ذكرناه لو استأجره مطلقاً، ولكنّه كنس في حال جنابته، </w:t>
      </w:r>
    </w:p>
    <w:p>
      <w:pPr>
        <w:pStyle w:val="BookText"/>
        <w:rPr/>
      </w:pPr>
      <w:r>
        <w:rPr>
          <w:rFonts w:ascii="Amiri" w:hAnsi="Amiri" w:eastAsia="Amiri" w:cs="Amiri"/>
          <w:color w:val="111111"/>
          <w:sz w:val="28"/>
          <w:sz w:val="28"/>
          <w:szCs w:val="28"/>
          <w:rtl w:val="true"/>
          <w:lang w:bidi="ar-SA"/>
        </w:rPr>
        <w:t>يستحقّ الاُجرة حتّى في صورة العلم بأنّه جنب، لأنّه لا يعتبر في صحّة الإجارة سوى القدرة على متعلّقها شرعاً، والمفروض تحقّقها في المقام، والفرد المأتي به لا يكون حراماً كي لا يستحقّ بذلك اُجرة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الكلام في شقوق هذه المسألة موكولٌ إلى محلّه في كتاب الإجارة</w:t>
      </w:r>
      <w:r>
        <w:rPr>
          <w:rFonts w:eastAsia="Amiri" w:cs="Amiri" w:ascii="Amiri" w:hAnsi="Amiri"/>
          <w:color w:val="111111"/>
          <w:sz w:val="28"/>
          <w:szCs w:val="28"/>
          <w:rtl w:val="true"/>
          <w:lang w:bidi="ar-SA"/>
        </w:rPr>
        <w:t>.</w:t>
      </w:r>
      <w:bookmarkStart w:id="333" w:name="pg11795_115493"/>
    </w:p>
    <w:p>
      <w:pPr>
        <w:pStyle w:val="Heading6"/>
        <w:numPr>
          <w:ilvl w:val="5"/>
          <w:numId w:val="1"/>
        </w:numPr>
        <w:rPr/>
      </w:pPr>
      <w:bookmarkStart w:id="334" w:name="__RefHeading___Toc10328867_73709187"/>
      <w:bookmarkStart w:id="335" w:name="_Toc126"/>
      <w:bookmarkEnd w:id="333"/>
      <w:bookmarkEnd w:id="334"/>
      <w:r>
        <w:rPr>
          <w:rtl w:val="true"/>
        </w:rPr>
        <w:t>التيمّم لدخول المسجد</w:t>
      </w:r>
      <w:bookmarkEnd w:id="335"/>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يكون إحدى غايات الغُسل كالوضوء لدخول المساجد، لموثّق ابن حكيم،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بإتيان المساجد فإنّها بيوت اللّه تعالى في الأرض، مَن آتاها متطهّراً طهّره اللّه من ذنوبه</w:t>
      </w:r>
      <w:r>
        <w:rPr>
          <w:rFonts w:eastAsia="Amiri" w:cs="Amiri" w:ascii="Amiri" w:hAnsi="Amiri"/>
          <w:color w:val="111111"/>
          <w:sz w:val="28"/>
          <w:szCs w:val="28"/>
          <w:rtl w:val="true"/>
          <w:lang w:bidi="ar-SA"/>
        </w:rPr>
        <w:t>»</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في وجوب التيمّم عند فقد الماء لدخول الجُنُب في المسجد إنْ وجب الدخول المحرّم في نفسه على الجُنُب، كما مرَّ تفصيله في فروع تطهير المسجد، فراجع</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إذا كان جُنُباً وكان الماء في المسجد، هل يجب عليه الاغتسال، ليجب له دخول المسجد، وليجب التيمّم مقدّمةً له، أم لايجب الاغتسال‌؟</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التحقيق عدم وجوب الغُسل عليه في الفرض، وانتقال تكليفه إلى التيمّم، لأنّه لحرمة دخول المسجد على الجُنُب يكون غير واجدٍ للماء شرعاً، والممتنع شرعاً كالممتنع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 المسجد وإنْ كان حراماً للجنب، إلّاأنّه مع فرض عدم الماء إلّا في المسجد، يكون غير واجدٍ للماء بالنسبة إليه، فيكون التيمّم مشروعاً للدخول، ويصير جائزاً، بناءً على ما هو الصحيح من أنّ جميع غايات الغُسل غاياتٌ للتيمّم، كما يقتضيه إطلاق ما دلَّ على البدليّة، كقوله عليه السلام في صحيح حمّاد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وفي صحيح ابن حمران وجميل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w:t>
      </w:r>
      <w:r>
        <w:rPr>
          <w:rStyle w:val="FootnoteAnchor"/>
          <w:rtl w:val="true"/>
        </w:rPr>
        <w:footnoteReference w:id="705"/>
      </w:r>
      <w:r>
        <w:rPr>
          <w:rFonts w:ascii="Amiri" w:hAnsi="Amiri" w:eastAsia="Amiri" w:cs="Amiri"/>
          <w:color w:val="111111"/>
          <w:sz w:val="28"/>
          <w:sz w:val="28"/>
          <w:szCs w:val="28"/>
          <w:rtl w:val="true"/>
          <w:lang w:bidi="ar-SA"/>
        </w:rPr>
        <w:t>وكاشف الغطاء</w:t>
      </w:r>
      <w:r>
        <w:rPr>
          <w:rStyle w:val="FootnoteAnchor"/>
          <w:rtl w:val="true"/>
        </w:rPr>
        <w:footnoteReference w:id="706"/>
      </w:r>
      <w:r>
        <w:rPr>
          <w:rFonts w:ascii="Amiri" w:hAnsi="Amiri" w:eastAsia="Amiri" w:cs="Amiri"/>
          <w:color w:val="111111"/>
          <w:sz w:val="28"/>
          <w:sz w:val="28"/>
          <w:szCs w:val="28"/>
          <w:rtl w:val="true"/>
          <w:lang w:bidi="ar-SA"/>
        </w:rPr>
        <w:t>من منع مشروعيّة التيمّم لدخول المسجدين، واللّبث في المساجد، ومسّ كتابة القرآن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عابِرِي سَبِيلٍ حَتَّى تَغْتَسِلُوا </w:t>
      </w:r>
      <w:r>
        <w:rPr>
          <w:rStyle w:val="FootnoteAnchor"/>
          <w:rtl w:val="true"/>
        </w:rPr>
        <w:footnoteReference w:id="707"/>
      </w:r>
      <w:r>
        <w:rPr>
          <w:rFonts w:ascii="Amiri" w:hAnsi="Amiri" w:eastAsia="Amiri" w:cs="Amiri"/>
          <w:color w:val="111111"/>
          <w:sz w:val="28"/>
          <w:sz w:val="28"/>
          <w:szCs w:val="28"/>
          <w:rtl w:val="true"/>
          <w:lang w:bidi="ar-SA"/>
        </w:rPr>
        <w:t>، لأنّه تعالى غيَّ المكث في المساجد بالاغتسال، ولو أباحه التيمّم لكان أيضاً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مقتضى إطلاق أدلّة البدليّة، كون ما ذُكر غايةً للتيمّم، كما أنّه غايةً للغُسل، وجعل الغُسل غايةً لحرمة المكث، لا ينافي ذلك، لحكومة أدلّة البدليّة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فيجبُ الغُسل للتمكّن منه، ويجب الدخول عليه مقدّمةً له، والتيمّم مقدّمةً للدخول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صحّة التيمّم في الفرض فساده، فإنّه لو تيمّم بما أنّه لا مانع من الوصول إلى الماء، يكون واجداً للماء فيبطل تيمّمه، فصحّة التيمّم مستلزمة لعدمها، وحيثُ أنّ ما يلزم من وجوده عدمه محالٌ‌، فصحّة التيمّم في المقام تصبح ممتنعة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الجُنُب في الفرض وإنْ كان واجداً للماء بالإضافة إلى غير الدخول من الغايات، إلّاأنّه غير واجدٍ له بالإضافة إليه ما لم يغتسل، مع أنّ الوجدان المعلول للتيمّم لا يمكن أنْ يكون علّة لبطلانه، إذ معلول الشيء لا يعقل أن يؤثّر في عدم ذلك الشيء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يعكس ذلك، ويقال إنّ التيمّم لا يؤثّر في الوجدان لكونه علّة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أنّ الوجدان سببٌ لانتقاض التيمّم، لا يمكن الاستدلال به، لعدم حجيّته في المقام، إمّا للتخصيص أو للتخصّص، كما لا يخفى، وعليه فلا معارض لما دلَّ على كون التيمّم في أمثال المقام موجباً لمشروعيّة الدخول، وللوجدان بالنسبة إلى سائر الغايات، فتدبّر فإنّه دقيق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وجوب التيمّم والدخول لأخذ الماء أو الاغتسال فيه</w:t>
      </w:r>
      <w:r>
        <w:rPr>
          <w:rFonts w:eastAsia="Amiri" w:cs="Amiri" w:ascii="Amiri" w:hAnsi="Amiri"/>
          <w:color w:val="111111"/>
          <w:sz w:val="28"/>
          <w:szCs w:val="28"/>
          <w:rtl w:val="true"/>
          <w:lang w:bidi="ar-SA"/>
        </w:rPr>
        <w:t>.</w:t>
      </w:r>
      <w:bookmarkStart w:id="336" w:name="pg11795_115496"/>
    </w:p>
    <w:p>
      <w:pPr>
        <w:pStyle w:val="BookText"/>
        <w:rPr/>
      </w:pPr>
      <w:bookmarkEnd w:id="336"/>
      <w:r>
        <w:rPr>
          <w:rFonts w:ascii="Amiri" w:hAnsi="Amiri" w:eastAsia="Amiri" w:cs="Amiri"/>
          <w:color w:val="111111"/>
          <w:sz w:val="28"/>
          <w:sz w:val="28"/>
          <w:szCs w:val="28"/>
          <w:rtl w:val="true"/>
          <w:lang w:bidi="ar-SA"/>
        </w:rPr>
        <w:t>ويُكرَه ما زاد على سَبع آيات</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0328869_73709187"/>
      <w:bookmarkStart w:id="338" w:name="_Toc127"/>
      <w:bookmarkEnd w:id="337"/>
      <w:r>
        <w:rPr>
          <w:rtl w:val="true"/>
        </w:rPr>
        <w:t>ما يُكرَه على الجُنُب</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الجُنُب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مازاد على سَبع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متضمّنٌ لأحكام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قراءة الجُنُب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الكراهة في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فيما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ممّا لا خلاف فيه، سوى ما نُسب إلى سلّار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من تحريم القراءة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السكوني، عن الإمام الصادق عليه السلام، عن آبائه،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لا يقرءون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والساجد، وفي الكنيف، وفي الحمّام، والجُنُب، والنفساء، والحائض</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سعيد الخُدري، في وصيّته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كان جُنُباً في الفراش مع امرأته، فلا يقرأ القرآن، فإنّي أخشى أن تنزل عليهما نارٌ من السماء فتُحرِقهما</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العمل بهما لمعارضتهما مع النصوص المتقدّمة في حرمة قراءة </w:t>
      </w:r>
    </w:p>
    <w:p>
      <w:pPr>
        <w:pStyle w:val="BookText"/>
        <w:rPr/>
      </w:pPr>
      <w:r>
        <w:rPr>
          <w:rFonts w:ascii="Amiri" w:hAnsi="Amiri" w:eastAsia="Amiri" w:cs="Amiri"/>
          <w:color w:val="111111"/>
          <w:sz w:val="28"/>
          <w:sz w:val="28"/>
          <w:szCs w:val="28"/>
          <w:rtl w:val="true"/>
          <w:lang w:bidi="ar-SA"/>
        </w:rPr>
        <w:t>العزائم على الجُنُب، الصريح في جواز قراءة غيرها، كصحيح زرارة المروي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هل يقرءآن من القرآن شيئاً؟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إلّاالسَّجدة</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ذلك،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التلخيص</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الكراهة، وعن سلّار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يندبُ له أنْ لا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أظهر، لأنّه ممّا يقتضيه الجمع بين خبري السكوني والخُدري المتقدّمين، وبين ما هو صريح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وموافقتهما للعامّة لا توجب حملهما على التقيَّة، لأنّها من مرجّحات إحدى الحجّتين على الاُخرى‌، لا من مميّزات الحجّة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عمل أكثر الأصحاب بهما، يتعيّن طرحهما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عدم إفتائهم بالكراهة، لأجل توهّم معارضتهما مع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الجُنُب هل يقرء القرآن‌؟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سبع آيات</w:t>
      </w:r>
      <w:r>
        <w:rPr>
          <w:rStyle w:val="FootnoteAnchor"/>
          <w:rtl w:val="true"/>
        </w:rPr>
        <w:footnoteReference w:id="715"/>
      </w:r>
      <w:r>
        <w:rPr>
          <w:rFonts w:ascii="Amiri" w:hAnsi="Amiri" w:eastAsia="Amiri" w:cs="Amiri"/>
          <w:color w:val="111111"/>
          <w:sz w:val="28"/>
          <w:sz w:val="28"/>
          <w:szCs w:val="28"/>
          <w:rtl w:val="true"/>
          <w:lang w:bidi="ar-SA"/>
        </w:rPr>
        <w:t>، لا للإعراض عنهما، وحيث أنّه يمكن الجمع بينهما وبينه بالالتزام بثبوت المراتب للكراهة، فلا موجب لرفع اليد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كراهتها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في مجالسه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لا يحجزه عن قراءة القرآن إلّاالجنابة</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المشهور شهرة عظيمة، وعن بعض القدماء وابن البرّاج</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سماعة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بخبر زُرعة،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بينه وبين سبعين آية</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تخصيص العمومات التي كادت تكون صريحة في العموم بالسّبع وما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دلالته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يتعيّن في موارد نقل رواية واحدة بنحوين من إعمال قواعد التعارض، وعليه فيُقدّم الأوّل لأوثقيّة عثمان بن عيسى الذي هو الراوي عن سماعة في الخبر الأوّل عن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في العمومات ليس ما يكون صريحاً في جواز ما زاد على السبع كي لا يمكن تخصيصه، فلاحظ</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سبيل إلى دعواه سوى عدم المفهوم، وهو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ثبوت الكراهة هي الإجماع إنْ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 دعوى عدم إمكان تخصيص العمومات المتضمّنة أنّ الجُنُب والحائض يقرءآن ماشاءا بالسّبع وما دونها، قريبة جدّاً، كما أنّ الالتزام بوحدة الروايتين المرويتين عن سماعة، مع اختلافهما من حيث المتن والراوي عنه خلافُ الأصل، فالجمع بينهما يقتضي الالتزام بكراهة ما زاد على السبع، وحيث أنّ القول بكراهة ما دون السبعين وحرمتها، وما زاد عليها خلاف الإجماع المركّب، فيتعيّن حمل ما ظاهره حرمة السبعين وما زاد عليها أيضاً على الكراهة، غاية الأمر كراهة أغلظ من كراهة ما دونها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النصوص، بعد ردّ بعضها إلى بعض، أنّه يُكره للجُنُب قراءة القرآن مطلقاً، وتشتدّ كراهتها فيما زاد على سبع آيات، وأشدّ من ذلك ما زاد على السبعين بل نفسها، والأحوط ترك قراءتها،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ممّا يكره على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الكتابة منه، كما هو المشهور شهرة عظيمة، بل بلا خلافٍ يُعرف إلّاعن المرتضى</w:t>
      </w:r>
      <w:r>
        <w:rPr>
          <w:rStyle w:val="FootnoteAnchor"/>
          <w:rtl w:val="true"/>
        </w:rPr>
        <w:footnoteReference w:id="719"/>
      </w:r>
      <w:r>
        <w:rPr>
          <w:rFonts w:ascii="Amiri" w:hAnsi="Amiri" w:eastAsia="Amiri" w:cs="Amiri"/>
          <w:color w:val="111111"/>
          <w:sz w:val="28"/>
          <w:sz w:val="28"/>
          <w:szCs w:val="28"/>
          <w:rtl w:val="true"/>
          <w:lang w:bidi="ar-SA"/>
        </w:rPr>
        <w:t>حيث اختار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إبراهيم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المصحف لا تمسّه على غير طُهرٍ ولا جُنُباً ولا خطّه ولا تعلّقه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والحائض يفتحان المصحف من وراء الثياب ويقرءآن</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الآية الشريفة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فمضافاً إلى ما عرفت في مبحث غايات الوضوء</w:t>
      </w:r>
      <w:r>
        <w:rPr>
          <w:rStyle w:val="FootnoteAnchor"/>
          <w:rtl w:val="true"/>
        </w:rPr>
        <w:footnoteReference w:id="723"/>
      </w:r>
      <w:r>
        <w:rPr>
          <w:rFonts w:ascii="Amiri" w:hAnsi="Amiri" w:eastAsia="Amiri" w:cs="Amiri"/>
          <w:color w:val="111111"/>
          <w:sz w:val="28"/>
          <w:sz w:val="28"/>
          <w:szCs w:val="28"/>
          <w:rtl w:val="true"/>
          <w:lang w:bidi="ar-SA"/>
        </w:rPr>
        <w:t xml:space="preserve">من عدم دلالتها على حرمة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الضمير فيها يرجع إلى القرآن لا إلى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فلإجماع الأصحاب على عدم الحرمة، يُحملان على إرادة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رواية إبراهيم قاصرة الدلالة، والصحيح لا ظهور لها في الوجوب، لعدم دلالة الجملة الخبريّة عليه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في مبحث غايات الوضوء تماميّة دلالة خبر إبراهيم، والجملة الخبريّة أظهر في الوجوب من الأمر كما حُقّق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والأكل والشُّرب، إلّابعد المضمضة، والإستنشاق،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ممّا يُكره على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علمائنا، ولم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إلّاعن الصدوق</w:t>
      </w:r>
      <w:r>
        <w:rPr>
          <w:rStyle w:val="FootnoteAnchor"/>
          <w:rtl w:val="true"/>
        </w:rPr>
        <w:footnoteReference w:id="725"/>
      </w:r>
      <w:r>
        <w:rPr>
          <w:rFonts w:ascii="Amiri" w:hAnsi="Amiri" w:eastAsia="Amiri" w:cs="Amiri"/>
          <w:color w:val="111111"/>
          <w:sz w:val="28"/>
          <w:sz w:val="28"/>
          <w:szCs w:val="28"/>
          <w:rtl w:val="true"/>
          <w:lang w:bidi="ar-SA"/>
        </w:rPr>
        <w:t>، ولكن الظاهر أنّه أراد من النهي الكراهة، لا الحرمة، للتعليل بخوف البَرَص، فلا خلاف في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الواردة في المقام، فبعضها وإنْ كان ظاهراً في الحرمة كصحيح الحلبي، عن الإمام الصادق عليه السلام، عن أبيه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جُنُباً لم يأكل ولم يشرب حتّى يتوضّأ</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بقرينة الإجماع على عدم الحرمة المدّعى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والتعليل للنهي في خبر السكوني بخوف الوَضَح</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يورث الفقر</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 ابن بُكير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يأكل ويشرب ويقرأ القرآن‌؟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ويشرب ويقرأ ماشاء</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عليه السلام في صحيح عبد الرحمن في الأكل قبل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لنكسل</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يُحمل النهي فيه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الدليل على الكراهة أيضاً، لأنّ ما وقفتُ عليه من الأخبار هو صحيح عبد الرحمن المتقدّم، وصحيح زرارة الآتي وهما لا يقتضيان الكراهة، بل يدلّان على استحباب الوضوء أو غَسل اليدين خاصّة، أو مع الوجه والمضمضة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تضمّن بعض نصوص الباب النهي، مع أنّ ظاهر صحيح زرارة اشتراط غَسل اليد لجواز الأكل، لا استحباب الغُسل في نفسه، وبعد قيام الدليل على عدم إرادة الحرمة يُحمل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وترتفع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بالوضوء لخبر الحلبي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وبغسل اليدين خاصّة، لصحيح عبد الرحمن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مع المضمضة وغَسل الوجه، لصحيح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إذا أراد أن يأكل ويشرب غَسَل يده وتمضمض وغَسَل وجهه وأكل وشرب</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ذكره المصنّف رحمه الله من كراهة الأكل والشرب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المضمضة والاستنشاق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 في ارتفاع الكراهة بهما، فيشهد له الإجماع المُدّعى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والنُّوم إلّابعد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ممّا يُكره على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إلّابعد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وعن غير واحد</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 الرحمن،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يواقع أهله أينام على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يتوفّى الأنفس في منامها، ولا يدري ما يطرقه من البليَّة، إذا فَرَغ فليغتسل</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عنه عليه السلام،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وهو جُنُب، ولا ينام إلّاعلى طهور</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المحمولان على الكراهة، بقرينة ما هو صريح في عدم الحرمة، كصحيح عُبيد اللّه بن عليّ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أينبغي له أن ينام وهو جُنُب‌؟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يجنب ثمّ يريد النوم‌؟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يتوضّأ فليفعل، والغُسُل أحبُّ إليَّ وأفضل من ذلك، وإنْ هو نام ولم يتوضّأ ولم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يغتسل فليس عليه شيء</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من القول بالحرمة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صحيح عبيد اللّه ارتفاع الكراهة بالمرّة بالوضوء، كما هو ظاهر المشهور، ولاينافيه الموثّق الدالّ على أفضليّة الغُسل، فإنّ أفضليّته إنّما تكون لأجل كونه موجباً للطهارة الكاملة، فيكون النوم في حال كونه متطهّراً الذي هو بنفسه مطلوب للشارع، لا لأنّه يوجبُ رفع الكراهة دون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النصوص، ثبوت الكراهة مطلقاً، سواءٌ أراد العود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قول مولانا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أنام على ذلك حتّى أصبح وذلك أنّي اُريد أن أعود</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إذ من الجائز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الوضوء لا إلى الجنابة، لاسيّما وأنّه يحتمل أنْ يكون صدور هذا الخبر عقيب صحيح الحلبي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فرض كونه إشارة إلى الجنابة، إنّما يدلّ على أنّه عند إرادة العود لم يكن يغتسل بعد الجنابة بلا فصل، بل كان بناءه على النوم حتّى يصبح، ولا يدلّ على أنّه كان ينام من دون أن يتوضّأ كي يتنافى مع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الكراهة بما إذا لم يرد العود،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إنْ لم يجد الماء للوضوء، تيمّم بدلاً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لعموم أدلّة بدليّة التيمّم عن الوضوء عند فقد الماء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أبي بصير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وهو جُنُب، ولا ينام إلّاعلى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طهور، فإنْ لم يجد الماء فليتيمّم بالصعيد</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الوضوء، لما عرفت من ارتفاع الكراهة بالوضوء أيضاً، فمقتضى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رجحان التيمّم بدلاً عن الوضوء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ينام إلّاعلى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مقام بيان أنّ النوم على الطهارة الكاملة الّتي تكون هي الغُسل خاصّة إنْ كان جُنباً، والوضوء إنْ لم يكن جُنُباً مطلوب للشارع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فهو وما بعده المتضمّن للتيمّم أجنبيّان عن المقام، فالعمدة إذاً عموم دليل البدليّة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والخِضاب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المكروهات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بل لم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حيث ذهب إلى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الناهية عنه، كخبر عامر بن جذاعة،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تختضب الحائض ولا الجُنُب، ولا تجنب وعليها خضاب، ولا يختضب وهو جُنُب</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حملها على الكراهة، جمعاً بينها وبين ما هو نصٌّ في الجواز، كموثّق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عليه السلام عن الجُنُب والحائض أيختضبان‌؟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أخبار أبي جميلة</w:t>
      </w:r>
      <w:r>
        <w:rPr>
          <w:rStyle w:val="FootnoteAnchor"/>
          <w:rtl w:val="true"/>
        </w:rPr>
        <w:footnoteReference w:id="746"/>
      </w:r>
      <w:r>
        <w:rPr>
          <w:rFonts w:ascii="Amiri" w:hAnsi="Amiri" w:eastAsia="Amiri" w:cs="Amiri"/>
          <w:color w:val="111111"/>
          <w:sz w:val="28"/>
          <w:sz w:val="28"/>
          <w:szCs w:val="28"/>
          <w:rtl w:val="true"/>
          <w:lang w:bidi="ar-SA"/>
        </w:rPr>
        <w:t>والسَّكوني</w:t>
      </w:r>
      <w:r>
        <w:rPr>
          <w:rStyle w:val="FootnoteAnchor"/>
          <w:rtl w:val="true"/>
        </w:rPr>
        <w:footnoteReference w:id="747"/>
      </w:r>
      <w:r>
        <w:rPr>
          <w:rFonts w:ascii="Amiri" w:hAnsi="Amiri" w:eastAsia="Amiri" w:cs="Amiri"/>
          <w:color w:val="111111"/>
          <w:sz w:val="28"/>
          <w:sz w:val="28"/>
          <w:szCs w:val="28"/>
          <w:rtl w:val="true"/>
          <w:lang w:bidi="ar-SA"/>
        </w:rPr>
        <w:t>وأبي المَغْرا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يُكره للمختضب إجناب نفسه، لخبر عامر المتقدّم، المحمول على الكراهة، جمعاً بينه وبين خبر أبي جميلة، عن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يختضب الجُنُب، أو يجنب المختضب ويَطلى بالنورة</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تختصّ كراهته بما قبل أنْ يثبت اللّون، لخبر أبي سعيد،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أيختضبُ الرجل وهو 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فيجنبُ وهو مختضب‌؟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مكَثَ قليلاً،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ألا أدلّك على شيءٍ تفعله‌؟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اختضبت وأخذ الحنّاء مأخذه وبلغ فحينئذ فجامع</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وبمضمونه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 من المكروهات على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الجماع إذا كانت جنابته بالاحتلام،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وكره أن يغشى الرجل المرأة وقد احتلم، حتّى يغتسل من احتلامه الذي رأى، فإنْ فَعَل وخرج الولد مجنوناً فلا يلومنَّ إلّانفسه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جماعة من الفقهاء ذكروا في عِداد المكروهات أمرين آخرين،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التدهين، واستدلّ له بخبر حَريز،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يُدهن ثمّ يغتسل‌؟ قال عليه السلام لا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النهي لأجل منع الدهن من إيصال الماء إلى البشرة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المُصحف، وعن المحقّق</w:t>
      </w:r>
      <w:r>
        <w:rPr>
          <w:rStyle w:val="FootnoteAnchor"/>
          <w:rtl w:val="true"/>
        </w:rPr>
        <w:footnoteReference w:id="753"/>
      </w:r>
      <w:r>
        <w:rPr>
          <w:rFonts w:ascii="Amiri" w:hAnsi="Amiri" w:eastAsia="Amiri" w:cs="Amiri"/>
          <w:color w:val="111111"/>
          <w:sz w:val="28"/>
          <w:sz w:val="28"/>
          <w:szCs w:val="28"/>
          <w:rtl w:val="true"/>
          <w:lang w:bidi="ar-SA"/>
        </w:rPr>
        <w:t>الاعتراف بعدم الدليل عليه، سوى فتوى جماعة، وعدم ثبوت الكراهة به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كراهة تعليق المصحف في محلّها لخبر إبراهيم المتقدّم المحمول على الكراهة للإجماع على عدم الحرمة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bookmarkStart w:id="339" w:name="pg11795_115509"/>
    </w:p>
    <w:p>
      <w:pPr>
        <w:pStyle w:val="BookText"/>
        <w:rPr/>
      </w:pPr>
      <w:bookmarkEnd w:id="339"/>
      <w:r>
        <w:rPr>
          <w:rFonts w:ascii="Amiri" w:hAnsi="Amiri" w:eastAsia="Amiri" w:cs="Amiri"/>
          <w:color w:val="111111"/>
          <w:sz w:val="28"/>
          <w:sz w:val="28"/>
          <w:szCs w:val="28"/>
          <w:rtl w:val="true"/>
          <w:lang w:bidi="ar-SA"/>
        </w:rPr>
        <w:t>ولو أحَدَث في أثناء الغُسل أعاد</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0328871_73709187"/>
      <w:bookmarkStart w:id="341" w:name="_Toc128"/>
      <w:bookmarkEnd w:id="340"/>
      <w:r>
        <w:rPr>
          <w:rtl w:val="true"/>
        </w:rPr>
        <w:t>مسائل</w:t>
      </w:r>
      <w:r>
        <w:rPr>
          <w:rtl w:val="true"/>
        </w:rPr>
        <w:t>:</w:t>
      </w:r>
      <w:bookmarkEnd w:id="341"/>
    </w:p>
    <w:p>
      <w:pPr>
        <w:pStyle w:val="Heading6"/>
        <w:numPr>
          <w:ilvl w:val="5"/>
          <w:numId w:val="1"/>
        </w:numPr>
        <w:rPr/>
      </w:pPr>
      <w:bookmarkStart w:id="342" w:name="__RefHeading___Toc10328873_73709187"/>
      <w:bookmarkStart w:id="343" w:name="_Toc129"/>
      <w:bookmarkEnd w:id="342"/>
      <w:r>
        <w:rPr>
          <w:rtl w:val="true"/>
        </w:rPr>
        <w:t>الحَدَث الأكبر في أثناء الغُسل</w:t>
      </w:r>
      <w:bookmarkEnd w:id="343"/>
    </w:p>
    <w:p>
      <w:pPr>
        <w:pStyle w:val="Heading6"/>
        <w:numPr>
          <w:ilvl w:val="5"/>
          <w:numId w:val="1"/>
        </w:numPr>
        <w:rPr/>
      </w:pPr>
      <w:bookmarkStart w:id="344" w:name="__RefHeading___Toc10328875_73709187"/>
      <w:bookmarkStart w:id="345" w:name="_Toc130"/>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أحدَثَ في أثناء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بالأكبر، وكان مماثلاً للحَدَث السابق كالجنابة في أثناء غُسلها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كلامٍ‌،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دلَّ على لزوم الغُسل بعد الجنابة، الشاملة لهذه الجنابة المفروضة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مماثلاً له، فالأظهر عدم بطلانه، لإطلاق ما تضمّن الأجزاء والشرائط والموانع للغُسل، كالأدلّة البيانيّة حيث لم يعدّ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يعيد، لما ادّعي من الإجماع على بطلان غُسل الجنابة لو تخلّله الحَدَث الأكبر، ولما عن كتاب عرض المجالس للصدوق،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أحدثَت حَدَثاً من بولٍ أو غائط أو ريحٍ أو منيّ‌</w:t>
      </w:r>
      <w:r>
        <w:rPr>
          <w:rStyle w:val="FootnoteAnchor"/>
          <w:rtl w:val="true"/>
        </w:rPr>
        <w:footnoteReference w:id="755"/>
      </w:r>
      <w:r>
        <w:rPr>
          <w:rFonts w:ascii="Amiri" w:hAnsi="Amiri" w:eastAsia="Amiri" w:cs="Amiri"/>
          <w:color w:val="111111"/>
          <w:sz w:val="28"/>
          <w:sz w:val="28"/>
          <w:szCs w:val="28"/>
          <w:rtl w:val="true"/>
          <w:lang w:bidi="ar-SA"/>
        </w:rPr>
        <w:t>بعدما غَسَلت رأسك، من قبل أنْ تغسل جَسَدك، فأعد الغُسل من أوّله</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 يتعدّى من المنيّ إلى سائر أسباب الحَدَث الأكبر، كالتعدّي من البول وأخويه إلى غيرها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bookmarkStart w:id="346" w:name="pg11795_115510"/>
    </w:p>
    <w:p>
      <w:pPr>
        <w:pStyle w:val="BookText"/>
        <w:rPr/>
      </w:pPr>
      <w:bookmarkEnd w:id="346"/>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غير ثابت، ولعلّ مرادهم على تقدير الثبوت خصوص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عدم حجيّته، لعدم الوقوف على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متضمّنٌ لحكم حدوث الجنابة، والتعدّي إلى غيرها من أقسام الحَدَث الأكبر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بالإتمام، لأنّ الحَدَث المتخلّل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إنّما دلّت على تداخل الأغسال، وأنّه يكفي غُسلٌ واحد عن الجميع، لا على عدم تأثير السبب المتأخّر، بل ظاهرها هو 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البطلان، وعليه فله أن يُتمّه ويأتي بالآخر، وأنْ يستأنف بغُسلٍ واحد لهما، لإطلاق ما دلَّ على تداخل الأغسال</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0328877_73709187"/>
      <w:bookmarkStart w:id="348" w:name="_Toc131"/>
      <w:bookmarkEnd w:id="347"/>
      <w:r>
        <w:rPr>
          <w:rtl w:val="true"/>
        </w:rPr>
        <w:t>الحَدَث الأصغر في أثناء الغُسل</w:t>
      </w:r>
      <w:bookmarkEnd w:id="348"/>
    </w:p>
    <w:p>
      <w:pPr>
        <w:pStyle w:val="BookText"/>
        <w:rPr/>
      </w:pPr>
      <w:r>
        <w:rPr>
          <w:rFonts w:ascii="Amiri" w:hAnsi="Amiri" w:eastAsia="Amiri" w:cs="Amiri"/>
          <w:color w:val="111111"/>
          <w:sz w:val="28"/>
          <w:sz w:val="28"/>
          <w:szCs w:val="28"/>
          <w:rtl w:val="true"/>
          <w:lang w:bidi="ar-SA"/>
        </w:rPr>
        <w:t>وإنْ صار في أثناء الغسل مُحْدِثاً بالحَدَث الأصغر، ففيه قولان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منهم الصدوق</w:t>
      </w:r>
      <w:r>
        <w:rPr>
          <w:rStyle w:val="FootnoteAnchor"/>
          <w:rtl w:val="true"/>
        </w:rPr>
        <w:footnoteReference w:id="757"/>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والمصنّف رحمه الله</w:t>
      </w:r>
      <w:r>
        <w:rPr>
          <w:rStyle w:val="FootnoteAnchor"/>
          <w:rtl w:val="true"/>
        </w:rPr>
        <w:footnoteReference w:id="759"/>
      </w:r>
      <w:r>
        <w:rPr>
          <w:rFonts w:ascii="Amiri" w:hAnsi="Amiri" w:eastAsia="Amiri" w:cs="Amiri"/>
          <w:color w:val="111111"/>
          <w:sz w:val="28"/>
          <w:sz w:val="28"/>
          <w:szCs w:val="28"/>
          <w:rtl w:val="true"/>
          <w:lang w:bidi="ar-SA"/>
        </w:rPr>
        <w:t>والشهيد</w:t>
      </w:r>
      <w:r>
        <w:rPr>
          <w:rStyle w:val="FootnoteAnchor"/>
          <w:rtl w:val="true"/>
        </w:rPr>
        <w:footnoteReference w:id="760"/>
      </w:r>
      <w:r>
        <w:rPr>
          <w:rFonts w:ascii="Amiri" w:hAnsi="Amiri" w:eastAsia="Amiri" w:cs="Amiri"/>
          <w:color w:val="111111"/>
          <w:sz w:val="28"/>
          <w:sz w:val="28"/>
          <w:szCs w:val="28"/>
          <w:rtl w:val="true"/>
          <w:lang w:bidi="ar-SA"/>
        </w:rPr>
        <w:t>والوحيد وغيرهم،</w:t>
      </w:r>
      <w:r>
        <w:rPr>
          <w:rStyle w:val="FootnoteAnchor"/>
          <w:rtl w:val="true"/>
        </w:rPr>
        <w:footnoteReference w:id="761"/>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ببطلان الغُسل، ولزوم استئنافه، والاكتفاء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بخبر عرض المجالس المتقدّم، 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دليل على رافعيّة الغُسل المتخلّل بالحَدَث للجنابة، فيستصحب أثرها إلى أن يتحقّق المزيل، ومقتضى هذا الاستصحاب أيضاً الاجتزاء بالغُسل عَقيب الحَدَث عن الوضوء، كاستصحاب الجنابة عند الشكّ في تحقّق الغُسل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 تأخّر الحَدَث عن الغُسل، لأبطل إباحته للصلاة، فللبعض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 سند الخبرين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الانجبار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اعتمادهم عليهما، بل ظاهر كلماتهم العدم، بل عن جماعةٍ منهم التصريح بعدم العثور على خبر عرض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مقتضى إطلاق أدلّة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رافعيّة المتخلّل بالحَدَث الأصغر للجنابة، ومعه لا وجه للرجوع إلى الاستصحاب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الحَدَث بعد الغُسل وإنْ كان ناقضاً لإباحته للصلاة، إلّاأنّه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نقضٌ بلحاظ الحَدَث الأصغر، وعليه فلو تمت الأولويّة، لاقتضت كون الحَدَث الواقع في الأثناء، كالواقع بعد الغُسل، موجباً لوجوب الوضوء لا بطلان الغُسل، فالقول بالبطلان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الحلّي</w:t>
      </w:r>
      <w:r>
        <w:rPr>
          <w:rStyle w:val="FootnoteAnchor"/>
          <w:rtl w:val="true"/>
        </w:rPr>
        <w:footnoteReference w:id="765"/>
      </w:r>
      <w:r>
        <w:rPr>
          <w:rFonts w:ascii="Amiri" w:hAnsi="Amiri" w:eastAsia="Amiri" w:cs="Amiri"/>
          <w:color w:val="111111"/>
          <w:sz w:val="28"/>
          <w:sz w:val="28"/>
          <w:szCs w:val="28"/>
          <w:rtl w:val="true"/>
          <w:lang w:bidi="ar-SA"/>
        </w:rPr>
        <w:t>والمحقّق الثاني</w:t>
      </w:r>
      <w:r>
        <w:rPr>
          <w:rStyle w:val="FootnoteAnchor"/>
          <w:rtl w:val="true"/>
        </w:rPr>
        <w:footnoteReference w:id="766"/>
      </w:r>
      <w:r>
        <w:rPr>
          <w:rFonts w:ascii="IRNazanin" w:hAnsi="IRNazanin" w:eastAsia="IRNazanin"/>
          <w:color w:val="111111"/>
          <w:sz w:val="28"/>
          <w:sz w:val="28"/>
          <w:szCs w:val="28"/>
          <w:rtl w:val="true"/>
          <w:lang w:bidi="fa-IR"/>
        </w:rPr>
        <w:t>والمحقّق الداماد</w:t>
      </w:r>
      <w:r>
        <w:rPr>
          <w:rStyle w:val="FootnoteAnchor"/>
          <w:rtl w:val="true"/>
        </w:rPr>
        <w:footnoteReference w:id="767"/>
      </w:r>
      <w:r>
        <w:rPr>
          <w:rFonts w:ascii="Amiri" w:hAnsi="Amiri" w:eastAsia="Amiri" w:cs="Amiri"/>
          <w:color w:val="111111"/>
          <w:sz w:val="28"/>
          <w:sz w:val="28"/>
          <w:szCs w:val="28"/>
          <w:rtl w:val="true"/>
          <w:lang w:bidi="ar-SA"/>
        </w:rPr>
        <w:t>والفاضل الخراساني</w:t>
      </w:r>
      <w:r>
        <w:rPr>
          <w:rStyle w:val="FootnoteAnchor"/>
          <w:rtl w:val="true"/>
        </w:rPr>
        <w:footnoteReference w:id="768"/>
      </w:r>
      <w:r>
        <w:rPr>
          <w:rFonts w:ascii="Amiri" w:hAnsi="Amiri" w:eastAsia="Amiri" w:cs="Amiri"/>
          <w:color w:val="111111"/>
          <w:sz w:val="28"/>
          <w:sz w:val="28"/>
          <w:szCs w:val="28"/>
          <w:rtl w:val="true"/>
          <w:lang w:bidi="ar-SA"/>
        </w:rPr>
        <w:t>من أنّه يتمّه، ويقتصر عليه ولا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صحّة الغُسل لما ستعرف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أثر للحَدَث الأصغر مع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أنّه لا وضوء مع غُسل الجنابة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جواز تفريق الغُسل، كخبر اُمّ إسماعيل</w:t>
      </w:r>
      <w:r>
        <w:rPr>
          <w:rStyle w:val="FootnoteAnchor"/>
          <w:rtl w:val="true"/>
        </w:rPr>
        <w:footnoteReference w:id="770"/>
      </w:r>
      <w:r>
        <w:rPr>
          <w:rFonts w:ascii="Amiri" w:hAnsi="Amiri" w:eastAsia="Amiri" w:cs="Amiri"/>
          <w:color w:val="111111"/>
          <w:sz w:val="28"/>
          <w:sz w:val="28"/>
          <w:szCs w:val="28"/>
          <w:rtl w:val="true"/>
          <w:lang w:bidi="ar-SA"/>
        </w:rPr>
        <w:t>، والخبر الوارد عن أمير المؤمنين عليه السلام</w:t>
      </w:r>
      <w:r>
        <w:rPr>
          <w:rStyle w:val="FootnoteAnchor"/>
          <w:rtl w:val="true"/>
        </w:rPr>
        <w:footnoteReference w:id="771"/>
      </w:r>
      <w:r>
        <w:rPr>
          <w:rFonts w:ascii="Amiri" w:hAnsi="Amiri" w:eastAsia="Amiri" w:cs="Amiri"/>
          <w:color w:val="111111"/>
          <w:sz w:val="28"/>
          <w:sz w:val="28"/>
          <w:szCs w:val="28"/>
          <w:rtl w:val="true"/>
          <w:lang w:bidi="ar-SA"/>
        </w:rPr>
        <w:t>في جواز التفريق ولو إلى الظهر أو بعده، فإنّهما صريحان في عدم البأس بالحَدَث لإستبعاد عدم التخلّل 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وباستصحاب عدم قابليّة الحَدَث للتأثير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هذه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الإجماع، أو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ثبوته في المقام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هي إلّاالنصوص الدالّة على أنّ الغسل يرفع كلّ حَدَثٍ قارنَ الجنابة، ومفادها متّحدٌ مع النصوص الدالّة على أنّه لا وضوء مع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النصوص الدالّة على وجوب الوضوء عقيب الحَدَث الأصغر مطلقاً، وبين هاتين الطائفتين من النصوص، يقتضي الالتزام بعدم تأثير أسباب الوضوء الحادثة قبل الجنابة أو بعدها قبل الاغتسال في 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الأسباب الحادثة في أثناء الغُسل، فهي داخلة تحت النصوص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يظهر الجواب عمّا قيل من أنّ عموم سببيّة كلّ فردٍ من الأسباب للوضوء، مخالفٌ للإجماع والأخبار، مضافاً إلى أنّ ما دلَّ على وجوب الوضوء بعد الحَدَث الواقع بعد الغُسل، يدلّ على انتقاض الغسل بتمام أجزائه بالحَدَث الأصغر، فكلّ جزءٍ منه يكون منتقضاً به، وعليه فإذا وقع في الأثناء، كان مقتضى هذا الدليل انتقاض الأجزاء السابقة عليه، فيجب الوضوء لذلك،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يدلّ على الصحّة، وليس في مقام بيان إباحته للصلاة حتّى يتمسّك بإطلاقه،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مجال للرجوع إلى الاستصحاب مع وجود الدليل، وهو عموم ما دلَّ على وجوب الوضوء بعد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وجوب الوضوء على تقدير القول بصحّة الغُسل، كما هو الأقوى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للصحّة النصوص الدالّة على جواز تفريق الغُسل بالتقريب </w:t>
      </w:r>
    </w:p>
    <w:p>
      <w:pPr>
        <w:pStyle w:val="BookText"/>
        <w:rPr/>
      </w:pPr>
      <w:r>
        <w:rPr>
          <w:rFonts w:ascii="Amiri" w:hAnsi="Amiri" w:eastAsia="Amiri" w:cs="Amiri"/>
          <w:color w:val="111111"/>
          <w:sz w:val="28"/>
          <w:sz w:val="28"/>
          <w:szCs w:val="28"/>
          <w:rtl w:val="true"/>
          <w:lang w:bidi="ar-SA"/>
        </w:rPr>
        <w:t>المتقدّم، والأخبار البيانيّة المتكفّلة لبيان الأجزاء والشرائط والموانع غير المتعرّضة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منها، عدم مانعيّته من الغُسل، بمعنى عدم كون عدمه من الاُمور المعتبرة فيه، وهو ممّا لا كلام فيه، إنّما الكلام في كونه ناقضاً له، والأخبار البيانيّة لا تدلّ على عدم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بالناقضيّة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صيرورته موجباً لرفع الهيئة الاتّصاليّة الثابتة للغُسل، المعبَّر عنها بالصورة الغُسليّة، فهي تتوقّف على ثبوت تلك الهيئة للغُسل، وحيث لا دليل عليه، بل مقتضى الأدلّة العدم، فاحتمالها يدفع بتلك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بها كونه موجباً لرفع أثر الغُسل، فيدفع احتمالها باستصحاب عدم جعل الناقضيّة له، ويثبت به عدم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ناقضيّته له لا منشأ له سوى ما دلَّ على سببيّة الحَدَث الأصغر للوضوء، بل لا أتصوّر لها معنىً معقولاً، بعد العلم بعدم كونه من أسباب وجوب الغُسل، وعدم كون عدمه ممّا يعتبر فيه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فبما أنّ ذلك الدليل لا يقتضي أزيد من وجوب الوضوء في الفرض، فلا مورد لاحتمال الناقضيّة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عمّا ذكرناه، وسلّمنا عدم الدليل على مانعيّته، يتعيّن الرجوع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المختار من كون الطهارة عنواناً منطبقاً على الغُسل فواضح</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مسلك المشهور، من كونها أثراً حاصلاً منه، فلما حقّقناه في محلّه من جريان البراءة في الشكّ في المحصّل، إذا كان بيانه وظيفة الشارع كما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اختاره عَلَم الهُدى</w:t>
      </w:r>
      <w:r>
        <w:rPr>
          <w:rStyle w:val="FootnoteAnchor"/>
          <w:rtl w:val="true"/>
        </w:rPr>
        <w:footnoteReference w:id="77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774"/>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xml:space="preserve">، وسبطه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والبهائي</w:t>
      </w:r>
      <w:r>
        <w:rPr>
          <w:rStyle w:val="FootnoteAnchor"/>
          <w:rtl w:val="true"/>
        </w:rPr>
        <w:footnoteReference w:id="777"/>
      </w:r>
      <w:r>
        <w:rPr>
          <w:rFonts w:ascii="IRNazanin" w:hAnsi="IRNazanin" w:eastAsia="IRNazanin"/>
          <w:color w:val="111111"/>
          <w:sz w:val="28"/>
          <w:sz w:val="28"/>
          <w:szCs w:val="28"/>
          <w:rtl w:val="true"/>
          <w:lang w:bidi="fa-IR"/>
        </w:rPr>
        <w:t>، ووالده</w:t>
      </w:r>
      <w:r>
        <w:rPr>
          <w:rStyle w:val="FootnoteAnchor"/>
          <w:rtl w:val="true"/>
        </w:rPr>
        <w:footnoteReference w:id="778"/>
      </w:r>
      <w:r>
        <w:rPr>
          <w:rFonts w:ascii="Amiri" w:hAnsi="Amiri" w:eastAsia="Amiri" w:cs="Amiri"/>
          <w:color w:val="111111"/>
          <w:sz w:val="28"/>
          <w:sz w:val="28"/>
          <w:szCs w:val="28"/>
          <w:rtl w:val="true"/>
          <w:lang w:bidi="ar-SA"/>
        </w:rPr>
        <w:t>، وكاشف اللّثام</w:t>
      </w:r>
      <w:r>
        <w:rPr>
          <w:rStyle w:val="FootnoteAnchor"/>
          <w:rtl w:val="true"/>
        </w:rPr>
        <w:footnoteReference w:id="779"/>
      </w:r>
      <w:r>
        <w:rPr>
          <w:rFonts w:ascii="Amiri" w:hAnsi="Amiri" w:eastAsia="Amiri" w:cs="Amiri"/>
          <w:color w:val="111111"/>
          <w:sz w:val="28"/>
          <w:sz w:val="28"/>
          <w:szCs w:val="28"/>
          <w:rtl w:val="true"/>
          <w:lang w:bidi="ar-SA"/>
        </w:rPr>
        <w:t>، والعلّامة الطباطبائي</w:t>
      </w:r>
      <w:r>
        <w:rPr>
          <w:rStyle w:val="FootnoteAnchor"/>
          <w:rtl w:val="true"/>
        </w:rPr>
        <w:footnoteReference w:id="780"/>
      </w:r>
      <w:r>
        <w:rPr>
          <w:rFonts w:ascii="Amiri" w:hAnsi="Amiri" w:eastAsia="Amiri" w:cs="Amiri"/>
          <w:color w:val="111111"/>
          <w:sz w:val="28"/>
          <w:sz w:val="28"/>
          <w:szCs w:val="28"/>
          <w:rtl w:val="true"/>
          <w:lang w:bidi="ar-SA"/>
        </w:rPr>
        <w:t>، والمقدّس الأردبيلي</w:t>
      </w:r>
      <w:r>
        <w:rPr>
          <w:rStyle w:val="FootnoteAnchor"/>
          <w:rtl w:val="true"/>
        </w:rPr>
        <w:footnoteReference w:id="781"/>
      </w:r>
      <w:r>
        <w:rPr>
          <w:rFonts w:ascii="Amiri" w:hAnsi="Amiri" w:eastAsia="Amiri" w:cs="Amiri"/>
          <w:color w:val="111111"/>
          <w:sz w:val="28"/>
          <w:sz w:val="28"/>
          <w:szCs w:val="28"/>
          <w:rtl w:val="true"/>
          <w:lang w:bidi="ar-SA"/>
        </w:rPr>
        <w:t>، وغيرهم، من أنّه يتمّه ويتوضّأ للصلاة، هو الأظهر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49" w:name="pg11795_115516"/>
    </w:p>
    <w:p>
      <w:pPr>
        <w:pStyle w:val="Heading6"/>
        <w:numPr>
          <w:ilvl w:val="5"/>
          <w:numId w:val="1"/>
        </w:numPr>
        <w:rPr/>
      </w:pPr>
      <w:bookmarkStart w:id="350" w:name="__RefHeading___Toc10328879_73709187"/>
      <w:bookmarkStart w:id="351" w:name="_Toc132"/>
      <w:bookmarkEnd w:id="349"/>
      <w:bookmarkEnd w:id="350"/>
      <w:r>
        <w:rPr>
          <w:rtl w:val="true"/>
        </w:rPr>
        <w:t>الحَدَث في أثناء الأغسال المستحبّة</w:t>
      </w:r>
      <w:bookmarkEnd w:id="351"/>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فيها عن الحَدَث الأصغر في أثناء الأغسال المستحبّة وأنّه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يكون مبطلاً لها مطلقاً أم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يجب التفصيل بين الغُسل لفعلٍ كدخول مكّة والزيارة ونحوهما فيبطل، وبين غيره فلا؟</w:t>
      </w:r>
    </w:p>
    <w:p>
      <w:pPr>
        <w:pStyle w:val="BookText"/>
        <w:rPr/>
      </w:pPr>
      <w:r>
        <w:rPr>
          <w:rFonts w:ascii="Amiri" w:hAnsi="Amiri" w:eastAsia="Amiri" w:cs="Amiri"/>
          <w:color w:val="111111"/>
          <w:sz w:val="28"/>
          <w:sz w:val="28"/>
          <w:szCs w:val="28"/>
          <w:rtl w:val="true"/>
          <w:lang w:bidi="ar-SA"/>
        </w:rPr>
        <w:t>وجوهٌ وأقوال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للبطلان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الرجل يغتسل لدخول مكّة، ثمّ ينام فيتوضّأ قبل أنْ يدخل أيجزؤه ذلك أو يعيده‌؟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يجزؤه لأنّه إنّما دخل بوضوء</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غُسل الزيارة يغتَسل الرّجل باللّيل ويزور باللّيل بغُسلٍ واحد، أيجزؤه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يجزؤه ما لم يحدث، فإنْ أحدثَ فليعد غُسله باللّيل</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سويد، عن أبي الحسن عليه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يغتسل للإحرام، ثمّ ينام قبل أنْ يحرم‌؟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إعادة الغسل</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وإنْ كان خصوص دخول مكّة والإحرام والزيارة، إلّاأنّه يتعدّى إلى غيرها من الأغسال المستحبّة لإتيان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في صحيح ابن الحجّاج، ولما عن بعض الأكابر نسبته إلى الأصحاب، ولا يعارضها صحيح العيص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يغتسل للإحرام بالمدينة، ويلبس ثوبين، ثمّ ينام قبل أنْ يحرم‌؟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لإعراض الأصحاب عنه، إذ لم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انتقاض الأغسال التي اعتبرت مقارنتها لفعل بالنوم إلّاعن الحِلّي رحمه الله</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هذه النصوص وإنْ دلّت على انتقاضها بالنوم الواقع عقيبها، إلّاأنّه قد عرفت أنّ من لوازم الانتقاض بالمتأخّر، الانتقاض بالواقع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المختار من عدم اختصاص ذلك بالنوم، وشموله لغيره من الأحداث، كما هو مقتضى إطلاق موثّق إسحاق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نُسب إلى المشهور من الاختصاص، فحكم سائر الأحداث الواقعة في أثناء الغُسل حُكم الأحداث الواقعة في أثناء الأغسال التي لم يُؤمر بها لفعل، والأقوى فيها عدم الانتقاض، إذ لا دليل عليه، فيتعيّن الرجوع إلى أصالة عدم الناقضيّة المقتضية للصحّة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الاستدلال له بما عن المصابيح</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أنّه لا يُعاد شيء منها بالحَدَث، بدعوى أنّه إذا كان لا يُعاد بالحَدَث بعده، ففي أثنائه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الحكم بعدم الإعادة، يكون من جهة أنّ المطلوب صِرْف وجوب الكون على الغُسل، الصادق على آن حدوثه، وإنْ انتقضَ بعد ذلك فهو لا يدلّ على عدم الانتقاض كي يتمسّك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أنّه لا يصحّ الاستدلال له بخبر بُكير، عن الإمام الصادق عليه السلام في الغُسل في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نام بعد الغُسل‌؟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غُسل الجمعة إذا اغتسلت بعد الفجر أجزأك</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للانتقاض به بالنصوص المتقدّمة، الظاهرة في انتقاض الغُسل لدخول مكّة أو للإحرام أو للزيارة بالحَدَث، لاسيّما صحيح ابن الحجّاج، بدعوى ظهورها في المفروغيّة عن انتقاض الغُسل في نفسه بالحَدَث الأصغر، وأنّ وجوب الإعادة لاعتبار وقوع الفعل على حالة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ظهورها في المفروغيّة عن الانتقاض، بل ظاهر السؤال عن الاجتزاء وعدمه، ولا أقلّ من المحتمل كونهم شاكّين في الانتقاض وعدمه، وجوابهم عليهم السلام الدالّ على الانتقاض مختصٌّ بموارد خاصّة، والتعدّي عنها إلى ما لا يماثلها يحتاج إلى دليلٍ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الانتقاض به، وسيأتي بقيَّة الكلام في ذلك في الأغسال المسنونة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52" w:name="pg11795_115519"/>
    </w:p>
    <w:p>
      <w:pPr>
        <w:pStyle w:val="Heading6"/>
        <w:numPr>
          <w:ilvl w:val="5"/>
          <w:numId w:val="1"/>
        </w:numPr>
        <w:rPr/>
      </w:pPr>
      <w:bookmarkStart w:id="353" w:name="__RefHeading___Toc10328881_73709187"/>
      <w:bookmarkStart w:id="354" w:name="_Toc133"/>
      <w:bookmarkEnd w:id="352"/>
      <w:bookmarkEnd w:id="353"/>
      <w:r>
        <w:rPr>
          <w:rtl w:val="true"/>
        </w:rPr>
        <w:t>حكم اجتماع الأغسال المتعدّدة على المكلّف</w:t>
      </w:r>
      <w:bookmarkEnd w:id="354"/>
    </w:p>
    <w:p>
      <w:pPr>
        <w:pStyle w:val="Heading6"/>
        <w:numPr>
          <w:ilvl w:val="5"/>
          <w:numId w:val="1"/>
        </w:numPr>
        <w:rPr/>
      </w:pPr>
      <w:bookmarkStart w:id="355" w:name="__RefHeading___Toc10328883_73709187"/>
      <w:bookmarkStart w:id="356" w:name="_Toc134"/>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على المكلّف أغسال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تكون جميعها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تكون جميعها 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بعضها واجباً وبعضها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إمّا أن ينوي الجميع، أو ينوي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نوى الجميع، وكانت كلّها واجبة، كفى عن الجميع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الحَدَث الأكبر كالأصغر أمرٌ وحداني لا يتكرّر بتكرّر أسبابه، باعتبار أنّ الحَدَث الحاصل من الحيض بعينه هو الحَدَث الحاصل من الجنابة أو من غيرها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تمّ بالنسبة إلى المتّحد بالنوع، كما لو أجنب مرّتين لما ذكرناه في مبحث الوضوء،</w:t>
      </w:r>
      <w:r>
        <w:rPr>
          <w:rStyle w:val="FootnoteAnchor"/>
          <w:rtl w:val="true"/>
        </w:rPr>
        <w:footnoteReference w:id="789"/>
      </w:r>
      <w:r>
        <w:rPr>
          <w:rFonts w:ascii="Amiri" w:hAnsi="Amiri" w:eastAsia="Amiri" w:cs="Amiri"/>
          <w:color w:val="111111"/>
          <w:sz w:val="28"/>
          <w:sz w:val="28"/>
          <w:szCs w:val="28"/>
          <w:rtl w:val="true"/>
          <w:lang w:bidi="ar-SA"/>
        </w:rPr>
        <w:t>لكنّه لا يتمّ بالنسبة إلى المتعدّد الذي هو محلّ الكلام، لكونه خلاف ظاهر أدلّة السببيّة، فإنّها ظاهرة في كون كلّ واحدٍ سبباً مستقلّاً في تأثيره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لما عن بعضٍ‌</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وحدة طبيعة الغُسل، وتاثيره في إزالة جنس الحَدَث </w:t>
      </w:r>
    </w:p>
    <w:p>
      <w:pPr>
        <w:pStyle w:val="BookText"/>
        <w:rPr/>
      </w:pPr>
      <w:r>
        <w:rPr>
          <w:rFonts w:ascii="Amiri" w:hAnsi="Amiri" w:eastAsia="Amiri" w:cs="Amiri"/>
          <w:color w:val="111111"/>
          <w:sz w:val="28"/>
          <w:sz w:val="28"/>
          <w:szCs w:val="28"/>
          <w:rtl w:val="true"/>
          <w:lang w:bidi="ar-SA"/>
        </w:rPr>
        <w:t>مطلقاً، واحداً كان أو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أيضاً خلاف الظاهر، لأنّ ظاهر الأدلّة سببيّة كلّ واحدٍ لغُسلٍ‌، وحدوث الجزاء عند حدوث الشرط، فالقول بالتداخل يستلزم رفع اليد عن هذا الظهور، وحمل الكلام على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بتصادق الأغسال المتعدّدة المسبّبة عن الأسباب المتكثّرة في الفرد الخارجي الواقع امتثالاً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تداخل المسبّبات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كموثّق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يواقعها زوجها، ثمّ تحيض قبل أنْ تغتسل‌؟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تَغتَسل فَعَلت، وإنْ لم تفعل فلا شيء عليها، فإذا طَهُرت اغتَسَلت غُسلاً واحداً للحيض والجنابة</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مات وهو جُنُبٌ كيف يغسل‌؟ وما يُجزيه من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غُسلاً واحداً، يجزي ذلك للجنابة ولغُسل الميّت، لأنّهما حرمتان اجتمعتا في حرمة واحدة</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بعد طلوع الفجر أجزأك غُسلك ذلك للجنابة والجمعة وعرفة والنَّحر والحَلق والذَّبح والزيارة، فإذا اجتمَعَت للّه عليك حقوقٌ أجزأك عنها غُسلٌ واحد، وكذلك المرأة يجزؤها غُسلٌ واحد لجنابتها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وإحرامها وجمعتها وغُسلها من حيضها وعيدها</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شهاب بن عبد ربّه،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غَسّل ميّتاً ثمّ توضّأ ثمّ أتى أهله يُجزيه غُسلٌ واحد لهما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وهي جُنُبٌ‌، أجزأها غُسل واحد</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اجتمَعَت للّه عليك 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796"/>
      </w:r>
      <w:r>
        <w:rPr>
          <w:rFonts w:ascii="Amiri" w:hAnsi="Amiri" w:eastAsia="Amiri" w:cs="Amiri"/>
          <w:color w:val="111111"/>
          <w:sz w:val="28"/>
          <w:sz w:val="28"/>
          <w:szCs w:val="28"/>
          <w:rtl w:val="true"/>
          <w:lang w:bidi="ar-SA"/>
        </w:rPr>
        <w:t>هو الاجتزاء بغُسلٍ واحد، وإنْ لم يكن من جملة تلك الأغسال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كلّها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فالمنسوب إلى المشهور أيضاً ذلك، ويشهد له إطلاق صحيح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الظاهر من الحقوق هي الواجبة ممنوعة، بل الصحيح بقرينة صدره وذيله المتضمّنين لغير الواجب كغُسل الجمعة، صريحٌ في إرادة الأعمّ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عثمان بن يزيد،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بعد الفجر، كفاه غُسله إلى اللّيل في كلّ موضع يجب فيه الغُسل، ومَنْ اغتسل ليلاً كفاه غُسله إلى طلوع الفجر</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يدلّ على هذا القول، لعدم التعرّض فيه لتعدّد الغُسل، بل هو في مقام بيان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تأخير إيقاع الغاية التي اغتسل لها، وعدم لزوم المبادرة إليها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هو الاجتزاء بغُسلٍ واحد،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99"/>
      </w:r>
      <w:r>
        <w:rPr>
          <w:rFonts w:ascii="Amiri" w:hAnsi="Amiri" w:eastAsia="Amiri" w:cs="Amiri"/>
          <w:color w:val="111111"/>
          <w:sz w:val="28"/>
          <w:sz w:val="28"/>
          <w:szCs w:val="28"/>
          <w:rtl w:val="true"/>
          <w:lang w:bidi="ar-SA"/>
        </w:rPr>
        <w:t>من العدم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ما لو كان بعضها واجباً وبعضها مستحبّاً، وأنّ الأظهر فيه أيضاً الصحّة، كما عن ظاهر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01"/>
      </w:r>
      <w:r>
        <w:rPr>
          <w:rFonts w:ascii="IRNazanin" w:hAnsi="IRNazanin" w:eastAsia="IRNazanin"/>
          <w:color w:val="111111"/>
          <w:sz w:val="28"/>
          <w:sz w:val="28"/>
          <w:szCs w:val="28"/>
          <w:rtl w:val="true"/>
          <w:lang w:bidi="fa-IR"/>
        </w:rPr>
        <w:t xml:space="preserve">، 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اجتماع الوجوب والندب في شيء فيمتنع نيّتهما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الواحد الذي تنطبق عليه عناوين متكثّرة، كلّ واحدٍ منها متعلّقٌ لأمر وجوبي أو ندبي، يكون لا محالة متعلّقاً لأمرٍ واحد مؤكّد، فقصد تلك العناوين لا يكون قصداً للوجوب والندب معاً كي يكون ذلك ممتنعاً، بل يكون قصداً لذلك الأمر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الغُسل والإجزاء عن الجميع في جميع موارد التعدّد إذا قصد الجميع</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57" w:name="pg11795_115523"/>
    </w:p>
    <w:p>
      <w:pPr>
        <w:pStyle w:val="Heading6"/>
        <w:numPr>
          <w:ilvl w:val="5"/>
          <w:numId w:val="1"/>
        </w:numPr>
        <w:rPr/>
      </w:pPr>
      <w:bookmarkStart w:id="358" w:name="__RefHeading___Toc10328885_73709187"/>
      <w:bookmarkStart w:id="359" w:name="_Toc135"/>
      <w:bookmarkEnd w:id="357"/>
      <w:bookmarkEnd w:id="358"/>
      <w:r>
        <w:rPr>
          <w:rtl w:val="true"/>
        </w:rPr>
        <w:t>في استغناء المغتسل عن الوضوء</w:t>
      </w:r>
      <w:bookmarkEnd w:id="35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لا حاجة إلى الوضوء مطلقاً، بناءً على ما هو الحقّ من إغناء كلّ غسلٍ عن الوضوء، وسيجئ الكلام فيه في آخر مبحث الحيض</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وأمّا بناءً على المشهور من عدم إغناء غَير غُسل الجنابة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في الأغسال المتداخلة غُسلُ الجنابة، وجب الوضوء بلا ريب، لإطلاق دليل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يكن منها ما يكون رافعاً للحَدَث الأكبر غير الجنابة، كما لو اغتسل للجنابة والجمعة، فحينئذٍ لا حاجة إلى الوضوء كما لا يخفى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 منها ذلك أيضاً، كما لو اغتسلت المرأة للجنابة والحيض، ففي وجوب الوضوء وعدمه وجهان، بل قولان، نسب ثانيهما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منشأ هذا الاختلاف، الخلاف في أنّ الأحداث الكبيرة الاُخر كالحيض هل ترتفع بالغُسل، وأنّ الوضوء ليس شرطاً في حصول الطهارة من الأكبر، بل هو شرط في حصول الطهارة من الأكبر والأصغر معاً كما هو المشهور شهرة عظيمة‌؟</w:t>
      </w:r>
    </w:p>
    <w:p>
      <w:pPr>
        <w:pStyle w:val="BookText"/>
        <w:rPr/>
      </w:pPr>
      <w:r>
        <w:rPr>
          <w:rFonts w:ascii="Amiri" w:hAnsi="Amiri" w:eastAsia="Amiri" w:cs="Amiri"/>
          <w:color w:val="111111"/>
          <w:sz w:val="28"/>
          <w:sz w:val="28"/>
          <w:szCs w:val="28"/>
          <w:rtl w:val="true"/>
          <w:lang w:bidi="ar-SA"/>
        </w:rPr>
        <w:t>أو أنّها لا ترتفع إلّابالوضوء والغُسل معاً؟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الوضوء في المقام، لما دلَّ على أنّ غُسل الجنابة كما يرفع الأكبر يرفع الحَدَث الأصغر، أو أنّ الحَدَث الأصغر لا يجتمع مع الجنابة، وهي النصوص الدالّة على أنّ غسل الجنابة لا وضوء معه لا قبله ولا بعده</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الوضوء، لعدم الدليل على أنّ غُسل الجنابة يترتّب عليه كلّ ما يترتّب على الوضوء، حتّى ارتفاع الأحداث الكبيرة الاُخر، ولكن بما أنّ الصحيح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الحاجة إلى الوضوء</w:t>
      </w:r>
      <w:r>
        <w:rPr>
          <w:rFonts w:eastAsia="Amiri" w:cs="Amiri" w:ascii="Amiri" w:hAnsi="Amiri"/>
          <w:color w:val="111111"/>
          <w:sz w:val="28"/>
          <w:szCs w:val="28"/>
          <w:rtl w:val="true"/>
          <w:lang w:bidi="ar-SA"/>
        </w:rPr>
        <w:t>.</w:t>
      </w:r>
      <w:bookmarkStart w:id="360" w:name="pg11795_115525"/>
    </w:p>
    <w:p>
      <w:pPr>
        <w:pStyle w:val="Heading6"/>
        <w:numPr>
          <w:ilvl w:val="5"/>
          <w:numId w:val="1"/>
        </w:numPr>
        <w:rPr/>
      </w:pPr>
      <w:bookmarkStart w:id="361" w:name="__RefHeading___Toc10328887_73709187"/>
      <w:bookmarkStart w:id="362" w:name="_Toc136"/>
      <w:bookmarkEnd w:id="360"/>
      <w:bookmarkEnd w:id="361"/>
      <w:r>
        <w:rPr>
          <w:rtl w:val="true"/>
        </w:rPr>
        <w:t>حصول امتثال جميع الأغسال لو نوى واحداً منها</w:t>
      </w:r>
      <w:bookmarkEnd w:id="3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نوى واحداً من الأغسال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المنويّ هو غُسل الجنابة، وكان الجميع واجباً، فالمشهور بين الأصحاب أنّه يكفي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803"/>
      </w:r>
      <w:r>
        <w:rPr>
          <w:rFonts w:ascii="Amiri" w:hAnsi="Amiri" w:eastAsia="Amiri" w:cs="Amiri"/>
          <w:color w:val="111111"/>
          <w:sz w:val="28"/>
          <w:sz w:val="28"/>
          <w:szCs w:val="28"/>
          <w:rtl w:val="true"/>
          <w:lang w:bidi="ar-SA"/>
        </w:rPr>
        <w:t>والمحقّق</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الحَدَث الذي هو عبارة عن النجاسة الحكميّة، متّحدٌ وإنْ تعدّدت أسبابه، فإذا نوى ارتفاعه بالسبب الأقوى ارتفع بالإضافة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لِلّه عليك حقوقٌ‌</w:t>
      </w:r>
      <w:r>
        <w:rPr>
          <w:rFonts w:eastAsia="Amiri" w:cs="Amiri" w:ascii="Amiri" w:hAnsi="Amiri"/>
          <w:color w:val="111111"/>
          <w:sz w:val="28"/>
          <w:szCs w:val="28"/>
          <w:rtl w:val="true"/>
          <w:lang w:bidi="ar-SA"/>
        </w:rPr>
        <w:t>»</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لا الأحداث، لأنّ الحَدَث ليس حقّاً عليه، إلّاأنّ تعدّد الأغسال يستلزم تعدّد الأحداث، مع أنّ اتّفاقهم على جواز نيّة الجميع أقوى شاهد على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صحّة الاستدلال له بأنّ الأحداث وإنْ كانت متعدّدة لكن الغُسل الواحد، من جهة كونه سبباً لارتفاع الجهة المشتركة يكون رافعاً للجميع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يُستدلّ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جميل،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الجُنُب بعد طلوع الفجر أجزأه غُسله ذلك من كلّ غُسلٍ يلزمه في ذلك اليوم</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 سنده لا إشكال فيه إلّامن جهة الإرسال، والمُرسِل إنّما يكون ممّن أجمعت العصابة على تصحيح ما يصحّ عنه، فالمرسَل معتبرٌ سنداً، وظهوره بل صراحته في هذا القول لا 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زرارة، المتقدّم الظاهر صدره في أنّه إنّما سيق لبيان حكم ما لو اغتسل بنيَّة واحد منها كالجنابة، وأنّه إذا كان قبل طلوع الفجر، لا يُجزيه ذلك عن أغسال ذلك اليوم، وإنْ كان بعد طلوع الفجر أجزأه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اجتمعت للّه عليك حقوق أجزأك غُسلٌ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يكون من قبيل الكبرى الكليّة الشاملة لما في الصدر ولغيره ظاهرٌ في خصوص نيَّة الجميع، إذ ظاهر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ماهيّة الأغسال، وإنْ اتّحدت بحسب الصورة، فلا محالة يكون اختلافها باختلاف العناوين، المتوقّف تحقّقها على القصد، وعلى ذلك فمقتضى القاعدة الأوّليّة تكرار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أجزأك غُسلٌ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تحقّق الإطاعة بإيجاد غسل واحد بقصد الجميع، وأمّا لو أتى بقصد البعض، فلا يعقل أنْ يكون ذلك موجباً لتحقّق الجميع، مع كونها من العناوين القصديّة، ولأجل ذلك يتعيّن التصرّف في الصدر، لتنطبق عليه الكبرى الكليّة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ساعدنا ظاهر الأدلّة على كفاية نيَّة واحد منها عن الجميع نلتزم بسقوط جميع الأوامر لحصول الغرض، لا لتحقّق الإطاعة كي يتمّ ما ذكر، وحيث أنّ مقتضى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أجزأك غسلٌ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الكفاية في صورة نيَّة واحد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بعينه، فيتعيّن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المرأة يُجزيها غُسلٌ واحد لجنابتها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كفاية الغُسل الواحد الذي أوجده بقصد الجميع خاصّة، فيلزم التنافي بين الصدر والذيل، ويجب صرف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الجائز أنْ يكون متعلّق الظرف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ظاهراً في خصوص نيَّة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للصحيح إطلاقٌ أحوالي يتمسّك به لإثبات العموم، لأنّه مسوقٌ لبيان كفاية الغُسل الواحد عن المتعدّد، وأمّا كفايته مطلقاً أو في الجملة فلا تعرّض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الأجزاء في صورة نيَّة الجميع هو المتيقّن من النصوص بحسب المتفاهم العرفي، كان لما ذكر وجه، ولكن بما أنّه ليس كذلك، فيلزم من الالتزام بعدم ثبوت الإطلاق الأحوالي، الالتزام بإجماله بنحوٍ لا يمكن العمل به في مورد، وهو كما ترى منافٍ‌، لكونه في مقام البيان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 حكم ما لو كان بعضها مستحبّاً، فإنّ مقتضى المرسل الاكتفاء به عنه، كما هو المنسوب إلى المشهور، فما عن جماعةٍ من المحقّقين من القول بالعدم، مبتنياً على عدم ثبوت الإطلاق، ضعيف</w:t>
      </w:r>
      <w:r>
        <w:rPr>
          <w:rFonts w:eastAsia="Amiri" w:cs="Amiri" w:ascii="Amiri" w:hAnsi="Amiri"/>
          <w:color w:val="111111"/>
          <w:sz w:val="28"/>
          <w:szCs w:val="28"/>
          <w:rtl w:val="true"/>
          <w:lang w:bidi="ar-SA"/>
        </w:rPr>
        <w:t>.</w:t>
      </w:r>
      <w:bookmarkStart w:id="363" w:name="pg11795_115528"/>
    </w:p>
    <w:p>
      <w:pPr>
        <w:pStyle w:val="Heading6"/>
        <w:numPr>
          <w:ilvl w:val="5"/>
          <w:numId w:val="1"/>
        </w:numPr>
        <w:rPr/>
      </w:pPr>
      <w:bookmarkStart w:id="364" w:name="__RefHeading___Toc10328889_73709187"/>
      <w:bookmarkStart w:id="365" w:name="_Toc137"/>
      <w:bookmarkEnd w:id="363"/>
      <w:bookmarkEnd w:id="364"/>
      <w:r>
        <w:rPr>
          <w:rtl w:val="true"/>
        </w:rPr>
        <w:t>لو نوى غير غُسل الجنابة</w:t>
      </w:r>
      <w:bookmarkEnd w:id="365"/>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المنويّ غَير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واجباً، ففي صحّته في نفسه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أظهرهما ما اختاره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وهي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لموثّق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يواقعها زوجها ثمّ تحيض قبل أنْ تغتسل‌؟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تغتسل فَعَلت، وإنْ لم تفعل فلا شيء عليها</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الذي استدلّ به بعض الأعاظم، فإنّه إنّما يدلّ على صحّة غُسل الجنابة لو نوته، وهي ليست محلّ الكلام، وإنّما الكلام في صحّة ما لو نوت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لإطلاق ما تضمّن الأمر به، المقتضي للإجزاء، كما صرّح به غير واحدٍ، الرافع لاحتمال مانعيّة الجنابة عن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من الاستشكال فيها،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فرض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يُغني عن سائر الأغسال التي في ذمّته حتّى الجنابة، كما عن المحقّقين</w:t>
      </w:r>
      <w:r>
        <w:rPr>
          <w:rStyle w:val="FootnoteAnchor"/>
          <w:rtl w:val="true"/>
        </w:rPr>
        <w:footnoteReference w:id="811"/>
      </w:r>
      <w:r>
        <w:rPr>
          <w:rFonts w:ascii="Amiri" w:hAnsi="Amiri" w:eastAsia="Amiri" w:cs="Amiri"/>
          <w:color w:val="111111"/>
          <w:sz w:val="28"/>
          <w:sz w:val="28"/>
          <w:szCs w:val="28"/>
          <w:rtl w:val="true"/>
          <w:lang w:bidi="ar-SA"/>
        </w:rPr>
        <w:t>والشهيدين</w:t>
      </w:r>
      <w:r>
        <w:rPr>
          <w:rStyle w:val="FootnoteAnchor"/>
          <w:rtl w:val="true"/>
        </w:rPr>
        <w:footnoteReference w:id="812"/>
      </w:r>
      <w:r>
        <w:rPr>
          <w:rFonts w:ascii="IRNazanin" w:hAnsi="IRNazanin" w:eastAsia="IRNazanin"/>
          <w:color w:val="111111"/>
          <w:sz w:val="28"/>
          <w:sz w:val="28"/>
          <w:szCs w:val="28"/>
          <w:rtl w:val="true"/>
          <w:lang w:bidi="fa-IR"/>
        </w:rPr>
        <w:t>، بل هو المنسوب إلى المشهور؟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يُغني عن شيءٍ منها، كما عن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يُغنى عن غير الجنابة ولايُغنى عنها، كما عن الشيخ</w:t>
      </w:r>
      <w:r>
        <w:rPr>
          <w:rStyle w:val="FootnoteAnchor"/>
          <w:rtl w:val="true"/>
        </w:rPr>
        <w:footnoteReference w:id="813"/>
      </w:r>
      <w:r>
        <w:rPr>
          <w:rFonts w:ascii="Amiri" w:hAnsi="Amiri" w:eastAsia="Amiri" w:cs="Amiri"/>
          <w:color w:val="111111"/>
          <w:sz w:val="28"/>
          <w:sz w:val="28"/>
          <w:szCs w:val="28"/>
          <w:rtl w:val="true"/>
          <w:lang w:bidi="ar-SA"/>
        </w:rPr>
        <w:t>و الحلّي</w:t>
      </w:r>
      <w:r>
        <w:rPr>
          <w:rStyle w:val="FootnoteAnchor"/>
          <w:rtl w:val="true"/>
        </w:rPr>
        <w:footnoteReference w:id="814"/>
      </w:r>
      <w:r>
        <w:rPr>
          <w:rFonts w:ascii="Amiri" w:hAnsi="Amiri" w:eastAsia="Amiri" w:cs="Amiri"/>
          <w:color w:val="111111"/>
          <w:sz w:val="28"/>
          <w:sz w:val="28"/>
          <w:szCs w:val="28"/>
          <w:rtl w:val="true"/>
          <w:lang w:bidi="ar-SA"/>
        </w:rPr>
        <w:t>و جماعة‌؟</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الأوّل؛ لإطلاق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لشيءٍ منها حتّى مرسل جميل وصحيح زرارة، لعدم كون تلك النصوص في مقام البيان من هذه الجهة، ولا أقلّ من احتمال عدم كون هذه الجهة ملحوظة للمتكلّم، وهو يمنع من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الإجزاء في صورة قصد الجنابة، لو كان هو المتيقّن من جميع النصوص بحسب المتفاهم العرفي، كان لما ذُكر وجه، ولكن بما أنّه ليس كذلك، فيلزم من عدم الالتزام بالإطلاق المزبور، الالتزام بإجماله، بحيث لا يمكن العمل به في موردٍ،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موثّق سماعة، عن أبي عبد اللّه وأبي الحسن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يُجامع المرأة فتحيّض قبل أنْ تغتسل من الجنابة‌؟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عليها واجب</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الذي استند إليه لعدم الإغناء عن الجنابة، فهو إنّما يدلّ على أنّ حَدَث الجنابة لا يرتفع بالحيض، وهذا غير مربوط بما هو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 المنويّ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في نفسه مطلقاً؟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يصحّ كذلك‌؟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يفصل بين ما لو كان معه غُسلٌ مستحبٌّ آخر فالأوّل، وبين ما إذا كان معه واجبٌ فالثاني‌؟</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الأوّل، لإطلاق ما تضمّن الأمر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 واجبٌ‌، بأنّ المقصود منه التنظيف</w:t>
      </w:r>
      <w:r>
        <w:rPr>
          <w:rStyle w:val="FootnoteAnchor"/>
          <w:rtl w:val="true"/>
        </w:rPr>
        <w:footnoteReference w:id="817"/>
      </w:r>
      <w:r>
        <w:rPr>
          <w:rFonts w:ascii="Amiri" w:hAnsi="Amiri" w:eastAsia="Amiri" w:cs="Amiri"/>
          <w:color w:val="111111"/>
          <w:sz w:val="28"/>
          <w:sz w:val="28"/>
          <w:szCs w:val="28"/>
          <w:rtl w:val="true"/>
          <w:lang w:bidi="ar-SA"/>
        </w:rPr>
        <w:t>، وهو لا يحصل مع بقاء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ستعرف من ارتفاع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التنظيف الحاصل من الغُسل المستحبّي، لا ينافي بقاء الحَدَث الموجب لغُسلٍ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حينئذٍ عن أنّ هذا الغُسل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يُجزي عن غيره مطلقاً كما لعلّه المشهور؟</w:t>
      </w:r>
    </w:p>
    <w:p>
      <w:pPr>
        <w:pStyle w:val="BookText"/>
        <w:rPr/>
      </w:pPr>
      <w:r>
        <w:rPr>
          <w:rFonts w:ascii="Amiri" w:hAnsi="Amiri" w:eastAsia="Amiri" w:cs="Amiri"/>
          <w:color w:val="111111"/>
          <w:sz w:val="28"/>
          <w:sz w:val="28"/>
          <w:szCs w:val="28"/>
          <w:rtl w:val="true"/>
          <w:lang w:bidi="ar-SA"/>
        </w:rPr>
        <w:t xml:space="preserve">أم لا يُجزي كذلك كما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يجب التفصيل بين الواجب وغيره، فيجزي عن الثاني دون الأوّل‌؟</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النصوص المتقدّمة، كصحيح زرارة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جامع في شهر رمضان ثُمّ نَسي الغُسل حتّى خرج شهر رمضان، أنّ عليه أن يغتسل ويقضي صلاته وصومه، إلّاأنْ يكون قد اغتسل للجمعة، فإنّه يقضي صلاته وصيامه إلى ذلك اليوم، ولا يقضي ما بعد ذلك</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66" w:name="pg11795_115531"/>
    </w:p>
    <w:p>
      <w:pPr>
        <w:pStyle w:val="Heading6"/>
        <w:numPr>
          <w:ilvl w:val="5"/>
          <w:numId w:val="1"/>
        </w:numPr>
        <w:rPr/>
      </w:pPr>
      <w:bookmarkStart w:id="367" w:name="__RefHeading___Toc10328891_73709187"/>
      <w:bookmarkStart w:id="368" w:name="_Toc138"/>
      <w:bookmarkEnd w:id="366"/>
      <w:bookmarkEnd w:id="367"/>
      <w:r>
        <w:rPr>
          <w:rtl w:val="true"/>
        </w:rPr>
        <w:t>حُكم البَلَل المُشتبه بعد الغُسل</w:t>
      </w:r>
      <w:bookmarkEnd w:id="368"/>
    </w:p>
    <w:p>
      <w:pPr>
        <w:pStyle w:val="Heading6"/>
        <w:numPr>
          <w:ilvl w:val="5"/>
          <w:numId w:val="1"/>
        </w:numPr>
        <w:rPr/>
      </w:pPr>
      <w:bookmarkStart w:id="369" w:name="__RefHeading___Toc10328893_73709187"/>
      <w:bookmarkStart w:id="370" w:name="_Toc139"/>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بعد الجنابة بالإنزال، ثمّ خرجت منه رطوبة مشتبهة بين المنيّ والبول، فهنا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قد استبرأ بالبول، ففيه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شهرة عظيمة الحكم عليها بأنّها منيٌّ فيجب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 من أساطين الفنّ‌</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الصدوق</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الغُسل واستحبابه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ترك البول عمداً فيعيد، وتركه نسياناً فلا يُعيد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الجمع بين الغُسل والوضوء في الفرض، وإنّما يجب الغُسل خاصّة لو كان البَلَل الخارج مشتبهاً من كلّ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وهو جُنُبٌ قبل أنْ يبول، ثمّ وجدَ بَللاً فقد انتقض غسله، وإنْ كان بال ثمّ اغتسل ثمّ وَجَدَ بَلَلاً فليس ينقض غسله، ولكن عليه الوضوء، لأنّ البول لم يدَع شيئاً</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يغتسل ثمّ يجدُ بعد ذلك بَلَلاً وقد كان بال قبل أنْ يغتسل‌؟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ليتوضّأ، وإنْ لم يكن بال قبل الغُسل فليعد الغُسل</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يُجنب ثمّ يغتسل قبل أنْ يبول فيجد بَللاً بعدما يغتسل‌؟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هذه النصوص، وبين النصوص الصريحة في عدم الوجوب، كخبر زيد الشحّام،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أجنب ثمّ اغتسل قبل أنْ يبول، ثمّ رأى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الذي رأى شيئاً</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رأى بَللاً ولم يكن بال فليتوضّأ، ولا يغتسل، إنّما ذلك من الحبائل</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عبد اللّه بن 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يجامع أهله ثمّ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يغتسل قبل أنْ يبول، ثمّ يخرج منه بللٌ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إنّ ذلك ممّا وضعه اللّه عنه</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الطائفتين وإنْ كان يقتضي ذلك، ولا وجه لدعوى التعارض بينهما كما عن بعض المحقّقين رحمهم الله، ولكن لأجل كون هذا الجمع واضحاً، ومع ذلك لم يفتِ أحدٌ من الأصحاب بذلك غير الصدوق، يتعيّن طرح هذه الأخبار للإعراض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الجميع بأبي جميلة في الأوّل، وبالإرسال في الثاني، وبعبداللّه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يتعيّن حمل الطائفة الأولى على صورة العمد، والثانية على صورة النسيان بشهادة خبر أحمد بن هلال،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اغتسل قبل أنْ يبول‌؟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بعد البول إلّاأنْ يكون ناسياً فلا يُعيد الغُسل</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تصيبه الجنابة فينسى أن يبول حتّى يغتسل، ثمّ يرى بعد الغُسل شيئاً أيغتسل أيضاً؟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وقد تعصّرت ونزل من الحبائل</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خبر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سنده وإضماره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يدلّ على شرطيّة البول لصحّة الغُسل في صورة العمد دون النسيان، فلا ربط له بالمقام، وقد عرفت في فصل المستحبّات عدم تماميّة تلك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خبر جميل فلإشتماله على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تعصّرت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الحمل على صورة النسيان، مضافاً إلى ضعف سنده بعليّ بن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العلم الإجمالي بالتكليف الذي لا يجوز الترخيص في بعض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الشارع بكون الخارج منيّاً يوجبُ الإنحلال، مضافاً إلى ما حقّقناه في محلّه من أنّه لا مانع من الترخيص في بعض أطراف العلم الإجمالي لو ساعد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عدم الاستبراء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كان قد استبرأ بالبول، لكن مع عدم الاستبراء بعد البول بالخَرَطات، فيحكم بأنّها بول، ويجب الوضوء، كما هو مقتضى نصوص المقام المتقدّمة، والأخبار الواردة فيمن بال ولم يستبرء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خرجتْ قبل التوضّأ، وجب عليه الوضوء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خرجت بعده وجب عليه الجمع بين الغُسل والوضوء كما تقدّم تنقيح القول في ذلك في مبحث مستحبّات الخَلوة</w:t>
      </w:r>
      <w:r>
        <w:rPr>
          <w:rFonts w:eastAsia="Amiri" w:cs="Amiri" w:ascii="Amiri" w:hAnsi="Amiri"/>
          <w:color w:val="111111"/>
          <w:sz w:val="28"/>
          <w:szCs w:val="28"/>
          <w:rtl w:val="true"/>
          <w:lang w:bidi="ar-SA"/>
        </w:rPr>
        <w:t>.</w:t>
      </w:r>
      <w:r>
        <w:rPr>
          <w:rStyle w:val="FootnoteAnchor"/>
          <w:rtl w:val="true"/>
        </w:rPr>
        <w:footnoteReference w:id="83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71" w:name="pg11795_115535"/>
    </w:p>
    <w:p>
      <w:pPr>
        <w:pStyle w:val="Heading6"/>
        <w:numPr>
          <w:ilvl w:val="5"/>
          <w:numId w:val="1"/>
        </w:numPr>
        <w:rPr/>
      </w:pPr>
      <w:bookmarkStart w:id="372" w:name="__RefHeading___Toc10328895_73709187"/>
      <w:bookmarkStart w:id="373" w:name="_Toc140"/>
      <w:bookmarkEnd w:id="371"/>
      <w:bookmarkEnd w:id="372"/>
      <w:r>
        <w:rPr>
          <w:rtl w:val="true"/>
        </w:rPr>
        <w:t>فروع</w:t>
      </w:r>
      <w:r>
        <w:rPr>
          <w:rtl w:val="true"/>
        </w:rPr>
        <w:t>:</w:t>
      </w:r>
      <w:bookmarkEnd w:id="373"/>
    </w:p>
    <w:p>
      <w:pPr>
        <w:pStyle w:val="Heading6"/>
        <w:numPr>
          <w:ilvl w:val="5"/>
          <w:numId w:val="1"/>
        </w:numPr>
        <w:rPr/>
      </w:pPr>
      <w:bookmarkStart w:id="374" w:name="__RefHeading___Toc10328897_73709187"/>
      <w:bookmarkStart w:id="375" w:name="_Toc141"/>
      <w:bookmarkEnd w:id="374"/>
      <w:r>
        <w:rPr>
          <w:rtl w:val="true"/>
        </w:rPr>
        <w:t>الفرع الأوّل</w:t>
      </w:r>
      <w:r>
        <w:rPr>
          <w:rtl w:val="true"/>
        </w:rPr>
        <w:t xml:space="preserve">: </w:t>
      </w:r>
      <w:r>
        <w:rPr>
          <w:rtl w:val="true"/>
        </w:rPr>
        <w:t>الظاهر أنّ مورد النصوص هو البَلَل المشتبه،</w:t>
      </w:r>
      <w:bookmarkEnd w:id="375"/>
    </w:p>
    <w:p>
      <w:pPr>
        <w:pStyle w:val="BookText"/>
        <w:rPr/>
      </w:pPr>
      <w:r>
        <w:rPr>
          <w:rFonts w:ascii="Amiri" w:hAnsi="Amiri" w:eastAsia="Amiri" w:cs="Amiri"/>
          <w:color w:val="111111"/>
          <w:sz w:val="28"/>
          <w:sz w:val="28"/>
          <w:szCs w:val="28"/>
          <w:rtl w:val="true"/>
          <w:lang w:bidi="ar-SA"/>
        </w:rPr>
        <w:t>فلابدَّ من إحراز خروجه ليترتّب عليه هذا الحكم، وأمّا لو علم بخروج بَلَلٍ ليس بمنيّ من بولٍ أو غيره، واحتمل استصحابه لأجزاء المنيّ‌، فلا يجب عليه إعادة الغُسل، وعن ظاهر بعض الاتّفاق عليه، وقوله عليه السلام فى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البول لم يدَع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لايدلّ على ملازمة البول لخروج أجزاء المنيّ الباقية كي يجب الغسل له لو بال، بل هو في مقام بيان أنّ الخارج بعد البول ليس منيّاً قطعاً، فلو بال بعد الغُسل لا يجب عليه إعادته</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10328899_73709187"/>
      <w:bookmarkStart w:id="377" w:name="_Toc142"/>
      <w:bookmarkEnd w:id="376"/>
      <w:r>
        <w:rPr>
          <w:rtl w:val="true"/>
        </w:rPr>
        <w:t>الفرع الثاني</w:t>
      </w:r>
      <w:r>
        <w:rPr>
          <w:rtl w:val="true"/>
        </w:rPr>
        <w:t xml:space="preserve">: </w:t>
      </w:r>
      <w:r>
        <w:rPr>
          <w:rtl w:val="true"/>
        </w:rPr>
        <w:t>لا فرق في جريان هذا الحكم بين ما لو كان الاشتباه بعد الفحص أو قبله،</w:t>
      </w:r>
      <w:bookmarkEnd w:id="377"/>
    </w:p>
    <w:p>
      <w:pPr>
        <w:pStyle w:val="BookText"/>
        <w:rPr/>
      </w:pPr>
      <w:r>
        <w:rPr>
          <w:rFonts w:ascii="Amiri" w:hAnsi="Amiri" w:eastAsia="Amiri" w:cs="Amiri"/>
          <w:color w:val="111111"/>
          <w:sz w:val="28"/>
          <w:sz w:val="28"/>
          <w:szCs w:val="28"/>
          <w:rtl w:val="true"/>
          <w:lang w:bidi="ar-SA"/>
        </w:rPr>
        <w:t>وسواءٌ أمكن الفحص أم لا،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ظهورها في المشتبه لذاته، لا ما اشتبه عليه لظلمةٍ ونحوها، كما ترى‌</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10328901_73709187"/>
      <w:bookmarkStart w:id="379" w:name="_Toc143"/>
      <w:bookmarkEnd w:id="378"/>
      <w:r>
        <w:rPr>
          <w:rtl w:val="true"/>
        </w:rPr>
        <w:t>الفرع الثالث</w:t>
      </w:r>
      <w:r>
        <w:rPr>
          <w:rtl w:val="true"/>
        </w:rPr>
        <w:t xml:space="preserve">: </w:t>
      </w:r>
      <w:r>
        <w:rPr>
          <w:rtl w:val="true"/>
        </w:rPr>
        <w:t>لو استبرأ بالخَرَطات بعد خروج المنيّ واغتسل، ثمّ خرجت الرطوبة المشتبهة</w:t>
      </w:r>
      <w:r>
        <w:rPr>
          <w:rtl w:val="true"/>
        </w:rPr>
        <w:t>:</w:t>
      </w:r>
      <w:bookmarkEnd w:id="379"/>
    </w:p>
    <w:p>
      <w:pPr>
        <w:pStyle w:val="BookText"/>
        <w:rPr/>
      </w:pPr>
      <w:r>
        <w:rPr>
          <w:rFonts w:ascii="Amiri" w:hAnsi="Amiri" w:eastAsia="Amiri" w:cs="Amiri"/>
          <w:color w:val="111111"/>
          <w:sz w:val="28"/>
          <w:sz w:val="28"/>
          <w:szCs w:val="28"/>
          <w:rtl w:val="true"/>
          <w:lang w:bidi="ar-SA"/>
        </w:rPr>
        <w:t>فهل يجب عليه الغُسل، كما نُسب إلى المشهور؟</w:t>
      </w:r>
    </w:p>
    <w:p>
      <w:pPr>
        <w:pStyle w:val="BookText"/>
        <w:rPr/>
      </w:pPr>
      <w:r>
        <w:rPr>
          <w:rFonts w:ascii="Amiri" w:hAnsi="Amiri" w:eastAsia="Amiri" w:cs="Amiri"/>
          <w:color w:val="111111"/>
          <w:sz w:val="28"/>
          <w:sz w:val="28"/>
          <w:szCs w:val="28"/>
          <w:rtl w:val="true"/>
          <w:lang w:bidi="ar-SA"/>
        </w:rPr>
        <w:t xml:space="preserve">أم لا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يفصّل بين ما إذا أمكنه البول فالأوّل، وبين ما إذا لم يمكنه فالثاني،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8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 بل عن بعضهم نسبته إلى الأصحاب‌؟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المتضمّنة للأمر بالغُسل مع عدم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الاستبراء بالخَرَطات موجباً للعلم بعدم بقاء أجزاء المنيّ في الممرّ، ومع ذلك احتمل كون الخارج منيّاً، يكون حكم هذه الصورة حكم ما لو استبرأ بالبول ثمّ بالخَرَطات، فإنّ مقتضى التعليل في صحيح ابن مسلم ثبوت حكم البول لكلّ ما لا يدع شيئاً في المحلّ‌، كما أنّ مقتضى نصوص الاستبراء بعد البول بالخَرَطات عدم الحكم بكونه 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احتمل كون البَلَل غيرهما، ككونه مَذْياً فلا شيء عليه، وإلّا بأن تردّد الأمر بينهما، فلو خرج قبل التوضّأ يجب عليه الوضوء خاصّة، ولو خرج بعده يجب الجمع بين الغُسل والوضوء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وجهاً لكلّ من القولين الآخرين، من كون كلٍّ منهما وجهاً للجمع بين النصوص الدالّة على وجوب الغُسل مع عدم البول، والنصوص الدالّة على نفيه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ضعف سند نصوص النفي، مع أنّ شيئاً منهما ليس جمعاً</w:t>
      </w:r>
      <w:r>
        <w:rPr>
          <w:rFonts w:eastAsia="Amiri" w:cs="Amiri" w:ascii="Amiri" w:hAnsi="Amiri"/>
          <w:color w:val="111111"/>
          <w:sz w:val="28"/>
          <w:szCs w:val="28"/>
          <w:rtl w:val="true"/>
          <w:lang w:bidi="ar-SA"/>
        </w:rPr>
        <w:t xml:space="preserve">). </w:t>
      </w:r>
      <w:bookmarkStart w:id="380" w:name="pg11795_115537"/>
    </w:p>
    <w:p>
      <w:pPr>
        <w:pStyle w:val="BookText"/>
        <w:rPr/>
      </w:pPr>
      <w:bookmarkEnd w:id="380"/>
      <w:r>
        <w:rPr>
          <w:rFonts w:ascii="Amiri" w:hAnsi="Amiri" w:eastAsia="Amiri" w:cs="Amiri"/>
          <w:color w:val="111111"/>
          <w:sz w:val="28"/>
          <w:sz w:val="28"/>
          <w:szCs w:val="28"/>
          <w:rtl w:val="true"/>
          <w:lang w:bidi="ar-SA"/>
        </w:rPr>
        <w:t>عرفيّاً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البزنطي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وتبول إنْ قدرت على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استدلّ به للقول الأخير، فهو إنّما يدلّ على اختصاص الاستحباب بصورة القدرة، لا على اختصاص فائدته بتلك الصورة، فلا يصلح أنْ يكون مقيّداً لإطلاق النصوص، فالصحيح ما ذكرناه</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10328903_73709187"/>
      <w:bookmarkStart w:id="382" w:name="_Toc144"/>
      <w:bookmarkEnd w:id="381"/>
      <w:r>
        <w:rPr>
          <w:rtl w:val="true"/>
        </w:rPr>
        <w:t>الفرع الرابع</w:t>
      </w:r>
      <w:r>
        <w:rPr>
          <w:rtl w:val="true"/>
        </w:rPr>
        <w:t xml:space="preserve">: </w:t>
      </w:r>
      <w:r>
        <w:rPr>
          <w:rtl w:val="true"/>
        </w:rPr>
        <w:t>المشهور بين الأصحاب أنّ البَلَل المشتبه الخارج من المرأة لا حكم له وإنْ لم تَستبرء،</w:t>
      </w:r>
      <w:bookmarkEnd w:id="382"/>
    </w:p>
    <w:p>
      <w:pPr>
        <w:pStyle w:val="BookText"/>
        <w:rPr/>
      </w:pPr>
      <w:r>
        <w:rPr>
          <w:rFonts w:ascii="Amiri" w:hAnsi="Amiri" w:eastAsia="Amiri" w:cs="Amiri"/>
          <w:color w:val="111111"/>
          <w:sz w:val="28"/>
          <w:sz w:val="28"/>
          <w:szCs w:val="28"/>
          <w:rtl w:val="true"/>
          <w:lang w:bidi="ar-SA"/>
        </w:rPr>
        <w:t xml:space="preserve">ونُسب إلى المصنّف رحمه الله أنّه سوّى بينهما،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النسبة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اختصاص النصوص بالرجل، ومع احتمال اختصاص الحكم به، لا وجه لقاعدة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أجنب فاغتسل قبل أنْ يبول،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يخرج منها شيء بعد الغسل‌؟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يخرج من المرأة إنّما هو من ماء الرجل</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منصور</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فيتعيّن لها الرجوع إلى الاُصول، وهي تقتضي عدم وجوب الغُسل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والوضوء عليها، فيما إذا احتملت أنْ يكون غير البول والمنيّ‌، ككونه من ماء الرجل، أو مَذْياً، ووجوب الوضوء عليها خاصّة لو دار الأمر بينهما، وكان ذلك قبل التوضّأ، ووجوب الجمع بين الغُسل والوضوء لو كان بعده</w:t>
      </w:r>
      <w:r>
        <w:rPr>
          <w:rFonts w:eastAsia="Amiri" w:cs="Amiri" w:ascii="Amiri" w:hAnsi="Amiri"/>
          <w:color w:val="111111"/>
          <w:sz w:val="28"/>
          <w:szCs w:val="28"/>
          <w:rtl w:val="true"/>
          <w:lang w:bidi="ar-SA"/>
        </w:rPr>
        <w:t>.</w:t>
      </w:r>
      <w:bookmarkStart w:id="383" w:name="pg11795_115539"/>
    </w:p>
    <w:p>
      <w:pPr>
        <w:pStyle w:val="BookText"/>
        <w:rPr/>
      </w:pPr>
      <w:bookmarkEnd w:id="383"/>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الحيض</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0328905_73709187"/>
      <w:bookmarkStart w:id="385" w:name="_Toc145"/>
      <w:bookmarkEnd w:id="384"/>
      <w:r>
        <w:rPr>
          <w:rtl w:val="true"/>
        </w:rPr>
        <w:t>الفصل الثاني في الحيض</w:t>
      </w:r>
      <w:bookmarkEnd w:id="385"/>
    </w:p>
    <w:p>
      <w:pPr>
        <w:pStyle w:val="Heading5"/>
        <w:numPr>
          <w:ilvl w:val="4"/>
          <w:numId w:val="1"/>
        </w:numPr>
        <w:rPr/>
      </w:pPr>
      <w:bookmarkStart w:id="386" w:name="__RefHeading___Toc10328907_73709187"/>
      <w:bookmarkStart w:id="387" w:name="_Toc146"/>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الذى يُعبّرعنه بالمحيض،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8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عرّفه جماعة</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دمٌ خَلقه اللّه تعالى في النساء لحِكَمٍ ومصالح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بعضهم</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إسمٌ له لغةً وشرعاً، وعلى هذا فهو كلفظ البول والمنيّ والغائط من أسماء الأعيان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آخرين</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أسماءالمعاني</w:t>
      </w:r>
      <w:r>
        <w:rPr>
          <w:rStyle w:val="FootnoteAnchor"/>
          <w:rtl w:val="true"/>
        </w:rPr>
        <w:footnoteReference w:id="853"/>
      </w:r>
      <w:r>
        <w:rPr>
          <w:rFonts w:ascii="Amiri" w:hAnsi="Amiri" w:eastAsia="Amiri" w:cs="Amiri"/>
          <w:color w:val="111111"/>
          <w:sz w:val="28"/>
          <w:sz w:val="28"/>
          <w:szCs w:val="28"/>
          <w:rtl w:val="true"/>
          <w:lang w:bidi="ar-SA"/>
        </w:rPr>
        <w:t>، وهو السيل أو سيل دمٍ مخصوص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في الأغلب دمٌ أسودٌ غليظٌ يخرج بحُرقةٍ وحرارة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لا يترتّب على النزاع في ذلك ثمرة، فالإغماض عن تنقيح القول في ذلك أولى، وإنْ كان الأقوى بحسب ما يظهر من كلمات اللّغويين</w:t>
      </w:r>
      <w:r>
        <w:rPr>
          <w:rStyle w:val="FootnoteAnchor"/>
          <w:rtl w:val="true"/>
        </w:rPr>
        <w:footnoteReference w:id="854"/>
      </w:r>
      <w:r>
        <w:rPr>
          <w:rFonts w:ascii="Amiri" w:hAnsi="Amiri" w:eastAsia="Amiri" w:cs="Amiri"/>
          <w:color w:val="111111"/>
          <w:sz w:val="28"/>
          <w:sz w:val="28"/>
          <w:szCs w:val="28"/>
          <w:rtl w:val="true"/>
          <w:lang w:bidi="ar-SA"/>
        </w:rPr>
        <w:t xml:space="preserve">، وكثيرٌ من النصوص المتضمّنة لإضافة الدّم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لا الأوّل،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الأغلب دمٌ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مائل إلى السواد لشدّة حمرته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وشرحه</w:t>
      </w:r>
      <w:r>
        <w:rPr>
          <w:rStyle w:val="FootnoteAnchor"/>
          <w:rtl w:val="true"/>
        </w:rPr>
        <w:footnoteReference w:id="856"/>
      </w:r>
      <w:r>
        <w:rPr>
          <w:rFonts w:ascii="Amiri" w:hAnsi="Amiri" w:eastAsia="Amiri" w:cs="Amiri"/>
          <w:color w:val="111111"/>
          <w:sz w:val="28"/>
          <w:sz w:val="28"/>
          <w:szCs w:val="28"/>
          <w:rtl w:val="true"/>
          <w:lang w:bidi="ar-SA"/>
        </w:rPr>
        <w:t>وغيرهما</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أو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الاقتصار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 يَخرُجُ بحرقةٍ وحرارة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بل لا أجد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الخواصّ مستفادة من الحسّ والأخبار، كصحيح حَفص البختري أو حسنه، عن أبي عبد اللّه عليه السلام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يستمرّ بها الدّم فلا تدري أحيضٌ هو أو غيره‌؟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الحيض حارٌّ عبيط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له دفعٌ وحرارة، ودمُ الاستحاضة أصفرٌ بارد</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حارّ</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w:t>
      </w:r>
      <w:r>
        <w:rPr>
          <w:rStyle w:val="FootnoteAnchor"/>
          <w:rtl w:val="true"/>
        </w:rPr>
        <w:footnoteReference w:id="863"/>
      </w:r>
      <w:r>
        <w:rPr>
          <w:rFonts w:ascii="Amiri" w:hAnsi="Amiri" w:eastAsia="Amiri" w:cs="Amiri"/>
          <w:color w:val="111111"/>
          <w:sz w:val="28"/>
          <w:sz w:val="28"/>
          <w:szCs w:val="28"/>
          <w:rtl w:val="true"/>
          <w:lang w:bidi="ar-SA"/>
        </w:rPr>
        <w:t>إسحاق بن جرير،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ليس به خفاء، هو دمٌ حارّ تجِد له حرقة، ودمّ الاستحاضة دمٌ فاسدٌ 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كدرٌ غليظ منتن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هذه النصوص، وإن يدلّ على كون هذه الصفات أوصافاً لدمّ الحيض دائماً، إلّاأنّه لأجل ما ستعرف من الحكم بالحيضيّة لفاقدها، كالمرأة في أيّام العادة، يتعيّن الحكم بأنّ توصيفه بها واردٌ مورد الغالب، وستعرف تنقيح القول في ذلك إن شاء اللّه تعالى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88" w:name="pg11795_115542"/>
    </w:p>
    <w:p>
      <w:pPr>
        <w:pStyle w:val="BookText"/>
        <w:rPr/>
      </w:pPr>
      <w:bookmarkEnd w:id="388"/>
      <w:r>
        <w:rPr>
          <w:rFonts w:ascii="Amiri" w:hAnsi="Amiri" w:eastAsia="Amiri" w:cs="Amiri"/>
          <w:color w:val="111111"/>
          <w:sz w:val="28"/>
          <w:sz w:val="28"/>
          <w:szCs w:val="28"/>
          <w:rtl w:val="true"/>
          <w:lang w:bidi="ar-SA"/>
        </w:rPr>
        <w:t>وما تَراهُ بعد خمسين سنة، إن لم تكن قُرشيّة ولا 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ستّين سنة إن كانت إحداهما، أو قبل تسع سنين مطلقاً، فليس بحيضٍ‌</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0328909_73709187"/>
      <w:bookmarkStart w:id="390" w:name="_Toc147"/>
      <w:bookmarkEnd w:id="389"/>
      <w:r>
        <w:rPr>
          <w:rtl w:val="true"/>
        </w:rPr>
        <w:t>شرائط الحيض</w:t>
      </w:r>
      <w:bookmarkEnd w:id="390"/>
    </w:p>
    <w:p>
      <w:pPr>
        <w:pStyle w:val="Heading6"/>
        <w:numPr>
          <w:ilvl w:val="5"/>
          <w:numId w:val="1"/>
        </w:numPr>
        <w:rPr/>
      </w:pPr>
      <w:bookmarkStart w:id="391" w:name="__RefHeading___Toc10328911_73709187"/>
      <w:bookmarkStart w:id="392" w:name="_Toc148"/>
      <w:bookmarkEnd w:id="391"/>
      <w:r>
        <w:rPr>
          <w:rtl w:val="true"/>
        </w:rPr>
        <w:t>اشارة</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خمسين سنة إنْ لم تكن قُرشيّة ولا نَبْطيّة، أو بعد ستّين سنة إنْ كانت إحداهما، أو قبل تسع سنين مطلقاً، فليس بحيضٍ‌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 إلى المشهور</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3" w:name="__RefHeading___Toc10328913_73709187"/>
      <w:bookmarkStart w:id="394" w:name="_Toc149"/>
      <w:bookmarkEnd w:id="393"/>
      <w:r>
        <w:rPr>
          <w:rtl w:val="true"/>
        </w:rPr>
        <w:t>أقول</w:t>
      </w:r>
      <w:r>
        <w:rPr>
          <w:rtl w:val="true"/>
        </w:rPr>
        <w:t xml:space="preserve">: </w:t>
      </w:r>
      <w:r>
        <w:rPr>
          <w:rtl w:val="true"/>
        </w:rPr>
        <w:t>هاهنا مسائل</w:t>
      </w:r>
      <w:r>
        <w:rPr>
          <w:rtl w:val="true"/>
        </w:rPr>
        <w:t>:</w:t>
      </w:r>
      <w:bookmarkEnd w:id="394"/>
    </w:p>
    <w:p>
      <w:pPr>
        <w:pStyle w:val="Heading6"/>
        <w:numPr>
          <w:ilvl w:val="5"/>
          <w:numId w:val="1"/>
        </w:numPr>
        <w:rPr/>
      </w:pPr>
      <w:bookmarkStart w:id="395" w:name="__RefHeading___Toc10328915_73709187"/>
      <w:bookmarkStart w:id="396" w:name="_Toc150"/>
      <w:bookmarkEnd w:id="395"/>
      <w:r>
        <w:rPr>
          <w:rtl w:val="true"/>
        </w:rPr>
        <w:t>ما تراه بعد اليأس ليس بحيضٍ إجماعاً</w:t>
      </w:r>
      <w:bookmarkEnd w:id="396"/>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تراه بعد اليأس ليس بحيضٍ إجماعاً، حكاه جماعة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867"/>
      </w:r>
      <w:r>
        <w:rPr>
          <w:rFonts w:ascii="Amiri" w:hAnsi="Amiri" w:eastAsia="Amiri" w:cs="Amiri"/>
          <w:color w:val="111111"/>
          <w:sz w:val="28"/>
          <w:sz w:val="28"/>
          <w:szCs w:val="28"/>
          <w:rtl w:val="true"/>
          <w:lang w:bidi="ar-SA"/>
        </w:rPr>
        <w:t>ابن الحجّاج، عن الإمام الصادق عليه السلام، 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قد يئستْ من المحيض، ومثلها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10328917_73709187"/>
      <w:bookmarkStart w:id="398" w:name="_Toc151"/>
      <w:bookmarkEnd w:id="397"/>
      <w:r>
        <w:rPr>
          <w:rtl w:val="true"/>
        </w:rPr>
        <w:t>ما تراه قبل البلوغ لا يُحكم عليه بالحيضيّة</w:t>
      </w:r>
      <w:bookmarkEnd w:id="39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تراه قبل البلوغ لا يُحكم عليه بالحيضيّة بلا خلاف</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869"/>
      </w:r>
      <w:r>
        <w:rPr>
          <w:rFonts w:ascii="Amiri" w:hAnsi="Amiri" w:eastAsia="Amiri" w:cs="Amiri"/>
          <w:color w:val="111111"/>
          <w:sz w:val="28"/>
          <w:sz w:val="28"/>
          <w:szCs w:val="28"/>
          <w:rtl w:val="true"/>
          <w:lang w:bidi="ar-SA"/>
        </w:rPr>
        <w:t>والمقدّس الأردبيلي</w:t>
      </w:r>
      <w:r>
        <w:rPr>
          <w:rStyle w:val="FootnoteAnchor"/>
          <w:rtl w:val="true"/>
        </w:rPr>
        <w:footnoteReference w:id="870"/>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المتقدّم، وظاهره أنّ ما قارن تمام التسع محكوم بالحيضيّة أيضاً كما لا يخفى على مَنْ 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873"/>
      </w:r>
      <w:r>
        <w:rPr>
          <w:rFonts w:ascii="IRNazanin" w:hAnsi="IRNazanin" w:eastAsia="IRNazanin"/>
          <w:color w:val="111111"/>
          <w:sz w:val="28"/>
          <w:sz w:val="28"/>
          <w:szCs w:val="28"/>
          <w:rtl w:val="true"/>
          <w:lang w:bidi="fa-IR"/>
        </w:rPr>
        <w:t>من توقّف البلوغ على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مضافاً إلى ضعفه في نفسه، لا يعارض الصحيح المعلَّق هذا الحكم على إكمال التسع، لا على البلوغ، فتدبّر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99" w:name="pg11795_115544"/>
    </w:p>
    <w:p>
      <w:pPr>
        <w:pStyle w:val="Heading6"/>
        <w:numPr>
          <w:ilvl w:val="5"/>
          <w:numId w:val="1"/>
        </w:numPr>
        <w:rPr/>
      </w:pPr>
      <w:bookmarkStart w:id="400" w:name="__RefHeading___Toc10328919_73709187"/>
      <w:bookmarkStart w:id="401" w:name="_Toc152"/>
      <w:bookmarkEnd w:id="399"/>
      <w:bookmarkEnd w:id="400"/>
      <w:r>
        <w:rPr>
          <w:rtl w:val="true"/>
        </w:rPr>
        <w:t>منتهى الحيض في القُرشيّة والنبطيّة</w:t>
      </w:r>
      <w:bookmarkEnd w:id="40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إليهم</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اليأس يحصل ببلوغ ستّين سنة في القُرشيّة، وفي غيرها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8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 xml:space="preserve">وطلاق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8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حدّه الخمسون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وعن بعض كتب المصنّف رحمه الله كالمنتهى‌</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حدّه الستّون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883"/>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ابن أبي عمير، الذي هو كالصحيح، عن الإمام </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المرأة خمسين لم ترَ حُمرةً إلّاأنْ تكون إمرأة من قُريش</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صراحته في المحيض، وعدم دلالته على أنّ الحُمرة التي تراها القُرشيّة بعد الخمسين حيضٌ‌، مضافاً إلى عدم تعرّضه لستّين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إرادة الحيض من الحُمرة في المقام، وعدم تعرّضه للتحديد فيها بالستّين إنّما هو لكفاية نصوص الستّين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الخبر في الفرق بين القُرشيّة وغيرها، وأنّ غيرها تحيض إلى خمسين، وهي إلى الأكثر المحدّد في سائر النصوص بستّين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تيأس المرأة إذا بلغت خمسين سنة، إلّاأنْ تكون إمرأةً من قُريش، فإنّه رُوي أنّها ترى دمُ الحيض إلى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وبهما يقيّد إطلاق ما دلّ على أنّ حدّ اليأس الخمسون مطلقاً، الذي هو مستند القول الثاني، كصحيح ابن الحجّاج،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يتزوّجن على كلّ حال، وعَدَّ منها التي قد يئستْ من المحيض، ومثلها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دلّ على أنّ حدّه 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مستند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ابن الحجّاج عن الإمام الصادق عليه السلام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يئستْ من المحيض ومثلها لا 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تكون كذلك‌؟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ستّين سنة، فقد يئستْ من المحيض، ومثلها لا تحيض</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ضعف القولين الآخرين، كما أنّه ظهر أنّ الجمع بين هاتين الطائفتين بالتفصيل بين العِدّة والعبادة فالستّون للاُولى‌، والخمسون للثانية غير تامّ‌، لعدم الشاهد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والمنسوب إلى المشهور إلحاق النَبطيّة بالقُرشيّة، ولا دليل له سوى مرسل المفيد</w:t>
      </w:r>
      <w:r>
        <w:rPr>
          <w:rStyle w:val="FootnoteAnchor"/>
          <w:rtl w:val="true"/>
        </w:rPr>
        <w:footnoteReference w:id="888"/>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القُرشيّة من النساء والنبطيّة تريان الدّم إلى 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وضعفه مجبورٌ بعمل الأصحاب إنْ ثبت، وهو محلّ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الذي يُسهّل الخَطب، عدم معلوميّة المراد من النبطيّة،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وُلد نبطة بن حامي بن آدم بن سام بن نوح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قومٌ كانوا ينزلون سواد العراق</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ينزلون البطائح بين العراقين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السبعاني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من العجم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أحد أبويه عربيّاً والآخر عجميّاً، وعن غيرها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أنتسبت إلى نَضر بن كنانة، كما عن جماعة من اللّغويين التصريح به في كتبهم</w:t>
      </w:r>
      <w:r>
        <w:rPr>
          <w:rStyle w:val="FootnoteAnchor"/>
          <w:rtl w:val="true"/>
        </w:rPr>
        <w:footnoteReference w:id="894"/>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 العنبريّة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وجماعة من الأساطين كصاحبي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97"/>
      </w:r>
      <w:r>
        <w:rPr>
          <w:rFonts w:ascii="Amiri" w:hAnsi="Amiri" w:eastAsia="Amiri" w:cs="Amiri"/>
          <w:color w:val="111111"/>
          <w:sz w:val="28"/>
          <w:sz w:val="28"/>
          <w:szCs w:val="28"/>
          <w:rtl w:val="true"/>
          <w:lang w:bidi="ar-SA"/>
        </w:rPr>
        <w:t>والنراقي</w:t>
      </w:r>
      <w:r>
        <w:rPr>
          <w:rStyle w:val="FootnoteAnchor"/>
          <w:rtl w:val="true"/>
        </w:rPr>
        <w:footnoteReference w:id="898"/>
      </w:r>
      <w:r>
        <w:rPr>
          <w:rFonts w:ascii="Amiri" w:hAnsi="Amiri" w:eastAsia="Amiri" w:cs="Amiri"/>
          <w:color w:val="111111"/>
          <w:sz w:val="28"/>
          <w:sz w:val="28"/>
          <w:szCs w:val="28"/>
          <w:rtl w:val="true"/>
          <w:lang w:bidi="ar-SA"/>
        </w:rPr>
        <w:t>والشيخ الأعظم</w:t>
      </w:r>
      <w:r>
        <w:rPr>
          <w:rStyle w:val="FootnoteAnchor"/>
          <w:rtl w:val="true"/>
        </w:rPr>
        <w:footnoteReference w:id="899"/>
      </w:r>
      <w:r>
        <w:rPr>
          <w:rFonts w:ascii="Amiri" w:hAnsi="Amiri" w:eastAsia="Amiri" w:cs="Amiri"/>
          <w:color w:val="111111"/>
          <w:sz w:val="28"/>
          <w:sz w:val="28"/>
          <w:szCs w:val="28"/>
          <w:rtl w:val="true"/>
          <w:lang w:bidi="ar-SA"/>
        </w:rPr>
        <w:t xml:space="preserve">وغيرهم،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من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وَلَدَهُ فِهر فهو قُرشيّ‌</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فمَن إنتسبت إلى النضر ولم تنتسب إلى فِهْر يشكل حكمها، إلّا أنّ‌الذي يهوّن الخَطب عدم تحقّق الإبتلاء بها، بل لا يعرف الآن منها إلّا الهاشميّات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02" w:name="pg11795_115548"/>
    </w:p>
    <w:p>
      <w:pPr>
        <w:pStyle w:val="Heading6"/>
        <w:numPr>
          <w:ilvl w:val="5"/>
          <w:numId w:val="1"/>
        </w:numPr>
        <w:rPr/>
      </w:pPr>
      <w:bookmarkStart w:id="403" w:name="__RefHeading___Toc10328921_73709187"/>
      <w:bookmarkStart w:id="404" w:name="_Toc153"/>
      <w:bookmarkEnd w:id="402"/>
      <w:bookmarkEnd w:id="403"/>
      <w:r>
        <w:rPr>
          <w:rtl w:val="true"/>
        </w:rPr>
        <w:t>الشكّ في القُرشيّة</w:t>
      </w:r>
      <w:bookmarkEnd w:id="40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شكّفي كونهاقُرشيّة، يلحقهاحكم غيرها، كماهو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المحقّق عليه، ويش‍ هد له أصالة عدم الإنتساب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الأصل المعوَّل عليه لدى العلماء في جميع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بعض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الاعتماد عليه في مثل ما نحن فيه من الاُمور المغروسة في أذهان المتشرّعة، بل المركوز في أذهان العقلاء قاطبة، فجريان هذا الأصل ممّا لا ينبغي التوقّف فيه، إنّما الإشكال في تعيين وجه عمل العقلاء والعلماء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هو الاستصحاب، أي استصحاب عدم إنتساب هذا الشخص إلى هذه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القُرشيّة الثابت قبل تولّد تلك المرأة في الخارج، وهو الذي يُعبّر عنه باستصحاب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المرأة قبل أنْ تُولَد كانت هي واتّصافها بالقُرشيّة معدومتين في الخارج، فبعدما ولدت يُشكّ في تحقّق إتّصافها بها وعدمه، فيستصحب عدمه، ويثبت به أنّها غير متّصفة بالقُرشيّة، ويترتّب عليه أنّها لا تحيض بعد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هذا الحكم المرأة المتّصفة بغير القُرشيّة، ولا يثبت الإتصاف بهذا الأصل إلّاعلى القول بالأصل المثبت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ورد عام، ثمّ خُصّص بعنوان وجودي بالمنفصل، أو </w:t>
      </w:r>
    </w:p>
    <w:p>
      <w:pPr>
        <w:pStyle w:val="BookText"/>
        <w:rPr/>
      </w:pPr>
      <w:r>
        <w:rPr>
          <w:rFonts w:ascii="Amiri" w:hAnsi="Amiri" w:eastAsia="Amiri" w:cs="Amiri"/>
          <w:color w:val="111111"/>
          <w:sz w:val="28"/>
          <w:sz w:val="28"/>
          <w:szCs w:val="28"/>
          <w:rtl w:val="true"/>
          <w:lang w:bidi="ar-SA"/>
        </w:rPr>
        <w:t>كالاستثناء من المتّصل، لا يكون الباقي بعد التخصيص هو المتّصف بعدم ذلك الوصف الوجودي بنحو الموجبة المعدولة، كي لا يثبت باستصحاب عدم الإتصاف قيد الموضوع، وهو الإتّصاف بالعدم، بل الباقي بعده هو العام غير المتّصف بعنوان الخاص، بنحو السّالبة المحصّلة، لأنّه فرقٌ واضح بين دخل وجود العرض في الموضوع بشرط وجوده فيه، وبين دخل عدمه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وجود العَرَض في نفسه عينُ وجوده لموضوعه، لا يترتّب الحكم إلّابعد إثبات اتّصاف الموضوع بذلك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عدم العَرَض لا يحتاج إلى وجود الموضوع، فإستصحاب عدم اتّصاف الموضوع بذلك العرض المحقّق قبل تحقّقه يجري ويترتّب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دلّت النصوص على أنّ المرأة تحيض إلى خمسين إلّا القُرشيّة، فموضوع هذا الحكم هي المرأة غير المتّصفة بهذا العنوان، لا المرأة المتّصفة بغير القُرشيّة، وعليه فلا مانع من استصحاب عدم القُرشيّة المحقّق قبل تولّد هذه المرأة المشكوك كونها قُرشيّة، ويثبت به أنّ هذه المرأة غير متّصفة بالقُرشيّة، فيحكم بأنّها لا تحيض بعد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تنقيح القول في جريان هذا الأصل، أو ما اُستدلّ به على عدم جريانه موكولٌ إلى محلّه، وقد حقّقنا القول في ذلك في مبحث استصحاب العدم</w:t>
      </w:r>
      <w:r>
        <w:rPr>
          <w:rStyle w:val="FootnoteAnchor"/>
          <w:rtl w:val="true"/>
        </w:rPr>
        <w:footnoteReference w:id="902"/>
      </w:r>
      <w:r>
        <w:rPr>
          <w:rFonts w:ascii="Amiri" w:hAnsi="Amiri" w:eastAsia="Amiri" w:cs="Amiri"/>
          <w:color w:val="111111"/>
          <w:sz w:val="28"/>
          <w:sz w:val="28"/>
          <w:szCs w:val="28"/>
          <w:rtl w:val="true"/>
          <w:lang w:bidi="ar-SA"/>
        </w:rPr>
        <w:t xml:space="preserve">الأزلي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05" w:name="pg11795_115550"/>
    </w:p>
    <w:p>
      <w:pPr>
        <w:pStyle w:val="Heading6"/>
        <w:numPr>
          <w:ilvl w:val="5"/>
          <w:numId w:val="1"/>
        </w:numPr>
        <w:rPr/>
      </w:pPr>
      <w:bookmarkStart w:id="406" w:name="__RefHeading___Toc10328923_73709187"/>
      <w:bookmarkStart w:id="407" w:name="_Toc154"/>
      <w:bookmarkEnd w:id="405"/>
      <w:bookmarkEnd w:id="406"/>
      <w:r>
        <w:rPr>
          <w:rtl w:val="true"/>
        </w:rPr>
        <w:t>الشكّ في البلوغ</w:t>
      </w:r>
      <w:bookmarkEnd w:id="40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الدّم ممّن شكّ في بلوغها، وكان بصفات الحيض، فمقتضى القاعدة هو الحكم بعدم كونه حيضاً، لاستصحاب عدم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هنا إشكالاً مشهوراً، وهو أنّ الأصحاب عدّوا من علامات البلوغ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فيه خلافاً،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0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الحيض بنفسه بلوغ</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القول بكون من شُكّ في بلوغها بحكم من عُلم عدم بلوغها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للإستصحاب الذي يُحرز به عدم كونه حيضاً، لفقد شرطه وهو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w:t>
      </w:r>
    </w:p>
    <w:p>
      <w:pPr>
        <w:pStyle w:val="BookText"/>
        <w:rPr/>
      </w:pPr>
      <w:r>
        <w:rPr>
          <w:rFonts w:ascii="Amiri" w:hAnsi="Amiri" w:eastAsia="Amiri" w:cs="Amiri"/>
          <w:color w:val="111111"/>
          <w:sz w:val="28"/>
          <w:sz w:val="28"/>
          <w:szCs w:val="28"/>
          <w:rtl w:val="true"/>
          <w:lang w:bidi="ar-SA"/>
        </w:rPr>
        <w:t>الدّم المحكوم بأنّه من علاماته‌؟</w:t>
      </w:r>
    </w:p>
    <w:p>
      <w:pPr>
        <w:pStyle w:val="BookText"/>
        <w:rPr/>
      </w:pPr>
      <w:r>
        <w:rPr>
          <w:rFonts w:ascii="Amiri" w:hAnsi="Amiri" w:eastAsia="Amiri" w:cs="Amiri"/>
          <w:color w:val="111111"/>
          <w:sz w:val="28"/>
          <w:sz w:val="28"/>
          <w:szCs w:val="28"/>
          <w:rtl w:val="true"/>
          <w:lang w:bidi="ar-SA"/>
        </w:rPr>
        <w:t>بل هذا ينافي القول بأنّ الدّم المرئي قبل التسع ليس بحيض، حتّى مع عدم جريان الاستصحاب، لأنّ لازم ذلك عدم تحقّق الحيض قبل البلوغ، فالشكّ في البلوغ مستلزمٌ للشكّ في كونه حيضاً، فكيف يصحّ بنفسه دليلاً على البلوغ‌؟</w:t>
      </w:r>
    </w:p>
    <w:p>
      <w:pPr>
        <w:pStyle w:val="BookText"/>
        <w:rPr/>
      </w:pPr>
      <w:r>
        <w:rPr>
          <w:rFonts w:ascii="Amiri" w:hAnsi="Amiri" w:eastAsia="Amiri" w:cs="Amiri"/>
          <w:color w:val="111111"/>
          <w:sz w:val="28"/>
          <w:sz w:val="28"/>
          <w:szCs w:val="28"/>
          <w:rtl w:val="true"/>
          <w:lang w:bidi="ar-SA"/>
        </w:rPr>
        <w:t>وقد أجاب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الحيض يدلّ على البلوغ، والدليل على الحيض هي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حدود الحيض كونه بعد البلوغ، فالحكم به يتوقّف على ثبوت البلوغ، فإثبات البلوغ به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نصوص الباب ما يدلّ على أنّ الحيض إنّما يتحقّق قبل بلوغ التسع، بل هي تتضمّن لثبوت أحكام البالغة للحائض،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عمّار الذي رواه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الغلام متى تجب عليه 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فإنْ احتلم قبل ذلك فقد وجبت عليه الصّلاة، وجرى عليه القلم، والجارية مثل ذلك إذا أتى لها ثلاث عشرة سنة، أو حاضت قبل ذلك، فقد وجبت عليها الصّلاة، وجرى عليها القلم</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ومرسل الصدوق</w:t>
      </w:r>
      <w:r>
        <w:rPr>
          <w:rStyle w:val="FootnoteAnchor"/>
          <w:rtl w:val="true"/>
        </w:rPr>
        <w:footnoteReference w:id="911"/>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الصبي إذا احتلم الصيام، وعلى المرأة إذا حاضت الصيام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وموثّق ابن سنان</w:t>
      </w:r>
      <w:r>
        <w:rPr>
          <w:rStyle w:val="FootnoteAnchor"/>
          <w:rtl w:val="true"/>
        </w:rPr>
        <w:footnoteReference w:id="9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ثلاث عشرة سنة، كُتبت له الحسنة،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وكتبت عليه السيّئة وعوقب، وإذا بلغت الجارية تسع سنين فكذلك، وذلك أنّها تحيض لتسع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النصوص كون الحيض نفسه بلوغاً، ولكن لا تدلّ على تحقّق الحيض قبل تسع، بل الموثّق يدلّ على العدم، فما لم يُحرز بلوغ التسع لا يُحكم بكونه حيضاً للموثّق، ولما دلّ على أنّ الدّم المرئيّ قبل بلوغ التسع ليس بحيض، فلا يكون بلوغاً،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البلوغ بالسّن إنّما يكون ببلوغها العشر، فهذه النصوص لا تنافي شيئاً من الأخبار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يكون ببلوغها التسع، فلازمه إلغاء هذه النصوص، إذ دائماً يستند البلوغ إلى السنّ‌، ولا يستند إلى الحيض ولو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لا يمكن ذلك، ولا الحكم بأنّ ما يعلم بتحقّقه قبل إكمال التسع حيضٌ‌، لمنافاته لما دلّ على أنّ ما تراه قبله ليس بحيض، فيتعيّن حمل هذه النصوص على جعل الطريقيّة للبلوغ عند الشكّ فيه، وتدلّ على إلغاء الاستصحاب في المقام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محذور في ذلك</w:t>
      </w:r>
      <w:r>
        <w:rPr>
          <w:rFonts w:eastAsia="Amiri" w:cs="Amiri" w:ascii="Amiri" w:hAnsi="Amiri"/>
          <w:color w:val="111111"/>
          <w:sz w:val="28"/>
          <w:szCs w:val="28"/>
          <w:rtl w:val="true"/>
          <w:lang w:bidi="ar-SA"/>
        </w:rPr>
        <w:t>.</w:t>
      </w:r>
      <w:bookmarkStart w:id="408" w:name="pg11795_115553"/>
    </w:p>
    <w:p>
      <w:pPr>
        <w:pStyle w:val="Heading6"/>
        <w:numPr>
          <w:ilvl w:val="5"/>
          <w:numId w:val="1"/>
        </w:numPr>
        <w:rPr/>
      </w:pPr>
      <w:bookmarkStart w:id="409" w:name="__RefHeading___Toc10328925_73709187"/>
      <w:bookmarkStart w:id="410" w:name="_Toc155"/>
      <w:bookmarkEnd w:id="408"/>
      <w:bookmarkEnd w:id="409"/>
      <w:r>
        <w:rPr>
          <w:rtl w:val="true"/>
        </w:rPr>
        <w:t>اشتباه الحيض بالإستحاضة</w:t>
      </w:r>
      <w:bookmarkEnd w:id="410"/>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إشتبه الحيض بالإستحاضة، فالمشهور بين الأصحاب أنّها ترجع إلى الصفات</w:t>
      </w:r>
      <w:r>
        <w:rPr>
          <w:rStyle w:val="FootnoteAnchor"/>
          <w:rtl w:val="true"/>
        </w:rPr>
        <w:footnoteReference w:id="9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لا خلاف فيه ولا إشكال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حفص بن البختري أو حسنته،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إمرأة على أبي عبد اللّه عليه السلام فسألته عن المرأة يستمرّ بها الدّم، فلا تدري أحيضٌ هو أو غيره‌؟</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الحيض حارٌّ عبيطٌ أسود، له دفعٌ وحرارة، ودمّ الاستحاضة أصفرٌ بارد، فإذا كان للدّم حرارة ودفعٌ وسوادٌ فلتدع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لو كان امرأة ما زاد على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دمّ الاستحاضة والحيض ليس يخرجان من مكانٍ واحد، إنّ دمّ الاستحاضة بارد، وإنّ دمّ الحيض 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إسحاق بن جرير، عنه عليه السلام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سألتني إمرأة منّا أن اُدخلها على أبي عبد اللّه عليه السلام، واستأذنت لها فأذِن لها، فدخلت ومعها مولاة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الدّم يستمرّ بها الشهر والشهرين والثلاثة، كيف تصنع بالصلاة‌؟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أيّام حيضها، ثمّ تغتسل لكلّ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حيضها تختلف عليها، وكان يتقدّم الحيض اليوم واليومين والثلاثة، ويتأخّر مثل ذلك فما علمها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ليس به خفاء، هو دمٌ حارٌّ تجد له حُرقة، ودمّ الاستحاضة دمٌ فاسدٌ بارد</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صحيح ابن الحجّاج</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يستفاد من هذه النصوص قاعدة كليّة، وهي الحكم بحيضيّة الواجد لصفات الحيض، والحكم بعدمها مع انتفاء الصفات، إلّاأنْ يدلّ دليل على الخلاف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وجماعة</w:t>
      </w:r>
      <w:r>
        <w:rPr>
          <w:rStyle w:val="FootnoteAnchor"/>
          <w:rtl w:val="true"/>
        </w:rPr>
        <w:footnoteReference w:id="9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أنّه يستفاد منها قاعدة كليّة عند اشتباه الحيض بالإستحاضة خاصّة كما هو المشهور؟</w:t>
      </w:r>
    </w:p>
    <w:p>
      <w:pPr>
        <w:pStyle w:val="BookText"/>
        <w:rPr/>
      </w:pPr>
      <w:r>
        <w:rPr>
          <w:rFonts w:ascii="Amiri" w:hAnsi="Amiri" w:eastAsia="Amiri" w:cs="Amiri"/>
          <w:color w:val="111111"/>
          <w:sz w:val="28"/>
          <w:sz w:val="28"/>
          <w:szCs w:val="28"/>
          <w:rtl w:val="true"/>
          <w:lang w:bidi="ar-SA"/>
        </w:rPr>
        <w:t>أم يستفاد منها حكم دمّ الحيض المشتبه بدم الاستحاضة، المتّصل بدم الحيض كما في طهارة شيخنا الأعظم</w:t>
      </w:r>
      <w:r>
        <w:rPr>
          <w:rStyle w:val="FootnoteAnchor"/>
          <w:rtl w:val="true"/>
        </w:rPr>
        <w:footnoteReference w:id="9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وجوه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يستفاد من هذه الروايات، أنّ هذه الأوصاف خاصّة مركّبة، فمتى وجدت حُكِم بكون الدّم حيضاً، ومتى إنتفت إنتفى، وعليه فلو رأت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المبتدئة دماً ليس في صفات الحيض، لا يحكم بحيضيّته بمجرّد الرؤية، خلافاً للمشهور الملتزمين بالحكم بها لقاعدة الإمكان، وكذلك لو رأت ذات العادة الوقتيّة دماً فاقداً للصفات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هذه الأوصاف إنّما هو مجرّد الغلبة، وإلّا فقد تتخلّف فكيف تكون خاصّة، وستعرف أنّ الصفرة والكدرة في أيّام الحيض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دمّ الحيض من الموضوعات التي لا مدخليّة للشرع فيها، كالبول، فلو قطع بكون مسلوب الصفات حيضاً ما كان لنفيه معنى، والحكم له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في مقام بيان الصفات الخارجيّة الغالبيّة الموجبة للعلم والمعرفة الحقيقيّة، لا في مقام بيان المعرفة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خُصّص ما تضمّن بيان قاعدة كليّة، لا يوجب ذلك عدم حجيّته في سائر الموارد،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دمّ الحيض وإنْ كان من الموضوعات الخارجيّة، إلّاأنّه لأجل إشتباهه كثيراً بغيره، جَعل الشارع طريقاً إليه، فهو أمرٌ حقيقي خارجي، إلّا أنّ طريقه تعبّدي شرعي، ولا يحصل القطع بكون مسلوب الصفات حيضاً إلّاتعبّداً بحكم الشارع، وهو يوجبُ تقييد هذه الأدلّة، مع أنّه لو اُحرز بطريق آخر كون مسلوب الصفات حيضاً، خرج عن موضوع هذه النصوص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في الكلام الصادر من الشارع المقدّس الحمل على مقام التشريع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مسوقة لبيان ما يتميّز به دمّ الحيض عن دم </w:t>
      </w:r>
    </w:p>
    <w:p>
      <w:pPr>
        <w:pStyle w:val="BookText"/>
        <w:rPr/>
      </w:pPr>
      <w:r>
        <w:rPr>
          <w:rFonts w:ascii="Amiri" w:hAnsi="Amiri" w:eastAsia="Amiri" w:cs="Amiri"/>
          <w:color w:val="111111"/>
          <w:sz w:val="28"/>
          <w:sz w:val="28"/>
          <w:szCs w:val="28"/>
          <w:rtl w:val="true"/>
          <w:lang w:bidi="ar-SA"/>
        </w:rPr>
        <w:t>الاستحاضة عند إختلاط أحدهما بالآخر، لا مطلق ما اختَلَط الحيضُ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وإستفادة كونها مسوقة لإعطاء القاعدة الكليّة، مع فرض أنّ الشارع المقدّس حكم في غير مقامٍ بكون الفاقد لتلك الصفات حيضاً، والواجد غير حيض، وظهور النصوص في كونها في مقام بيان طريقيّة الصّفات الخارجيّة الغالبيّة المختصّة باختلاط الحيض بالإستحاضة، دونها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حفص</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للدّم حرارة ودَفْعٌ وسوادٌ فلتدَع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عموم الحكم لجميع موارد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عموم له، بعد كون الضمير راجعاً إلى المرأة المتلبّسة باستمرار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قاعدة كليّة عند اشتباه الحيض بالإستحاضة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ما ذكره الشيخ الأعظم رحمه الله في طهارته</w:t>
      </w:r>
      <w:r>
        <w:rPr>
          <w:rStyle w:val="FootnoteAnchor"/>
          <w:rtl w:val="true"/>
        </w:rPr>
        <w:footnoteReference w:id="920"/>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المستفاد من النصوص وكلمات اللّغويين، أنّ الاستحاضة هو الدّم المتّصل بدم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تكون هذه الأخبار مختصّة به، ولا تشمل غير المستمرّ المختلط بالحيض، وعدم اختصاص المميّزات المذكورة في النصوص بالدّم المستمرّ، لا ينافي اختصاص حجيّتها به على ما مرَّ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خصوصيّة الاستمرار من الخصوصيّات التي تكون مُلْغاة عند العرف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صحّة هذه الدعوى تتوقّف على العلم بعدم مدخليّة هذا القيد،</w:t>
      </w:r>
      <w:r>
        <w:rPr>
          <w:rFonts w:eastAsia="Amiri" w:cs="Amiri" w:ascii="Amiri" w:hAnsi="Amiri"/>
          <w:color w:val="111111"/>
          <w:sz w:val="28"/>
          <w:szCs w:val="28"/>
          <w:rtl w:val="true"/>
          <w:lang w:bidi="ar-SA"/>
        </w:rPr>
        <w:t xml:space="preserve">). </w:t>
      </w:r>
      <w:bookmarkStart w:id="411" w:name="pg11795_115557"/>
    </w:p>
    <w:p>
      <w:pPr>
        <w:pStyle w:val="BookText"/>
        <w:rPr/>
      </w:pPr>
      <w:bookmarkEnd w:id="411"/>
      <w:r>
        <w:rPr>
          <w:rFonts w:ascii="Amiri" w:hAnsi="Amiri" w:eastAsia="Amiri" w:cs="Amiri"/>
          <w:color w:val="111111"/>
          <w:sz w:val="28"/>
          <w:sz w:val="28"/>
          <w:szCs w:val="28"/>
          <w:rtl w:val="true"/>
          <w:lang w:bidi="ar-SA"/>
        </w:rPr>
        <w:t>وإلّا فمقتضى الأصل في كلّ قيدٍ اُخذ في موضوع الحكم دَخله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اختصاص طريقيّة الصفات المذكورة في النصوص، بما إذا اشتبه دمّ الحيض بالإستحاضة، إذا لم يكن طريق إليه كالعادة، أو قاعدة كليّة منطبقة على المورد، تقتضي الحكم بالحيضيّة كقاعدة الإمكان، على فرض ثبوتها</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10328927_73709187"/>
      <w:bookmarkStart w:id="413" w:name="_Toc156"/>
      <w:bookmarkEnd w:id="412"/>
      <w:r>
        <w:rPr>
          <w:rtl w:val="true"/>
        </w:rPr>
        <w:t>اشتباه دمّ الحيض بدم العُذرة</w:t>
      </w:r>
      <w:bookmarkEnd w:id="413"/>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إشتبه دمّ الحيض بدم العُذرة أي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طرف الاشتباه دمّ العُذرة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غيره أيضاً</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الاختبار وطرف الاشتباه العُذرة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الاختبار وطرف الاشتباه العُذرة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وسيبيّن أحكامها تِباعاً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خلاف في أنّها تَختبر بإدخال قطنة في الفرج كيفما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أن تستلقي على ظهرها وترفع رجليها كما عن الشهيد رحمه الله</w:t>
      </w:r>
      <w:r>
        <w:rPr>
          <w:rStyle w:val="FootnoteAnchor"/>
          <w:rtl w:val="true"/>
        </w:rPr>
        <w:footnoteReference w:id="922"/>
      </w:r>
      <w:r>
        <w:rPr>
          <w:rFonts w:ascii="Amiri" w:hAnsi="Amiri" w:eastAsia="Amiri" w:cs="Amiri"/>
          <w:color w:val="111111"/>
          <w:sz w:val="28"/>
          <w:sz w:val="28"/>
          <w:szCs w:val="28"/>
          <w:rtl w:val="true"/>
          <w:lang w:bidi="ar-SA"/>
        </w:rPr>
        <w:t>، المصرّح بوجود رواية</w:t>
      </w:r>
      <w:r>
        <w:rPr>
          <w:rStyle w:val="FootnoteAnchor"/>
          <w:rtl w:val="true"/>
        </w:rPr>
        <w:footnoteReference w:id="923"/>
      </w:r>
      <w:r>
        <w:rPr>
          <w:rFonts w:ascii="Amiri" w:hAnsi="Amiri" w:eastAsia="Amiri" w:cs="Amiri"/>
          <w:color w:val="111111"/>
          <w:sz w:val="28"/>
          <w:sz w:val="28"/>
          <w:szCs w:val="28"/>
          <w:rtl w:val="true"/>
          <w:lang w:bidi="ar-SA"/>
        </w:rPr>
        <w:t xml:space="preserve">دالّة على اعتبار هذا القيد، وحيثُ إنّه لم يثبت وجودها، ولم تصل إلينا كما صرّح به جملةٌ من الأعاظم، فالأظهر عدم اعتباره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وتَدَعها مليّاً ثمّ تُخرجها برفق، فإنْ خرجت القُطنة مطوّقة بالدّم فهو بكارة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المقدّس الأردبيلي رحمه الله</w:t>
      </w:r>
      <w:r>
        <w:rPr>
          <w:rStyle w:val="FootnoteAnchor"/>
          <w:rtl w:val="true"/>
        </w:rPr>
        <w:footnoteReference w:id="924"/>
      </w:r>
      <w:r>
        <w:rPr>
          <w:rFonts w:ascii="IRNazanin" w:hAnsi="IRNazanin" w:eastAsia="IRNazanin"/>
          <w:color w:val="111111"/>
          <w:sz w:val="28"/>
          <w:sz w:val="28"/>
          <w:szCs w:val="28"/>
          <w:rtl w:val="true"/>
          <w:lang w:bidi="fa-IR"/>
        </w:rPr>
        <w:t>الرجوع إلى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صحيح عن خلف بن حمّاد،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موسى بن جعفر عليه السلام بمِنى‌،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تزوّج جارية معصراً لم تطمث، فلما إفتضّها سالَ الدّم، فمكث سائلاً لا ينقطع نحواً من عشرة أيّام، وإنّ القوابل إختلفن في ذلك، فقالت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وقالت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العُذرة، فما ينبغي لها أن تصنع‌؟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فلتتق اللّه، فإنْ كان من دمّ الحيض فلتُمسك عن الصّلاة حتّى ترى الطهر، وليمسك عنها بعلها، وإنْ كان من العُذرة فلتتق اللّه، ولتتوضّأ ولتصلِّ ويأتيها بعلها إن أحبّ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لهم أن يعلموا ما هو حتّى يفعلوا ما ينبغي‌؟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يميناً وشمالاً في الفُسطاط مخافةَ أن يعلم كلامه أحد، ثمّ نَهَد إليَّ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خَلف سِرّ اللّه سِرّ اللّه لا تُذيعوه، ولا تعلّموا هذا الخلق اُصول دين اللّه، بل اُرضوا لهم ما رضيَ اللّه لهم من ضلال، ثمّ عقد بيده اليسرى تسعين،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تُدخل القُطنة ثمّ تدَعها مليّاً، ثمّ تخرجها إخراجاً رقيقاً، فإنْ كان الدّم مطوّقاً في القُطنة فهو من العُذرة، وإنْ كان مستنقعاً في القُطنة فهو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926"/>
      </w:r>
      <w:r>
        <w:rPr>
          <w:rFonts w:ascii="Amiri" w:hAnsi="Amiri" w:eastAsia="Amiri" w:cs="Amiri"/>
          <w:color w:val="111111"/>
          <w:sz w:val="28"/>
          <w:sz w:val="28"/>
          <w:szCs w:val="28"/>
          <w:rtl w:val="true"/>
          <w:lang w:bidi="ar-SA"/>
        </w:rPr>
        <w:t>روايته بأدنى اختلاف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الصحيح عن زياد بن سوقة،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 السلام عن رجلٍ إفتضّ</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إمرأته أو أمَته فرأتْ دماً كثيراً لا ينقطع عنها يومها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بالصلاة‌؟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الكُرْسُف، فإنْ خرجت القُطنة مطوّقة بالدّم، فإنّه من العُذرة، تغتسل وتُمسك معها قُطنة وتُصلّي، فإنْ خرج الكُرْسُف منغمساً بالدّم فهو من الطمث، تقعد عن الصّلاة أيّام الحيض</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مستنقعة، فهو حيضٌ كما عن الأكثر، بل الظاهر أنّ الإجماع عليه؛ إذ ما يظهر من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9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930"/>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من عدم الحكم بالحيضيّة، إنّما هو في الصورة الثانية؛ إذ في هذه الصورة إذا إنتفت العُذرة يتعيّن كونه دمّ الحيض، لفرض الدوران بينهما، مضافاً إلى أنّ هذا المورد هو المتيقّن من النصوص</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أنّ حكمها حكم الصورة الاُولى، وعن المحقّق</w:t>
      </w:r>
      <w:r>
        <w:rPr>
          <w:rStyle w:val="FootnoteAnchor"/>
          <w:rtl w:val="true"/>
        </w:rPr>
        <w:footnoteReference w:id="932"/>
      </w:r>
      <w:r>
        <w:rPr>
          <w:rFonts w:ascii="Amiri" w:hAnsi="Amiri" w:eastAsia="Amiri" w:cs="Amiri"/>
          <w:color w:val="111111"/>
          <w:sz w:val="28"/>
          <w:sz w:val="28"/>
          <w:szCs w:val="28"/>
          <w:rtl w:val="true"/>
          <w:lang w:bidi="ar-SA"/>
        </w:rPr>
        <w:t>، والمصنّف</w:t>
      </w:r>
      <w:r>
        <w:rPr>
          <w:rStyle w:val="FootnoteAnchor"/>
          <w:rtl w:val="true"/>
        </w:rPr>
        <w:footnoteReference w:id="933"/>
      </w:r>
      <w:r>
        <w:rPr>
          <w:rFonts w:ascii="Amiri" w:hAnsi="Amiri" w:eastAsia="Amiri" w:cs="Amiri"/>
          <w:color w:val="111111"/>
          <w:sz w:val="28"/>
          <w:sz w:val="28"/>
          <w:szCs w:val="28"/>
          <w:rtl w:val="true"/>
          <w:lang w:bidi="ar-SA"/>
        </w:rPr>
        <w:t>، والشهيد</w:t>
      </w:r>
      <w:r>
        <w:rPr>
          <w:rStyle w:val="FootnoteAnchor"/>
          <w:rtl w:val="true"/>
        </w:rPr>
        <w:footnoteReference w:id="934"/>
      </w:r>
      <w:r>
        <w:rPr>
          <w:rFonts w:ascii="IRNazanin" w:hAnsi="IRNazanin" w:eastAsia="IRNazanin"/>
          <w:color w:val="111111"/>
          <w:sz w:val="28"/>
          <w:sz w:val="28"/>
          <w:szCs w:val="28"/>
          <w:rtl w:val="true"/>
          <w:lang w:bidi="fa-IR"/>
        </w:rPr>
        <w:t>وابن فهد</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الحكم بكونه حيضاً إذا خرجت مستنقعة، واستحسنة شيخنا الأعظم الأنصاري رحمه الله</w:t>
      </w:r>
      <w:r>
        <w:rPr>
          <w:rStyle w:val="FootnoteAnchor"/>
          <w:rtl w:val="true"/>
        </w:rPr>
        <w:footnoteReference w:id="936"/>
      </w:r>
      <w:r>
        <w:rPr>
          <w:rFonts w:ascii="Amiri" w:hAnsi="Amiri" w:eastAsia="Amiri" w:cs="Amiri"/>
          <w:color w:val="111111"/>
          <w:sz w:val="28"/>
          <w:sz w:val="28"/>
          <w:szCs w:val="28"/>
          <w:rtl w:val="true"/>
          <w:lang w:bidi="ar-SA"/>
        </w:rPr>
        <w:t>، وادّعى أنّ أحداً من الأصحاب لم يفتِ بخلاف ذلك، لأنّ مفروض كلامهم فيما حكموا به، هو ما إذا تردّد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بين العُذرة والحيض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الصحيح الثاني</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ما إذا علم إنتفاء الثالث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اختصاص الأوّل بهذا المورد في محلّها؛ لأنّ الظاهر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من دمّ الحيض، فلتُمسك عن الصّلاة، وإنْ كان من العُذرة فلتتق اللّه ولتتوضّأ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الإنحصار والتردّد بين الأمرين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فرض السائل اختلاف القوابل في أنّه دم حيضٍ أو عُذرة، كما لايخفى، وحيث إنّ الصحيح الثاني مطلق كما عرفت، فلا وجه لدعوى جواز أن يكون طريق العلم بحيضيّة الدّم في مفروض الصحيحين نفي الاحتمال الآخر لا الإنغماس، بل لا تتمّ هذه الدعوى حتّى على فرض اختصاص الصحيحين بالصورة الاُولى، لظهور قوله عليه السلام</w:t>
      </w:r>
      <w:r>
        <w:rPr>
          <w:rStyle w:val="FootnoteAnchor"/>
          <w:rtl w:val="true"/>
        </w:rPr>
        <w:footnoteReference w:id="9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الكُرْسُف منغمساً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طريقيّة الإنغماس بنفسه، لا لتلازمه مع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ما ذُكر من اختصاص الخبرين بما إذا علم التردّد بين الأمرين، لما بقي دليلٌ على الحكم بكونه دمّ العُذرة، إذا كان الدّم مطوّقاً في القُطنة، لو لم ينحصر الاحتمال فيهما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الحكم بأنّه حيضٌ مع الإنغماس مطلقاً، كما هو المنسوب إلى المشهور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من النصّ والفتوى، وجوب الاختبار المذكور، وعليه فلو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صلّت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تكون صلاتها باطلة، وإن تبيّن بعد ذلك عدم كونه حيضاً، كما عن جماعة التصريح به‌؟</w:t>
      </w:r>
    </w:p>
    <w:p>
      <w:pPr>
        <w:pStyle w:val="BookText"/>
        <w:rPr/>
      </w:pPr>
      <w:r>
        <w:rPr>
          <w:rFonts w:ascii="Amiri" w:hAnsi="Amiri" w:eastAsia="Amiri" w:cs="Amiri"/>
          <w:color w:val="111111"/>
          <w:sz w:val="28"/>
          <w:sz w:val="28"/>
          <w:szCs w:val="28"/>
          <w:rtl w:val="true"/>
          <w:lang w:bidi="ar-SA"/>
        </w:rPr>
        <w:t>أو تكون صحيحة، مع عدم الإخلال بسائر الشروط حتّى قصد القربة‌؟</w:t>
      </w:r>
    </w:p>
    <w:p>
      <w:pPr>
        <w:pStyle w:val="BookText"/>
        <w:rPr/>
      </w:pPr>
      <w:r>
        <w:rPr>
          <w:rFonts w:ascii="Amiri" w:hAnsi="Amiri" w:eastAsia="Amiri" w:cs="Amiri"/>
          <w:color w:val="111111"/>
          <w:sz w:val="28"/>
          <w:sz w:val="28"/>
          <w:szCs w:val="28"/>
          <w:rtl w:val="true"/>
          <w:lang w:bidi="ar-SA"/>
        </w:rPr>
        <w:t>أو تكون صحيحة في صورة الغفلة عن وجوب الاختبار، كما عن شيخنا الأعظم رحمه الله</w:t>
      </w:r>
      <w:r>
        <w:rPr>
          <w:rStyle w:val="FootnoteAnchor"/>
          <w:rtl w:val="true"/>
        </w:rPr>
        <w:footnoteReference w:id="9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في صورة المعذوريّة فيه، كما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لعدم الصحّة مطلقاً،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الاختبار شرطٌ للصلاة في الفرض، وانتفاء المشروط بإنتفاء شرطه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الخبرين، أنّ وجوب الاختبار وجوبٌ مقدّمي لترتيب أثار أحد الدّمين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الأمر به كونه إرشاداً إلى تنجّز التكليف المحتمل، وأنّه لا يجوز الرجوع إلى القواعد والاُصول المقتضية لعدم تنجّزه، نظير الأمر بالتعلّم في الشبهات قبل الفحص، لا أنّه وجوبٌ شرطي ضمني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الحاكم بوجوب الإطاعة، يستقلّ بكون الإنبعاث عن احتمال الأمر في طول الإنبعاث عن بعث المولى، فلا يجتزي بالتحرّك عن احتمال الأمر، مع إمكان التحرّك عن نفس التحريك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في حصول الطاعة في نظر العقل سوى إتيان المأمور به بجميع قيوده، مضافاً إلى المولى، فإعتبار لزوم التحرّك عن تحريك المولى ممّا لم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الشكّ في اعتبار ذلك، بما أنّه شكٌّ في التقييد الزائد المرجع هي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العبادة على الحائض حرمة ذاتيّة، وحينئذٍ فالصلاة قبل الاختبار محتملة التحريم المنجّز، فتكون فاسدة؛ إذ المتجرّئ مستحقٌ للعقاب على ما حقّق في محلّه، فتكون صلاتها مبعدة، فيمتنع التقرّب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حرمتها تشريعيّةً لا ذاتيّةً‌، كما ستعرف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بالعبادة رجاء للمطلوبيّة لا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ذلك، لزم الحكم بالفساد في غير صورة المعذوريّة فيه لا مطلقاً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مدرك القولين الآخرين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هي الصحّة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بأنّهٌ لو كانت حالتهاالسابقة معلومة، ترجع إليهاعلى ماصرّح به جماعة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طهارة شيخنا الأعظم رحمه الله</w:t>
      </w:r>
      <w:r>
        <w:rPr>
          <w:rStyle w:val="FootnoteAnchor"/>
          <w:rtl w:val="true"/>
        </w:rPr>
        <w:footnoteReference w:id="941"/>
      </w:r>
      <w:r>
        <w:rPr>
          <w:rFonts w:ascii="Amiri" w:hAnsi="Amiri" w:eastAsia="Amiri" w:cs="Amiri"/>
          <w:color w:val="111111"/>
          <w:sz w:val="28"/>
          <w:sz w:val="28"/>
          <w:szCs w:val="28"/>
          <w:rtl w:val="true"/>
          <w:lang w:bidi="ar-SA"/>
        </w:rPr>
        <w:t>التفصيل بين صورة سبق الحيض فإختار أنّها ترجع إلى الحالة السابقة، وبين صورة عدم سبقه، فاختار سقوط وجوب الاختبار أيضاً، إلّاأنّه تردّد بين الرجوع إلى الحالة السابقة أو إلى أصالة الحيض أي قاعدة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إنّهذين القولين يبتنيان على‌عدم شمول النصوص للمقام، لسقوط وجوب الاختبار بتعذّره، كما هو الشأن في جميع التكاليف، ولكنّه غير تامّ‌، لما عرفت من أنّ الأمر بالاختبار إنّما يكون إرشاداً إلى تنجّز التكليف المحتمل، وأنّه لا يصحّ الرجوع إلى القواعد والاُصول المقتضية لعدم تنجّزه، وعلى ذلك فلا وجه لسقوطه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إطلاقها من هذه الجهة أو إنصرافها عن هذه الصورة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الشيخ الأعظم رحمه الله</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تحقّق الحيض سابقاً، واحتمل إنقطاعه بعد طروّ العُذرة، فالظاهر عدم دخوله تحت النصّ‌، فالرجوع فيها إلى استصحاب الحيض من غير إختبار، حتّى في صورة التمكّن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تامّاً من حيث الجمود على مورد النصّ‌، إلّاأنّه بعد التدبّر فيه يظهر عدم دخل خصوصيّة المورد في هذا الحكم، وأنّه عليه السلام في مقام بيان ما به يمتاز أحد الدّمين عن الآخر، عند اشتباه أحدهما بالآخر، فالرجوع إلى الاُصول في غير محلّه، وكذلك الرجوع إلى قاعدة الإمكان، مع أنّه ستعرف اختصاص القاعدة بما يُعلم خروجه من الرَّحِم،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حينئذٍ الرجوع إلى ما يقتضيه العلم الإجمالى بثبوت أحكام الطاهرة أو الحائض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حكم ما لم تَعْلَم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الأعاظم من إنحلال العلم الإجمالي المزبور، بأصالة عدم خروج الدّم من الرّحم، فتدخل في عموم أدلّة أحكام الطاهرة، وإذا ثبتت أحكام الطاهرة لها، ينحلّ العلم الإجمالي المزبور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الرجوع إلى هذا الأصل خلاف ما تقتضيه النصوص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14" w:name="pg11795_115564"/>
    </w:p>
    <w:p>
      <w:pPr>
        <w:pStyle w:val="BookText"/>
        <w:rPr/>
      </w:pPr>
      <w:bookmarkEnd w:id="414"/>
      <w:r>
        <w:rPr>
          <w:rFonts w:ascii="Amiri" w:hAnsi="Amiri" w:eastAsia="Amiri" w:cs="Amiri"/>
          <w:color w:val="111111"/>
          <w:sz w:val="28"/>
          <w:sz w:val="28"/>
          <w:szCs w:val="28"/>
          <w:rtl w:val="true"/>
          <w:lang w:bidi="ar-SA"/>
        </w:rPr>
        <w:t>عدم جواز الرجوع إلى الاُصول، حتّى في صورة عدم التمكّن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المحقّقين رحمه الله في عروته</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 على الطهارة في ما لم تعلم الحالة السابقة، فالظاهر أنّه مبنيٌ على مسلكه من جواز التمسّك بالعام في الشبهة المصداقيّة، فإنّه عليه بما أنّ أدلّة أحكام الطاهرة موضوعها مطلق المرأة، وإنّما خرجت عنه الحائض، وخُصّصت تلك الأدلّة بما دلّ على حكم الحائض، فإذا شُكّ في الحيض المرجع هو عموم تلك الأدلّة، ولكن الُمحَقَق في محلّه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تعيّن مراعاة الاحتياط في الصورتين</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10328929_73709187"/>
      <w:bookmarkStart w:id="416" w:name="_Toc157"/>
      <w:bookmarkEnd w:id="415"/>
      <w:r>
        <w:rPr>
          <w:rtl w:val="true"/>
        </w:rPr>
        <w:t>اشتباه دمّ الحيض بدم القُرحة</w:t>
      </w:r>
      <w:bookmarkEnd w:id="41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إشتبه دمّ الحيض بدم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فالمنسوب إلى المشهور أنّ الدّم إن كان يخرج من الطرف الأيسر فحيضٌ‌، وإلّا فمن القُرحة،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نسبته إلى فتوى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9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46"/>
      </w:r>
      <w:r>
        <w:rPr>
          <w:rFonts w:ascii="IRNazanin" w:hAnsi="IRNazanin" w:eastAsia="IRNazanin"/>
          <w:color w:val="111111"/>
          <w:sz w:val="28"/>
          <w:sz w:val="28"/>
          <w:szCs w:val="28"/>
          <w:rtl w:val="true"/>
          <w:lang w:bidi="fa-IR"/>
        </w:rPr>
        <w:t>وابن طاووس</w:t>
      </w:r>
      <w:r>
        <w:rPr>
          <w:rStyle w:val="FootnoteAnchor"/>
          <w:rtl w:val="true"/>
        </w:rPr>
        <w:footnoteReference w:id="947"/>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948"/>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والمحقّق الأردبيلي</w:t>
      </w:r>
      <w:r>
        <w:rPr>
          <w:rStyle w:val="FootnoteAnchor"/>
          <w:rtl w:val="true"/>
        </w:rPr>
        <w:footnoteReference w:id="950"/>
      </w:r>
      <w:r>
        <w:rPr>
          <w:rFonts w:ascii="IRNazanin" w:hAnsi="IRNazanin" w:eastAsia="IRNazanin"/>
          <w:color w:val="111111"/>
          <w:sz w:val="28"/>
          <w:sz w:val="28"/>
          <w:szCs w:val="28"/>
          <w:rtl w:val="true"/>
          <w:lang w:bidi="fa-IR"/>
        </w:rPr>
        <w:t xml:space="preserve">وصاحب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الجانب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ابن يحيى‌، رفعه عن أبان،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منّا بها قُرحة في جوفها، والدّم سائلٌ لا تدري من دمّ الحيض أو من دمّ القُرحة‌؟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فلتستلق على ظهرها، ثمّ ترفع رجليها، وتستدخل إصبعها الوسطى، فإنْ خرج الدّم من الجانب الأيسر فهو من الحيض، وإن خرج من الجانب الأيمن فهو من القُرحة</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الرواية 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الدّم من الجانب الأيمن فهو من الحيض، وإنْ خَرَج من الجانب الأيسر فهو من القُرحة</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والنقل الثاني مقدّمٌ‌،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الشهيد</w:t>
      </w:r>
      <w:r>
        <w:rPr>
          <w:rStyle w:val="FootnoteAnchor"/>
          <w:rtl w:val="true"/>
        </w:rPr>
        <w:footnoteReference w:id="9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وجد في كثير من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الحيض من الأيمن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طاووس</w:t>
      </w:r>
      <w:r>
        <w:rPr>
          <w:rStyle w:val="FootnoteAnchor"/>
          <w:rtl w:val="true"/>
        </w:rPr>
        <w:footnoteReference w:id="9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الجديدة كون الحيض من الأيسر أنّه 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أضبطيّة الكليني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فيدفعها إفتاء الشيخ نفسه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مثل قوله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إختاره المشهور، وعدم ذكر أحد من المحشّين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مع أنّ عادتهم نقل جميع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فيدفعها أن أضبطية الكليني وإن لا مجال لإنكارها، إلّا أنّه في المقام لأجل اتّفاق المتقدّمين والمتأخّرين من الُمحدّثين على موافقة المشهور كما عن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xml:space="preserve">وموافقة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قيل عنها إنّها متون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ووالده في الرسالة</w:t>
      </w:r>
      <w:r>
        <w:rPr>
          <w:rStyle w:val="FootnoteAnchor"/>
          <w:rtl w:val="true"/>
        </w:rPr>
        <w:footnoteReference w:id="960"/>
      </w:r>
      <w:r>
        <w:rPr>
          <w:rFonts w:ascii="Amiri" w:hAnsi="Amiri" w:eastAsia="Amiri" w:cs="Amiri"/>
          <w:color w:val="111111"/>
          <w:sz w:val="28"/>
          <w:sz w:val="28"/>
          <w:szCs w:val="28"/>
          <w:rtl w:val="true"/>
          <w:lang w:bidi="ar-SA"/>
        </w:rPr>
        <w:t xml:space="preserve">التي قيل إنّها أيضاً متون الأخبار، وأنّ الأصحاب كانوا إذا أعوزتهم النصوص رجعوا إليها، وأمثالها، يقدّم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الرواية مقطوعة مضطربة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وبجواز كون القُرحة في الجانبين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الحيض من الرّحم وليس من جانب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إرسالها منجبرٌ بكون الخبر مشهوراًَ بين الأساطين من أهل الرواية والفتوى، وقد مرّ أنّها غير 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إضطرابها، فإنّما هو في خصوص تعيين الجانب، وأمّا من حيث دلالتها على أنّ المرجع في الفرض، ليس هي الأوصاف، ولا قاعدة الإمكان، فلا إضطراب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الجائز أن يكون حصول القُرحة التي يجري منها الدّم المشتبه بدم الحيض، في خصوص الجانب الأيمن، أو أنّه عند الإستلقاء بالكيفيّة الخاصّة يخرج الدّم من الجانب الأيمن، حتّى ولو كانت القُرحة في الجانب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الممكن أن يكون الرّحم عند الإستلقاء الخاص مستقرّاً في الجانب الأيسر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الأوّل، حتّى فيما لو علم كون القُرحة في الطرف الأيسر، وإستثناء هذه الصورة مع عدم دليلٍ يَخرج به عن إطلاق النصوص، وعدم ذكره في كلام الأكثر، ممّا لا وجه له</w:t>
      </w:r>
      <w:r>
        <w:rPr>
          <w:rFonts w:eastAsia="Amiri" w:cs="Amiri" w:ascii="Amiri" w:hAnsi="Amiri"/>
          <w:color w:val="111111"/>
          <w:sz w:val="28"/>
          <w:szCs w:val="28"/>
          <w:rtl w:val="true"/>
          <w:lang w:bidi="ar-SA"/>
        </w:rPr>
        <w:t>.</w:t>
      </w:r>
      <w:bookmarkStart w:id="417" w:name="pg11795_115568"/>
    </w:p>
    <w:p>
      <w:pPr>
        <w:pStyle w:val="BookText"/>
        <w:rPr/>
      </w:pPr>
      <w:bookmarkEnd w:id="417"/>
      <w:r>
        <w:rPr>
          <w:rFonts w:ascii="Amiri" w:hAnsi="Amiri" w:eastAsia="Amiri" w:cs="Amiri"/>
          <w:color w:val="111111"/>
          <w:sz w:val="28"/>
          <w:sz w:val="28"/>
          <w:szCs w:val="28"/>
          <w:rtl w:val="true"/>
          <w:lang w:bidi="ar-SA"/>
        </w:rPr>
        <w:t>وأقلّه ثلاثة أيّام</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0328931_73709187"/>
      <w:bookmarkStart w:id="419" w:name="_Toc158"/>
      <w:bookmarkEnd w:id="418"/>
      <w:r>
        <w:rPr>
          <w:rtl w:val="true"/>
        </w:rPr>
        <w:t>أقلّ الحيض وأكثره</w:t>
      </w:r>
      <w:bookmarkEnd w:id="419"/>
    </w:p>
    <w:p>
      <w:pPr>
        <w:pStyle w:val="Heading6"/>
        <w:numPr>
          <w:ilvl w:val="5"/>
          <w:numId w:val="1"/>
        </w:numPr>
        <w:rPr/>
      </w:pPr>
      <w:bookmarkStart w:id="420" w:name="__RefHeading___Toc10328933_73709187"/>
      <w:bookmarkStart w:id="421" w:name="_Toc159"/>
      <w:bookmarkEnd w:id="420"/>
      <w:r>
        <w:rPr>
          <w:rtl w:val="true"/>
        </w:rPr>
        <w:t>اشارة</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أقلّ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المحقّق والمحكيّ حدّ الإستفاضة، بل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به نصوص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بن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الحيض ثلاثة أيّام، وأكثر ما يكون عشرة أيّام</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صفوان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أدنى ما يكون الحيض‌؟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ثلاثة، وأبعده عشرة</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يعقوب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الحيض ثلاثة، وأقصاه عشرة</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مصحّح حميد، عن إسحاق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الحُبلى ترى الدّم اليوم واليومين‌؟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دماً عبيطاً فلا تُصلِّ ذينك اليومين، وإنْ كان صُفرةً فلتغتسل </w:t>
      </w:r>
    </w:p>
    <w:p>
      <w:pPr>
        <w:pStyle w:val="BookText"/>
        <w:rPr/>
      </w:pPr>
      <w:r>
        <w:rPr>
          <w:rFonts w:ascii="Amiri" w:hAnsi="Amiri" w:eastAsia="Amiri" w:cs="Amiri"/>
          <w:color w:val="111111"/>
          <w:sz w:val="28"/>
          <w:sz w:val="28"/>
          <w:szCs w:val="28"/>
          <w:rtl w:val="true"/>
          <w:lang w:bidi="ar-SA"/>
        </w:rPr>
        <w:t>عند كلّ صلاتين</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الجارية البِكْر أوّل ما تحيض، فتقعد في الشهر يومين، وفي الشهر ثلاثة، تختلف عليها، لايكون طثمها في الشهر عدّة أيّام سواء؟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تجلس وتَدَع الصّلاة ما دامت ترى الدّم، ما لم يجز العشرة</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يعارضها لعدم عمل الأصحاب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9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خلافهما إجماع الطائفة، وكذا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الأوّل مختصٌّ بالحُبلى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يحتمل أن يُراد به ترك الصّلاة بمجرّد رؤية الدّم، وإنْ وجب عليها القضاء إذا انقطع قبل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يمكن حمله على مقدار ثلاثة متوالية، بأنْ ترى الدّم عصر يوم الخميس، فتقعد عن الصّلاة يوم الجمعة والسبت، وتطهر في عصر يوم الأحد، فلا معارضة للنصوص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الحكم ممّا لا إشكال فيه ولا كلام، إنّما الكلام يقع في موارد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22" w:name="pg11795_115570"/>
    </w:p>
    <w:p>
      <w:pPr>
        <w:pStyle w:val="BookText"/>
        <w:rPr/>
      </w:pPr>
      <w:bookmarkEnd w:id="422"/>
      <w:r>
        <w:rPr>
          <w:rFonts w:ascii="Amiri" w:hAnsi="Amiri" w:eastAsia="Amiri" w:cs="Amiri"/>
          <w:color w:val="111111"/>
          <w:sz w:val="28"/>
          <w:sz w:val="28"/>
          <w:szCs w:val="28"/>
          <w:rtl w:val="true"/>
          <w:lang w:bidi="ar-SA"/>
        </w:rPr>
        <w:t>متواليات</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10328935_73709187"/>
      <w:bookmarkStart w:id="424" w:name="_Toc160"/>
      <w:bookmarkEnd w:id="423"/>
      <w:r>
        <w:rPr>
          <w:rtl w:val="true"/>
        </w:rPr>
        <w:t>في اعتبار التوالي في ثلاثة الحيض</w:t>
      </w:r>
      <w:bookmarkEnd w:id="424"/>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الإسكافي</w:t>
      </w:r>
      <w:r>
        <w:rPr>
          <w:rStyle w:val="FootnoteAnchor"/>
          <w:rtl w:val="true"/>
        </w:rPr>
        <w:footnoteReference w:id="971"/>
      </w:r>
      <w:r>
        <w:rPr>
          <w:rFonts w:ascii="Amiri" w:hAnsi="Amiri" w:eastAsia="Amiri" w:cs="Amiri"/>
          <w:color w:val="111111"/>
          <w:sz w:val="28"/>
          <w:sz w:val="28"/>
          <w:szCs w:val="28"/>
          <w:rtl w:val="true"/>
          <w:lang w:bidi="ar-SA"/>
        </w:rPr>
        <w:t>والصدوقين</w:t>
      </w:r>
      <w:r>
        <w:rPr>
          <w:rStyle w:val="FootnoteAnchor"/>
          <w:rtl w:val="true"/>
        </w:rPr>
        <w:footnoteReference w:id="972"/>
      </w:r>
      <w:r>
        <w:rPr>
          <w:rFonts w:ascii="Amiri" w:hAnsi="Amiri" w:eastAsia="Amiri" w:cs="Amiri"/>
          <w:color w:val="111111"/>
          <w:sz w:val="28"/>
          <w:sz w:val="28"/>
          <w:szCs w:val="28"/>
          <w:rtl w:val="true"/>
          <w:lang w:bidi="ar-SA"/>
        </w:rPr>
        <w:t>، والسيّد</w:t>
      </w:r>
      <w:r>
        <w:rPr>
          <w:rStyle w:val="FootnoteAnchor"/>
          <w:rtl w:val="true"/>
        </w:rPr>
        <w:footnoteReference w:id="973"/>
      </w:r>
      <w:r>
        <w:rPr>
          <w:rFonts w:ascii="Amiri" w:hAnsi="Amiri" w:eastAsia="Amiri" w:cs="Amiri"/>
          <w:color w:val="111111"/>
          <w:sz w:val="28"/>
          <w:sz w:val="28"/>
          <w:szCs w:val="28"/>
          <w:rtl w:val="true"/>
          <w:lang w:bidi="ar-SA"/>
        </w:rPr>
        <w:t xml:space="preserve">، والشيخ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والحلبي</w:t>
      </w:r>
      <w:r>
        <w:rPr>
          <w:rStyle w:val="FootnoteAnchor"/>
          <w:rtl w:val="true"/>
        </w:rPr>
        <w:footnoteReference w:id="975"/>
      </w:r>
      <w:r>
        <w:rPr>
          <w:rFonts w:ascii="Amiri" w:hAnsi="Amiri" w:eastAsia="Amiri" w:cs="Amiri"/>
          <w:color w:val="111111"/>
          <w:sz w:val="28"/>
          <w:sz w:val="28"/>
          <w:szCs w:val="28"/>
          <w:rtl w:val="true"/>
          <w:lang w:bidi="ar-SA"/>
        </w:rPr>
        <w:t>وإبني حمزة</w:t>
      </w:r>
      <w:r>
        <w:rPr>
          <w:rStyle w:val="FootnoteAnchor"/>
          <w:rtl w:val="true"/>
        </w:rPr>
        <w:footnoteReference w:id="976"/>
      </w:r>
      <w:r>
        <w:rPr>
          <w:rFonts w:ascii="Amiri" w:hAnsi="Amiri" w:eastAsia="Amiri" w:cs="Amiri"/>
          <w:color w:val="111111"/>
          <w:sz w:val="28"/>
          <w:sz w:val="28"/>
          <w:szCs w:val="28"/>
          <w:rtl w:val="true"/>
          <w:lang w:bidi="ar-SA"/>
        </w:rPr>
        <w:t>، وسعيد</w:t>
      </w:r>
      <w:r>
        <w:rPr>
          <w:rStyle w:val="FootnoteAnchor"/>
          <w:rtl w:val="true"/>
        </w:rPr>
        <w:footnoteReference w:id="977"/>
      </w:r>
      <w:r>
        <w:rPr>
          <w:rFonts w:ascii="Amiri" w:hAnsi="Amiri" w:eastAsia="Amiri" w:cs="Amiri"/>
          <w:color w:val="111111"/>
          <w:sz w:val="28"/>
          <w:sz w:val="28"/>
          <w:szCs w:val="28"/>
          <w:rtl w:val="true"/>
          <w:lang w:bidi="ar-SA"/>
        </w:rPr>
        <w:t>، والمحقّق</w:t>
      </w:r>
      <w:r>
        <w:rPr>
          <w:rStyle w:val="FootnoteAnchor"/>
          <w:rtl w:val="true"/>
        </w:rPr>
        <w:footnoteReference w:id="978"/>
      </w:r>
      <w:r>
        <w:rPr>
          <w:rFonts w:ascii="Amiri" w:hAnsi="Amiri" w:eastAsia="Amiri" w:cs="Amiri"/>
          <w:color w:val="111111"/>
          <w:sz w:val="28"/>
          <w:sz w:val="28"/>
          <w:szCs w:val="28"/>
          <w:rtl w:val="true"/>
          <w:lang w:bidi="ar-SA"/>
        </w:rPr>
        <w:t>، والمصنّف</w:t>
      </w:r>
      <w:r>
        <w:rPr>
          <w:rStyle w:val="FootnoteAnchor"/>
          <w:rtl w:val="true"/>
        </w:rPr>
        <w:footnoteReference w:id="979"/>
      </w:r>
      <w:r>
        <w:rPr>
          <w:rFonts w:ascii="Amiri" w:hAnsi="Amiri" w:eastAsia="Amiri" w:cs="Amiri"/>
          <w:color w:val="111111"/>
          <w:sz w:val="28"/>
          <w:sz w:val="28"/>
          <w:szCs w:val="28"/>
          <w:rtl w:val="true"/>
          <w:lang w:bidi="ar-SA"/>
        </w:rPr>
        <w:t>، والشهيدين</w:t>
      </w:r>
      <w:r>
        <w:rPr>
          <w:rStyle w:val="FootnoteAnchor"/>
          <w:rtl w:val="true"/>
        </w:rPr>
        <w:footnoteReference w:id="980"/>
      </w:r>
      <w:r>
        <w:rPr>
          <w:rFonts w:ascii="Amiri" w:hAnsi="Amiri" w:eastAsia="Amiri" w:cs="Amiri"/>
          <w:color w:val="111111"/>
          <w:sz w:val="28"/>
          <w:sz w:val="28"/>
          <w:szCs w:val="28"/>
          <w:rtl w:val="true"/>
          <w:lang w:bidi="ar-SA"/>
        </w:rPr>
        <w:t>، والمحقّق الثاني</w:t>
      </w:r>
      <w:r>
        <w:rPr>
          <w:rStyle w:val="FootnoteAnchor"/>
          <w:rtl w:val="true"/>
        </w:rPr>
        <w:footnoteReference w:id="981"/>
      </w:r>
      <w:r>
        <w:rPr>
          <w:rFonts w:ascii="Amiri" w:hAnsi="Amiri" w:eastAsia="Amiri" w:cs="Amiri"/>
          <w:color w:val="111111"/>
          <w:sz w:val="28"/>
          <w:sz w:val="28"/>
          <w:szCs w:val="28"/>
          <w:rtl w:val="true"/>
          <w:lang w:bidi="ar-SA"/>
        </w:rPr>
        <w:t>، وأكثر من تأخّر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بين الأصحاب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الشيخ الأعظم رحمه الله</w:t>
      </w:r>
      <w:r>
        <w:rPr>
          <w:rStyle w:val="FootnoteAnchor"/>
          <w:rtl w:val="true"/>
        </w:rPr>
        <w:footnoteReference w:id="984"/>
      </w:r>
      <w:r>
        <w:rPr>
          <w:rFonts w:ascii="Amiri" w:hAnsi="Amiri" w:eastAsia="Amiri" w:cs="Amiri"/>
          <w:color w:val="111111"/>
          <w:sz w:val="28"/>
          <w:sz w:val="28"/>
          <w:szCs w:val="28"/>
          <w:rtl w:val="true"/>
          <w:lang w:bidi="ar-SA"/>
        </w:rPr>
        <w:t>في طهارته بأصالة عدم الحيض وأجاب عن إشكال معارضتها مع أصالة عدم الاستحاضة، بجوابين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قلنا بثبوت الواسطة بين الحيض والاستحاضة فلا تنافي؛ إذ لا يعلم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الواسطة بينهما، فأصالة عدم الحيض حاكمة على أصالة عدم الاستحاضة، لأنّ المستفاد من النصوص والفتاوى أنّ كلّ دمٍّ لم يُحكم عليه بالحيضيّة شرعاً، ولم يُعلم أنّه لقرحةٍ أو عُذرةٍ أو نفاسٍ‌، فهو محكوم عليه بأحكام الاستحاضة، وحينئذٍ فإذا انتفى كونه حيضاً بحكم الأصل، تعيّن كونه إستحاضة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الحيض سليمة عن المعارض في خصوص الصّلاة، لأنّه لا يترتّب على أصالة عدم الاستحاضة عدم وجوبها، فيجب الإغتسال مع غَمس القُطنة، للقطع ببطلان الصّلاة واقعاً بدونه، لأنّها إمّا حائض أو مستحاضة، ويجب تجديد الوضوء لكلّ صلاةٍ مع عدم الغمس، لأنّ الوضوء الواحد لا يرفع حَدَثها قطعاً، لأنّه مردّد بين الحيض والاستحاضة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بعض من تأخّر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أصالة عدم الحيض لا تجري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تقدير اعتبار التوالي، فالحيض منتف قطعاً، وعلى تقدير عدمه، فالحيض موجودٌ قطعاً، فالشكّ إنّما يكون في المردّد بين الأمرين، وليس هو موضوع الأثر ليجري في نفيه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أصالة عدم الحيض، لا تُثبت أن هذا الدّم ليس بحيض، لأنّ الأوّل مفاد كان التامة، والثاني مفاد كان الناقصة، والأصل المثبت للأوّل لا يصلح لإثبات الثاني، كي يحكم عليه بأحكام الاستحاضة، فأصالة عدم الحيض معارضة بأصالة عدم الاستحاضة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الإنحلال المذكور غير تامّ‌؛ إذ وجوب الصّلاة الثابت بمقتضى أصالة عدم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له إطلاق يقتضي الشمول لصورة كونها 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مقتضياً لوجوب الغسل وتكرار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المثبت للوجوب المذكور، يكون مثبتاً لهما، فيكون منافياً لأصالة عدم الأستحاضة ومعارضاً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فلأنّ‌عدم العلم باعتبارالتوالي وعدمه، بضميمة القطعين المذكورين، منشأ الشكّ في كون المرأة المفروضة حائضاً أو مستحاضة، وكون ماجرى منها دمّ الحيض أو الاستحاضة، فيجري الأصل في نفي ما هو موضوع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عدم كون هذا الدّم حيضاً تجري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جريان الأصل في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عدمه، فلأنّه لو سلّمنا كون الدّم من حين ما يتقاطر من الرّحم عرفاً ولو لم يخرج متّصفاً بكونه دمّ حيض، إلّاأنّه قبل تقاطره من الرّحم، لا يكون متّصفاً به، فيستصحب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فبناءً على ثبوت القاعدة المذكورة، تجري أصالة عدم الحيض، ويترتّب عليها ثبوت أحكام الاستحاضة له، ومعه لا مجال لاستصحاب عدم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ثبوتها، يتعارض الأصلان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يظهرإندفاع ماأورده سيّدمشايخنا رحمه الله</w:t>
      </w:r>
      <w:r>
        <w:rPr>
          <w:rStyle w:val="FootnoteAnchor"/>
          <w:rtl w:val="true"/>
        </w:rPr>
        <w:footnoteReference w:id="9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أنّ‌أصالة عدم الحيض</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ثبت بها أنّ الدّم الموجود غير حيض، فموضوع القاعدة المذكورة لا يتحقّق مع جريانها، لأنّ نسبتها إليها كنسبة قاعدة الطهارة إلى إستصحابها، فالرجوع إليها عند سقوط هذا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يثبت ذلك بها، فالقاعدة جارية، سواءٌ أكان هناك أصلٌ أم لا، وليس لها تعلّق بمجرى الأصلين، لثبوت حكومة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القاعدة لا ينتفي بالاستصحاب، فلا وجه لسقوطها مع جريانه، فإنّه بالأصل يثبت كون الدّم غير حيض، فتشمله الكبرى الكليّة، وحينئذٍ لايبقى شكّ في كونه استحاضة، فلاتجري أصالة عدم الاستحاضة،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الغُسل، وتكرار الوضوء، لا يثبتان بأصالة عدم الحيض؛ إذ لا يثبت بها كونها مستحاضة كي يترتبان عليها، ومعنى إطلاقها لصورة كونها مستحاضة، ليس ثبوت الخصوصيّة بها، لأنّ معنى الإطلاق رفض القيود لا أخذ كلّ قيدٍ في الحكم، وعليه فلا تعارض أصالة عدم الاستحاضة مع أصالة عدم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يثبت بأصالة عدم الاستحاضة، عدم وجوب الإغتسال وغيره ممّا يكون من أحكام المستحاضة، ولازم ذلك نفي وجوب الصّلاة، فتعارض مع أصالة عدم الحيض المثبتة لوجوبها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يترتّب على عدم الآثار واللّوازم الثابت بالاُصول، عدم الملزوم،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وجوب الغُسل ليس إلّاقاعدة الإشتغال، ولا ريب في حكومة استصحاب عدم الاستحاضة النافي لوجوبه عليها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إنّما تكون فيما إذا كان مجرى الأصلين شيئاً واحداً، وأمّا إذا كان متعدّداً فلا وجه لها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قاعدة الإشتغال بالتكليف، الثابت بمقتضى أصالة عدم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الإتيان به، وهي تمنع عن العمل بأصالة عدم الاستحاضة لمنافاتها، لها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جريان أصالة عدم الحيض، وعدم معارضتها باستصحاب عدم الاستحاضة، وهي تدلّ على اعتبار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التحديد المتقدّم بعضها؛ إذ الظاهر من تقدير شيءٍ قابل للإستمرار والدوام بجعل مقدار من الزمان ظرفاً له، هو اعتبار وحدته، وعدم إنفصال بعض أجزائه عن بعض، ألا ترى أنّه لو أمر المولى عبده بالجلوس ثلاث ساعات في المسجد، لا يشكّ أحدٌ في ظهوره في إرادة الجلوس مستمرّاً، فلو جلس ساعةً في أوّل النهار وساعةً في وسطه وساعة في آخره لا يكون ممتثلاً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اعتبار التوالي في أكثر الحيض أيضاً، وهو ممّا لم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هذه النصوص وإنْ كان ذلك، إلّاأنّه يرفع اليد عنه، لأجل ما دلّ من النصوص على أنّ مازاد على أقلّ الحيض إذا لم يكن متوالياً، يكون النقاء المتخلّل بمنزلة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المحقّق الخراساني رحمه الله</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منها أقلّ حدث الحيض لا أقلّ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الحيض هو الدّم الذي جعلوه عنواناً للباب، وحمله على الحالة مجازٌ لا يصار إليه بلا قرينة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رأتْ يوماً أو يومين، فليس ذلك من الحيض، ما لم تر ثلاثة أيّامٍ متواليات</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w:t>
      </w:r>
      <w:r>
        <w:rPr>
          <w:rStyle w:val="FootnoteAnchor"/>
          <w:rtl w:val="true"/>
        </w:rPr>
        <w:footnoteReference w:id="988"/>
      </w:r>
      <w:r>
        <w:rPr>
          <w:rFonts w:ascii="Amiri" w:hAnsi="Amiri" w:eastAsia="Amiri" w:cs="Amiri"/>
          <w:color w:val="111111"/>
          <w:sz w:val="28"/>
          <w:sz w:val="28"/>
          <w:szCs w:val="28"/>
          <w:rtl w:val="true"/>
          <w:lang w:bidi="ar-SA"/>
        </w:rPr>
        <w:t xml:space="preserve">،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والتهذيبين</w:t>
      </w:r>
      <w:r>
        <w:rPr>
          <w:rStyle w:val="FootnoteAnchor"/>
          <w:rtl w:val="true"/>
        </w:rPr>
        <w:footnoteReference w:id="990"/>
      </w:r>
      <w:r>
        <w:rPr>
          <w:rFonts w:ascii="Amiri" w:hAnsi="Amiri" w:eastAsia="Amiri" w:cs="Amiri"/>
          <w:color w:val="111111"/>
          <w:sz w:val="28"/>
          <w:sz w:val="28"/>
          <w:szCs w:val="28"/>
          <w:rtl w:val="true"/>
          <w:lang w:bidi="ar-SA"/>
        </w:rPr>
        <w:t xml:space="preserve">، والقاضي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والمقدّس الأردبيلي</w:t>
      </w:r>
      <w:r>
        <w:rPr>
          <w:rStyle w:val="FootnoteAnchor"/>
          <w:rtl w:val="true"/>
        </w:rPr>
        <w:footnoteReference w:id="992"/>
      </w:r>
      <w:r>
        <w:rPr>
          <w:rFonts w:ascii="Amiri" w:hAnsi="Amiri" w:eastAsia="Amiri" w:cs="Amiri"/>
          <w:color w:val="111111"/>
          <w:sz w:val="28"/>
          <w:sz w:val="28"/>
          <w:szCs w:val="28"/>
          <w:rtl w:val="true"/>
          <w:lang w:bidi="ar-SA"/>
        </w:rPr>
        <w:t>، وكاشف اللّثام</w:t>
      </w:r>
      <w:r>
        <w:rPr>
          <w:rStyle w:val="FootnoteAnchor"/>
          <w:rtl w:val="true"/>
        </w:rPr>
        <w:footnoteReference w:id="993"/>
      </w:r>
      <w:r>
        <w:rPr>
          <w:rFonts w:ascii="Amiri" w:hAnsi="Amiri" w:eastAsia="Amiri" w:cs="Amiri"/>
          <w:color w:val="111111"/>
          <w:sz w:val="28"/>
          <w:sz w:val="28"/>
          <w:szCs w:val="28"/>
          <w:rtl w:val="true"/>
          <w:lang w:bidi="ar-SA"/>
        </w:rPr>
        <w:t>، والشيخ الحُرّ في رسالته</w:t>
      </w:r>
      <w:r>
        <w:rPr>
          <w:rStyle w:val="FootnoteAnchor"/>
          <w:rtl w:val="true"/>
        </w:rPr>
        <w:footnoteReference w:id="994"/>
      </w:r>
      <w:r>
        <w:rPr>
          <w:rFonts w:ascii="Amiri" w:hAnsi="Amiri" w:eastAsia="Amiri" w:cs="Amiri"/>
          <w:color w:val="111111"/>
          <w:sz w:val="28"/>
          <w:sz w:val="28"/>
          <w:szCs w:val="28"/>
          <w:rtl w:val="true"/>
          <w:lang w:bidi="ar-SA"/>
        </w:rPr>
        <w:t>، وجماعة من علماء البحرين</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التوالي، بل ظاهر المحكيّ عن القاضي معروفيّة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الشيخ</w:t>
      </w:r>
      <w:r>
        <w:rPr>
          <w:rStyle w:val="FootnoteAnchor"/>
          <w:rtl w:val="true"/>
        </w:rPr>
        <w:footnoteReference w:id="996"/>
      </w:r>
      <w:r>
        <w:rPr>
          <w:rFonts w:ascii="Amiri" w:hAnsi="Amiri" w:eastAsia="Amiri" w:cs="Amiri"/>
          <w:color w:val="111111"/>
          <w:sz w:val="28"/>
          <w:sz w:val="28"/>
          <w:szCs w:val="28"/>
          <w:rtl w:val="true"/>
          <w:lang w:bidi="ar-SA"/>
        </w:rPr>
        <w:t>بإسناده عن علي بن إبراهيم، عن أبيه، عن إسماعيل بن مرار، عن يونس، عن بعض رجاله، عن الإمام الصادق عليه السلام، في حديثٍ‌،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رأت المرأة الدّم في أيّام حيضها تركت الصّلاة، فإنْ استمرّ بها الدّم ثلاثة أيّام فهي حائض، وإن إنقطع الدّم بعدما رأته يوماً أو يومين، اغتسلت وصلّت وانتظرت من يوم رأت الدّم إلى عشرة أيّام، فإنْ رأت في تلك العشرة أيّام من يوم رأت يوماً أو يومين حتّى تتمّ لها ثلاثة أيّام، فذلك الذي رأته في أوّل الأمر، مع هذا الذي رأته بعد ذلك في العشرة هو من الحيض، وإنْ مرَّ بها من يوم رأت الدّم عشرة أيّام ولم ترَ الدّم، فذلك اليوم واليومان الذي رأته لم يكن من الحيض، إنّما كان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قُرحةٍ في جوفها، وإمّا من الجوف، فعليها أن تعيد الصّلاة تلك اليومين التي تركتها، لأنّها لم تكن 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دلالته على عدم اعتبار التوالي إنّما تكون بالصراحة، وعلى فرض تماميّة سنده، لا ريب في تقدّمه على الأصل، وظهور تلك النصوص المتقدّمة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إسماعيل مجهول الحال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بإعراض المشهور عنه</w:t>
      </w:r>
      <w:r>
        <w:rPr>
          <w:rFonts w:eastAsia="Amiri" w:cs="Amiri" w:ascii="Amiri" w:hAnsi="Amiri"/>
          <w:color w:val="111111"/>
          <w:sz w:val="28"/>
          <w:szCs w:val="28"/>
          <w:rtl w:val="true"/>
          <w:lang w:bidi="ar-SA"/>
        </w:rPr>
        <w:t>.</w:t>
      </w:r>
      <w:bookmarkStart w:id="425" w:name="pg11795_115577"/>
    </w:p>
    <w:p>
      <w:pPr>
        <w:pStyle w:val="Heading6"/>
        <w:numPr>
          <w:ilvl w:val="5"/>
          <w:numId w:val="1"/>
        </w:numPr>
        <w:rPr/>
      </w:pPr>
      <w:bookmarkStart w:id="426" w:name="__RefHeading___Toc10328937_73709187"/>
      <w:bookmarkStart w:id="427" w:name="_Toc161"/>
      <w:bookmarkEnd w:id="425"/>
      <w:bookmarkEnd w:id="426"/>
      <w:r>
        <w:rPr>
          <w:rtl w:val="true"/>
        </w:rPr>
        <w:t>حجيّة مراسيل يونس</w:t>
      </w:r>
      <w:bookmarkEnd w:id="427"/>
    </w:p>
    <w:p>
      <w:pPr>
        <w:pStyle w:val="BookText"/>
        <w:rPr/>
      </w:pPr>
      <w:r>
        <w:rPr>
          <w:rFonts w:ascii="Amiri" w:hAnsi="Amiri" w:eastAsia="Amiri" w:cs="Amiri"/>
          <w:color w:val="111111"/>
          <w:sz w:val="28"/>
          <w:sz w:val="28"/>
          <w:szCs w:val="28"/>
          <w:rtl w:val="true"/>
          <w:lang w:bidi="ar-SA"/>
        </w:rPr>
        <w:t>أمّا 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دفعه بأنّ المُرسِل إنّما هو يونس، وهو ممّن أجمعت العصابة على تصحيح ما يصحّ عنهم، وقد عدّه الكشّي</w:t>
      </w:r>
      <w:r>
        <w:rPr>
          <w:rStyle w:val="FootnoteAnchor"/>
          <w:rtl w:val="true"/>
        </w:rPr>
        <w:footnoteReference w:id="997"/>
      </w:r>
      <w:r>
        <w:rPr>
          <w:rFonts w:ascii="Amiri" w:hAnsi="Amiri" w:eastAsia="Amiri" w:cs="Amiri"/>
          <w:color w:val="111111"/>
          <w:sz w:val="28"/>
          <w:sz w:val="28"/>
          <w:szCs w:val="28"/>
          <w:rtl w:val="true"/>
          <w:lang w:bidi="ar-SA"/>
        </w:rPr>
        <w:t>من الطبقة الثالثة من الطبقات الثلاث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يثبت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التأمّل فيمن يروون عنه، كيف وقد اشتهر الخلاف في قبول مراسيل ابن أبي عمير، مع كونه من أصحاب الإجماع‌؟</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ذُكر في المراد من هذه الجملة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بها صحّة الحديث من جهته، وأمّا مَنْ قبلَه وبعده فلا يحكم بصحّة حديث أحدٍ منهم، وهو المنسوب إلى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98"/>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الإستقصاء</w:t>
      </w:r>
      <w:r>
        <w:rPr>
          <w:rFonts w:eastAsia="IRNazanin" w:cs="IRNazanin"/>
          <w:color w:val="111111"/>
          <w:sz w:val="28"/>
          <w:szCs w:val="28"/>
          <w:rtl w:val="true"/>
          <w:lang w:bidi="fa-IR"/>
        </w:rPr>
        <w:t>»</w:t>
      </w:r>
      <w:r>
        <w:rPr>
          <w:rStyle w:val="FootnoteAnchor"/>
          <w:rtl w:val="true"/>
        </w:rPr>
        <w:footnoteReference w:id="999"/>
      </w:r>
      <w:r>
        <w:rPr>
          <w:rFonts w:ascii="Amiri" w:hAnsi="Amiri" w:eastAsia="Amiri" w:cs="Amiri"/>
          <w:color w:val="111111"/>
          <w:sz w:val="28"/>
          <w:sz w:val="28"/>
          <w:szCs w:val="28"/>
          <w:rtl w:val="true"/>
          <w:lang w:bidi="ar-SA"/>
        </w:rPr>
        <w:t xml:space="preserve">، واختاره المحقّق القمّي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في خصوص الطبقة الاُولى وهم زرارة، ومعروف بن خربوذ، وبُريد، وأبو بصير الأسدي، والفضيل بن يسار، ومحمّد بن مسلم الطائفي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الأقوى ضعف هذا الوجه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إنحصار الإجماع على التصحيح بهذا المعنى بهؤلاء الجماعة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جماعة آخرين كسلمان، وأبي ذَرّ، ومقداد، وزكريّا بن آدم، وأبان بن تغلب، وابن أبي نصر، وابن أبي عُمير، وغيرهم أيضاً أجمع الأصحاب على صدقهم، لم يتحقّق الإجماع على توثيق هؤلاء جميعاً، فإنّ وثاقة أبان بن عثمان، وعثمان بن عيسى، وأبي بصير الأسدي، بل عبد اللّه بن بكير الذين هم من الطبقة الثانية محلّ كلام، وضَعَّفهم جماعة، وقد نُسب التخليط إلى الأسدي</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مضافاً إلى مخالفته لظاهر هذه الجملة، فإنّ الظاهر منها إرادة الحديث من الموصول، لا الإسناد والشخص، ويؤكّده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التتبّع في كلماتهم يكشف عن أنّهم في مقام بيان حال أحاديث الرواة دون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أنّ المراد بها اعتبار رواية من قيل في حقّه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من أوّل السند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اعتبار الوثاقة فيمن يروي عنه، حتّى لو روى عن معروفٍ بالفسق أو بالوضع، فضلاً عمّا لو أرسل الحديث</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الوحيد في فوائده</w:t>
      </w:r>
      <w:r>
        <w:rPr>
          <w:rStyle w:val="FootnoteAnchor"/>
          <w:rtl w:val="true"/>
        </w:rPr>
        <w:footnoteReference w:id="1002"/>
      </w:r>
      <w:r>
        <w:rPr>
          <w:rFonts w:ascii="Amiri" w:hAnsi="Amiri" w:eastAsia="Amiri" w:cs="Amiri"/>
          <w:color w:val="111111"/>
          <w:sz w:val="28"/>
          <w:sz w:val="28"/>
          <w:szCs w:val="28"/>
          <w:rtl w:val="true"/>
          <w:lang w:bidi="ar-SA"/>
        </w:rPr>
        <w:t xml:space="preserve">دعوى الشهرة على هذا القول،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المحقّق الداماد</w:t>
      </w:r>
      <w:r>
        <w:rPr>
          <w:rStyle w:val="FootnoteAnchor"/>
          <w:rtl w:val="true"/>
        </w:rPr>
        <w:footnoteReference w:id="1004"/>
      </w:r>
      <w:r>
        <w:rPr>
          <w:rFonts w:ascii="Amiri" w:hAnsi="Amiri" w:eastAsia="Amiri" w:cs="Amiri"/>
          <w:color w:val="111111"/>
          <w:sz w:val="28"/>
          <w:sz w:val="28"/>
          <w:szCs w:val="28"/>
          <w:rtl w:val="true"/>
          <w:lang w:bidi="ar-SA"/>
        </w:rPr>
        <w:t>نسبته إلى الأصحاب، مؤذِناً بدعوى الإجماع عليه، وعن المجلسي</w:t>
      </w:r>
      <w:r>
        <w:rPr>
          <w:rStyle w:val="FootnoteAnchor"/>
          <w:rtl w:val="true"/>
        </w:rPr>
        <w:footnoteReference w:id="1005"/>
      </w:r>
      <w:r>
        <w:rPr>
          <w:rFonts w:ascii="Amiri" w:hAnsi="Amiri" w:eastAsia="Amiri" w:cs="Amiri"/>
          <w:color w:val="111111"/>
          <w:sz w:val="28"/>
          <w:sz w:val="28"/>
          <w:szCs w:val="28"/>
          <w:rtl w:val="true"/>
          <w:lang w:bidi="ar-SA"/>
        </w:rPr>
        <w:t>حكايته عن جماعة من المحقّقين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التتبّع في كلمات القوم، والتدبّر في هذه الجملة، يوجبان القطع بإرادتهم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حجيّة هذا الإجماع، هو الدليل على حجيّة توثيقات الرجاليين والعلماء وتمام الكلام في ذلك، وفي عدم صحّة التفصيل بين الطبقة الاُولى فاختيار الوجه الأوّل، وبين الطبقتين الأخيرتين فالثاني، الذي ذهب إليه المحقّق القمّي رحمه الله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الكلام في أنّ هذا الإجماع هل يفيد توثيق الواسطة بين أصحاب الإجماع والمعصوم عليه السلام في خصوص هذا الخبر، أو مطلقاً موكولٌ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الخلاف في قبول مراسيل ابن أبي عمير، فلا ينافي ذلك؛ إذ المعروف قبولها،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0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الأصحاب أجمعوا على قبول مراسيله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الكشّي</w:t>
      </w:r>
      <w:r>
        <w:rPr>
          <w:rStyle w:val="FootnoteAnchor"/>
          <w:rtl w:val="true"/>
        </w:rPr>
        <w:footnoteReference w:id="10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أصحابنا يسكنون إلى مراسيله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الإيراد على هذا الخبر بإرساله في غير محلّه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دفعه، بأنّ إسماعيل بن مرار ثقةٌ على الأقوى‌، لرواية إبراهيم بن هاشم عنه على ما عن الشيخ رحمه الله</w:t>
      </w:r>
      <w:r>
        <w:rPr>
          <w:rStyle w:val="FootnoteAnchor"/>
          <w:rtl w:val="true"/>
        </w:rPr>
        <w:footnoteReference w:id="1008"/>
      </w:r>
      <w:r>
        <w:rPr>
          <w:rFonts w:ascii="Amiri" w:hAnsi="Amiri" w:eastAsia="Amiri" w:cs="Amiri"/>
          <w:color w:val="111111"/>
          <w:sz w:val="28"/>
          <w:sz w:val="28"/>
          <w:szCs w:val="28"/>
          <w:rtl w:val="true"/>
          <w:lang w:bidi="ar-SA"/>
        </w:rPr>
        <w:t xml:space="preserve">التصريح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قالوا في حقّ إبراهيم</w:t>
      </w:r>
      <w:r>
        <w:rPr>
          <w:rStyle w:val="FootnoteAnchor"/>
          <w:rtl w:val="true"/>
        </w:rPr>
        <w:footnoteReference w:id="1009"/>
      </w:r>
      <w:r>
        <w:rPr>
          <w:rFonts w:ascii="Amiri" w:hAnsi="Amiri" w:eastAsia="Amiri" w:cs="Amiri"/>
          <w:color w:val="111111"/>
          <w:sz w:val="28"/>
          <w:sz w:val="28"/>
          <w:szCs w:val="28"/>
          <w:rtl w:val="true"/>
          <w:lang w:bidi="ar-SA"/>
        </w:rPr>
        <w:t>إنّه أوّل من نَشَر حديث الكوفيّين بقم، والقميّون كانوا يطردون الراوي من مدينتهم بمجرّد توهّم الرّيب فيه، وأنّهم كانوا يطعنون بأنّه يروي عن الضعفاء، فكيف يمكن رواية إبراهيم عن الضعيف‌؟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المحكيّ‌</w:t>
      </w:r>
      <w:r>
        <w:rPr>
          <w:rStyle w:val="FootnoteAnchor"/>
          <w:rtl w:val="true"/>
        </w:rPr>
        <w:footnoteReference w:id="1010"/>
      </w:r>
      <w:r>
        <w:rPr>
          <w:rFonts w:ascii="Amiri" w:hAnsi="Amiri" w:eastAsia="Amiri" w:cs="Amiri"/>
          <w:color w:val="111111"/>
          <w:sz w:val="28"/>
          <w:sz w:val="28"/>
          <w:szCs w:val="28"/>
          <w:rtl w:val="true"/>
          <w:lang w:bidi="ar-SA"/>
        </w:rPr>
        <w:t>عن محمّد بن الحسن ابن الوليد،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يونس بن عبد الرحمن كلّها صحيحة معتمد عليها إلّاما يتفرّد به محمّد بن عيسى عن يونس ولم يروه غيره، فإنّه لا يُعتمد عليه، ولايفتى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بضميمة ما عن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إسماعيل روى عن يونس كتبه، وعن الشيخ التصريح به يدلّ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مخالفة المشهور بعد عمل الشيخ وجماعة من المتقدّمين والمتأخّرين بالخبر، وقوّة سنده في نفسه، لاسيّما مع احتمال أن يكون وجه عدم عمل جماعةٍ منهم توهّم جهالة إسماعيل، لا توجب رفع اليد عن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سنده أيضاً، وحيث أنّه مقدّمٌ على الأصل كما لا يخفى، وعلى الإطلاقات لكونه مبيّناً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اعتبار بالرضوي المتقدّم الوارد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رأتْ يوماً أو يومين فليس ذلك من الحيض، ما لم ترَ ثلاثة أيّام متواليات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ضعيف لا جابر له، لعدم إعتماد المشهور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بعدم اعتبار التوالي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استدلّ لهذا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بحَسَن ابن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المرأة الدّم قبل عشرة أيّام، فهو من الحيضة الاُولى، وإنْ كان بعد العشرة فهو من الحيضة المستقبلة</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وموثّقه الآخر،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يكون الحيض ثلاثة أيّام، وإنْ رأت الدّم قبل عشرة أيّام فهو من الحيضة الاُولى، وإنْ رأته بعد عشرة أيّام فهو من حيضةٍ اُخرى مستقبلة</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أنّهما يدلّان على أنّ المرأة إذا رأت الدّم بعدما رأته أوّلاً، سواءٌ أكان الأوّل ثلاثة أيّام أو أقلّ‌، فإنْ كان ذلك قبل عشرة أيّام كان من الحيضة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لم يردا في مقام بيان ما تتحقّق به الحيضة الاُولى، وإنّما اُخذت الحيضة الاُولى مفروغاً عنها، فلا يمكن التمسّك بهما لنفي ما يشكّ في اعتباره في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الراوندي</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التوالي في غير الحامل، وعدم إشتراطه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بمصحّح إسحاق المتقدّم،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المرأة الحُبلى ترى الدّم اليوم واليومين‌؟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دماً عبيطاً فلا تُصلّي ذينك اليومين، وإنْ كان صفرة فلتغتسل عند كلّ صلاتين</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 في بادي النظر عدم اعتبار الحدّ المذكور في سائر النصوص، لا عدم اعتبارالتوالي، فلابدّ من صرفه عنه، فراجع ماذكرناه فيه في أوّل هذه المسألة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28" w:name="pg11795_115582"/>
    </w:p>
    <w:p>
      <w:pPr>
        <w:pStyle w:val="Heading6"/>
        <w:numPr>
          <w:ilvl w:val="5"/>
          <w:numId w:val="1"/>
        </w:numPr>
        <w:rPr/>
      </w:pPr>
      <w:bookmarkStart w:id="429" w:name="__RefHeading___Toc10328939_73709187"/>
      <w:bookmarkStart w:id="430" w:name="_Toc162"/>
      <w:bookmarkEnd w:id="428"/>
      <w:bookmarkEnd w:id="429"/>
      <w:r>
        <w:rPr>
          <w:rtl w:val="true"/>
        </w:rPr>
        <w:t>اعتبار الاستمرار</w:t>
      </w:r>
      <w:bookmarkEnd w:id="430"/>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أنّ الحيض لا يكون أقلّ من ثلاثة أيّام إمّا مع التوالي في الثلاثة كما هو المشهور، أو بدونه كما هو المختار، يقع الكلام في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أن يكون زمان سيلانه مقدار ثلاثة أيّام، بحيث متى وضعت الكُرْسُف تلوّث، ولو بعد الصبر هُنيئةً‌، فلو رأت الدّم في اليوم الأوّل ساعةً أو ساعتين أو أكثر، ثمّ لم تر إلى اليوم الثاني لا يحكم بحيضيّته، كما عن الشيخ</w:t>
      </w:r>
      <w:r>
        <w:rPr>
          <w:rStyle w:val="FootnoteAnchor"/>
          <w:rtl w:val="true"/>
        </w:rPr>
        <w:footnoteReference w:id="1015"/>
      </w:r>
      <w:r>
        <w:rPr>
          <w:rFonts w:ascii="Amiri" w:hAnsi="Amiri" w:eastAsia="Amiri" w:cs="Amiri"/>
          <w:color w:val="111111"/>
          <w:sz w:val="28"/>
          <w:sz w:val="28"/>
          <w:szCs w:val="28"/>
          <w:rtl w:val="true"/>
          <w:lang w:bidi="ar-SA"/>
        </w:rPr>
        <w:t>وابن بابويه</w:t>
      </w:r>
      <w:r>
        <w:rPr>
          <w:rStyle w:val="FootnoteAnchor"/>
          <w:rtl w:val="true"/>
        </w:rPr>
        <w:footnoteReference w:id="1016"/>
      </w:r>
      <w:r>
        <w:rPr>
          <w:rFonts w:ascii="Amiri" w:hAnsi="Amiri" w:eastAsia="Amiri" w:cs="Amiri"/>
          <w:color w:val="111111"/>
          <w:sz w:val="28"/>
          <w:sz w:val="28"/>
          <w:szCs w:val="28"/>
          <w:rtl w:val="true"/>
          <w:lang w:bidi="ar-SA"/>
        </w:rPr>
        <w:t>وابن إدريس</w:t>
      </w:r>
      <w:r>
        <w:rPr>
          <w:rStyle w:val="FootnoteAnchor"/>
          <w:rtl w:val="true"/>
        </w:rPr>
        <w:footnoteReference w:id="1017"/>
      </w:r>
      <w:r>
        <w:rPr>
          <w:rFonts w:ascii="Amiri" w:hAnsi="Amiri" w:eastAsia="Amiri" w:cs="Amiri"/>
          <w:color w:val="111111"/>
          <w:sz w:val="28"/>
          <w:sz w:val="28"/>
          <w:szCs w:val="28"/>
          <w:rtl w:val="true"/>
          <w:lang w:bidi="ar-SA"/>
        </w:rPr>
        <w:t>والإسكافي</w:t>
      </w:r>
      <w:r>
        <w:rPr>
          <w:rStyle w:val="FootnoteAnchor"/>
          <w:rtl w:val="true"/>
        </w:rPr>
        <w:footnoteReference w:id="1018"/>
      </w:r>
      <w:r>
        <w:rPr>
          <w:rFonts w:ascii="Amiri" w:hAnsi="Amiri" w:eastAsia="Amiri" w:cs="Amiri"/>
          <w:color w:val="111111"/>
          <w:sz w:val="28"/>
          <w:sz w:val="28"/>
          <w:szCs w:val="28"/>
          <w:rtl w:val="true"/>
          <w:lang w:bidi="ar-SA"/>
        </w:rPr>
        <w:t xml:space="preserve">وغيرهم، بل ظاهر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معروفيّة هذا القول بين الأصحاب‌؟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أنّه لا يعتبر ذلك، بل يكفي وجوده في كلّ يوم وقتاً، كما عن جماعة،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نسبته إلى الأكثر؟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يعتبر أن يكون في أوّل الأوّل وآخر الآخر، وفي أيّ جزءٍ من الوسط، كما اختاره بعضٌ‌، ونفى عنه البُعد شيخنا البهائي رحمه الله</w:t>
      </w:r>
      <w:r>
        <w:rPr>
          <w:rStyle w:val="FootnoteAnchor"/>
          <w:rtl w:val="true"/>
        </w:rPr>
        <w:footnoteReference w:id="10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أقواها الأوّل؛ إذ قد عرفت أنّ نصوص التحديد المتضمّنة أنّ أقلّ الحيض ثلاثة </w:t>
      </w:r>
    </w:p>
    <w:p>
      <w:pPr>
        <w:pStyle w:val="BookText"/>
        <w:rPr/>
      </w:pPr>
      <w:r>
        <w:rPr>
          <w:rFonts w:ascii="Amiri" w:hAnsi="Amiri" w:eastAsia="Amiri" w:cs="Amiri"/>
          <w:color w:val="111111"/>
          <w:sz w:val="28"/>
          <w:sz w:val="28"/>
          <w:szCs w:val="28"/>
          <w:rtl w:val="true"/>
          <w:lang w:bidi="ar-SA"/>
        </w:rPr>
        <w:t>أيّام، ظاهرة في اعتبار استمرار الدّم في تلك الثلاثة أيّام، وعليه فبناءً على عدم الاعتماد على مرسل يونس</w:t>
      </w:r>
      <w:r>
        <w:rPr>
          <w:rStyle w:val="FootnoteAnchor"/>
          <w:rtl w:val="true"/>
        </w:rPr>
        <w:footnoteReference w:id="1023"/>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حجيّته كما هو الأظهر فغاية ما يدلّ عليه المرسل، عدم اعتبار التوالي بين الثلاثة أيّام، فلا صارف عن ظهور النصوص بالإضافة إلى اعتبار كون الدّم السائل مدّة سيلانه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الجارية البِكْر أوّل ما تحيض، فتقعد في الشهر يومين وفي الشهر ثلاثة، يختلف عليها، لا يكون طمثها في الشهر عدّة أيّام سواء؟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تجلس وتدَع الصّلاة ما دامت ترى الدّم ما لم تجز العشرة</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ترك الصّلاة يومين إنّما يكون بأنْ ترى الدّم في اليوم الأوّل بعد صلاة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أنّ اليوم الأوّل الذي رأت الدَّم فيه بعد الصّلاة، يحسب يوماً واحداً، لإمكان حمله على إرادة التلفيق، بأنْ تطهر في الفرض اليوم الرابع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صحّة الاستدلال له بقوله عليه السلام في مرسل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رأت الدّم في أيّام حيضها، تركت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 الخبر كما زعم في محكيّ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31" w:name="pg11795_115584"/>
    </w:p>
    <w:p>
      <w:pPr>
        <w:pStyle w:val="Heading6"/>
        <w:numPr>
          <w:ilvl w:val="5"/>
          <w:numId w:val="1"/>
        </w:numPr>
        <w:rPr/>
      </w:pPr>
      <w:bookmarkStart w:id="432" w:name="__RefHeading___Toc10328941_73709187"/>
      <w:bookmarkStart w:id="433" w:name="_Toc163"/>
      <w:bookmarkEnd w:id="431"/>
      <w:bookmarkEnd w:id="432"/>
      <w:r>
        <w:rPr>
          <w:rtl w:val="true"/>
        </w:rPr>
        <w:t>عن حقيقة الأيّام الثلاثة</w:t>
      </w:r>
      <w:bookmarkEnd w:id="433"/>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جماعةٍ من الأصحاب، منهم الشهيد الثاني</w:t>
      </w:r>
      <w:r>
        <w:rPr>
          <w:rStyle w:val="FootnoteAnchor"/>
          <w:rtl w:val="true"/>
        </w:rPr>
        <w:footnoteReference w:id="1026"/>
      </w:r>
      <w:r>
        <w:rPr>
          <w:rFonts w:ascii="Amiri" w:hAnsi="Amiri" w:eastAsia="Amiri" w:cs="Amiri"/>
          <w:color w:val="111111"/>
          <w:sz w:val="28"/>
          <w:sz w:val="28"/>
          <w:szCs w:val="28"/>
          <w:rtl w:val="true"/>
          <w:lang w:bidi="ar-SA"/>
        </w:rPr>
        <w:t>، التصريح بأنّ المراد من الأيّام الثلاثة ما تدخل فيها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المراد من اليوم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 إسماً لليل والنهار، أو للتغليب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للنهار عرفاً ولغةً‌، والتغليب لا يصلح أن يكون قرينة لإرادة المعنى الأعمّ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0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 xml:space="preserve">من دعوى الإجماع على اعتبار الثلاثة بلياليها،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029"/>
      </w:r>
      <w:r>
        <w:rPr>
          <w:rFonts w:ascii="IRNazanin" w:hAnsi="IRNazanin" w:eastAsia="IRNazanin"/>
          <w:color w:val="111111"/>
          <w:sz w:val="28"/>
          <w:sz w:val="28"/>
          <w:szCs w:val="28"/>
          <w:rtl w:val="true"/>
          <w:lang w:bidi="fa-IR"/>
        </w:rPr>
        <w:t>نسبته إلى ظاهر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أن يكون مراد المصنّف رحمه الله الإجماع على أصل الثلاثة، كما عن جماعةٍ التصريح به، ومنشأ نسبة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الأصحاب ما ذكره المصنّف رحمه الله في كتابيه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وبأنّه لازم اعتبار الاستمرار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يقتضي إلّادخول اللّيلتين المتوسّطتين، إنّه يتمّ على القول باعتبار التوالي، وحيثُ عرفت عدم اعتباره، فلا وجه 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صورة التلفيق تدخل اللّيلة المتوسّطة، بناءً على اعتبار الاستمرار،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تُحمل على محض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ستّاً وثلاثين ساعة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الاكتفاء بليلة ونهارين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النهارالتامّ‌، على نحوالموضوعيّة، فلازمه عدم الاكتفاء بالنهار الملفّق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النصوص في موضوعيّة النهار لا يُنكر، إلّاأنّ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ملاحظة نظائر المقام، من الإقامة عشرة أيّام وغيرها، وموثّق سماعة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النهار التامّ على نحو الطريقيّة إلى الساعات النهاريّة لا مطلق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يجتزئ بالليل ويجتزئ بالنهار الملفّق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الإجتزاء بالملفّق من أبعاض اليوم غير المتوالية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نصوص التحديدفي الاستمرار، يأبى‌عن ذلك، كما عرفت آنفاً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أقلّ الحيض</w:t>
      </w:r>
      <w:r>
        <w:rPr>
          <w:rFonts w:eastAsia="Amiri" w:cs="Amiri" w:ascii="Amiri" w:hAnsi="Amiri"/>
          <w:color w:val="111111"/>
          <w:sz w:val="28"/>
          <w:szCs w:val="28"/>
          <w:rtl w:val="true"/>
          <w:lang w:bidi="ar-SA"/>
        </w:rPr>
        <w:t>.</w:t>
      </w:r>
      <w:bookmarkStart w:id="434" w:name="pg11795_115586"/>
    </w:p>
    <w:p>
      <w:pPr>
        <w:pStyle w:val="BookText"/>
        <w:rPr/>
      </w:pPr>
      <w:bookmarkEnd w:id="434"/>
      <w:r>
        <w:rPr>
          <w:rFonts w:ascii="Amiri" w:hAnsi="Amiri" w:eastAsia="Amiri" w:cs="Amiri"/>
          <w:color w:val="111111"/>
          <w:sz w:val="28"/>
          <w:sz w:val="28"/>
          <w:szCs w:val="28"/>
          <w:rtl w:val="true"/>
          <w:lang w:bidi="ar-SA"/>
        </w:rPr>
        <w:t>وأكثره عشرة أيّام</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0328943_73709187"/>
      <w:bookmarkStart w:id="436" w:name="_Toc164"/>
      <w:bookmarkEnd w:id="435"/>
      <w:r>
        <w:rPr>
          <w:rtl w:val="true"/>
        </w:rPr>
        <w:t>أكثر الحيض عشرة أيّام</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0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0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0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وغيرها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كصحيحي صفوان، ويعقوب بن يقطين المتقدّمين وغيرهما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w:t>
      </w:r>
      <w:r>
        <w:rPr>
          <w:rStyle w:val="FootnoteAnchor"/>
          <w:rtl w:val="true"/>
        </w:rPr>
        <w:footnoteReference w:id="1038"/>
      </w:r>
      <w:r>
        <w:rPr>
          <w:rFonts w:ascii="Amiri" w:hAnsi="Amiri" w:eastAsia="Amiri" w:cs="Amiri"/>
          <w:color w:val="111111"/>
          <w:sz w:val="28"/>
          <w:sz w:val="28"/>
          <w:szCs w:val="28"/>
          <w:rtl w:val="true"/>
          <w:lang w:bidi="ar-SA"/>
        </w:rPr>
        <w:t>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ما يكون من الحيض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فلمخالفته لإجماع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طرحه أو تأويله، وحمله على خلاف ظاهره بإرادة الحَدّ المتعارف منه لا التحديد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لابدَّ من حمل ما في مُرسل يونس الطويل</w:t>
      </w:r>
      <w:r>
        <w:rPr>
          <w:rStyle w:val="FootnoteAnchor"/>
          <w:rtl w:val="true"/>
        </w:rPr>
        <w:footnoteReference w:id="1040"/>
      </w:r>
      <w:r>
        <w:rPr>
          <w:rFonts w:ascii="Amiri" w:hAnsi="Amiri" w:eastAsia="Amiri" w:cs="Amiri"/>
          <w:color w:val="111111"/>
          <w:sz w:val="28"/>
          <w:sz w:val="28"/>
          <w:szCs w:val="28"/>
          <w:rtl w:val="true"/>
          <w:lang w:bidi="ar-SA"/>
        </w:rPr>
        <w:t>، وكذلك لو كان حيضتها أكثر من سبع، وكانت أيّامها عشرة أو أكثر على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ما هو المشهور، من أنّ النقاء المتخلّل بين دمي الحيض الواحد حيضٌ‌، فإنّه لا إشكال في اعتبار التوالي في العشرة، لأنّ النقاء إذا كان بحكم الدّم، تكون الملفّقة من الحيض الحقيقي، أي أيّام الدّم والتنزيلي وهي أيّام النقاء المتخلّلة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النقاء المتخلّل بحكم الدّم مطلقاً، حتّى من حيثية تحقّق أكثر الحيض ممّا لم يدلّ عليه دليل، وعليه فللنزاع في اعتبار التوالي وعدمه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بناءً على كونه طُهراً، كما إختاره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كلا التقديرين هل يعتبر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إختاره الشيخ الأعظم رحمه الله</w:t>
      </w:r>
      <w:r>
        <w:rPr>
          <w:rStyle w:val="FootnoteAnchor"/>
          <w:rtl w:val="true"/>
        </w:rPr>
        <w:footnoteReference w:id="1042"/>
      </w:r>
      <w:r>
        <w:rPr>
          <w:rFonts w:ascii="Amiri" w:hAnsi="Amiri" w:eastAsia="Amiri" w:cs="Amiri"/>
          <w:color w:val="111111"/>
          <w:sz w:val="28"/>
          <w:sz w:val="28"/>
          <w:szCs w:val="28"/>
          <w:rtl w:val="true"/>
          <w:lang w:bidi="ar-SA"/>
        </w:rPr>
        <w:t xml:space="preserve">، وقال لم أجد فيه مخالفاً، أم لا كما إختاره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قبل بيان أدلّة الطرفين،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محلّ النزاع في المقام، هو كون الدّم مرئيّاً في عَشرة أيّامٍ متوالية، لا ما اعتبروه في أقلّ الحيض</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فإيراد المحقّق الخراساني رحمه الله</w:t>
      </w:r>
      <w:r>
        <w:rPr>
          <w:rStyle w:val="FootnoteAnchor"/>
          <w:rtl w:val="true"/>
        </w:rPr>
        <w:footnoteReference w:id="1043"/>
      </w:r>
      <w:r>
        <w:rPr>
          <w:rFonts w:ascii="Amiri" w:hAnsi="Amiri" w:eastAsia="Amiri" w:cs="Amiri"/>
          <w:color w:val="111111"/>
          <w:sz w:val="28"/>
          <w:sz w:val="28"/>
          <w:szCs w:val="28"/>
          <w:rtl w:val="true"/>
          <w:lang w:bidi="ar-SA"/>
        </w:rPr>
        <w:t>على الشيخ الأعظم رحمه الله بأنّه يلزم من ما اختاره أنْ تكون المرأة التي رأت ثلاثة أيّام دماً، ثمّ تسعة نقاءً‌، ثمّ رأته يوماً،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انقطع تسعة أيضاً، ثمّ رأته يوماً وهكذا، تكون باقية في الحيض الأوّل، ما لم تَطهُر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 وممّا لا يمكن الالتزام به، لمخالفته للنصوص والفتاوى، وقد اعترف هو أيضاً بكونه بديهي الفساد، وغير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يقتضي أن نبحث عمّا استدلّ به للوجهين،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الأدلّة في العشرة المتوالية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التوالي المستفاد منها إنّما هو بالمعنى الذي اعتبروه في أقلّ الحيض، وحيث إنّه لا يمكن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مورد للإستدلال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الشيخ رحمه الله يعترف بأنّ النصوص ظاهرة في أنفسها في اعتبار التوالي بالمعنى الأوّل، إلّاأنّه يدّعي تعيّن رفع اليد عن ظهورها، بقرينة النصوص والفتاوى‌، والحمل على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النصوص الاُخر والفتاوي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المتقدّم الوارد فيه قوله عليه السلام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الطهر في أقلّ من عَشَرة، وإذا حاضت المرأة وكان حيضها خمسة، ثمّ انقطع الدّم إغتسلت وصلّت، فإنْ رأت بعد ذلك الدّم ولم يتمّ لها من يوم طَهُرت عشرة أيّام، فذلك من الحيض تَدَع الصّلاة، فإنْ رأت الدّم من أوّل ما رأت الدّم الثاني تمام العشرة أيّام، ودام عليها، عدّت من أوّل ما رأت الدّم الأوّل والثاني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عشرة أيّام، ثمّ هي مستحاضة</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للشيخ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الفقرة الاُولى في نفسها وإنْ كانت ظاهرةً في ما اختاره رحمه الله؛ إذ دعوى أنّ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أنّه إنْ تمّ فليس من ذلك، مندفعة بأنّ منطوقه أنّه من الحيض الأوّل، لا فمفهومه عدم كونه منه، ولا ينافي ذلك كونه حيضاً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 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يوم طهرت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ظرفاً لغواً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بعاملٍ مقدّرٍ، لا تصلح لأنْ تكون جواباً عنها، لأنّها على هذا التقدير أيضاً تدلّ على أنّ الدّم اللّاحق ملحقٌ بالدّم السابق، ويعد المجموع حيضاً واحداً، ما لم تفصل بينهما عشرة أيّام، وإنْ كان من أوّل رؤية الدّم الأوّل أكثر، لا ما ذكره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المراد أنّه لم يتمّ لها من يوم طَهُرت إلى أنْ رأت الدّم الثاني عَشَرة أيّام من أوّل رؤية الدّم الأوّل، ويكون معناها أنّ يوم نقائها لم يكن متمّماً للعشرة، لعدم ملائمته 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يتعيّن حملها على إرادة المعنى المشهور، وصَرْفها عن ظاهرها بقرينة قوله عليه السلام في الفقرة الثانية تفريعاً على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رأت الدّم من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وإنْ كانت مضطربةً ومشوّشة، إلّاأنّ الظاهر أنّ العَشَرة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العشرة المذكورة في الفقرة الاُولى، وحيث أنّ المتبادر منها تمام العشرة من أوّل رؤية الدّم الأوّل يوم الانقطاع، فالمراد منها في الاُولى أيضاً 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المذكور في حاشية نسخة التهذيب المصحّحة الموجودة عندي، والمقروءة على الشيخ الحُرّ العاملي،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وانطباقه على هذا على مذهب المشهور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الرحمن</w:t>
      </w:r>
      <w:r>
        <w:rPr>
          <w:rStyle w:val="FootnoteAnchor"/>
          <w:rtl w:val="true"/>
        </w:rPr>
        <w:footnoteReference w:id="10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المرأة إذا طلّقها زوجها متى تَملك نفسها؟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فهي تملك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عَجّل الدّم عليها قبل أيّام قُرئها؟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الدّم قبل عشرة أيّام، فهو أملك بها، وهو من الحيضة التي طهرت منها، وإنْ كان الدّم بعد العشرة فهو من الحيضة الثالثة فهي أملك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العمل بظاهره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احتساب الدّم الأخير من الحيضة الثانية، وإنْ كانت هي عَشَرة كاملة، وهذا ممّا لم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إحتسابه منها، وإنْ كان الطهر بينهما أكثر من عشرة أيّام، كما لا يخفى، فيتعيّن صرفه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فلنا أن نحمله على إرادة أنّه من توابع الحيضة الثانية، وناشئٌ منها لا بعضها،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إبتدائيّة لا تبعيضيّة، فإنّ الغالب أنّ الاستحاضة من توابع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الخبر ضعيفٌ بالمُعلّى بن محمّد البصري، فغير صحيح؛ إذ النجاشي</w:t>
      </w:r>
      <w:r>
        <w:rPr>
          <w:rStyle w:val="FootnoteAnchor"/>
          <w:rtl w:val="true"/>
        </w:rPr>
        <w:footnoteReference w:id="10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ذكرا في حقّه أنّه مضطرب الحديث والمذهب، وابن الغضائري ذكر أنّه يروي عن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الأظهر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من الحسان، لما ذكره العلّامة المجلسي رحمه الله من أنّه من مشايخ الإجازة</w:t>
      </w:r>
      <w:r>
        <w:rPr>
          <w:rStyle w:val="FootnoteAnchor"/>
          <w:rtl w:val="true"/>
        </w:rPr>
        <w:footnoteReference w:id="1048"/>
      </w:r>
      <w:r>
        <w:rPr>
          <w:rFonts w:ascii="Amiri" w:hAnsi="Amiri" w:eastAsia="Amiri" w:cs="Amiri"/>
          <w:color w:val="111111"/>
          <w:sz w:val="28"/>
          <w:sz w:val="28"/>
          <w:szCs w:val="28"/>
          <w:rtl w:val="true"/>
          <w:lang w:bidi="ar-SA"/>
        </w:rPr>
        <w:t xml:space="preserve">، وروايته عن الضعفاء لا توجب القدح فيما روى عن الثقة، وفساد مذهبه مضافاً إلى عدم كونه مُضرّاً غير ثابتٍ‌،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نطّلع على خبرٍ يدلّ على اضطرابه في الحديث والمذهب</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يكون الحيض ثلاثة أيّام، وإذا رأت قبل العَشَرة فهو من الحيضة الاُولى، وإنْ رأته بعد عشرة أيّام فهو من حيضة اُخرى مسقبلة</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بالعَشَرة في الفقرتين؛ العشرة من انقطاع الدّم الأوّل، لتعيّن حمل العشرة في الثانية على ذلك، فهو يدلّ على إلحاق الدّم الثاني بالأوّل، وإنْ كان مجموع أيّام رؤية الدّم وأيّام النقاء أكثر من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تنكير العشرة الثانية دون الأُولى ظاهرٌ في عدم اتّحاد العشرتين، وأنّ المراد من الاُولى العشرة من حين رؤية الدّم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تقييد إطلاق الخبر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عَشَرة الدّم،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فلأنّه يلزم تقييد إطلاقه بما دلَّ على أنّ أقلّ الطهر عشرة أيّام، وكذلك يلزم تقييده بصورة عدم تجاوز الدّمين عن العشرة، ولو لم ندّع أولويّة الأوّل، فلا أقلّ من التساوي، فيكون مجملاً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عدم تماميّة الاستدلال له بمصحّح ابن مسلم، عن الإمام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37" w:name="pg11795_115592"/>
    </w:p>
    <w:p>
      <w:pPr>
        <w:pStyle w:val="BookText"/>
        <w:rPr/>
      </w:pPr>
      <w:bookmarkEnd w:id="437"/>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رأت الدّم قبل العَشَرة فهو من الحيضة الأولى، وإنْ كان بعد العَشَرة، فهو من الحيضة المستقبلة</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ما اختاره الشيخ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أقلّ الحيض وأكثره</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0328945_73709187"/>
      <w:bookmarkStart w:id="439" w:name="_Toc165"/>
      <w:bookmarkEnd w:id="438"/>
      <w:r>
        <w:rPr>
          <w:rtl w:val="true"/>
        </w:rPr>
        <w:t>أقلّ الطهر</w:t>
      </w:r>
      <w:bookmarkEnd w:id="43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ممّا ذكرناه آنفاً مدّة أقلّ الحيض وأكثره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أقلّ الطهر فعشرة أيّام 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 في الجملة ومستفيضاً</w:t>
      </w:r>
      <w:r>
        <w:rPr>
          <w:rStyle w:val="FootnoteAnchor"/>
          <w:rtl w:val="true"/>
        </w:rPr>
        <w:footnoteReference w:id="1052"/>
      </w:r>
      <w:r>
        <w:rPr>
          <w:rFonts w:ascii="Amiri" w:hAnsi="Amiri" w:eastAsia="Amiri" w:cs="Amiri"/>
          <w:color w:val="111111"/>
          <w:sz w:val="28"/>
          <w:sz w:val="28"/>
          <w:szCs w:val="28"/>
          <w:rtl w:val="true"/>
          <w:lang w:bidi="ar-SA"/>
        </w:rPr>
        <w:t>كالأخبار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مسلم</w:t>
      </w:r>
      <w:r>
        <w:rPr>
          <w:rStyle w:val="FootnoteAnchor"/>
          <w:rtl w:val="true"/>
        </w:rPr>
        <w:footnoteReference w:id="1053"/>
      </w:r>
      <w:r>
        <w:rPr>
          <w:rFonts w:ascii="Amiri" w:hAnsi="Amiri" w:eastAsia="Amiri" w:cs="Amiri"/>
          <w:color w:val="111111"/>
          <w:sz w:val="28"/>
          <w:sz w:val="28"/>
          <w:szCs w:val="28"/>
          <w:rtl w:val="true"/>
          <w:lang w:bidi="ar-SA"/>
        </w:rPr>
        <w:t>،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القُرء في أقلّ من عشرة أيّام، فما زاد أقلّ ما يكون عشرة أيّام من حين تطهر إلى أنْ ترى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يونس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أدنى الطهر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الطهر أقلّ من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الخلاف وقع في أنّ ذلك هل يختصّ بما بين الحيضتين، أم يعمّ ما بين أيّام </w:t>
      </w:r>
    </w:p>
    <w:p>
      <w:pPr>
        <w:pStyle w:val="BookText"/>
        <w:rPr/>
      </w:pPr>
      <w:r>
        <w:rPr>
          <w:rFonts w:ascii="Amiri" w:hAnsi="Amiri" w:eastAsia="Amiri" w:cs="Amiri"/>
          <w:color w:val="111111"/>
          <w:sz w:val="28"/>
          <w:sz w:val="28"/>
          <w:szCs w:val="28"/>
          <w:rtl w:val="true"/>
          <w:lang w:bidi="ar-SA"/>
        </w:rPr>
        <w:t>الحيض الواحد؟</w:t>
      </w:r>
    </w:p>
    <w:p>
      <w:pPr>
        <w:pStyle w:val="BookText"/>
        <w:rPr/>
      </w:pPr>
      <w:r>
        <w:rPr>
          <w:rFonts w:ascii="Amiri" w:hAnsi="Amiri" w:eastAsia="Amiri" w:cs="Amiri"/>
          <w:color w:val="111111"/>
          <w:sz w:val="28"/>
          <w:sz w:val="28"/>
          <w:szCs w:val="28"/>
          <w:rtl w:val="true"/>
          <w:lang w:bidi="ar-SA"/>
        </w:rPr>
        <w:t xml:space="preserve">المشهور بين الأصحاب هو الثاني، فالنقاء المتخلّل بين أيّام الحيض معدودٌ من الحيض، بل 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0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 الأوّل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المتقدّمين والمتأخّرين قيّدوا معقد الإجماع بالطهر بين الحيضين، فلا يكون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متفرداً في هذه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الطهر عندهم ليس إلّامابين الحيضين كما يظهرلمن راجع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للمشهور النصوص المتقدّم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خبرا محمّد بن مسلم وعبد الرحمن المتقدّمين، فلا شهادة لهما على ذلك، لعدم كونهما في مقام بيان ذلك كي يتمسّك بإطلاقهما، كما يظهر لمن راجعهما وتدبّر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w:t>
      </w:r>
      <w:r>
        <w:rPr>
          <w:rStyle w:val="FootnoteAnchor"/>
          <w:rtl w:val="true"/>
        </w:rPr>
        <w:footnoteReference w:id="1060"/>
      </w:r>
      <w:r>
        <w:rPr>
          <w:rFonts w:ascii="IRNazanin" w:hAnsi="IRNazanin" w:eastAsia="IRNazanin"/>
          <w:color w:val="111111"/>
          <w:sz w:val="28"/>
          <w:sz w:val="28"/>
          <w:szCs w:val="28"/>
          <w:rtl w:val="true"/>
          <w:lang w:bidi="fa-IR"/>
        </w:rPr>
        <w:t>المتقدّم، ومحلّ الإستشهاد به فقرتان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المسألة السابقة، وتقريب الاستدلال بها قد تقدّم مع الجواب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الذي رأته في أوّل الأمر، مع هذا الذي رأته بعد ذلك في العشرة، فهو 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صريحٌ في قصر الحكم بالحيضيّة على أيّام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الدّم الأوّل والثاني حيضٌ لا في حكمه، ولاريب في عدم كون النقاء المتخلّل منه، وإنّما الكلام في كونه بحكمه، والمرسل لا ينفي ذلك، فتدبّر حتّى لا 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محمّد بن مسلم وعبد الرحمن المتقدّمان في المسألة السابقة تقريباً وجواباً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عُمير، عن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الدّم ثلاثة أيّام أو أربعة‌؟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الطهر ثلاثة أو أربعة‌؟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الدّم ثلاثة أيّام‌؟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الطُهر ثلاثة‌؟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الدّم ثلاثة أيّام أو أربعة‌؟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ما بينها وبين شهر، فإنْ انقطع الدّم عنها وإلّا فهي بمنزلة المستحاضة</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ونحوه خبر</w:t>
      </w:r>
      <w:r>
        <w:rPr>
          <w:rStyle w:val="FootnoteAnchor"/>
          <w:rtl w:val="true"/>
        </w:rPr>
        <w:footnoteReference w:id="1062"/>
      </w:r>
      <w:r>
        <w:rPr>
          <w:rFonts w:ascii="Amiri" w:hAnsi="Amiri" w:eastAsia="Amiri" w:cs="Amiri"/>
          <w:color w:val="111111"/>
          <w:sz w:val="28"/>
          <w:sz w:val="28"/>
          <w:szCs w:val="28"/>
          <w:rtl w:val="true"/>
          <w:lang w:bidi="ar-SA"/>
        </w:rPr>
        <w:t>يونس بن يعقوب عن أبي بصير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الالتزام في موردهما بكون كلّ نقاءٍ طهراً؛ إذ لو كانت جميع الدّماء المتفرقة حيضاً واحداً، لزم زيادته على العشرة، ولو كانت حيضات متعدّدة، لزم الفصل بينهما بأقلّ من العشرة، وشيءٌ منهما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حمل الخبرين على ما حملها عليه المحقّق</w:t>
      </w:r>
      <w:r>
        <w:rPr>
          <w:rStyle w:val="FootnoteAnchor"/>
          <w:rtl w:val="true"/>
        </w:rPr>
        <w:footnoteReference w:id="1063"/>
      </w:r>
      <w:r>
        <w:rPr>
          <w:rFonts w:ascii="Amiri" w:hAnsi="Amiri" w:eastAsia="Amiri" w:cs="Amiri"/>
          <w:color w:val="111111"/>
          <w:sz w:val="28"/>
          <w:sz w:val="28"/>
          <w:szCs w:val="28"/>
          <w:rtl w:val="true"/>
          <w:lang w:bidi="ar-SA"/>
        </w:rPr>
        <w:t>من كونهما في مقام بيان الحكم الظاهري، وأنّها إنّما اُمرت بذلك لتحيّرها في كونها حائضاً عند كلّ دم، وطاهرة عند كلّ نقاءٍ إلى أنْ يعيّن لها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يُحمل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من الإفتاء بمضمونهما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داود مولى أبي المغرا، عمّن أخبره،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يكون حيضها سبعة أيّام أو ثمانية أيّام، حيضها دائم مستقيم، ثمّ تحيض ثلاثة أيّام، ثمّ ينقطع عنها الدّم وترى البياض، لا صفرة ولا دماً؟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تغتسل وتصلّي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وتُصلّي وتصوم ثمّ يعود الدّم‌؟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أمسَكت عن الصّلاة والصيام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بينهما بحسب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ترى الدّم يوماً وتطهُر يوماً؟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أمسكت، وإذا رأت الطُهر صلّت، فإذا مضت أيّام حيضها واستمرّ بها الطُهر صلّت، فإذا رأت الدّم فهي مستحاضة</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 بالإرسال، أنّه يمكن أنْ يكون الأمر بالعبادة فيه حكماً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مضافاً إلى كونه خلاف الإجماع، مع أنّه يلزم أن لا يسقط عنها صومٌ ولا صلاةٌ فيما إذا رأت الدّم في اللّيل ساعةً‌، ثمّ أصبحت بقيّة اللّيل والنهار، وأن يستمرّ حيضها مدّة طويلة، لاسيّما بناءً على جواز التلفيق بالساعات، إلى غير ذلك من المحاذير التي لا يمكن الالتزام بشيءٍ منها، فما أفتى به الأصحاب من أنّ النقاء المتخلّل محكومٌ بالحيضيّة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أكثر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حدّ له كما هو المشهور شهرة عظيمة، وعن أبي الصلاح</w:t>
      </w:r>
      <w:r>
        <w:rPr>
          <w:rStyle w:val="FootnoteAnchor"/>
          <w:rtl w:val="true"/>
        </w:rPr>
        <w:footnoteReference w:id="1070"/>
      </w:r>
      <w:r>
        <w:rPr>
          <w:rFonts w:ascii="Amiri" w:hAnsi="Amiri" w:eastAsia="Amiri" w:cs="Amiri"/>
          <w:color w:val="111111"/>
          <w:sz w:val="28"/>
          <w:sz w:val="28"/>
          <w:szCs w:val="28"/>
          <w:rtl w:val="true"/>
          <w:lang w:bidi="ar-SA"/>
        </w:rPr>
        <w:t>تحديد الأكثر بثلاثة أشهر، وحيث إنّه لم يصل إلينا ما يصلح أن يكون مستنداً له، فيُحمل كلامه على الغالب، كما حمله عليه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عُلم أنّ أقلّ الحيض ثلاثة، وأكثره عشرة، فلا مانع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حيضاً، بل قد يجب كالمقدار الذي تراه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المستقرّة لها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المصنّف رحمه الله في المقام قد أهمل ذكر جملةٍ من أحكام الحائض بأقسامها، ولابدّ لنا من التنبيه عليها، فنقول</w:t>
      </w:r>
      <w:r>
        <w:rPr>
          <w:rFonts w:eastAsia="Amiri" w:cs="Amiri" w:ascii="Amiri" w:hAnsi="Amiri"/>
          <w:color w:val="111111"/>
          <w:sz w:val="28"/>
          <w:szCs w:val="28"/>
          <w:rtl w:val="true"/>
          <w:lang w:bidi="ar-SA"/>
        </w:rPr>
        <w:t>:</w:t>
      </w:r>
      <w:bookmarkStart w:id="440" w:name="pg11795_115598"/>
    </w:p>
    <w:p>
      <w:pPr>
        <w:pStyle w:val="Heading5"/>
        <w:numPr>
          <w:ilvl w:val="4"/>
          <w:numId w:val="1"/>
        </w:numPr>
        <w:rPr/>
      </w:pPr>
      <w:bookmarkStart w:id="441" w:name="__RefHeading___Toc10328947_73709187"/>
      <w:bookmarkStart w:id="442" w:name="_Toc166"/>
      <w:bookmarkEnd w:id="440"/>
      <w:bookmarkEnd w:id="441"/>
      <w:r>
        <w:rPr>
          <w:rtl w:val="true"/>
        </w:rPr>
        <w:t>أقسام الحائض</w:t>
      </w:r>
      <w:bookmarkEnd w:id="442"/>
    </w:p>
    <w:p>
      <w:pPr>
        <w:pStyle w:val="Heading6"/>
        <w:numPr>
          <w:ilvl w:val="5"/>
          <w:numId w:val="1"/>
        </w:numPr>
        <w:rPr/>
      </w:pPr>
      <w:bookmarkStart w:id="443" w:name="__RefHeading___Toc10328949_73709187"/>
      <w:bookmarkStart w:id="444" w:name="_Toc167"/>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إنّ الحائض على أقسام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تكون ذات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تكون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تكون ذات العادة وقتيّة وعدديّة، أو وقتيّة خاصّة، أو عدديّة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مبتدئة، أي هذا الدّم أوّل ما 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مضطربة، أي رأت الدّم مكرّراً لكن لم تستقرّ لها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ناسية، وهي التي نسيت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حكم هذه الأقسام، لا بأس ببيان قاعدة الإمكان المعروفة بين الأصحاب</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10328951_73709187"/>
      <w:bookmarkStart w:id="446" w:name="_Toc168"/>
      <w:bookmarkEnd w:id="445"/>
      <w:r>
        <w:rPr>
          <w:rtl w:val="true"/>
        </w:rPr>
        <w:t>تمهيد</w:t>
      </w:r>
      <w:bookmarkEnd w:id="446"/>
    </w:p>
    <w:p>
      <w:pPr>
        <w:pStyle w:val="Heading6"/>
        <w:numPr>
          <w:ilvl w:val="5"/>
          <w:numId w:val="1"/>
        </w:numPr>
        <w:rPr/>
      </w:pPr>
      <w:bookmarkStart w:id="447" w:name="__RefHeading___Toc10328953_73709187"/>
      <w:bookmarkStart w:id="448" w:name="_Toc169"/>
      <w:bookmarkEnd w:id="447"/>
      <w:r>
        <w:rPr>
          <w:rtl w:val="true"/>
        </w:rPr>
        <w:t>البحث عن قاعدة الإمكان</w:t>
      </w:r>
      <w:bookmarkEnd w:id="448"/>
    </w:p>
    <w:p>
      <w:pPr>
        <w:pStyle w:val="Heading6"/>
        <w:numPr>
          <w:ilvl w:val="5"/>
          <w:numId w:val="1"/>
        </w:numPr>
        <w:rPr/>
      </w:pPr>
      <w:bookmarkStart w:id="449" w:name="__RefHeading___Toc10328955_73709187"/>
      <w:bookmarkStart w:id="450" w:name="_Toc170"/>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وهي عبارة عن أنّ كلّ دمٍ تراه المرأة، وكان يمكن أنْيكون حيضاً فهو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0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الروضة</w:t>
      </w:r>
      <w:r>
        <w:rPr>
          <w:rFonts w:eastAsia="Amiri" w:cs="Amiri" w:ascii="Amiri" w:hAnsi="Amiri"/>
          <w:color w:val="111111"/>
          <w:sz w:val="28"/>
          <w:szCs w:val="28"/>
          <w:rtl w:val="true"/>
          <w:lang w:bidi="ar-SA"/>
        </w:rPr>
        <w:t>»</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الإجماع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وغيرهما في غيرها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عند المعاصرين ومَنْ قاربهم من القطعيّات التي لا تقبل الشكّ والتشكيك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فيها يقع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دليلها،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الإمكان فيها، ليس هو الإمكان الذاتي في مقابل الإمتناع والوجوب الذاتيين، لأنّ خصوصيّة الحيضيّة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تكون داخلة في قوام الذات، أو تكون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هذه القضيّة باطلة، لأنّ الدّم في مقام ذاته على هذا إمّا أن يكون حيضاً بالضرورة، أو لا حيض كذلك، فلا يمكن سلب الضرورة فيه عن الطرفين، وحيثُ أنّ سلب الضرورة فيه عن الطرف المخالف يستلزم كونه حيضاً واقعاً،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يتمّ إذا كان المراد من الإمكان الذاتي هو الإمكان الخاص، وهو ما يصحّ سلب الضرورة فيه عن الطرفين، ولا يتمّ إذا كان المراد هو الإمكان العام، فإنّه على هذا يلزم حمل القضيّة على بيان قضيّة واقعيّة، لا في مقام بيان حكم شرعي تعبّدي، وهو كما ترى‌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المراد منه ليس هو الإمكان الوقوعي في مقابل الاستحالة الوقوعيّة، وهو ما لا يلزم من فرض وقوعه ولا من عدم وقوعه محالٌ‌، لأنّ لازم ذلك عدم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51" w:name="pg11795_115600"/>
    </w:p>
    <w:p>
      <w:pPr>
        <w:pStyle w:val="BookText"/>
        <w:rPr/>
      </w:pPr>
      <w:bookmarkEnd w:id="451"/>
      <w:r>
        <w:rPr>
          <w:rFonts w:ascii="Amiri" w:hAnsi="Amiri" w:eastAsia="Amiri" w:cs="Amiri"/>
          <w:color w:val="111111"/>
          <w:sz w:val="28"/>
          <w:sz w:val="28"/>
          <w:szCs w:val="28"/>
          <w:rtl w:val="true"/>
          <w:lang w:bidi="ar-SA"/>
        </w:rPr>
        <w:t>إحراز مورد ومصداق لهذه القاعدة والكبرى الكليّة، لعدم الإحاطة بالواقعيّات كي يستكشف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إرادة الإمكان الاحتمالي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 إرادة الإمكان القياسي، بالنظر إلى شرائطه وموانعه المقرّرة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الأعمّ منها ومن ما احتمل اعتباره فيه شرعاً واقعاً وإن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كلُّ مَنْ تمسّك لتحيّض المبتدئة وغيرها بمجرّد الرؤية بقاعدة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شيخنا الأعظم</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الأخير، وقد يستظهر من المحقّقين وغيرهما، وترجيح أحدها يتوقّف على ذكر أدلّتها، والإستظهار، منها كما لا يخفى</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10328957_73709187"/>
      <w:bookmarkStart w:id="453" w:name="_Toc171"/>
      <w:bookmarkEnd w:id="452"/>
      <w:r>
        <w:rPr>
          <w:rtl w:val="true"/>
        </w:rPr>
        <w:t>دليل القاعدة</w:t>
      </w:r>
      <w:bookmarkEnd w:id="453"/>
    </w:p>
    <w:p>
      <w:pPr>
        <w:pStyle w:val="BookText"/>
        <w:rPr/>
      </w:pPr>
      <w:r>
        <w:rPr>
          <w:rFonts w:ascii="Amiri" w:hAnsi="Amiri" w:eastAsia="Amiri" w:cs="Amiri"/>
          <w:color w:val="111111"/>
          <w:sz w:val="28"/>
          <w:sz w:val="28"/>
          <w:szCs w:val="28"/>
          <w:rtl w:val="true"/>
          <w:lang w:bidi="ar-SA"/>
        </w:rPr>
        <w:t>وأمّا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لها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تقريبه وبيان المراد منه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ثبوتها بنحوٍ تفيد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حجيّتها في الموضوعات غير ثابتة، ومنه يظهر ما في تقريبه بالظاهر، وما يمكن أنْ يورد عليه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وهو استصحاب عدم كون الدّم من قُرحٍ أو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بالحيضيّة مستنداً إليه، يتوقّف على حجيّة مثبتات الاُصول، ولا نقول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إذا رأت الدّم ثلاثة أيّام متواليات، يكون ذلك الدّم حيضاً بلا خلافٍ ولا إشكال، وعن غير واحدٍ دعوى الاتّفاق عليه، وستعرف في حكم غير ذات العادة الوقتيّة، شهادة جملةٍ من النصوص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فإذا رأت الدّم، ولم تعلم ببقائه إلى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تشملها 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أصالة البقاء إلى الثلاثة، فتدخل بها تحت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شيخنا الأنصاري رحمه الله</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منع من جريان هذا الأصل في مثل ما نحن فيه،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الأصل عدم حدوث الزائد على ما حدث، كيف ولو ثبت بحكم الأصل بقاءه إلى الثلاثة، لم يحتج إلى قاعدة الإمكان، للاتّفاق من الطرفين على أنّ الدّم المستمرّ إلى ثلاثة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 بأنّه لم سُلّم جريان أصالة البقاء في الدّم، لكنّها لا تُجدي في إثبات الإمكان المستقرّ، ليدخل تحت معاقد إجماعات قاعدة الإمكان، لأنّ مراد المجمعين من الإستقرار هو الواقعي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الموجود في ثلاثة أيّام، وليس لفظ الإمكان المستقرّ وارداً في نصٍّ شرعي، حتّى يترتّب على الثابت منه بالاستصحاب ما يترتّب على المستقرّ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ذكره قدس سره مواقع للنظر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منعه من جريان هذا الأصل، ففيه ثلاث احتمالات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لأجل كون الشكّ في المورد من الشكّ في المقتضي، الذي ضابطه كون الشكّ في بقاء الموجود لأجل الشكّ في مقدار قابليّة الموجود، واستعداده للبقاء في عمود الزمان، والمختار عنده</w:t>
      </w:r>
      <w:r>
        <w:rPr>
          <w:rStyle w:val="FootnoteAnchor"/>
          <w:rtl w:val="true"/>
        </w:rPr>
        <w:footnoteReference w:id="1082"/>
      </w:r>
      <w:r>
        <w:rPr>
          <w:rFonts w:ascii="Amiri" w:hAnsi="Amiri" w:eastAsia="Amiri" w:cs="Amiri"/>
          <w:color w:val="111111"/>
          <w:sz w:val="28"/>
          <w:sz w:val="28"/>
          <w:szCs w:val="28"/>
          <w:rtl w:val="true"/>
          <w:lang w:bidi="ar-SA"/>
        </w:rPr>
        <w:t>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من أنّ الأظهر جريانه في هذا المورد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لأجل كون المستصحب من الاُمور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عندنا</w:t>
      </w:r>
      <w:r>
        <w:rPr>
          <w:rStyle w:val="FootnoteAnchor"/>
          <w:rtl w:val="true"/>
        </w:rPr>
        <w:footnoteReference w:id="1084"/>
      </w:r>
      <w:r>
        <w:rPr>
          <w:rFonts w:ascii="Amiri" w:hAnsi="Amiri" w:eastAsia="Amiri" w:cs="Amiri"/>
          <w:color w:val="111111"/>
          <w:sz w:val="28"/>
          <w:sz w:val="28"/>
          <w:szCs w:val="28"/>
          <w:rtl w:val="true"/>
          <w:lang w:bidi="ar-SA"/>
        </w:rPr>
        <w:t>تبعاً له قدس سره جريان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لإجل عدم جريان الاستصحاب في الاُمور الاسقباليّة، كما عن بعض المنع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كلامه قدس سره وغيره، ومقتضى إطلاق الأدلّة، عدم الإشكال في جريانه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الحاجة إلى القاعدة، مع 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الأصل بعد الاتّفاق المزبور، يكون من أدلّة القاعدة؛ إذ ذلك الاتّفاق ليس إجماعاً على الحكم الواقعي، كي يغاير الاتّفاق القاعدة، مع أنّه يمكن أنْ يكون الاتّفاق على القاعدة إتفاقاً على جريان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الإمكان المستقرّ، هو الواقعي المتيقّن، والأصل لا يثبت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أخذ العلم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المحقّق في محلّه، قيام الاستصحاب مقام العلم المأخوذ في الموضوع على وجه الطريقيّة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عدم ثبوت المستقرّ الواقعي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هذا الحكم المأخوذ في الأدلّة، ليس هو الإمكان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قدس سره به</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الدّم الموجود في الثلاثة، وهذا العنوان يمكن إحرازه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خرجنا بذلك عن مقتضى الأدب، واللّه تعالى مقيل العثرات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يرد على الاستدلال بهذا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الأدلّة إلغاء الشارع المقدّس للإستصحاب في أمثال المقام من هذا المبحث، كما ألغاه في الشكّ في عدد ركعات الصّلاة، وتشهد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النصوص الدالّة على أنّ الصفرة في غير أيّام الحيض ليست حيضاً</w:t>
      </w:r>
      <w:r>
        <w:rPr>
          <w:rStyle w:val="FootnoteAnchor"/>
          <w:rtl w:val="true"/>
        </w:rPr>
        <w:footnoteReference w:id="1087"/>
      </w:r>
      <w:r>
        <w:rPr>
          <w:rFonts w:ascii="Amiri" w:hAnsi="Amiri" w:eastAsia="Amiri" w:cs="Amiri"/>
          <w:color w:val="111111"/>
          <w:sz w:val="28"/>
          <w:sz w:val="28"/>
          <w:szCs w:val="28"/>
          <w:rtl w:val="true"/>
          <w:lang w:bidi="ar-SA"/>
        </w:rPr>
        <w:t>، فإنّها بضميمة الاتّفاق على أنّ الدّم المستمرّ إلى الثلاثة حيضٌ‌، تدلّ على ذلك؛ إذ لولا عدم حجيّة الاستصحاب في المقام، كان اللّازم الحكم بكونه حيضاً بمجرّد الرؤية، ولو كان فاقداً للصفات فيما لو علمت عدم التجاوز عن العشرة، كما لايخفى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النصوص الواردة في المستحاضة، المتجاوز دمها عن عادتها، التي هي أقلّ من العشرة، اليائسة عن الانقطاع قبلها، الدالّة على أنّها تقتصر على عادتها</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الاستصحاب الحكم بالحيضيّة إلى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التحيّض برؤية الدّم إذا علمت بإستمرار الدّم ثلاثة أيّام، وإن إحتملت العبور عن العشرة</w:t>
      </w:r>
      <w:r>
        <w:rPr>
          <w:rStyle w:val="FootnoteAnchor"/>
          <w:rtl w:val="true"/>
        </w:rPr>
        <w:footnoteReference w:id="1089"/>
      </w:r>
      <w:r>
        <w:rPr>
          <w:rFonts w:ascii="Amiri" w:hAnsi="Amiri" w:eastAsia="Amiri" w:cs="Amiri"/>
          <w:color w:val="111111"/>
          <w:sz w:val="28"/>
          <w:sz w:val="28"/>
          <w:szCs w:val="28"/>
          <w:rtl w:val="true"/>
          <w:lang w:bidi="ar-SA"/>
        </w:rPr>
        <w:t>، مع أنّ مقتضى الاستصحاب عدم الحكم بالحيضيّة،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في المسائل المختلفة من هذا الباب، يطمئن بأنّ الشارع المقدّس ألغى هذا الأصل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عن ذلك، وسلّمنا جريانه في نفسه،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الأصل وإنْ كان بقاؤه إلى الثلاثة، ولازمه الحكم بكونه حيضاً، إلّا أنّه يجري استصحاب بقائه إلى ما بعد العشرة أيضاً، فيقع التعارض بينهما؛ إذ لا يمكن الحكم بكون جميع ما تراه حيضاً، ولا خصوص ما تراه قبل العشرة كما هو واضح فيتساقطان، فليكن هذا على ذُكرٍ منك لعلّه ينفعك في كثير من الفروع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 السّلامة، فإنّه أصلٌ معتبرٌ معتمدٌ عليه عند العقلاء في جميع اُمورهم، ومعلوم أنّ الحيض دمٌ يقذفه الرّحم بحسب طبعه، وأمّا غيره حتّى الاستحاضة فإنّه يكون من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إعتماد العقلاء على هذا الأصل إنّما يكون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المعاملات كالبيع، والمراد به حينئذٍ وقوع البيع على الشيء بشرط الصحّة والسّلامة، ويكون ذلك من الشروط الضمنية المبنيّ عليها البيع، ولو إنكشف عدم السّلامة، يتخيّر المشتري بين الإمضاء والفسخ</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الشرعيّة المترتّبة على الصحّة والسّلامة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يكون المقام داخلاً في شيء من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الدّم حيضاً ليس من الآثار الشرعيّة للصحّة، كما لايخفى، مع أنّ الاعتماد عليه في الآفات العامّة البلوى، لا سيّما مثل ما يكون منشئاً للإستحاضة الذي لا يعدّ آفة عرفاً، غير ثابتٍ‌، بل معلوم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بناء العرف على ذلك، ولعلّه ترجع إليه دعوى سيرة المتشرّعة عليه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فيما عُلم خروجه من الرّحم، وما يُرى في العادة وما استمرّ ثلاثة أيّام، وكان بصفات الحيض، وفي هذه الموارد لا إشكال في الحكم بالحيضيّة، وأمّا في غيرها فلم يثبت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جعل الدّم المتقدّم على العادة حيضاً، معلّلاً بأنّه ربما يُعجّل بها الوقت</w:t>
      </w:r>
      <w:r>
        <w:rPr>
          <w:rStyle w:val="FootnoteAnchor"/>
          <w:rtl w:val="true"/>
        </w:rPr>
        <w:footnoteReference w:id="1092"/>
      </w:r>
      <w:r>
        <w:rPr>
          <w:rFonts w:ascii="Amiri" w:hAnsi="Amiri" w:eastAsia="Amiri" w:cs="Amiri"/>
          <w:color w:val="111111"/>
          <w:sz w:val="28"/>
          <w:sz w:val="28"/>
          <w:szCs w:val="28"/>
          <w:rtl w:val="true"/>
          <w:lang w:bidi="ar-SA"/>
        </w:rPr>
        <w:t>، مع التصريح في بعضها بكونه بغير صفات الحيض</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أنّه يحكم بكون ما تراه الحُبلى من الدّم حيضاً، معلّلة بأنّ الحُبلى ربما قَذَفت بالدّم</w:t>
      </w:r>
      <w:r>
        <w:rPr>
          <w:rStyle w:val="FootnoteAnchor"/>
          <w:rtl w:val="true"/>
        </w:rPr>
        <w:footnoteReference w:id="1094"/>
      </w:r>
      <w:r>
        <w:rPr>
          <w:rFonts w:ascii="Amiri" w:hAnsi="Amiri" w:eastAsia="Amiri" w:cs="Amiri"/>
          <w:color w:val="111111"/>
          <w:sz w:val="28"/>
          <w:sz w:val="28"/>
          <w:szCs w:val="28"/>
          <w:rtl w:val="true"/>
          <w:lang w:bidi="ar-SA"/>
        </w:rPr>
        <w:t>، وفي بعضها التعليل بأنّه ربما يبقى الدّم في الرّحم ولم يخرج وتلك الهراقة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هذه التعليلات إنّما تتمّ‌، إذا اُريد بها مجرّد إبداء الاحتمال، ليكون المورد من صُغريات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ما تراه قبل العشرة هو من الحيضة الأُولى، وما تراه بعدها هو من الحيضة المستقبلة</w:t>
      </w:r>
      <w:r>
        <w:rPr>
          <w:rStyle w:val="FootnoteAnchor"/>
          <w:rtl w:val="true"/>
        </w:rPr>
        <w:footnoteReference w:id="1096"/>
      </w:r>
      <w:r>
        <w:rPr>
          <w:rFonts w:ascii="Amiri" w:hAnsi="Amiri" w:eastAsia="Amiri" w:cs="Amiri"/>
          <w:color w:val="111111"/>
          <w:sz w:val="28"/>
          <w:sz w:val="28"/>
          <w:szCs w:val="28"/>
          <w:rtl w:val="true"/>
          <w:lang w:bidi="ar-SA"/>
        </w:rPr>
        <w:t>، وقد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مَنْ ترى الدّم ثلاثة أو أربعة، تدَع الصّلاة كلّما رأت، وتُصلّي كلّما رأت الطهر ما بينها وبين شهر، كروايتي يونس</w:t>
      </w:r>
      <w:r>
        <w:rPr>
          <w:rStyle w:val="FootnoteAnchor"/>
          <w:rtl w:val="true"/>
        </w:rPr>
        <w:footnoteReference w:id="1097"/>
      </w:r>
      <w:r>
        <w:rPr>
          <w:rFonts w:ascii="Amiri" w:hAnsi="Amiri" w:eastAsia="Amiri" w:cs="Amiri"/>
          <w:color w:val="111111"/>
          <w:sz w:val="28"/>
          <w:sz w:val="28"/>
          <w:szCs w:val="28"/>
          <w:rtl w:val="true"/>
          <w:lang w:bidi="ar-SA"/>
        </w:rPr>
        <w:t>وأبي بصير</w:t>
      </w:r>
      <w:r>
        <w:rPr>
          <w:rStyle w:val="FootnoteAnchor"/>
          <w:rtl w:val="true"/>
        </w:rPr>
        <w:footnoteReference w:id="1098"/>
      </w:r>
      <w:r>
        <w:rPr>
          <w:rFonts w:ascii="Amiri" w:hAnsi="Amiri" w:eastAsia="Amiri" w:cs="Amiri"/>
          <w:color w:val="111111"/>
          <w:sz w:val="28"/>
          <w:sz w:val="28"/>
          <w:szCs w:val="28"/>
          <w:rtl w:val="true"/>
          <w:lang w:bidi="ar-SA"/>
        </w:rPr>
        <w:t>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المتقدّمة في الاشتباه بالعُذرة</w:t>
      </w:r>
      <w:r>
        <w:rPr>
          <w:rStyle w:val="FootnoteAnchor"/>
          <w:rtl w:val="true"/>
        </w:rPr>
        <w:footnoteReference w:id="1099"/>
      </w:r>
      <w:r>
        <w:rPr>
          <w:rFonts w:ascii="Amiri" w:hAnsi="Amiri" w:eastAsia="Amiri" w:cs="Amiri"/>
          <w:color w:val="111111"/>
          <w:sz w:val="28"/>
          <w:sz w:val="28"/>
          <w:szCs w:val="28"/>
          <w:rtl w:val="true"/>
          <w:lang w:bidi="ar-SA"/>
        </w:rPr>
        <w:t>والقُرحة</w:t>
      </w:r>
      <w:r>
        <w:rPr>
          <w:rStyle w:val="FootnoteAnchor"/>
          <w:rtl w:val="true"/>
        </w:rPr>
        <w:footnoteReference w:id="1100"/>
      </w:r>
      <w:r>
        <w:rPr>
          <w:rFonts w:ascii="Amiri" w:hAnsi="Amiri" w:eastAsia="Amiri" w:cs="Amiri"/>
          <w:color w:val="111111"/>
          <w:sz w:val="28"/>
          <w:sz w:val="28"/>
          <w:szCs w:val="28"/>
          <w:rtl w:val="true"/>
          <w:lang w:bidi="ar-SA"/>
        </w:rPr>
        <w:t>، من الحكم بالحيضيّة بمجرّد انتفاء علامة العُذرة والقُرحة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ترتّب أحكام الحائض بمجرّد رؤية الدّم، منها مادلّ على أنّ الصائمة تفطر بمجرّد رؤية الدّم</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الإستظهار لذات العادة</w:t>
      </w:r>
      <w:r>
        <w:rPr>
          <w:rStyle w:val="FootnoteAnchor"/>
          <w:rtl w:val="true"/>
        </w:rPr>
        <w:footnoteReference w:id="1102"/>
      </w:r>
      <w:r>
        <w:rPr>
          <w:rFonts w:ascii="Amiri" w:hAnsi="Amiri" w:eastAsia="Amiri" w:cs="Amiri"/>
          <w:color w:val="111111"/>
          <w:sz w:val="28"/>
          <w:sz w:val="28"/>
          <w:szCs w:val="28"/>
          <w:rtl w:val="true"/>
          <w:lang w:bidi="ar-SA"/>
        </w:rPr>
        <w:t>إذا رأتْ مازاد عليها، الشاملة لغيرها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ذهب طَمثها سنين ثمّ عاد إليها شيءٌ؟ قال عليه السلام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تترك الصّلاة حتّى تطهُر</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رأت الدّم بعدما نَفَسَتْ ثلاثين يوماً وتركت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لأنّ أيّامها أيّام الطُهر قد جازت مع أيّام النفاس</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أنّ الصفرة والكدرة في أيّام الحيض حيض</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تمام ما استدلّ بها من النصوص على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الكلّ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أخبار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تدلّ على طريقيّة ما تراه قريباً من العادة إلى الحيض، مثل ما تراه في أيّام العادة، فلا تصلح أن تكون مستندة لتلك القاعدة العظمى، ويشير إلى ذلك التعليل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يجعل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لو كانت تلك الأخبار في مقام بيان تلك القاعدة، كان المتعيّن التعليل بأنّه ربما يجيء دمّ الحيض في غير أيّام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فصدرها إنّما سيق لبيان عدم مانعيّة الحمل عن الحيض، وأمّا ذيلها المتضمّن للتعليل، فلم يرد به إبداء الاحتمال؛ إذ السؤال إنّما يكون لذلك، وإلّا فلم يكن يسئل عنه، بل الظاهر منه هو ما ذكره الشيخ الأنصاري رحمه الله</w:t>
      </w:r>
      <w:r>
        <w:rPr>
          <w:rStyle w:val="FootnoteAnchor"/>
          <w:rtl w:val="true"/>
        </w:rPr>
        <w:footnoteReference w:id="1106"/>
      </w:r>
      <w:r>
        <w:rPr>
          <w:rFonts w:ascii="Amiri" w:hAnsi="Amiri" w:eastAsia="Amiri" w:cs="Amiri"/>
          <w:color w:val="111111"/>
          <w:sz w:val="28"/>
          <w:sz w:val="28"/>
          <w:szCs w:val="28"/>
          <w:rtl w:val="true"/>
          <w:lang w:bidi="ar-SA"/>
        </w:rPr>
        <w:t xml:space="preserve">من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للتكثير، جيء به لرفع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خلاف الظاهر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وضعت للتقليل، إلّاأنّه غَلب استعمالها في التكثير، حتّى صار مجازًا مشهوراً، كما صرّح بذلك جملة من أهل الفنّ‌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مادلّ على إلحاق ماقبل مُضيّ‌العشرة بالحيضة الأُولى‌، فإنّما يدلّ على أنّ الجامع للصفات الذي عُلم أنّه حيضٌ ملحق بالأُولى ما لم يمض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مَنْ ترى الدّم ثلاثة أو أربعة تدَع الصّلاة، كلّما رأت الدّم ما بينها وبين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فُرض في هذه الأخبار استمرار الدّم ثلاثة أيّام، وهو غير ما نحن فيه، كيف وقد ادّعى الإجماع على الحكم بالتحيّض فيه‌؟ مع أنّه لا يمكن حملها على قاعدة الإمكان، لعدم إمكان الحيض في تمام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الاشتباه بالعُذرة أو القُرحة، فقد مرّ أنّه في صورة الاشتباه بالعُذرة جَعَل الشارع الإنغماس طريقاً إلى الحيض، وفي صورة الاشتباه بالقُرحة جعل الخروج من الأيسر طريقاً إليه، فلا تكون مرتبطة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ترتّب أحكام الحائض بمجرّد رؤية الدّم، فهي إنّما تدلّ على ترتّبها على رؤية الدّم المعهود، أي ما عُلم كونه حيضاً، وأنّه يكون مفطراً إذا كانت صائمة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أخبار الاستظهار، فلأنّه بعد التدبّر فيها، يقوى في النظر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أدلّ على خلاف المطلوب بما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رأته بعد أيّام حيضها، فليس 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بأنّها تعمل عمل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بالتحيّض في أيّام العادة عند التجاوز، ولو كانت عادتها أقلّ من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مقتضى قاعدة الإمكان الحكم بكونها حائضاً إلى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بقرينة التعبير بالعود ظاهرة في صورة إحراز كونه حيضاً، ولو من جهة واجديّته لصفات الحيض، والسؤال حينئذٍ إنّما يكون من جهة احتمال مانعيّة انقطاع الدّم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ابن المغيرة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ظهورها في بلوغ النفاس ثلاثين يوماً، مع أنّه محلّ الكلام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والجواب فيها مسوقان لبيان مانعيّة الدّم الأوّل عن حيضيّة الثاني،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الصفرة في أيّام الحيض حيضٌ‌، فالإستدلال به يتوقّف على تماميّة تفسير الشيخ</w:t>
      </w:r>
      <w:r>
        <w:rPr>
          <w:rStyle w:val="FootnoteAnchor"/>
          <w:rtl w:val="true"/>
        </w:rPr>
        <w:footnoteReference w:id="1108"/>
      </w:r>
      <w:r>
        <w:rPr>
          <w:rFonts w:ascii="Amiri" w:hAnsi="Amiri" w:eastAsia="Amiri" w:cs="Amiri"/>
          <w:color w:val="111111"/>
          <w:sz w:val="28"/>
          <w:sz w:val="28"/>
          <w:szCs w:val="28"/>
          <w:rtl w:val="true"/>
          <w:lang w:bidi="ar-SA"/>
        </w:rPr>
        <w:t xml:space="preserve">إيّاه 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التي يمكن فيها ذلك، ولكنّه غير تامّ‌، لظهوره في إرادة أيّام العادة لاسيّما بعد ملاحظة ما دلّ على أنّ الصفرة بعد أيّام العادة ليست بحيض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لمعلوميّة مدرك المجمعين، لا يصحّ جَعْلُ هذا الإجماع دليلاً عليها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عن جماعةٍ من متأخّري المتأخّرين، كالمحقّق الثاني</w:t>
      </w:r>
      <w:r>
        <w:rPr>
          <w:rStyle w:val="FootnoteAnchor"/>
          <w:rtl w:val="true"/>
        </w:rPr>
        <w:footnoteReference w:id="1109"/>
      </w:r>
      <w:r>
        <w:rPr>
          <w:rFonts w:ascii="Amiri" w:hAnsi="Amiri" w:eastAsia="Amiri" w:cs="Amiri"/>
          <w:color w:val="111111"/>
          <w:sz w:val="28"/>
          <w:sz w:val="28"/>
          <w:szCs w:val="28"/>
          <w:rtl w:val="true"/>
          <w:lang w:bidi="ar-SA"/>
        </w:rPr>
        <w:t>، والمقدّس الأردبيلي</w:t>
      </w:r>
      <w:r>
        <w:rPr>
          <w:rStyle w:val="FootnoteAnchor"/>
          <w:rtl w:val="true"/>
        </w:rPr>
        <w:footnoteReference w:id="1110"/>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وغيرهم من التوقّف في هذه القاعدة هو الصحيح، فالحكم بالحيضيّة يتوقّف على إحراز كونه حيضاً بالعلم أو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العلمي أو الأصل، وقد اتّفق النصّ والفتوى على الحكم بحيضيّة ما رأته في العادة، أو ما يقرُب منها، وكلّ ما استمرّ ثلاثة أيّام، وإن لم يكن واجداً للصفات، وكلّ ما كان واجداً للصفات، والدّم المنغمس في القُطنة عند الاشتباه بدم العُذرة، والخارج من الأيسر عند اشتباهه بدم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اللّثام</w:t>
      </w:r>
      <w:r>
        <w:rPr>
          <w:rFonts w:eastAsia="Amiri" w:cs="Amiri" w:ascii="Amiri" w:hAnsi="Amiri"/>
          <w:color w:val="111111"/>
          <w:sz w:val="28"/>
          <w:szCs w:val="28"/>
          <w:rtl w:val="true"/>
          <w:lang w:bidi="ar-SA"/>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لم تكن القاعدة ثابتة لم يحكم بحيضٍ‌؛ إذ لا يقين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54" w:name="pg11795_115611"/>
    </w:p>
    <w:p>
      <w:pPr>
        <w:pStyle w:val="Heading6"/>
        <w:numPr>
          <w:ilvl w:val="5"/>
          <w:numId w:val="1"/>
        </w:numPr>
        <w:rPr/>
      </w:pPr>
      <w:bookmarkStart w:id="455" w:name="__RefHeading___Toc10328959_73709187"/>
      <w:bookmarkStart w:id="456" w:name="_Toc172"/>
      <w:bookmarkEnd w:id="454"/>
      <w:bookmarkEnd w:id="455"/>
      <w:r>
        <w:rPr>
          <w:rtl w:val="true"/>
        </w:rPr>
        <w:t>بيان المراد بالإمكان</w:t>
      </w:r>
      <w:bookmarkEnd w:id="456"/>
    </w:p>
    <w:p>
      <w:pPr>
        <w:pStyle w:val="BookText"/>
        <w:rPr/>
      </w:pPr>
      <w:r>
        <w:rPr>
          <w:rFonts w:ascii="Amiri" w:hAnsi="Amiri" w:eastAsia="Amiri" w:cs="Amiri"/>
          <w:color w:val="111111"/>
          <w:sz w:val="28"/>
          <w:sz w:val="28"/>
          <w:szCs w:val="28"/>
          <w:rtl w:val="true"/>
          <w:lang w:bidi="ar-SA"/>
        </w:rPr>
        <w:t>ثمّ إنّه يقع الكلام في بيان ما وَعَدنا بالتعرّض له، وهو أنّ المراد بالإمكان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الإمكان الاحتمالي‌؟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هو الإمكان القياسي بأحد معنييه‌؟</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الأدلّة المتقدّمة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اقتضاء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منها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معقد إجماع الشيخ رحمه الله سوق القاعدة مساق أيّام العادة الّتي يكتفي في التحيّض فيها بمجرّد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إنّه تمسّك لتحيّض المبتدئة بمجرّد الرؤية بالقاعدة، فهو أقوى شاهدٍ على أنّ معقد إجماعه هو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منها التعليلات وظهورها فيه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عن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كثيراً من نقلته كالمحقّقَين وغيرهما، لم يلتزموابتحيّض المبتدئة والمضطربة إلّابعد الثلاثة، مع أنّ جماعة منهم صرّحوا باعتبار الإمكان القياسي، بل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إستظهار اتّفاق الأصحاب عليه، مع أنّ تمسّك المصنّف رحمه الله بشيءٍ لا يدلّ على إرتضائه بالتمسّك به، كما يظهر لمن راجع كتبه الاستدلاليّة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منها كونها مسوقة لبيان عدم المانع الشرعي من الحَبْل وغيره، فكيف يمكن الاستدلال بها في مورد الشكّ في المانع الشرعي‌؟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واردة في مقام بيان دفع توهّم ما احتمل 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هذا المورد، هو بعد تسليم دلالة النصوص على القاعدة، وكونه في مقام بيان جعل الحيضيّة للمحتمل، وما ذكرتْ إيرادٌ على دلالتها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بما ذكرناه أنّه ولو سَلّمنا كونها في مقام بيان إبداء الاحتمال، ليكون المورد من صغريات القاعدة، إلّاأنّه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بالتعليل بعدم المانع الشرعي، واحتمال عدم المانع التكويني، فلابدّ من إحراز عدم المانع الشرعي في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كون ما تراه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الشكّ في تحقّق شرطٍ شرعي كالبلوغ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فقد ما هو من الشروط الخلافيّة كالتوالي، أو تحقّق ما هو من الموانع الخلافيّة كالحُبْل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مشخّصاتٍ جزئيّةٍ للحيض، تختلف باختلاف آحاد النساء، مع استجماع الدّم جميع الشرائط المقرّرة للحيض، فإنّ اجتماع الشروط لا يفيد العلم بالحيضيّة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فاعلم أنّ مفاد التعليلات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التعليل باحتمال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وجود الشرط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احتمال عدم شرطيّة ما هو مفقودٌ من الشرائط الخلافيّة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عدم مانعيّة ما هو موجودٌ من الموانع الخلافيّة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الإمكان الاحتمالي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بما أنّ الظاهر من التعليلات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مفادها التعليل </w:t>
      </w:r>
    </w:p>
    <w:p>
      <w:pPr>
        <w:pStyle w:val="BookText"/>
        <w:rPr/>
      </w:pPr>
      <w:r>
        <w:rPr>
          <w:rFonts w:ascii="Amiri" w:hAnsi="Amiri" w:eastAsia="Amiri" w:cs="Amiri"/>
          <w:color w:val="111111"/>
          <w:sz w:val="28"/>
          <w:sz w:val="28"/>
          <w:szCs w:val="28"/>
          <w:rtl w:val="true"/>
          <w:lang w:bidi="ar-SA"/>
        </w:rPr>
        <w:t>بتحقّق الشرائط المقرّرة للحيض، وعدم المانع الشرعي، واحتمال وجود المانع التكويني، فلا مناص عن الاقتصار على الإمكان القياسي، الذي اختاره الشيخ الأعظم رحمه الله</w:t>
      </w:r>
      <w:r>
        <w:rPr>
          <w:rStyle w:val="FootnoteAnchor"/>
          <w:rtl w:val="true"/>
        </w:rPr>
        <w:footnoteReference w:id="1113"/>
      </w:r>
      <w:r>
        <w:rPr>
          <w:rFonts w:ascii="Amiri" w:hAnsi="Amiri" w:eastAsia="Amiri" w:cs="Amiri"/>
          <w:color w:val="111111"/>
          <w:sz w:val="28"/>
          <w:sz w:val="28"/>
          <w:szCs w:val="28"/>
          <w:rtl w:val="true"/>
          <w:lang w:bidi="ar-SA"/>
        </w:rPr>
        <w:t>، وهو الإمكان القياسي بلحاظ ما اُحتمل اعتباره فيه شرعاً واقعاً وإنْ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يترتّب على ذلك عدم صحّة التمسّك بالقاعدة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بحيضيّة ما شُكّ في كونه حيضاً، من جهة الشبهة الحكميّة، كما لو شكّ في اعتبار التوالي، ولم يدلّ دليلٌ على الاعتبار أو عدمه، وما شكّ فيه من جهة الشكّ في تحقّق ما هو معتبرٌ فيه شرعاً، ويختصّ موردها بما إذا اُحرز الإمكان بلحاظ الشرائط المقرّرة للحيض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لايعتبر الإحراز الوجداني، بل لو اُحرز بالأصل يكفي، فلو شكّتْ في اليأس، ورأت الدّم، يصحّ‌التمسّك بها للحكم بكون ما رأته حيضاً، لأصالة عدم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أنّ دعوى أنّ المشهور بين الأصحاب، كون المراد بالإمكان الإمكان القياسي لا الاحتمالي قريبٌ جدّاً، لتمسّكهم لاعتبار التوالي بأصالة عدم الحيض بعد منع الإطلاق، ولم يتمسّكوا بالقاعدة لنفي اعتباره كما أشار إلى ذلك الشيخ الأعظم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هو الإمكان الاحتمالي، كانت القاعدة من الاُصول، لا يصحّ الرجوع إليها مع الدليل لاَخذ الشكّ في موضوعها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به الإمكان القياسي، كانت من الأمارات الشرعيّة، فيجري عليها ما يجري على عامّة الطرق والأمارات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457" w:name="pg11795_115614"/>
    </w:p>
    <w:p>
      <w:pPr>
        <w:pStyle w:val="BookText"/>
        <w:rPr/>
      </w:pPr>
      <w:bookmarkEnd w:id="45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تمهّد هذا، فلنرجع إلى بيان ما سيق لبيانه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يقع في موضعين</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10328961_73709187"/>
      <w:bookmarkStart w:id="459" w:name="_Toc173"/>
      <w:bookmarkEnd w:id="458"/>
      <w:r>
        <w:rPr>
          <w:rtl w:val="true"/>
        </w:rPr>
        <w:t>الأوّل</w:t>
      </w:r>
      <w:r>
        <w:rPr>
          <w:rtl w:val="true"/>
        </w:rPr>
        <w:t xml:space="preserve">: </w:t>
      </w:r>
      <w:r>
        <w:rPr>
          <w:rtl w:val="true"/>
        </w:rPr>
        <w:t>ذات العادة</w:t>
      </w:r>
      <w:bookmarkEnd w:id="459"/>
    </w:p>
    <w:p>
      <w:pPr>
        <w:pStyle w:val="Heading6"/>
        <w:numPr>
          <w:ilvl w:val="5"/>
          <w:numId w:val="1"/>
        </w:numPr>
        <w:rPr/>
      </w:pPr>
      <w:bookmarkStart w:id="460" w:name="__RefHeading___Toc10328963_73709187"/>
      <w:bookmarkStart w:id="461" w:name="_Toc174"/>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به تتحقّق العادة وتزول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حكمها</w:t>
      </w:r>
      <w:r>
        <w:rPr>
          <w:rFonts w:eastAsia="Amiri" w:cs="Amiri" w:ascii="Amiri" w:hAnsi="Amiri"/>
          <w:color w:val="111111"/>
          <w:sz w:val="28"/>
          <w:szCs w:val="28"/>
          <w:rtl w:val="true"/>
          <w:lang w:bidi="ar-SA"/>
        </w:rPr>
        <w:t xml:space="preserve">. </w:t>
      </w:r>
      <w:bookmarkStart w:id="462" w:name="pg11795_115615"/>
    </w:p>
    <w:p>
      <w:pPr>
        <w:pStyle w:val="Heading6"/>
        <w:numPr>
          <w:ilvl w:val="5"/>
          <w:numId w:val="1"/>
        </w:numPr>
        <w:rPr/>
      </w:pPr>
      <w:bookmarkStart w:id="463" w:name="__RefHeading___Toc10328965_73709187"/>
      <w:bookmarkStart w:id="464" w:name="_Toc175"/>
      <w:bookmarkEnd w:id="462"/>
      <w:bookmarkEnd w:id="463"/>
      <w:r>
        <w:rPr>
          <w:rtl w:val="true"/>
        </w:rPr>
        <w:t>ما به تتحقّق العادة</w:t>
      </w:r>
      <w:bookmarkEnd w:id="464"/>
    </w:p>
    <w:p>
      <w:pPr>
        <w:pStyle w:val="Heading6"/>
        <w:numPr>
          <w:ilvl w:val="5"/>
          <w:numId w:val="1"/>
        </w:numPr>
        <w:rPr/>
      </w:pPr>
      <w:bookmarkStart w:id="465" w:name="__RefHeading___Toc10328967_73709187"/>
      <w:bookmarkStart w:id="466" w:name="_Toc176"/>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شهرة عظيمة، أنّ المرأة تصير ذات عادة، بأنْ ترى الدّم مرّتين متماثلتين، بل لا خلافٍ فيه في الجملة، بل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والمحقّق الثاني</w:t>
      </w:r>
      <w:r>
        <w:rPr>
          <w:rStyle w:val="FootnoteAnchor"/>
          <w:rtl w:val="true"/>
        </w:rPr>
        <w:footnoteReference w:id="111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طهارة الشيخ الأعظم الأنصاري</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 ومستفيضاً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أدلّة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الجارية البكر أوّل ما تحيض، تقعد في الشهر يومين وفي الشهر ثلاثة أيّام، يختلف عليها، لا يكون طمثها في الشهر عدّة أيّام سواء؟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تجلس وتدَع الصّلاة ما دامت ترى الدّم، ما لم يجز العشرة، فإذا اتّفق شهران عدّة أيّام سواء، فتلك أيّامها</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انقطع الدّم لوقته في الشهر الأوّل سواء حتّى توالى عليها حيضتان أو ثلاث، فقد علم الآن أنّ ذلك قد صار لها وقتاً معلوماً، وخلقاً معروفاً، تعمل عليه، </w:t>
      </w:r>
      <w:bookmarkStart w:id="467" w:name="pg11795_115616"/>
    </w:p>
    <w:p>
      <w:pPr>
        <w:pStyle w:val="BookText"/>
        <w:rPr/>
      </w:pPr>
      <w:bookmarkEnd w:id="467"/>
      <w:r>
        <w:rPr>
          <w:rFonts w:ascii="Amiri" w:hAnsi="Amiri" w:eastAsia="Amiri" w:cs="Amiri"/>
          <w:color w:val="111111"/>
          <w:sz w:val="28"/>
          <w:sz w:val="28"/>
          <w:szCs w:val="28"/>
          <w:rtl w:val="true"/>
          <w:lang w:bidi="ar-SA"/>
        </w:rPr>
        <w:t>وتدَع ما سواه، وتكون سُنّتها في ما يستقبل إذا استحاضت، فقد صارت سُنّة إلى أنْ تجلس أقراءها، وإنّما جُعل الوقت إنْ توالى عليها حيضتان أو ثلاث لقول رسول اللّه صلى الله عليه و آله للّتي تعرف أيّامها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فعلمنا أنّه لم يجعل القُرء الواحد سُنّةً لها، فيقول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قرئك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سَنّ لها الأقراء، وأدناه حيضتان فصاعداً</w:t>
      </w:r>
      <w:r>
        <w:rPr>
          <w:rFonts w:eastAsia="Amiri" w:cs="Amiri" w:ascii="Amiri" w:hAnsi="Amiri"/>
          <w:color w:val="111111"/>
          <w:sz w:val="28"/>
          <w:szCs w:val="28"/>
          <w:rtl w:val="true"/>
          <w:lang w:bidi="ar-SA"/>
        </w:rPr>
        <w:t>»</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121"/>
      </w:r>
      <w:r>
        <w:rPr>
          <w:rFonts w:ascii="Amiri" w:hAnsi="Amiri" w:eastAsia="Amiri" w:cs="Amiri"/>
          <w:color w:val="111111"/>
          <w:sz w:val="28"/>
          <w:sz w:val="28"/>
          <w:szCs w:val="28"/>
          <w:rtl w:val="true"/>
          <w:lang w:bidi="ar-SA"/>
        </w:rPr>
        <w:t>الإشكال في الإحتجاج بهما، بضعف الثاني بالإرسال، والأوّل بجَرح سُماعة وانقطاع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سماعة ثقةٌ على الأقوى، ومرسل يونس حجّة كما تقدّم، أنّه ينجبر ضعفهما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الأصحاب من الاكتفاء بالمرّة، ضعيفٌ غايته</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10328969_73709187"/>
      <w:bookmarkStart w:id="469" w:name="_Toc177"/>
      <w:bookmarkEnd w:id="468"/>
      <w:r>
        <w:rPr>
          <w:rtl w:val="true"/>
        </w:rPr>
        <w:t>أقول</w:t>
      </w:r>
      <w:r>
        <w:rPr>
          <w:rtl w:val="true"/>
        </w:rPr>
        <w:t xml:space="preserve">: </w:t>
      </w:r>
      <w:r>
        <w:rPr>
          <w:rtl w:val="true"/>
        </w:rPr>
        <w:t>ثمّ إنّه ينبغي التنبيه على اُمور</w:t>
      </w:r>
      <w:r>
        <w:rPr>
          <w:rtl w:val="true"/>
        </w:rPr>
        <w:t>:</w:t>
      </w:r>
      <w:bookmarkEnd w:id="469"/>
    </w:p>
    <w:p>
      <w:pPr>
        <w:pStyle w:val="Heading6"/>
        <w:numPr>
          <w:ilvl w:val="5"/>
          <w:numId w:val="1"/>
        </w:numPr>
        <w:rPr/>
      </w:pPr>
      <w:bookmarkStart w:id="470" w:name="__RefHeading___Toc10328971_73709187"/>
      <w:bookmarkStart w:id="471" w:name="_Toc178"/>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الخبرين، سيّما موثّق سماعة، يشمل قسمين من العادة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العدديّة خاصّة، والعدديّة والوقتيّة معاً، فإنْ رأت الدّم مرّتين متماثلتين في الوقت والعدد، فهي ذات العادة الوقتيّة والعدديّة، كأن رأت الدّم في أوّل شهر سبعة أيّام، وفي أوّل الشهر الثاني أيضاً سبعة أيّام، وإن رأته مرّتين متماثلتين في العدد دون الوقت فهي ذات العادة العدديّة، كأن رأت الدّم في أوّل شهر سبعة، وفي وسط الشهر الثاني أيضاً سبعة، ولا كلام فيهما</w:t>
      </w:r>
      <w:r>
        <w:rPr>
          <w:rFonts w:eastAsia="Amiri" w:cs="Amiri" w:ascii="Amiri" w:hAnsi="Amiri"/>
          <w:color w:val="111111"/>
          <w:sz w:val="28"/>
          <w:szCs w:val="28"/>
          <w:rtl w:val="true"/>
          <w:lang w:bidi="ar-SA"/>
        </w:rPr>
        <w:t>.</w:t>
      </w:r>
      <w:bookmarkStart w:id="472" w:name="pg11795_115617"/>
    </w:p>
    <w:p>
      <w:pPr>
        <w:pStyle w:val="Heading6"/>
        <w:numPr>
          <w:ilvl w:val="5"/>
          <w:numId w:val="1"/>
        </w:numPr>
        <w:rPr/>
      </w:pPr>
      <w:bookmarkStart w:id="473" w:name="__RefHeading___Toc10328973_73709187"/>
      <w:bookmarkStart w:id="474" w:name="_Toc179"/>
      <w:bookmarkEnd w:id="472"/>
      <w:bookmarkEnd w:id="473"/>
      <w:r>
        <w:rPr>
          <w:rtl w:val="true"/>
        </w:rPr>
        <w:t>العادة الوقتيّة</w:t>
      </w:r>
      <w:bookmarkEnd w:id="474"/>
    </w:p>
    <w:p>
      <w:pPr>
        <w:pStyle w:val="BookText"/>
        <w:rPr/>
      </w:pPr>
      <w:r>
        <w:rPr>
          <w:rFonts w:ascii="Amiri" w:hAnsi="Amiri" w:eastAsia="Amiri" w:cs="Amiri"/>
          <w:color w:val="111111"/>
          <w:sz w:val="28"/>
          <w:sz w:val="28"/>
          <w:szCs w:val="28"/>
          <w:rtl w:val="true"/>
          <w:lang w:bidi="ar-SA"/>
        </w:rPr>
        <w:t>إنّما الكلام في ما إذا كانتا متماثلتين في الوقت دون العدد، كما إذا رأتْ في أوّل شهرٍ سبعة أيّام، وفي أوّل الشهر الثاني خَمسة أيّام، وهي المسمّاة بذات العادة الوقتيّة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تحقّق العادة الوقتيّة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123"/>
      </w:r>
      <w:r>
        <w:rPr>
          <w:rFonts w:ascii="Amiri" w:hAnsi="Amiri" w:eastAsia="Amiri" w:cs="Amiri"/>
          <w:color w:val="111111"/>
          <w:sz w:val="28"/>
          <w:sz w:val="28"/>
          <w:szCs w:val="28"/>
          <w:rtl w:val="true"/>
          <w:lang w:bidi="ar-SA"/>
        </w:rPr>
        <w:t>نسبته إلى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بعض المتأخّرين، ككثيرٌ من أفراد العادة الّتي ذكرها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 لعدم شمول الخبرين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 المرسل</w:t>
      </w:r>
      <w:r>
        <w:rPr>
          <w:rStyle w:val="FootnoteAnchor"/>
          <w:rtl w:val="true"/>
        </w:rPr>
        <w:footnoteReference w:id="11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لا وقت لها إلّاأيّامها قَلّت أو كَثُرت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 القول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المرسل واردٌ في مقام بيان العدد، والوقت كناية عن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القول بالفصل لا يُعتمد عليه بعد معلوميّة المدارك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أنْيُستدلّ له بما ذكره جماعة من المحقّقين، ومحصّله بتوضيحٍ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مقتضى جملةٍ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كمرسل يونس المتقدّم</w:t>
      </w:r>
      <w:r>
        <w:rPr>
          <w:rStyle w:val="FootnoteAnchor"/>
          <w:rtl w:val="true"/>
        </w:rPr>
        <w:footnoteReference w:id="1126"/>
      </w:r>
      <w:r>
        <w:rPr>
          <w:rFonts w:ascii="Amiri" w:hAnsi="Amiri" w:eastAsia="Amiri" w:cs="Amiri"/>
          <w:color w:val="111111"/>
          <w:sz w:val="28"/>
          <w:sz w:val="28"/>
          <w:szCs w:val="28"/>
          <w:rtl w:val="true"/>
          <w:lang w:bidi="ar-SA"/>
        </w:rPr>
        <w:t xml:space="preserve">في مسألة اعتبار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التحيّض برؤية الدّم في أيّامها، فالمناط صدق هذا العنوان، ولو لم يلاحظ ما جَعَله الشارع ضابطاً، لما صدق ذلك بالتكرّر مرّتين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مرسلة يونس الطويلة الآتية</w:t>
      </w:r>
      <w:r>
        <w:rPr>
          <w:rStyle w:val="FootnoteAnchor"/>
          <w:rtl w:val="true"/>
        </w:rPr>
        <w:footnoteReference w:id="1127"/>
      </w:r>
      <w:r>
        <w:rPr>
          <w:rFonts w:ascii="Amiri" w:hAnsi="Amiri" w:eastAsia="Amiri" w:cs="Amiri"/>
          <w:color w:val="111111"/>
          <w:sz w:val="28"/>
          <w:sz w:val="28"/>
          <w:szCs w:val="28"/>
          <w:rtl w:val="true"/>
          <w:lang w:bidi="ar-SA"/>
        </w:rPr>
        <w:t>إنّما وردت في مقام بيان جعل الضابط له، وبقرينة استدلاله عليه السلام فيه بقول النبيّ صلى الله عليه و آله تكون ظاهرة في أنّه عليه السلام في مقام التعبّد من حيث العدد خاصّة، وأنّه لا تكفي حيضة واحدة في تحقّق العادة، ولا يعتبر أزيد من حيضتين، وعلى ذلك فموردها وإنْ كان غير هذا الفرض، إلّاأنّ المستفاد منها بقرينة ما ذكرناه الاكتفاء بالتعدّد مرّتين في صدق ذات العادة مطلقاً، وترتيب أحكامها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الموثّق</w:t>
      </w:r>
      <w:r>
        <w:rPr>
          <w:rStyle w:val="FootnoteAnchor"/>
          <w:rtl w:val="true"/>
        </w:rPr>
        <w:footnoteReference w:id="1128"/>
      </w:r>
      <w:r>
        <w:rPr>
          <w:rFonts w:ascii="Amiri" w:hAnsi="Amiri" w:eastAsia="Amiri" w:cs="Amiri"/>
          <w:color w:val="111111"/>
          <w:sz w:val="28"/>
          <w:sz w:val="28"/>
          <w:szCs w:val="28"/>
          <w:rtl w:val="true"/>
          <w:lang w:bidi="ar-SA"/>
        </w:rPr>
        <w:t>يدلّ من خلال مفهومه على نفي العادة الشرعيّة في غير القسمين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منه بعد الجمع بينه وبين المرسل بالتقريب المتقدّم، إرادة أنّ صدق أيّامها لا يتوقّف إلّاعلى التكرّر مرّتين، ولا يعتبر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ظهر ممّا ذكرناه، عدم اعتبار تعدّد الشهر الهلالي في العادة العدديّة، كما هو المصرّح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المحقّق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الخبرين مشتملان على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في كلماتهم عليهم السلام تُحمَل على الهلالي، فلو رأتِ الدّم في الشهر الأوّل ولم تره في الثاني، ورأته في الشهر الثالث مثل ما رأته في الأوّل، لا تصير بذلك ذات عادة وقتيّة، كما أنّها لو رأت في آخر الشهر الأوّل مثل ما رأته في أوّله، لا يحكم بكونها ذات عادة، اقتصاراً في ما لا توافقه المرتكزات العرفيّة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لاسيّما بعد ملاحظة فتاوى الأصحاب،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القيد جارياً مجرى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هذا المستدلّ كسائر الأصحاب اعترف بعدم اعتبار الشهر الهلالي في العادة العدديّة، مستنداً إلى الخبرين بالتقريب المتقدّم، فإنّه لا مناصٍ له حينئذٍ عن حمل القيد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كيف يمكن الاستدلال بهما لاعتباره في الوقتيّة، مع أنّه لو لم يتمّ ذلك في نفسه، أمكن التمسّك بعموم العلّة المذكورة في ذيل المرسل الطويل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جُعل الوقت إنْ توالى عليها 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بعض المحقّقين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سياق الخبرين يأبى عن التعبّد، بل ظاهرهما كون مساواة الحيضتين ضابطة لتحديد العادة العرفيّة، التي يُستكشف منها وقت الحيض وعدده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فغير تامّ‌؛ إذ الظاهر منهما ورودهما في مقام بيان جَعل الطريق شرعاً إلى ما يُستكشف به ذلك، فالتعدّي يحتاج إلى دليل، وبأنّه لا يمكن تماثل زماني الدّم إلّا بالشهرين الهلاليين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جملةٌ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تكرّر الطُهر يعيّن الوقت إذا كانا متساويين، كما إذا رأت خمسة أيّام حيضاً، ثمّ عشرة أيّام طهراً، ثمّ خمسة حيضاً، ثمّ عشرة طهراً، ثمّ خمسة حيضاً، فإنّ الدّم الثالث يصدق عليه أنّه رأته في أيّام حيضها، لأنّها اعتادت بالحيض عقيب عشرة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توضيحاً لما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أنّه إذا تكرّرت الكيفيّة المذكورة مرّات عديدة، يصدق في العرف أنّ هذه الكيفيّة عادتها وأيّامها، فيعلم من ذلك أن العادة الوقتيّة لا يتوقّف تحقّقها على تعدّد الشهر، فإذا انضمّ إلى ذلك مادلّ على أنّه لا يعتبر في حصول العادة تكرّر الحيض أزيد من مرّتين، يظهر تحقّق العادة الوقتيّة الشرعيّة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النصوص، اعتبار التماثل بنفس الزمان بين الحيضين، في حصول العادة الوقتيّة شرعاً، وفي الفرض لا يكون التماثل بحسب الزمان، بل إنّما يكون بالجهة الزائدة، وهي جهة الطهر المتعقّب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التماثل بحسب الزمان فيما إذا تعدّد الشهر أيضاً يكون بالجهات الزائدة، لا بحسب الزمان؛ إذ مع قطع النظر عن جهة وحدتهما بحسب الحقيقة، لا تماثل بينهما إلّابالجهات الزائدة،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يصدق التماثل برؤية الدّم في أوّل كلّ شهرٍ، كذلك يصدق برؤيتة بعد كلّ عشرة أيّام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بُنيَ على تحقّق العادة الوقتيّة بتساوي زماني الطُهر، فالرجوع </w:t>
      </w:r>
    </w:p>
    <w:p>
      <w:pPr>
        <w:pStyle w:val="BookText"/>
        <w:rPr/>
      </w:pPr>
      <w:r>
        <w:rPr>
          <w:rFonts w:ascii="Amiri" w:hAnsi="Amiri" w:eastAsia="Amiri" w:cs="Amiri"/>
          <w:color w:val="111111"/>
          <w:sz w:val="28"/>
          <w:sz w:val="28"/>
          <w:szCs w:val="28"/>
          <w:rtl w:val="true"/>
          <w:lang w:bidi="ar-SA"/>
        </w:rPr>
        <w:t>إليها مع استمرار الدّم لا يخلو من إشكال، لعدم مساواة حالتي استمرار الدّم والنقاء؛ إذ النقاء الذي كانت ترى معه الدّم من الخصوصيّات المفقودة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اُريد به استمرار الدّم قبل تحقّق العادة، فهو خارجٌ عن الفرض، وإنْ اُريد به استمراره بعد تحقّقها، فعدم مساواة الحالتين من جميع الجهات لا ينافي تحيّضها بمجرّد الرؤية عند حضوره، والرجوع إليه عند استمرار الدّم؛ لأنّهما متساويان من حيث كون كلّ خمسة أيّام حيضاً، وعشرة أيّام بعدها طهراً وهكذا، وكونها في أيّام الطهر من الحيض مستحاضة في بعض الأزمنة، وغير مستحاضة في بعضها، لا يوجب عدم التساوي المعتبر في المقام، فتدبّر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اعتبار تعدّد الشهرالهلالي في العادة الوقتيّة</w:t>
      </w:r>
      <w:r>
        <w:rPr>
          <w:rFonts w:eastAsia="Amiri" w:cs="Amiri" w:ascii="Amiri" w:hAnsi="Amiri"/>
          <w:color w:val="111111"/>
          <w:sz w:val="28"/>
          <w:szCs w:val="28"/>
          <w:rtl w:val="true"/>
          <w:lang w:bidi="ar-SA"/>
        </w:rPr>
        <w:t>.</w:t>
      </w:r>
      <w:bookmarkStart w:id="475" w:name="pg11795_115622"/>
    </w:p>
    <w:p>
      <w:pPr>
        <w:pStyle w:val="Heading6"/>
        <w:numPr>
          <w:ilvl w:val="5"/>
          <w:numId w:val="1"/>
        </w:numPr>
        <w:rPr/>
      </w:pPr>
      <w:bookmarkStart w:id="476" w:name="__RefHeading___Toc10328975_73709187"/>
      <w:bookmarkStart w:id="477" w:name="_Toc180"/>
      <w:bookmarkEnd w:id="475"/>
      <w:bookmarkEnd w:id="476"/>
      <w:r>
        <w:rPr>
          <w:rtl w:val="true"/>
        </w:rPr>
        <w:t>العادة المركّبة</w:t>
      </w:r>
      <w:bookmarkEnd w:id="477"/>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العادة،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متّفقة، كأنْ ترى في كلّ شهرٍ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مختلفة، كأنْ ترى في الشهر الأوّل خمسة، وفي الثاني سبعة، وفي الثالث خمسة، وفي الرابع سبعة، لصدق أيّامها في الفرض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ورود مرسل يونس الطويل في مقام بيان الاكتفاء في حصول العادة بالتكرّر مرّتين، فكما أنّه إذا تكرّرت هذه الكيفيّة مراراً عديدةً‌، يصدق عرفاً أنّها عدّتها وأيّامها، كذلك إذا تكرّرت مراراً ولا يثبت الإعتياد الشرعي في غير محلّه، بل الأظهر ما عن المحقّق والمصنّف في جملة ما كتبه، والشهيد وغيرهم من تحقّق العادة المركّبة شرعاً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حكم ما لو رأت شهرين متواليين ثلاثة مثلاً، وشهرين متواليين أربعة، ثمّ شهرين متواليين ثلاثة، وشهرين متواليين أربعة، فإنّها تصير بذلك ذات عادة بالنحو المزبور، وكون كلّ عددٍ ناسخاً لما قبله لا ينافي ذلك؛ إذ العادة المتحقّقة بالشهرين الأوليين، وكذا العادة المتحقّقة بالثانيين الذين هما موجبان لزوال الاُولى، غير ما يتحقّق بعد ملاحظة المجموع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مجموع ما ذكرناه يظهر حكم سائر أقسام العادة المذكورة في كلمات الأصحاب، فلا حاجة إلى إطالة الكلام في ذكر كلّ واحدة منها</w:t>
      </w:r>
      <w:r>
        <w:rPr>
          <w:rFonts w:eastAsia="Amiri" w:cs="Amiri" w:ascii="Amiri" w:hAnsi="Amiri"/>
          <w:color w:val="111111"/>
          <w:sz w:val="28"/>
          <w:szCs w:val="28"/>
          <w:rtl w:val="true"/>
          <w:lang w:bidi="ar-SA"/>
        </w:rPr>
        <w:t>.</w:t>
      </w:r>
      <w:bookmarkStart w:id="478" w:name="pg11795_115623"/>
    </w:p>
    <w:p>
      <w:pPr>
        <w:pStyle w:val="Heading6"/>
        <w:numPr>
          <w:ilvl w:val="5"/>
          <w:numId w:val="1"/>
        </w:numPr>
        <w:rPr/>
      </w:pPr>
      <w:bookmarkStart w:id="479" w:name="__RefHeading___Toc10328977_73709187"/>
      <w:bookmarkStart w:id="480" w:name="_Toc181"/>
      <w:bookmarkEnd w:id="478"/>
      <w:bookmarkEnd w:id="479"/>
      <w:r>
        <w:rPr>
          <w:rtl w:val="true"/>
        </w:rPr>
        <w:t>ما به تزول العادة</w:t>
      </w:r>
      <w:bookmarkEnd w:id="480"/>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عندنا في أنّه لا تزول العادة بما إذا رأت مرّةً على خلاف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يكتفي في حصول العادة بالمرّة، يرى زوالها بمرة واحدة، وقد مرّ أنّ القول به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كلام ولا خلاف في زوالها برؤية الدّم مرّتين متماثلتين على خلاف العادة الاُولى، 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دعوى اتّفاق المسلمين عليه،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عادتها ثلاثة، فرأت خمسة في شهر وانقطع، فهو حيض إجماعاً، فلو استمرّ في الرابع جلست عادتها الثلاثة عندنا، وعند أبي حنيفة ومحمّد، وعند أبي يوسف تحيض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رأته في الشهر الرابع خمسة كالثالث، واستمرّ في الخامس، كان حيضها خمسة لتحقّق العادة بالثانية، وهو اتّفاق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Style w:val="FootnoteAnchor"/>
          <w:rtl w:val="true"/>
        </w:rPr>
        <w:footnoteReference w:id="1134"/>
      </w:r>
      <w:r>
        <w:rPr>
          <w:rFonts w:ascii="Amiri" w:hAnsi="Amiri" w:eastAsia="Amiri" w:cs="Amiri"/>
          <w:color w:val="111111"/>
          <w:sz w:val="28"/>
          <w:sz w:val="28"/>
          <w:szCs w:val="28"/>
          <w:rtl w:val="true"/>
          <w:lang w:bidi="ar-SA"/>
        </w:rPr>
        <w:t xml:space="preserve">يونس الطويلة، الدالّة على أنّ أقلّ ما تحقّق به العادة مرّتان، وحيثُ إنّ الظاهر منها الفعليّة وهي الثانية، فهي تكون عادتها دون الأُولى الزائلة، ويتّضح ذلك بالرجوع إلى العرف، فإنّهم لا يشكّون في أنّ من كانت عادتها العرفيّة ثلاثة مثلاً، ثمّ رأت الدّم مرّات عديدةً في كلّ شهر خمسة، فإنّها تنقلب عادتها إلى الثانية، وأنّ مراد الشارع من ترك العبادة بقدر أيّام عادتها، هي العادة الثانية دون الأُولى، وإنّما لا يحكمون بذلك بالنسبة إلى المرّتين، لأنّهم لا يرون تحقّق </w:t>
      </w:r>
    </w:p>
    <w:p>
      <w:pPr>
        <w:pStyle w:val="BookText"/>
        <w:rPr/>
      </w:pPr>
      <w:r>
        <w:rPr>
          <w:rFonts w:ascii="Amiri" w:hAnsi="Amiri" w:eastAsia="Amiri" w:cs="Amiri"/>
          <w:color w:val="111111"/>
          <w:sz w:val="28"/>
          <w:sz w:val="28"/>
          <w:szCs w:val="28"/>
          <w:rtl w:val="true"/>
          <w:lang w:bidi="ar-SA"/>
        </w:rPr>
        <w:t>العادة بهما، فبعد تنبيه الشارع على تحقّقها بهما، لا يبقى موردٌ لهم في الترديد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رأت ذات العادة مرّتين على خلاف الأُولى، لكن غير متماثلتين، فهل يبقى حكم الأُولى، كما عن جماعةٍ‌</w:t>
      </w:r>
      <w:r>
        <w:rPr>
          <w:rStyle w:val="FootnoteAnchor"/>
          <w:rtl w:val="true"/>
        </w:rPr>
        <w:footnoteReference w:id="1135"/>
      </w:r>
      <w:r>
        <w:rPr>
          <w:rFonts w:ascii="Amiri" w:hAnsi="Amiri" w:eastAsia="Amiri" w:cs="Amiri"/>
          <w:color w:val="111111"/>
          <w:sz w:val="28"/>
          <w:sz w:val="28"/>
          <w:szCs w:val="28"/>
          <w:rtl w:val="true"/>
          <w:lang w:bidi="ar-SA"/>
        </w:rPr>
        <w:t xml:space="preserve">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يزول كما عن آخرين، منهم المحقّق الخراساني رحمه الله</w:t>
      </w:r>
      <w:r>
        <w:rPr>
          <w:rStyle w:val="FootnoteAnchor"/>
          <w:rtl w:val="true"/>
        </w:rPr>
        <w:footnoteReference w:id="11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يُلحق به ما إذا رأت على خلاف الاُولى مرّاتٍ عديدة مختلفة، أم لا؟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الأدلّة هو القول الثاني؛ وذلك لأنّه بعدما صارت الاُولى عادةً وخُلُقاً لها، فما دام لم يدلّ دليلٌ على زوالها، وكان يصدق عليها أنّها عادتها وخلقها، فمقتضى إطلاق الأدلّة بقاء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رأت مرّتين غير متماثلتين على خلاف الأُولى، فبما أنّهما لا يوجبان ثبوت عادة اُخرى لها موجبة لزوال الاُولى، فلا محالة يبقى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أذا رأتْ على خلاف الاُولى مرّاتٍ عديدة مختلفة، فإنّه تزول العادة الاُولى عرفاً فلا تشملها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منصرفة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الصورتين، بإطلاق ما دلّ على ثبوت العادة بالمرّتين، فإنّه يقتضي بقاءها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الأدلّة ليست في مقام بيان بقائها كي يتمسّك بإطلاقها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للزوال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إسحاق بن جرير المتقدّم في صفات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سأل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الدّم يستمرّ بها الشهر والشهرين والثلاثة، كيف تصنع بالصلاة‌؟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أيّام حيضها، ثمّ تغتسل لكلّ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حيضها تختلف عليها، وكان يتقدّم عليها الحيض اليوم واليومين والثلاثة ويتأخّر مثل ذلك، وما علمها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ليس به خفاء، هو دمٌ حارٌّ تجد له حُرقة</w:t>
      </w:r>
      <w:r>
        <w:rPr>
          <w:rFonts w:eastAsia="Amiri" w:cs="Amiri" w:ascii="Amiri" w:hAnsi="Amiri"/>
          <w:color w:val="111111"/>
          <w:sz w:val="28"/>
          <w:szCs w:val="28"/>
          <w:rtl w:val="true"/>
          <w:lang w:bidi="ar-SA"/>
        </w:rPr>
        <w:t>»</w:t>
      </w:r>
      <w:r>
        <w:rPr>
          <w:rStyle w:val="FootnoteAnchor"/>
          <w:rtl w:val="true"/>
        </w:rPr>
        <w:footnoteReference w:id="113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يدلّ على الرجوع إلى التمييز مع اختلاف أوقات الدّم، بعد استقرار العادة العدديّة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المراد من اختلاف أيّام حيضها، إختلافها من الأوّل، والمراد من تقدّم اليوم أو اليومين، تقدّمه عن محلّه في المرّة السابقة، لا تقدّمه عن عادتها المستقرّة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ظهوره في ذلك، يتعيّن حمله على ما ذكرناه، لما ستعرف من أنّ ذات العادة لا ترجع إلى الصفات بمجرّد تقدّم الدّم على العادة أو تأخّره عنها باليوم أو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اُحرز صدق العادة، وإلّا فإن شُكّ فيه، فلا مناص عن الرجوع إلى الأصل، لما عرفت من عدم كون النصوص في مقام بيان بقاء العادة، وهو يقتضي بقاءها بناءً على ما هو الحقّ الثابت في محلّه من جريان الاستصحاب في مواردالشبهات المفهوميّة، التي تكون من قبيل المقام الذي يكون الموضوع باقياًفيه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481" w:name="pg11795_115626"/>
    </w:p>
    <w:p>
      <w:pPr>
        <w:pStyle w:val="Heading6"/>
        <w:numPr>
          <w:ilvl w:val="5"/>
          <w:numId w:val="1"/>
        </w:numPr>
        <w:rPr/>
      </w:pPr>
      <w:bookmarkStart w:id="482" w:name="__RefHeading___Toc10328979_73709187"/>
      <w:bookmarkStart w:id="483" w:name="_Toc182"/>
      <w:bookmarkEnd w:id="481"/>
      <w:bookmarkEnd w:id="482"/>
      <w:r>
        <w:rPr>
          <w:rtl w:val="true"/>
        </w:rPr>
        <w:t>حصول العادة بالتمييز</w:t>
      </w:r>
      <w:bookmarkEnd w:id="483"/>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كيفيّة ثبوت العادة، وأنّها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بتكرّر ما ثَبَت حيضيّته من المستمرّ، باعتبار الصفات مطلقاً كما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يجب التفصيل بين ما لو اتّفق التمييزان، كما لو رأته في كلتا المرّتين أسود فالأوّل، وبين ما إذا اختلفا كما رأته في المرّة الاُولى أسود وفي المرّة الثانية أحمر، فالثاني، كما اختاره شيخنا الأنصاري رحمه الله</w:t>
      </w:r>
      <w:r>
        <w:rPr>
          <w:rStyle w:val="FootnoteAnchor"/>
          <w:rtl w:val="true"/>
        </w:rPr>
        <w:footnoteReference w:id="1139"/>
      </w:r>
      <w:r>
        <w:rPr>
          <w:rFonts w:ascii="Amiri" w:hAnsi="Amiri" w:eastAsia="Amiri" w:cs="Amiri"/>
          <w:color w:val="111111"/>
          <w:sz w:val="28"/>
          <w:sz w:val="28"/>
          <w:szCs w:val="28"/>
          <w:rtl w:val="true"/>
          <w:lang w:bidi="ar-SA"/>
        </w:rPr>
        <w:t>والمحقّق الهمداني</w:t>
      </w:r>
      <w:r>
        <w:rPr>
          <w:rStyle w:val="FootnoteAnchor"/>
          <w:rtl w:val="true"/>
        </w:rPr>
        <w:footnoteReference w:id="1140"/>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 xml:space="preserve">تقريبه،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التردّد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الموثّق والمرسل</w:t>
      </w:r>
      <w:r>
        <w:rPr>
          <w:rStyle w:val="FootnoteAnchor"/>
          <w:rtl w:val="true"/>
        </w:rPr>
        <w:footnoteReference w:id="1143"/>
      </w:r>
      <w:r>
        <w:rPr>
          <w:rFonts w:ascii="Amiri" w:hAnsi="Amiri" w:eastAsia="Amiri" w:cs="Amiri"/>
          <w:color w:val="111111"/>
          <w:sz w:val="28"/>
          <w:sz w:val="28"/>
          <w:szCs w:val="28"/>
          <w:rtl w:val="true"/>
          <w:lang w:bidi="ar-SA"/>
        </w:rPr>
        <w:t>المتقدّمين لا يشملان الفرض، فيتعيّن الرجوع إلى الأخبار</w:t>
      </w:r>
      <w:r>
        <w:rPr>
          <w:rStyle w:val="FootnoteAnchor"/>
          <w:rtl w:val="true"/>
        </w:rPr>
        <w:footnoteReference w:id="1144"/>
      </w:r>
      <w:r>
        <w:rPr>
          <w:rFonts w:ascii="Amiri" w:hAnsi="Amiri" w:eastAsia="Amiri" w:cs="Amiri"/>
          <w:color w:val="111111"/>
          <w:sz w:val="28"/>
          <w:sz w:val="28"/>
          <w:szCs w:val="28"/>
          <w:rtl w:val="true"/>
          <w:lang w:bidi="ar-SA"/>
        </w:rPr>
        <w:t>الدالّة على الرجوع إلى الصفات، فإنّ مقتضى إطلاقها الرجوع إليها حتّى مع التكرّر مرّتين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الوثوق بكون واجد الصفات حيضاً لا غير، لأنّ الأوصاف أَمارات </w:t>
      </w:r>
    </w:p>
    <w:p>
      <w:pPr>
        <w:pStyle w:val="BookText"/>
        <w:rPr/>
      </w:pPr>
      <w:r>
        <w:rPr>
          <w:rFonts w:ascii="Amiri" w:hAnsi="Amiri" w:eastAsia="Amiri" w:cs="Amiri"/>
          <w:color w:val="111111"/>
          <w:sz w:val="28"/>
          <w:sz w:val="28"/>
          <w:szCs w:val="28"/>
          <w:rtl w:val="true"/>
          <w:lang w:bidi="ar-SA"/>
        </w:rPr>
        <w:t>ظنيّة اعتبرها الشارع في الجملة، فلا تكون موجبة للوثوق بمعرفة أقرائها حتّى ترجع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التمييز مشروطةٌ بعدم العادة، فلا محالة تكون العادة مانعة عنها، فكيف يمكن أنْ تكون حجيّة التميّز علّة لثبوت العادة، والشيء لا يكون علّةً لمانعه‌؟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أخبار الرجوع إلى التمييز</w:t>
      </w:r>
      <w:r>
        <w:rPr>
          <w:rStyle w:val="FootnoteAnchor"/>
          <w:rtl w:val="true"/>
        </w:rPr>
        <w:footnoteReference w:id="1145"/>
      </w:r>
      <w:r>
        <w:rPr>
          <w:rFonts w:ascii="Amiri" w:hAnsi="Amiri" w:eastAsia="Amiri" w:cs="Amiri"/>
          <w:color w:val="111111"/>
          <w:sz w:val="28"/>
          <w:sz w:val="28"/>
          <w:szCs w:val="28"/>
          <w:rtl w:val="true"/>
          <w:lang w:bidi="ar-SA"/>
        </w:rPr>
        <w:t>ظاهرة في خصوص مَنْ لم تكن لها عادة في حال الإستقامة، لأنّ العادة مقدّمة على التمييز في حال الاستقامة، لا مطلقاً ولو في حال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مادلّ على الرجوع إلى الأوصاف، جعل الشارع إيّاها طريقاً للحيض الواقعي، بلحاظ جميع آثاره حتّى إثبات العادة به، إمّا مطلقاً، أو في مورد الاشتباه بالإستحاضة على اختلاف المسلكين، فهي وجدانٌ تعبّدي، فيلحقها حكمه، وهو ثبوت العادة بتكرّره، فيكون الفرض مشمولاً للخبرين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الجواب عن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حجيّة التمييز في المرّتين الأوليتين علّة لثبوت العادة بعدهما، وهي تكون مانعة عن الرجوع إلى التمييز بعدهما لا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إطلاق أخبار التمييز الشامل لصورة وجود العادة وفقدها، قيّد الخبرين بصورة فقد العادة، وحيث عرفت أنّ تكرّر الجامع للصفات مرّتين، موجبٌ لحصول العادة، فلا محالة يكون الإطلاق مقيّداً بصورة فقده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جميع ما ذكرناه وجه القول الأوّل، أمّا القول الثالث</w:t>
      </w:r>
      <w:r>
        <w:rPr>
          <w:rStyle w:val="FootnoteAnchor"/>
          <w:rtl w:val="true"/>
        </w:rPr>
        <w:footnoteReference w:id="1146"/>
      </w:r>
      <w:r>
        <w:rPr>
          <w:rFonts w:ascii="Amiri" w:hAnsi="Amiri" w:eastAsia="Amiri" w:cs="Amiri"/>
          <w:color w:val="111111"/>
          <w:sz w:val="28"/>
          <w:sz w:val="28"/>
          <w:szCs w:val="28"/>
          <w:rtl w:val="true"/>
          <w:lang w:bidi="ar-SA"/>
        </w:rPr>
        <w:t>فلم يذكروا له وجهاً يصحّ الاعتماد عليه، ولم يظهر لنا وجهُ عدم طريقيّة المختلف خاصّة، وعليه فالأقوى هو القول الأوّل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484" w:name="pg11795_115629"/>
    </w:p>
    <w:p>
      <w:pPr>
        <w:pStyle w:val="Heading6"/>
        <w:numPr>
          <w:ilvl w:val="5"/>
          <w:numId w:val="1"/>
        </w:numPr>
        <w:rPr/>
      </w:pPr>
      <w:bookmarkStart w:id="485" w:name="__RefHeading___Toc10328981_73709187"/>
      <w:bookmarkStart w:id="486" w:name="_Toc183"/>
      <w:bookmarkEnd w:id="484"/>
      <w:bookmarkEnd w:id="485"/>
      <w:r>
        <w:rPr>
          <w:rtl w:val="true"/>
        </w:rPr>
        <w:t>حُكم صاحبة العادة الوقتيّة</w:t>
      </w:r>
      <w:bookmarkEnd w:id="486"/>
    </w:p>
    <w:p>
      <w:pPr>
        <w:pStyle w:val="BookText"/>
        <w:rPr/>
      </w:pPr>
      <w:r>
        <w:rPr>
          <w:rFonts w:ascii="Amiri" w:hAnsi="Amiri" w:eastAsia="Amiri" w:cs="Amiri"/>
          <w:color w:val="111111"/>
          <w:sz w:val="28"/>
          <w:sz w:val="28"/>
          <w:szCs w:val="28"/>
          <w:rtl w:val="true"/>
          <w:lang w:bidi="ar-SA"/>
        </w:rPr>
        <w:t>المقام الثاني في بيان حكم 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صاحبة العادة الوقتيّة، عدديّة كانت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ترى الدّم في العادة، أو قبلها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شهرة عظيمة أنّها تترك العبادة بمجرّد رؤية الدّم، ولو لم يكن الدّم بالصفات، فتترتّب عليه جميع أحكام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وغيرهما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 يونس</w:t>
      </w:r>
      <w:r>
        <w:rPr>
          <w:rStyle w:val="FootnoteAnchor"/>
          <w:rtl w:val="true"/>
        </w:rPr>
        <w:footnoteReference w:id="1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المرأة الدّم في أيّام حيضتها، تركت الصّلاة، فإنْ استمرّ بها الدّم ثلاثة أيّام فهي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له بالأخبار المتضمّنة لقعودها عن الصّلاة في أيّام حيضها</w:t>
      </w:r>
      <w:r>
        <w:rPr>
          <w:rStyle w:val="FootnoteAnchor"/>
          <w:rtl w:val="true"/>
        </w:rPr>
        <w:footnoteReference w:id="1151"/>
      </w:r>
      <w:r>
        <w:rPr>
          <w:rFonts w:ascii="Amiri" w:hAnsi="Amiri" w:eastAsia="Amiri" w:cs="Amiri"/>
          <w:color w:val="111111"/>
          <w:sz w:val="28"/>
          <w:sz w:val="28"/>
          <w:szCs w:val="28"/>
          <w:rtl w:val="true"/>
          <w:lang w:bidi="ar-SA"/>
        </w:rPr>
        <w:t>، فغير تامّ‌، لأنّها تدلّ على أنّ من أحكام الحيض قعودها عن الصّلاة، ولا تدلّ على أنّ التحيّض برؤية الدّم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بالمستفيضة الدالّة على أنّ ما تراه في أيّام حيضها حيض، كمصحّح ابن مسلم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المرأة ترى الصُّفرة في أيّامها؟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حتّى تنقضي أيّامها</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ابن جعفر عن أخيه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ترى الصُّفرة في أيّام طمثها، كيف تصنع‌؟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لذلك الصّلاة بعدد أيّامها الّتي كانت تقعد في طمثها</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ومرسلة يونس المتقدّمة الطويلة</w:t>
      </w:r>
      <w:r>
        <w:rPr>
          <w:rStyle w:val="FootnoteAnchor"/>
          <w:rtl w:val="true"/>
        </w:rPr>
        <w:footnoteReference w:id="1154"/>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السُّنَّة في الحيض أن تكون الصُّفرة والكدرة فما فوقها في أيّام الحيض إذا عرفت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مرسلته القصيرة</w:t>
      </w:r>
      <w:r>
        <w:rPr>
          <w:rStyle w:val="FootnoteAnchor"/>
          <w:rtl w:val="true"/>
        </w:rPr>
        <w:footnoteReference w:id="1155"/>
      </w:r>
      <w:r>
        <w:rPr>
          <w:rFonts w:ascii="Amiri" w:hAnsi="Amiri" w:eastAsia="Amiri" w:cs="Amiri"/>
          <w:color w:val="111111"/>
          <w:sz w:val="28"/>
          <w:sz w:val="28"/>
          <w:szCs w:val="28"/>
          <w:rtl w:val="true"/>
          <w:lang w:bidi="ar-SA"/>
        </w:rPr>
        <w:t xml:space="preserve">، ومرسلة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لا يخلو عن نظر؛ لأنّها تدلّ على أنّ الدّم ذا الصُّفرة في أيّام الحيض الذي لا يكون حيضاً في غير أيّام العادة من الحيض، وأمّا الحكم بكونه حيضاً مع عدم إحراز بقائه إلى ثلاثة أيّام، فهي أجنبيّة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ممّا يُحرز بالأصل، وهو استصحاب بقاء الدّم 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مفصّلاً في قاعدة الإمكان،</w:t>
      </w:r>
      <w:r>
        <w:rPr>
          <w:rStyle w:val="FootnoteAnchor"/>
          <w:rtl w:val="true"/>
        </w:rPr>
        <w:footnoteReference w:id="1157"/>
      </w:r>
      <w:r>
        <w:rPr>
          <w:rFonts w:ascii="Amiri" w:hAnsi="Amiri" w:eastAsia="Amiri" w:cs="Amiri"/>
          <w:color w:val="111111"/>
          <w:sz w:val="28"/>
          <w:sz w:val="28"/>
          <w:szCs w:val="28"/>
          <w:rtl w:val="true"/>
          <w:lang w:bidi="ar-SA"/>
        </w:rPr>
        <w:t>من عدم جريان هذا الأصل،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ظهر 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من دعوى تواتر الأخبار عن النبيّ صلى الله عليه و آله والأئمّة عليهم السلام بوجوب الجلوس برؤية الدّم أيّام 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يكون مراده التعبير بما هو مفاد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المشهور</w:t>
      </w:r>
      <w:r>
        <w:rPr>
          <w:rStyle w:val="FootnoteAnchor"/>
          <w:rtl w:val="true"/>
        </w:rPr>
        <w:footnoteReference w:id="1159"/>
      </w:r>
      <w:r>
        <w:rPr>
          <w:rFonts w:ascii="Amiri" w:hAnsi="Amiri" w:eastAsia="Amiri" w:cs="Amiri"/>
          <w:color w:val="111111"/>
          <w:sz w:val="28"/>
          <w:sz w:val="28"/>
          <w:szCs w:val="28"/>
          <w:rtl w:val="true"/>
          <w:lang w:bidi="ar-SA"/>
        </w:rPr>
        <w:t>الحكم بالحيضيّة، ولو مع الصُّفرة بمجرّد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بها مع الوجدان للصفات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1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إلحاقها بالمبتدِأة والمضطربة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مصحّح الحسين بن نعيم الصحّاف</w:t>
      </w:r>
      <w:r>
        <w:rPr>
          <w:rStyle w:val="FootnoteAnchor"/>
          <w:rtl w:val="true"/>
        </w:rPr>
        <w:footnoteReference w:id="1164"/>
      </w:r>
      <w:r>
        <w:rPr>
          <w:rFonts w:ascii="Amiri" w:hAnsi="Amiri" w:eastAsia="Amiri" w:cs="Amiri"/>
          <w:color w:val="111111"/>
          <w:sz w:val="28"/>
          <w:sz w:val="28"/>
          <w:szCs w:val="28"/>
          <w:rtl w:val="true"/>
          <w:lang w:bidi="ar-SA"/>
        </w:rPr>
        <w:t>،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رأت الحامل الدّم قبل الوقت الذي كانت ترى فيه الدّم بقليل، أو في الوقت من ذلك الشهر، فإنّه من الحيضة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w:t>
      </w:r>
      <w:r>
        <w:rPr>
          <w:rStyle w:val="FootnoteAnchor"/>
          <w:rtl w:val="true"/>
        </w:rPr>
        <w:footnoteReference w:id="1165"/>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ترى الدّم قبل وقت حيضتها؟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فلتدَع الصّلاة فإنّه ربما تعجّل بها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ومصحّح</w:t>
      </w:r>
      <w:r>
        <w:rPr>
          <w:rStyle w:val="FootnoteAnchor"/>
          <w:rtl w:val="true"/>
        </w:rPr>
        <w:footnoteReference w:id="1166"/>
      </w:r>
      <w:r>
        <w:rPr>
          <w:rFonts w:ascii="Amiri" w:hAnsi="Amiri" w:eastAsia="Amiri" w:cs="Amiri"/>
          <w:color w:val="111111"/>
          <w:sz w:val="28"/>
          <w:sz w:val="28"/>
          <w:szCs w:val="28"/>
          <w:rtl w:val="true"/>
          <w:lang w:bidi="ar-SA"/>
        </w:rPr>
        <w:t>إسحاق، 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ترى الصُّفرة‌؟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الحيض بيومين، فهو من الحيض، وإنْ كان بعد الحيض بيومين فليس من الحيض</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 خبر معاوية بن حكيم</w:t>
      </w:r>
      <w:r>
        <w:rPr>
          <w:rStyle w:val="FootnoteAnchor"/>
          <w:rtl w:val="true"/>
        </w:rPr>
        <w:footnoteReference w:id="1167"/>
      </w:r>
      <w:r>
        <w:rPr>
          <w:rFonts w:ascii="Amiri" w:hAnsi="Amiri" w:eastAsia="Amiri" w:cs="Amiri"/>
          <w:color w:val="111111"/>
          <w:sz w:val="28"/>
          <w:sz w:val="28"/>
          <w:szCs w:val="28"/>
          <w:rtl w:val="true"/>
          <w:lang w:bidi="ar-SA"/>
        </w:rPr>
        <w:t>، وخبر ابن أبي حمزة</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ترى الصُّفرة‌؟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قبل الحيض فهو من الحيض، وما كان بعد الحيض فليس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واردة في مقام بيان أحكامٍ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 الحيض ربما يتقدّم على الوقت، وتقدّمه لا يمنع عن التحيّض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الصُّفرة في صورة التقدّم، كالصُّفرة في أيّام العادة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مانعيّة الحمل عن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ثبت بالأدلّة الاُخر من اعتبار أن لا تكون مدّة سيلان الدّم أقلّ من ثلاثة أيّام، فلا تدلّ هذه النصوص على خلافها، ولا على البناء ظاهراً على بقاء الدّم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البقاء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بتحيّضها برؤية الدّم مع عدم إحراز استمراره ثلاثة أيّام،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ما في كلام بعض الأعاظم، من أنّ حَمل النصوص المتقدّمة على صورة العلم بالحيض، أو مُضيّ ثلاثة أيّام تعدُّ تصرّفاً ممنوعاً لا شاهد ولا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للحكم بالتحيّض بقاعدة الإمكان، كما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فاسدٌ، لعدم ثبوت القاعدة بنحوٍ تشمل المقام، كما عرفت عند التعرّض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116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ممّا يقتضيه الجمع بين النصوص المتقدّمة، وبين ما دلّ على نفي حيضيّة فاقد 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وبصحيح</w:t>
      </w:r>
      <w:r>
        <w:rPr>
          <w:rStyle w:val="FootnoteAnchor"/>
          <w:rtl w:val="true"/>
        </w:rPr>
        <w:footnoteReference w:id="1170"/>
      </w:r>
      <w:r>
        <w:rPr>
          <w:rFonts w:ascii="Amiri" w:hAnsi="Amiri" w:eastAsia="Amiri" w:cs="Amiri"/>
          <w:color w:val="111111"/>
          <w:sz w:val="28"/>
          <w:sz w:val="28"/>
          <w:szCs w:val="28"/>
          <w:rtl w:val="true"/>
          <w:lang w:bidi="ar-SA"/>
        </w:rPr>
        <w:t>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رأت الصُّفرة في غير أيّامها، توضّأت 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يردّ عليه أنّه على فرض تسليم دلالة النصوص المتقدّمة على هذا الحكم، لا سبيل إلى هذا الجمع، لصراحة بعضها في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مصحّح إسحاق المتقدّم</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سُلّم كون النسبة بين الطائفتين عموماً من وجه، يتعيّن تقديم نصوص الباب لأَظهريتها، لاسيّما مثل الموثّق</w:t>
      </w:r>
      <w:r>
        <w:rPr>
          <w:rStyle w:val="FootnoteAnchor"/>
          <w:rtl w:val="true"/>
        </w:rPr>
        <w:footnoteReference w:id="1172"/>
      </w:r>
      <w:r>
        <w:rPr>
          <w:rFonts w:ascii="Amiri" w:hAnsi="Amiri" w:eastAsia="Amiri" w:cs="Amiri"/>
          <w:color w:val="111111"/>
          <w:sz w:val="28"/>
          <w:sz w:val="28"/>
          <w:szCs w:val="28"/>
          <w:rtl w:val="true"/>
          <w:lang w:bidi="ar-SA"/>
        </w:rPr>
        <w:t xml:space="preserve">المشتمل على التعليل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تُعجّل بها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هو ما اختاره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إلحاقها بالمبتدئة والمضطربة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فرض تحيّضها بالرؤية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يختصّ ذلك بتقدّم الدّم على وجه يصدق عليه تعجيل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يعمّ صورة التقدّم ولو لم يصدق عليه ذلك‌؟</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يختصّ الحكم باليومين، أم يعمّ الزائد؟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الأدلّة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 ظاهر النصوص التقدّم بحيث يصدق التعجيل واضحٌ‌، في ما عدا خبري</w:t>
      </w:r>
      <w:r>
        <w:rPr>
          <w:rStyle w:val="FootnoteAnchor"/>
          <w:rtl w:val="true"/>
        </w:rPr>
        <w:footnoteReference w:id="1173"/>
      </w:r>
      <w:r>
        <w:rPr>
          <w:rFonts w:ascii="Amiri" w:hAnsi="Amiri" w:eastAsia="Amiri" w:cs="Amiri"/>
          <w:color w:val="111111"/>
          <w:sz w:val="28"/>
          <w:sz w:val="28"/>
          <w:szCs w:val="28"/>
          <w:rtl w:val="true"/>
          <w:lang w:bidi="ar-SA"/>
        </w:rPr>
        <w:t>معاوية وابن أبي حمزة</w:t>
      </w:r>
      <w:r>
        <w:rPr>
          <w:rStyle w:val="FootnoteAnchor"/>
          <w:rtl w:val="true"/>
        </w:rPr>
        <w:footnoteReference w:id="1174"/>
      </w:r>
      <w:r>
        <w:rPr>
          <w:rFonts w:ascii="Amiri" w:hAnsi="Amiri" w:eastAsia="Amiri" w:cs="Amiri"/>
          <w:color w:val="111111"/>
          <w:sz w:val="28"/>
          <w:sz w:val="28"/>
          <w:szCs w:val="28"/>
          <w:rtl w:val="true"/>
          <w:lang w:bidi="ar-SA"/>
        </w:rPr>
        <w:t>، وأمّا فيهما فلما عرفت من اختصاصها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بصورة رؤية الدّم قبل العادة، واستمراره إلى زمان العادة، فهو لا يشمل التقدّم بعشرين يوماً مثلاً، مع أنّ مقتضى المقابلة فيه بين ما قبل الحيض وما بعده، هو إرادة التقدّم قليلاً، إذ لو لم يحمل على ذلك لم تتمّ المقابلة؛ إذ كلّ ما بعد الحيض السابق يصدق عليه أنّه قبل الحيض اللّاحق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الإطلاق يتعيّن تقييدهما بالعلّة المنصوصة في الموثّق</w:t>
      </w:r>
      <w:r>
        <w:rPr>
          <w:rStyle w:val="FootnoteAnchor"/>
          <w:rtl w:val="true"/>
        </w:rPr>
        <w:footnoteReference w:id="1175"/>
      </w:r>
      <w:r>
        <w:rPr>
          <w:rFonts w:ascii="Amiri" w:hAnsi="Amiri" w:eastAsia="Amiri" w:cs="Amiri"/>
          <w:color w:val="111111"/>
          <w:sz w:val="28"/>
          <w:sz w:val="28"/>
          <w:szCs w:val="28"/>
          <w:rtl w:val="true"/>
          <w:lang w:bidi="ar-SA"/>
        </w:rPr>
        <w:t>، ومقتضاها شمول الحكم لكلّ ما يصدق عليه التعجيل، من غير فرق بين اليومين والأزيد، والتقييد في مصحّح إسحاق بيومين إنّما هو للتمثيل لا لخصوصيّةٍ في اليومين، والشرطيّة لا مفهوم لها؛ لأنّها مسوقة في مقابل التأخّر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لم ترَ الدّم في العادة، ورأته متأخّراً، فالمشهور بين الأصحاب أنّها تتحيّض بمجرّد الرؤية، ولو كان الدّم فاقداًللصفات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المتقدّم في سابقتها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المحقّق الثاني</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المشهور في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إجراء حكم المبتدئة عليها، والإلحاق بما يرى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الواجديّة للصفات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التمييز بها عند الاشتباه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تأخّره يزيده انبعاثاً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المستفاد من العلّة المنصوصة في الموثّق المتقدّم، كون الحكم دائراً مدار التخلّف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مسألة الاشتباه بدم الاستحاضة، أنّه لا عموم لتلك الأخبار، فراجع</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لم يفد الاطمئنان لا يمكن الاستدلال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الصورة السابقة من عدم تماميّة الاستدلال بالموثّق لما نحن فيه، مع أنّ استفادة إناطة الحكم بمطلق التخلّف من إناطته بالتعجيل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قاعدة الإمكان</w:t>
      </w:r>
      <w:r>
        <w:rPr>
          <w:rStyle w:val="FootnoteAnchor"/>
          <w:rtl w:val="true"/>
        </w:rPr>
        <w:footnoteReference w:id="1181"/>
      </w:r>
      <w:r>
        <w:rPr>
          <w:rFonts w:ascii="IRNazanin" w:hAnsi="IRNazanin" w:eastAsia="IRNazanin"/>
          <w:color w:val="111111"/>
          <w:sz w:val="28"/>
          <w:sz w:val="28"/>
          <w:szCs w:val="28"/>
          <w:rtl w:val="true"/>
          <w:lang w:bidi="fa-IR"/>
        </w:rPr>
        <w:t>من عدم ثبوتها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ممّا ذكرنا أنّه لا دليل عليه في صورة الواجديّة للصفات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الفقدان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مصحّح ابن مسلم المتقدّم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رأتْ الصُّفرة في غير أيّامها توضّأت وصلّت</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ومرسل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رأت بعدها، فليس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بالعدم</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كلّه، بما أنّ الإجماع دلّ على التحيّض بمجرّد الرؤية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حَكَم بالتحيّض هنا من لم يحكُم به في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التوقّف في الجزم بالتحيّض هنا، من غير فرقٍ بين التأخّر القليل والكثير؛ لأنّه كلّما طال الزمان، زاد انبعاثاً، كما وردَ التصريح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الأنصاري</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ذكرناه إنّما هو في ذات العادة الوقتيّة، عدديّة كانت أم 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صاحبة العادة العدديّة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المبتدئة والمضطربة، كما هو صريح بعضٍ وظاهر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لإلحاقها بذات العادة الوقتيّة بالإجماع المُدّعي فيها، وصدق اسم ذات العادة عليها، مع اختصاص المدرك بذات العادة الوقتيّة، وتصريح جملةٍ من المجمعين بخلافه،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الإستئناس له بما دلّ على التحيّض بمجرّد الرؤية في معتادة الوقت لو رأت ذلك قبل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مدار التحيّض هي الرؤية، لا الرؤية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إذ مضافاً إلى ما عرفت من عدم الدليل عليه، أنّ النصوص التى توهّم دلالتها على ذلك، مختصّة بمعتادة الوقت، ولم يعلّل الحكم فيها بعلّةٍ تشمل غيرها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87" w:name="pg11795_115637"/>
    </w:p>
    <w:p>
      <w:pPr>
        <w:pStyle w:val="Heading6"/>
        <w:numPr>
          <w:ilvl w:val="5"/>
          <w:numId w:val="1"/>
        </w:numPr>
        <w:rPr/>
      </w:pPr>
      <w:bookmarkStart w:id="488" w:name="__RefHeading___Toc10328983_73709187"/>
      <w:bookmarkStart w:id="489" w:name="_Toc184"/>
      <w:bookmarkEnd w:id="487"/>
      <w:bookmarkEnd w:id="488"/>
      <w:r>
        <w:rPr>
          <w:rtl w:val="true"/>
        </w:rPr>
        <w:t>الثاني</w:t>
      </w:r>
      <w:r>
        <w:rPr>
          <w:rtl w:val="true"/>
        </w:rPr>
        <w:t xml:space="preserve">: </w:t>
      </w:r>
      <w:r>
        <w:rPr>
          <w:rtl w:val="true"/>
        </w:rPr>
        <w:t>غير ذات العادة الوقتيّة</w:t>
      </w:r>
      <w:bookmarkEnd w:id="489"/>
    </w:p>
    <w:p>
      <w:pPr>
        <w:pStyle w:val="Heading6"/>
        <w:numPr>
          <w:ilvl w:val="5"/>
          <w:numId w:val="1"/>
        </w:numPr>
        <w:rPr/>
      </w:pPr>
      <w:bookmarkStart w:id="490" w:name="__RefHeading___Toc10328985_73709187"/>
      <w:bookmarkStart w:id="491" w:name="_Toc185"/>
      <w:bookmarkEnd w:id="490"/>
      <w:r>
        <w:rPr>
          <w:rtl w:val="true"/>
        </w:rPr>
        <w:t>حكم المُبتدئة</w:t>
      </w:r>
      <w:bookmarkEnd w:id="491"/>
    </w:p>
    <w:p>
      <w:pPr>
        <w:pStyle w:val="Heading6"/>
        <w:numPr>
          <w:ilvl w:val="5"/>
          <w:numId w:val="1"/>
        </w:numPr>
        <w:rPr/>
      </w:pPr>
      <w:bookmarkStart w:id="492" w:name="__RefHeading___Toc10328987_73709187"/>
      <w:bookmarkStart w:id="493" w:name="_Toc186"/>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حكم غير ذات العادة الوقتيّة، وهي المبتدئة، والمضطربة، والناسية، وذات العادة العدديّة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الأنصاري رحمه الله</w:t>
      </w:r>
      <w:r>
        <w:rPr>
          <w:rStyle w:val="FootnoteAnchor"/>
          <w:rtl w:val="true"/>
        </w:rPr>
        <w:footnoteReference w:id="1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الأظهر أنّها تتحيّض بالرؤية بشرط اتّصاف الدّم بصفات الحيض، وبدونه تستظهر إلى مُضيّ ثلاثة، وفاقاً لجماعةٍ من المتأخّرين، تبعاً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1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191"/>
      </w:r>
      <w:r>
        <w:rPr>
          <w:rFonts w:ascii="Amiri" w:hAnsi="Amiri" w:eastAsia="Amiri" w:cs="Amiri"/>
          <w:color w:val="111111"/>
          <w:sz w:val="28"/>
          <w:sz w:val="28"/>
          <w:szCs w:val="28"/>
          <w:rtl w:val="true"/>
          <w:lang w:bidi="ar-SA"/>
        </w:rPr>
        <w:t>وجملةٍ من كتب المصنّف رحمه الله</w:t>
      </w:r>
      <w:r>
        <w:rPr>
          <w:rStyle w:val="FootnoteAnchor"/>
          <w:rtl w:val="true"/>
        </w:rPr>
        <w:footnoteReference w:id="11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وغيرها، بل إلى الأشهر التفصيل بين ما إذا كان بالصِّفات فالتحيّض، وبين الفاقد للصّفات فالعدم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الإسكافي، والسيّد</w:t>
      </w:r>
      <w:r>
        <w:rPr>
          <w:rStyle w:val="FootnoteAnchor"/>
          <w:rtl w:val="true"/>
        </w:rPr>
        <w:footnoteReference w:id="1194"/>
      </w:r>
      <w:r>
        <w:rPr>
          <w:rFonts w:ascii="Amiri" w:hAnsi="Amiri" w:eastAsia="Amiri" w:cs="Amiri"/>
          <w:color w:val="111111"/>
          <w:sz w:val="28"/>
          <w:sz w:val="28"/>
          <w:szCs w:val="28"/>
          <w:rtl w:val="true"/>
          <w:lang w:bidi="ar-SA"/>
        </w:rPr>
        <w:t>، وسلّار</w:t>
      </w:r>
      <w:r>
        <w:rPr>
          <w:rStyle w:val="FootnoteAnchor"/>
          <w:rtl w:val="true"/>
        </w:rPr>
        <w:footnoteReference w:id="1195"/>
      </w:r>
      <w:r>
        <w:rPr>
          <w:rFonts w:ascii="Amiri" w:hAnsi="Amiri" w:eastAsia="Amiri" w:cs="Amiri"/>
          <w:color w:val="111111"/>
          <w:sz w:val="28"/>
          <w:sz w:val="28"/>
          <w:szCs w:val="28"/>
          <w:rtl w:val="true"/>
          <w:lang w:bidi="ar-SA"/>
        </w:rPr>
        <w:t>، والحلبي</w:t>
      </w:r>
      <w:r>
        <w:rPr>
          <w:rStyle w:val="FootnoteAnchor"/>
          <w:rtl w:val="true"/>
        </w:rPr>
        <w:footnoteReference w:id="1196"/>
      </w:r>
      <w:r>
        <w:rPr>
          <w:rFonts w:ascii="Amiri" w:hAnsi="Amiri" w:eastAsia="Amiri" w:cs="Amiri"/>
          <w:color w:val="111111"/>
          <w:sz w:val="28"/>
          <w:sz w:val="28"/>
          <w:szCs w:val="28"/>
          <w:rtl w:val="true"/>
          <w:lang w:bidi="ar-SA"/>
        </w:rPr>
        <w:t>، والحِلّي</w:t>
      </w:r>
      <w:r>
        <w:rPr>
          <w:rStyle w:val="FootnoteAnchor"/>
          <w:rtl w:val="true"/>
        </w:rPr>
        <w:footnoteReference w:id="1197"/>
      </w:r>
      <w:r>
        <w:rPr>
          <w:rFonts w:ascii="Amiri" w:hAnsi="Amiri" w:eastAsia="Amiri" w:cs="Amiri"/>
          <w:color w:val="111111"/>
          <w:sz w:val="28"/>
          <w:sz w:val="28"/>
          <w:szCs w:val="28"/>
          <w:rtl w:val="true"/>
          <w:lang w:bidi="ar-SA"/>
        </w:rPr>
        <w:t xml:space="preserve">، والمحقّق </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1198"/>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التحيّض بمجرّد الرؤية مطلقاً إلّابعد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يقتضي التكلّم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الدّم بالصفات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الفاقد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للتحيّض بمجرّد رؤية الدّم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بنصوص الصفات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وبمصحّح إسحاق بن عمّار، الوارد في الحُبلى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الدّم اليوم واليومين‌؟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دماً عبيطاً فلا تُصلّي ذينك اليومين، وإن كانت صفرة فلتغتسل عند كلّ صلاتين</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عدم القول بالفصل بين الحامل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وبمفهوم صحيح ابن الحجّاج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نَفَستْ‌، فمكثت ثلاثين يوماً وأكثر، ثمّ طهرت وصلّت، ثمّ رأت دماً أو صفرة‌؟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صفرة فلتغتسل ولتصلِّ‌، ولا تُمسك عن الصّلاة</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مفهومه أنّها تُمسك عن الصّلاة إنْ رأت دماً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الشيخ رحمه الله</w:t>
      </w:r>
      <w:r>
        <w:rPr>
          <w:rStyle w:val="FootnoteAnchor"/>
          <w:rtl w:val="true"/>
        </w:rPr>
        <w:footnoteReference w:id="1203"/>
      </w:r>
      <w:r>
        <w:rPr>
          <w:rFonts w:ascii="Amiri" w:hAnsi="Amiri" w:eastAsia="Amiri" w:cs="Amiri"/>
          <w:color w:val="111111"/>
          <w:sz w:val="28"/>
          <w:sz w:val="28"/>
          <w:szCs w:val="28"/>
          <w:rtl w:val="true"/>
          <w:lang w:bidi="ar-SA"/>
        </w:rPr>
        <w:t>التصريح بالمفهوم،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دماً ليس بصفرة، فلتُمسِك عن الصّلاة أيّام أقرائها، ثمّ تغتسل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صحيح ابن المغيرة، عن أبي الحسن الأوّل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نفستْ‌، فتركت الصّلاة ثلاثين يوماً، ثمّ طهُرت، ثمّ رأت الدّم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لأنّ أيّامها الطهر قد جازت مع أيّام النفاس</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في مسألة اشتباه الحيض بدم الاستحاضة، من أنّ طريقيّة الصفات مختصّة بصورة تردّد الأمر بين الحيض والاستحاضة العرفيّة، وهو الدّم المتّصل بأيّام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دلالته على التحيّض برؤية الدّم، إنّما تكون بتبع دلالته على كون الحيض أقلّ من ثلاثة، وحيث إنّه بالنسبة إلى ذلك المدلول لا يصحّ العمل به كما تقدّم، ولا يمكن التفكيك في حجيّته بين الحكمين، والالتزام بكونه حجّة في خصوص الثاني لما حقّقناه في محلّه من تبعيّة الدلالة الالتزاميّة للدلالة المطابقيّة وجوداً وحجيّة، فلا مناص عن طرحه، أو حمله على غير ظاهره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دلالته على أنّ النفاس يبلغ ثلاثين أو أكثر، وهو خلاف التحقيق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 الظاهر من مورده المرأة ذات العادة، ويشهد 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فلتُمسِك عن الصّلاة أيّام أقرائها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وكون الصُّفرة في أيّام العادة حيضاً، لا يصلح لأنْ يكون قرينةً لحمله على المبتدئة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ما في الرابع،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أيّامها أيّام الطُّهر قد جازت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إرادة 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للتحيّض فيه بمجرّد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بأخبار الصفات، بناءً على عدم القول بالفصل بين كون المرئيّ متّصفاً بالصفات، أو غير متّصفٍ بها،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صحيح ابن المغيرة</w:t>
      </w:r>
      <w:r>
        <w:rPr>
          <w:rStyle w:val="FootnoteAnchor"/>
          <w:rtl w:val="true"/>
        </w:rPr>
        <w:footnoteReference w:id="1207"/>
      </w:r>
      <w:r>
        <w:rPr>
          <w:rFonts w:ascii="Amiri" w:hAnsi="Amiri" w:eastAsia="Amiri" w:cs="Amiri"/>
          <w:color w:val="111111"/>
          <w:sz w:val="28"/>
          <w:sz w:val="28"/>
          <w:szCs w:val="28"/>
          <w:rtl w:val="true"/>
          <w:lang w:bidi="ar-SA"/>
        </w:rPr>
        <w:t>المتقدّم آنفاً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وبإطلاق النصوص</w:t>
      </w:r>
      <w:r>
        <w:rPr>
          <w:rStyle w:val="FootnoteAnchor"/>
          <w:rtl w:val="true"/>
        </w:rPr>
        <w:footnoteReference w:id="1208"/>
      </w:r>
      <w:r>
        <w:rPr>
          <w:rFonts w:ascii="Amiri" w:hAnsi="Amiri" w:eastAsia="Amiri" w:cs="Amiri"/>
          <w:color w:val="111111"/>
          <w:sz w:val="28"/>
          <w:sz w:val="28"/>
          <w:szCs w:val="28"/>
          <w:rtl w:val="true"/>
          <w:lang w:bidi="ar-SA"/>
        </w:rPr>
        <w:t>الدالّة على أنّها تفطر أيّ ساعةٍ رأت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وبالموثّق</w:t>
      </w:r>
      <w:r>
        <w:rPr>
          <w:rStyle w:val="FootnoteAnchor"/>
          <w:rtl w:val="true"/>
        </w:rPr>
        <w:footnoteReference w:id="1209"/>
      </w:r>
      <w:r>
        <w:rPr>
          <w:rFonts w:ascii="Amiri" w:hAnsi="Amiri" w:eastAsia="Amiri" w:cs="Amiri"/>
          <w:color w:val="111111"/>
          <w:sz w:val="28"/>
          <w:sz w:val="28"/>
          <w:szCs w:val="28"/>
          <w:rtl w:val="true"/>
          <w:lang w:bidi="ar-SA"/>
        </w:rPr>
        <w:t>المتقدّم في حكم صورة تقدّم الدّم، بناءً على عدم القول بالفصل بين المبتدئة وذات العادة المتقدّم دمها على وجهٍ لا يلحق بالعادة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وبمضمرة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الجارية البِكر أوّل ما تحيض، فتقعدُ في الشهر يومين وفي الشهر ثلاثة أيّام، يختلف عليها، لا يكون طمثها في الشهر عدّة أيّامٍ سواء؟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تجلس وتدَع الصّلاة ما دامت ترى الدّم، ما لم يجز العشرة</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المرأة الدّم في أوّل حيضها، واستمرّ الدّم تركت الصّلاة عشرة أيّام</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وبموثّقه الآخر في الجارية أوّل ما تحيض يدفع عليها الدّم، فتكون مستحاضة‌؟ أنّها تنتظر بالصلاة فلا تُصلّي حتّى يمضي أكثر ما يكون من الحيض، فإذا مضى ذلك وهو عشرة أيّام، فعلت ما تفعله المستحاضة</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لو تمت دلالة شيء من هذه الأدلّة على التحيّض بمجرّد الرؤية في هذا المقام، يثبت الحكم في المقام الأوّل أيضاً، كما هو واضح، ولكن الأظهر عدم دلالة شيء منها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الثلاثة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أخبار الصفات، وقاعدة الإمكان، وصحيح ابن المغيرة، فلما عرفت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النصوص الدالّة على أنّها تفطر عند الرؤية، فهي تدلّ على مفطريّة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الموثّق، فقد عرفت عدم دلالته أوّلاً، واختصاصه بصورة صدق التعجيل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فيها العلم بالحيضيّة، وإنّما السؤال عن مقدار التحيّض كما يظهر لمن لاحظها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في المقامين عدم التحيّض بمجرّد الرؤية، كما هو مختار جملةٍ من الأساطين، فعليها أن تحتاط للعبادة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 يستمرّ الدّم إلى ثلاثة أيّام، تركت العبادة بمجرّد الرؤية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منهم شيخنا الأنصاري في طهارته</w:t>
      </w:r>
      <w:r>
        <w:rPr>
          <w:rStyle w:val="FootnoteAnchor"/>
          <w:rtl w:val="true"/>
        </w:rPr>
        <w:footnoteReference w:id="1213"/>
      </w:r>
      <w:r>
        <w:rPr>
          <w:rFonts w:ascii="Amiri" w:hAnsi="Amiri" w:eastAsia="Amiri" w:cs="Amiri"/>
          <w:color w:val="111111"/>
          <w:sz w:val="28"/>
          <w:sz w:val="28"/>
          <w:szCs w:val="28"/>
          <w:rtl w:val="true"/>
          <w:lang w:bidi="ar-SA"/>
        </w:rPr>
        <w:t>، والمصنّف</w:t>
      </w:r>
      <w:r>
        <w:rPr>
          <w:rStyle w:val="FootnoteAnchor"/>
          <w:rtl w:val="true"/>
        </w:rPr>
        <w:footnoteReference w:id="1214"/>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الدّم ثلاثة أيّام أو أربعة‌؟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وبها يقيّد إطلاق ما دلّ على أنّ الفاقد للصفات ليس بحيض، فإنّ النسبة بينهما وإنْ كانت عموماً من وجه، إلّاأنّه للاتّفاق على أنّه حيض تقدّم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إلحاق المضطربة واُختيها بالمبتدئة، فيما ذكرناه من المختار، بل في سائر الأقوال ومداركها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المضطربة والمبتدئة، وجَعْل تحيّضها بما ظنّته أنّه حيض، لكنّه لم ينقل له وجهٌ صحيح، إذ الرجوع إلى مقدّمات الإنسداد مع وجود الدليل كما ترى، واختصاص النصوص المتقدّمة على فرض دلالتها بصورة الظنّ غير ظاهر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المبتدئة والمضطربة وذات العادة العدديّة والوقتيّة إذا تقدّم الدّم على العادة، ولم يصدق عليه التعجيل، لا يتحيّضن بمجرّد الرؤية، سواءٌ أكان الدّم واجداً للصفات أم فاقداً لها، إلّافي صورة العلم باستمرار الدّم إلى ثلاثة أيّام</w:t>
      </w:r>
      <w:r>
        <w:rPr>
          <w:rFonts w:eastAsia="Amiri" w:cs="Amiri" w:ascii="Amiri" w:hAnsi="Amiri"/>
          <w:color w:val="111111"/>
          <w:sz w:val="28"/>
          <w:szCs w:val="28"/>
          <w:rtl w:val="true"/>
          <w:lang w:bidi="ar-SA"/>
        </w:rPr>
        <w:t>.</w:t>
      </w:r>
      <w:bookmarkStart w:id="494" w:name="pg11795_115644"/>
    </w:p>
    <w:p>
      <w:pPr>
        <w:pStyle w:val="Heading6"/>
        <w:numPr>
          <w:ilvl w:val="5"/>
          <w:numId w:val="1"/>
        </w:numPr>
        <w:rPr/>
      </w:pPr>
      <w:bookmarkStart w:id="495" w:name="__RefHeading___Toc10328989_73709187"/>
      <w:bookmarkStart w:id="496" w:name="_Toc187"/>
      <w:bookmarkEnd w:id="494"/>
      <w:bookmarkEnd w:id="495"/>
      <w:r>
        <w:rPr>
          <w:rtl w:val="true"/>
        </w:rPr>
        <w:t>فروع ذات العادة</w:t>
      </w:r>
      <w:bookmarkEnd w:id="496"/>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فروعٌ لا بأس بالتنبيه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 والعدديّة، إذا رأت العدد في غير وقتها ولم تَرَه في الوقت، تجعله حيضاً، من غير فرقٍ بين كونه قبل الوقت أو بعده،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التأخّر فلما مرّ في المسألة الرابعة، وقد عرفت أنّه يُحكم بتحيّضها بمجرّد الرؤية ولو كان فاقداً للصفات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التقدّم، فلما مرّ من أنّ الدّم المستمرّ ثلاثة أيّام حيضٌ‌، ولكن تحيّضها بمجرّد الرؤية قد مرَّ أنّه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قبل العادة وفيها، جعلت المجموع حيضاً، ما لم يتجاوز عن العشرة، للنصوص المتقدّمة الدالّة على أنّ ما تراه قبل العادة حيضٌ‌</w:t>
      </w:r>
      <w:r>
        <w:rPr>
          <w:rStyle w:val="FootnoteAnchor"/>
          <w:rtl w:val="true"/>
        </w:rPr>
        <w:footnoteReference w:id="1219"/>
      </w:r>
      <w:r>
        <w:rPr>
          <w:rFonts w:ascii="Amiri" w:hAnsi="Amiri" w:eastAsia="Amiri" w:cs="Amiri"/>
          <w:color w:val="111111"/>
          <w:sz w:val="28"/>
          <w:sz w:val="28"/>
          <w:szCs w:val="28"/>
          <w:rtl w:val="true"/>
          <w:lang w:bidi="ar-SA"/>
        </w:rPr>
        <w:t>وإنْ كان صفرة، وكذا إذا رأت في العادة وبعدها، ولم يتجاوز عنها،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الشيخ قدس سره</w:t>
      </w:r>
      <w:r>
        <w:rPr>
          <w:rStyle w:val="FootnoteAnchor"/>
          <w:rtl w:val="true"/>
        </w:rPr>
        <w:footnoteReference w:id="1220"/>
      </w:r>
      <w:r>
        <w:rPr>
          <w:rFonts w:ascii="Amiri" w:hAnsi="Amiri" w:eastAsia="Amiri" w:cs="Amiri"/>
          <w:color w:val="111111"/>
          <w:sz w:val="28"/>
          <w:sz w:val="28"/>
          <w:szCs w:val="28"/>
          <w:rtl w:val="true"/>
          <w:lang w:bidi="ar-SA"/>
        </w:rPr>
        <w:t>، والمحقّق</w:t>
      </w:r>
      <w:r>
        <w:rPr>
          <w:rStyle w:val="FootnoteAnchor"/>
          <w:rtl w:val="true"/>
        </w:rPr>
        <w:footnoteReference w:id="1221"/>
      </w:r>
      <w:r>
        <w:rPr>
          <w:rFonts w:ascii="IRNazanin" w:hAnsi="IRNazanin" w:eastAsia="IRNazanin"/>
          <w:color w:val="111111"/>
          <w:sz w:val="28"/>
          <w:sz w:val="28"/>
          <w:szCs w:val="28"/>
          <w:rtl w:val="true"/>
          <w:lang w:bidi="fa-IR"/>
        </w:rPr>
        <w:t>والمصنّف رحمه الله</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حيضيّة ما تراه بين الثلاثة والعشرة إذا انقطع عليها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يونس</w:t>
      </w:r>
      <w:r>
        <w:rPr>
          <w:rStyle w:val="FootnoteAnchor"/>
          <w:rtl w:val="true"/>
        </w:rPr>
        <w:footnoteReference w:id="1224"/>
      </w:r>
      <w:r>
        <w:rPr>
          <w:rFonts w:ascii="Amiri" w:hAnsi="Amiri" w:eastAsia="Amiri" w:cs="Amiri"/>
          <w:color w:val="111111"/>
          <w:sz w:val="28"/>
          <w:sz w:val="28"/>
          <w:szCs w:val="28"/>
          <w:rtl w:val="true"/>
          <w:lang w:bidi="ar-SA"/>
        </w:rPr>
        <w:t xml:space="preserve">المتقدّمة الدالّة على عدم اعتبار </w:t>
      </w:r>
    </w:p>
    <w:p>
      <w:pPr>
        <w:pStyle w:val="BookText"/>
        <w:rPr/>
      </w:pPr>
      <w:r>
        <w:rPr>
          <w:rFonts w:ascii="Amiri" w:hAnsi="Amiri" w:eastAsia="Amiri" w:cs="Amiri"/>
          <w:color w:val="111111"/>
          <w:sz w:val="28"/>
          <w:sz w:val="28"/>
          <w:szCs w:val="28"/>
          <w:rtl w:val="true"/>
          <w:lang w:bidi="ar-SA"/>
        </w:rPr>
        <w:t>التوالي في الأيّام الثلاثة، وبصحيح ابن مسلم</w:t>
      </w:r>
      <w:r>
        <w:rPr>
          <w:rStyle w:val="FootnoteAnchor"/>
          <w:rtl w:val="true"/>
        </w:rPr>
        <w:footnoteReference w:id="1225"/>
      </w:r>
      <w:r>
        <w:rPr>
          <w:rFonts w:ascii="Amiri" w:hAnsi="Amiri" w:eastAsia="Amiri" w:cs="Amiri"/>
          <w:color w:val="111111"/>
          <w:sz w:val="28"/>
          <w:sz w:val="28"/>
          <w:szCs w:val="28"/>
          <w:rtl w:val="true"/>
          <w:lang w:bidi="ar-SA"/>
        </w:rPr>
        <w:t>وموثّقه</w:t>
      </w:r>
      <w:r>
        <w:rPr>
          <w:rStyle w:val="FootnoteAnchor"/>
          <w:rtl w:val="true"/>
        </w:rPr>
        <w:footnoteReference w:id="1226"/>
      </w:r>
      <w:r>
        <w:rPr>
          <w:rFonts w:ascii="Amiri" w:hAnsi="Amiri" w:eastAsia="Amiri" w:cs="Amiri"/>
          <w:color w:val="111111"/>
          <w:sz w:val="28"/>
          <w:sz w:val="28"/>
          <w:szCs w:val="28"/>
          <w:rtl w:val="true"/>
          <w:lang w:bidi="ar-SA"/>
        </w:rPr>
        <w:t>الدالّين على أنّها إذا رأتِ الدّم قبل تمام العشرة، فهو من الحيضة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دلالة خبري ابن مسلم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يدلّان على أنّ الدّم الثاني من الحيضة الأُولى بعد الفراغ عن حيضيّة ذلك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المتقدّمة</w:t>
      </w:r>
      <w:r>
        <w:rPr>
          <w:rStyle w:val="FootnoteAnchor"/>
          <w:rtl w:val="true"/>
        </w:rPr>
        <w:footnoteReference w:id="1227"/>
      </w:r>
      <w:r>
        <w:rPr>
          <w:rFonts w:ascii="Amiri" w:hAnsi="Amiri" w:eastAsia="Amiri" w:cs="Amiri"/>
          <w:color w:val="111111"/>
          <w:sz w:val="28"/>
          <w:sz w:val="28"/>
          <w:szCs w:val="28"/>
          <w:rtl w:val="true"/>
          <w:lang w:bidi="ar-SA"/>
        </w:rPr>
        <w:t>في المسألة السابقة الدالّة على أنّ الصُّفرة بعد الحيض ليست من الحيض تنافي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تحمل تلك على ما بعد العشرة، للإجماع المتقدّم، ولنصوص الإستظهار التي ستأتي، لا سيّما وفيها صحيح سعيد</w:t>
      </w:r>
      <w:r>
        <w:rPr>
          <w:rStyle w:val="FootnoteAnchor"/>
          <w:rtl w:val="true"/>
        </w:rPr>
        <w:footnoteReference w:id="1228"/>
      </w:r>
      <w:r>
        <w:rPr>
          <w:rFonts w:ascii="Amiri" w:hAnsi="Amiri" w:eastAsia="Amiri" w:cs="Amiri"/>
          <w:color w:val="111111"/>
          <w:sz w:val="28"/>
          <w:sz w:val="28"/>
          <w:szCs w:val="28"/>
          <w:rtl w:val="true"/>
          <w:lang w:bidi="ar-SA"/>
        </w:rPr>
        <w:t>المصرّح بالإستظهار مع رؤية الدّم الرقيق بعد أيّامها، وموثّق يونس</w:t>
      </w:r>
      <w:r>
        <w:rPr>
          <w:rStyle w:val="FootnoteAnchor"/>
          <w:rtl w:val="true"/>
        </w:rPr>
        <w:footnoteReference w:id="1229"/>
      </w:r>
      <w:r>
        <w:rPr>
          <w:rFonts w:ascii="Amiri" w:hAnsi="Amiri" w:eastAsia="Amiri" w:cs="Amiri"/>
          <w:color w:val="111111"/>
          <w:sz w:val="28"/>
          <w:sz w:val="28"/>
          <w:szCs w:val="28"/>
          <w:rtl w:val="true"/>
          <w:lang w:bidi="ar-SA"/>
        </w:rPr>
        <w:t>وغيره</w:t>
      </w:r>
      <w:r>
        <w:rPr>
          <w:rStyle w:val="FootnoteAnchor"/>
          <w:rtl w:val="true"/>
        </w:rPr>
        <w:footnoteReference w:id="1230"/>
      </w:r>
      <w:r>
        <w:rPr>
          <w:rFonts w:ascii="Amiri" w:hAnsi="Amiri" w:eastAsia="Amiri" w:cs="Amiri"/>
          <w:color w:val="111111"/>
          <w:sz w:val="28"/>
          <w:sz w:val="28"/>
          <w:szCs w:val="28"/>
          <w:rtl w:val="true"/>
          <w:lang w:bidi="ar-SA"/>
        </w:rPr>
        <w:t>الصريحة في الإستظهار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فما وجه التخصيص بالصُّفرة مع أنّ غيرها أيضاً يشاركها في هذا الحكم‌؟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التخصيص، وقوعها في السؤال ومقابلتها بالصُّفرة قبل الحيض، أو كونها الغالب فيما يتجاوز عن العشرة، ولذلك كلّه يظهر تعيّن التصرّف فيما دلّ على أنّ ما تراه بعد الإستظهار بيومٍ أو يومين استحاضة، بناءً على انتهاء مدّته قبل العشرة، وحمله على ما لو كانت بحسب ظاهر حالها ترى تجاوز الدّم عن العشرة 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حكماً واقعيّاً إذا انقطع على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سيأتي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الإستشكال في الحكم المذكور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ثلاثة أيّام متواليات ثمّ انقطع، ثمّ رأتْ قبل العاشر أو العاشر نفسه، كان مجموع الدّمين والنقاء المتخلّل حيضاً، بلا خلافٍ أجده بين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لحيضيّة الدّم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ابن مسلم</w:t>
      </w:r>
      <w:r>
        <w:rPr>
          <w:rStyle w:val="FootnoteAnchor"/>
          <w:rtl w:val="true"/>
        </w:rPr>
        <w:footnoteReference w:id="1235"/>
      </w:r>
      <w:r>
        <w:rPr>
          <w:rFonts w:ascii="Amiri" w:hAnsi="Amiri" w:eastAsia="Amiri" w:cs="Amiri"/>
          <w:color w:val="111111"/>
          <w:sz w:val="28"/>
          <w:sz w:val="28"/>
          <w:szCs w:val="28"/>
          <w:rtl w:val="true"/>
          <w:lang w:bidi="ar-SA"/>
        </w:rPr>
        <w:t>المتقدّم، وما بمضمونه، وقد عرفت أنّ تلك النصوص غير دالّة على ذلك، وإنّما تدلّ على إلحاق الدّم المعلوم حيضيّته بالأوّل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الإمكان، وقد عرفت عدم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العمدة هو الإجماع، وإذا ثبت كون الدّمين حيضاً يكون النقاء أيضاً كذلك، بناءً على ما عرفت من أنّ أقلّ الطهر عشرة أيّام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عادتها في كلّ شهر مرّة، فرأت في شهرٍ مرّتين مع فصل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أقلّ الطهر، فكلتاهما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أكانت ذات عادة وقتيّة وعدديّة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أكانت إحداهما في العادة والاُخرى في غير وقت العادة، أم كانتا معاً في غير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غير فرقٍ بين ما كان ما في غير الوقت بصفة الحيض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الحكم بحيضيّة الدّم إذا استمرّ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بعد العشرة فهو من الحيضة المستقبلة</w:t>
      </w:r>
      <w:r>
        <w:rPr>
          <w:rFonts w:eastAsia="Amiri" w:cs="Amiri" w:ascii="Amiri" w:hAnsi="Amiri"/>
          <w:color w:val="111111"/>
          <w:sz w:val="28"/>
          <w:szCs w:val="28"/>
          <w:rtl w:val="true"/>
          <w:lang w:bidi="ar-SA"/>
        </w:rPr>
        <w:t>»</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يدلّ على أنّ الدّم الثاني من الحيضة الثانية بعد الفراغ عن حيضيّة ذلك الدّم، فلا يصحّ الاستدلال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عرفت أنّ المدرك هو ما دلّ على أنّ كلّ دمٍ استمرّ إلى ثلاثة أيّام فهو حيض، فلا وجه للفرق بين صور المسألة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97" w:name="pg11795_115648"/>
    </w:p>
    <w:p>
      <w:pPr>
        <w:pStyle w:val="BookText"/>
        <w:rPr/>
      </w:pPr>
      <w:bookmarkEnd w:id="497"/>
      <w:r>
        <w:rPr>
          <w:rFonts w:ascii="Amiri" w:hAnsi="Amiri" w:eastAsia="Amiri" w:cs="Amiri"/>
          <w:color w:val="111111"/>
          <w:sz w:val="28"/>
          <w:sz w:val="28"/>
          <w:szCs w:val="28"/>
          <w:rtl w:val="true"/>
          <w:lang w:bidi="ar-SA"/>
        </w:rPr>
        <w:t>ولو تجاوز الدَّمُ العَشَرة</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10328991_73709187"/>
      <w:bookmarkStart w:id="499" w:name="_Toc188"/>
      <w:bookmarkEnd w:id="498"/>
      <w:r>
        <w:rPr>
          <w:rtl w:val="true"/>
        </w:rPr>
        <w:t>فصل في حُكم تجاوز الدّم عن العَشَرة</w:t>
      </w:r>
      <w:bookmarkEnd w:id="499"/>
    </w:p>
    <w:p>
      <w:pPr>
        <w:pStyle w:val="Heading6"/>
        <w:numPr>
          <w:ilvl w:val="5"/>
          <w:numId w:val="1"/>
        </w:numPr>
        <w:rPr/>
      </w:pPr>
      <w:bookmarkStart w:id="500" w:name="__RefHeading___Toc10328993_73709187"/>
      <w:bookmarkStart w:id="501" w:name="_Toc189"/>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هذا كلّه في وقت تحيّض المرأة بأقسامها، ومقدار تحيّضها إذا لم يتجاوز دمها عن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مقدار تحيّضها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تجاوز الدّم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تخلو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تكون بالفعل ذات عادة مستقرّة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لا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ممّن سبقت لها عادة فنسيتها، وإمّا أنْ تكون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مبتدئة، وهي من ابتدء بها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مضطربة، وهي من تكرّر منها الدّم ولم تستقرّ لها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الحكم في هذه المسألة، لابدَّ من التعرّض لمسألةٍ اُخرى مرتبطة بالمقام وهي</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0328995_73709187"/>
      <w:bookmarkStart w:id="503" w:name="_Toc190"/>
      <w:bookmarkEnd w:id="502"/>
      <w:r>
        <w:rPr>
          <w:rtl w:val="true"/>
        </w:rPr>
        <w:t>وجوب الاستبراء</w:t>
      </w:r>
      <w:bookmarkEnd w:id="503"/>
    </w:p>
    <w:p>
      <w:pPr>
        <w:pStyle w:val="BookText"/>
        <w:rPr/>
      </w:pPr>
      <w:r>
        <w:rPr>
          <w:rFonts w:ascii="Amiri" w:hAnsi="Amiri" w:eastAsia="Amiri" w:cs="Amiri"/>
          <w:color w:val="111111"/>
          <w:sz w:val="28"/>
          <w:sz w:val="28"/>
          <w:szCs w:val="28"/>
          <w:rtl w:val="true"/>
          <w:lang w:bidi="ar-SA"/>
        </w:rPr>
        <w:t>إذا انقطع الدّم قبل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عَلِمت بالنقاء وعدم وجود الدّم في الباطن، اغتسلت وصلّت بلا كلامٍ ولا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احتملت بقاءه في الباطن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تكن ذات عادةٍ‌، أو كانت عادتها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عليها الاستبراء أي </w:t>
      </w:r>
    </w:p>
    <w:p>
      <w:pPr>
        <w:pStyle w:val="BookText"/>
        <w:rPr/>
      </w:pPr>
      <w:r>
        <w:rPr>
          <w:rFonts w:ascii="Amiri" w:hAnsi="Amiri" w:eastAsia="Amiri" w:cs="Amiri"/>
          <w:color w:val="111111"/>
          <w:sz w:val="28"/>
          <w:sz w:val="28"/>
          <w:szCs w:val="28"/>
          <w:rtl w:val="true"/>
          <w:lang w:bidi="ar-SA"/>
        </w:rPr>
        <w:t>طلب براءة الرَّحم من الدّم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عنه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كذلك؛ إذ لم ينقل الخلاف إلّاعن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 xml:space="preserve">حيث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يبعُد إرادة الوجوب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أرادت الحائض أن تغتسل، فلتستدخل قطنة، فإنْ خرجَ منها شيءٌ من الدّم، فلا تغتسل، وإن لم ترَ شيئاً فلتغتسل، وإنْ رأت بعد صفرة فلتتوضّأ</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تعليق الأمر بالاستبراء فيه على إرادتها الاغتسال، أقوى شاهدٍ على عدم كون وجوب الاستبراء وجوباً نفسيّاً تعبّديّاً، فلا يكون المطلوب تحصيل القطع ببراءة الرَّحم تعبّداً، بل الظاهر عدم دلالته على كون الاستبراء من شرائط صحّة الغُسل تعبّداً، فلا مناص عن حمله على الوجوب الإرشادي إلى عدم كون النقاء الظاهري طريقاً إلى النقاء الباطني، وعدم حجيّة الاستصحاب، فلا يجوز لها البناء على الحيض ولا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12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مسوقٌ لبيان وجوب ذلك عند إرادة الاغتسال، لئلّا يظهر الدّم فيلغو الاغتسال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فبعيد، لأنّ لازمه حمله على كونه في مقام بيان أمرٍ عرفي، وهو كما 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سماعة،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ترى الطهر وترى الصُّفرة والشيء، فلا تدري أطَهُرَتْ أم 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فلتقم فلتلصق بطنها إلى حائط، وترفع رجلها على الحائط كما رأيت الكلب يصنع إذا أراد أن يبول، ثمّ تستدخل الكُرْسُف، فإذا كان ثمّة من الدّم مثل رأس الذُّباب خَرَج، فإنْ خَرَج دمٌ فلم تطهُر، وإن لم يخرُج فقد طَهُرَت</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وروده في مقام بيان كيفيّة استعلام براءة الرّحم، ولا يدلّ على وجوب ذلك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صحّة الاستدلال له بخبر الكِنْدي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الطامثُ طُهرها؟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برجلها اليسرى على الحائط، وتستدخل الكُرْسُف بيدها اليمنى، فإنْ كان ثمّ مثل رأس ذُبابٍ خرج على الكُرْسُف</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الحيض ح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يونس،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انقطع عنها الدّم، فلا تدري أطَهُرت أم 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قائمة وتلزق بطنها، بحائط وتستدخل قطنة بيضاء، وترفع رجلها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ورودهما أيضاً في مقام بيان جعل الطريق إليمعرفة العلم بالنقاء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لولا فتوى الأصحاب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بالوجوب، كانت استفادته من هذه الأخبار مشكلة، هو الصحيح، فالعمدة فهم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أرادوا بالوجوب، الوجوب الإرشادي، إلّا أنّ النقاء الظاهري الذي هو طريق بنظر العرف إلى النقاء الباطني لا يكون كذلك، ولا يكون الانقطاع حجّة عليه، فلو أرادت ترتيب أحكام الطاهرة، لابدَّ لها من الاستبراء، وليس لها الاعتماد على طريقيّة الانقطاع فتتوافق فتواهم مع صحيح ابن مسلم</w:t>
      </w:r>
      <w:r>
        <w:rPr>
          <w:rStyle w:val="FootnoteAnchor"/>
          <w:rtl w:val="true"/>
        </w:rPr>
        <w:footnoteReference w:id="1245"/>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فيجوز لها الاحتياط بالجمع بين تروك الحائض وأفعال الطاهرة، بناءً على حرمة العبادة على الحائض ذاتاً، كما ستعرف، وليس لها البناء على الحيض، لما عرفت من عدم حجيّة الاستصحاب في هذا الباب، لاسيّما في المقام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04" w:name="pg11795_115652"/>
    </w:p>
    <w:p>
      <w:pPr>
        <w:pStyle w:val="Heading6"/>
        <w:numPr>
          <w:ilvl w:val="5"/>
          <w:numId w:val="1"/>
        </w:numPr>
        <w:rPr/>
      </w:pPr>
      <w:bookmarkStart w:id="505" w:name="__RefHeading___Toc10328997_73709187"/>
      <w:bookmarkStart w:id="506" w:name="_Toc191"/>
      <w:bookmarkEnd w:id="504"/>
      <w:bookmarkEnd w:id="505"/>
      <w:r>
        <w:rPr>
          <w:rtl w:val="true"/>
        </w:rPr>
        <w:t>البحث عن كيفيّة الاستبراء</w:t>
      </w:r>
      <w:bookmarkEnd w:id="506"/>
    </w:p>
    <w:p>
      <w:pPr>
        <w:pStyle w:val="BookText"/>
        <w:rPr/>
      </w:pPr>
      <w:r>
        <w:rPr>
          <w:rFonts w:ascii="Amiri" w:hAnsi="Amiri" w:eastAsia="Amiri" w:cs="Amiri"/>
          <w:color w:val="111111"/>
          <w:sz w:val="28"/>
          <w:sz w:val="28"/>
          <w:szCs w:val="28"/>
          <w:rtl w:val="true"/>
          <w:lang w:bidi="ar-SA"/>
        </w:rPr>
        <w:t>نَسب شيخنا الأعظم رحمه الله</w:t>
      </w:r>
      <w:r>
        <w:rPr>
          <w:rStyle w:val="FootnoteAnchor"/>
          <w:rtl w:val="true"/>
        </w:rPr>
        <w:footnoteReference w:id="1246"/>
      </w:r>
      <w:r>
        <w:rPr>
          <w:rFonts w:ascii="Amiri" w:hAnsi="Amiri" w:eastAsia="Amiri" w:cs="Amiri"/>
          <w:color w:val="111111"/>
          <w:sz w:val="28"/>
          <w:sz w:val="28"/>
          <w:szCs w:val="28"/>
          <w:rtl w:val="true"/>
          <w:lang w:bidi="ar-SA"/>
        </w:rPr>
        <w:t>في طهارته إلى المشهور، أنّ كيفيّة الاستبراء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تستدخل قُطنةً بأيّ وجهٍ اتّفق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وإنْ كان ممّا يقتضيه إطلاق الصحيح المتقدّم، إلّا أنّه يتعيّن تقييده بما في موثّق سماعة</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 وتلصق بطنها إلى حائط، وترفع رجلها على الحائط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في مرسل يونس</w:t>
      </w:r>
      <w:r>
        <w:rPr>
          <w:rStyle w:val="FootnoteAnchor"/>
          <w:rtl w:val="true"/>
        </w:rPr>
        <w:footnoteReference w:id="1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قائمة، وتلزق بطنها بحائط، وتستدخل قُطنة بيضاء، وترفع رجلها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اللَّذين لا تنافي بينهما، لإمكان تقييد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 ضعيفٌ لإرساله، ولجهالة إسماعيل بن مرار الرواي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مفصّلاً</w:t>
      </w:r>
      <w:r>
        <w:rPr>
          <w:rStyle w:val="FootnoteAnchor"/>
          <w:rtl w:val="true"/>
        </w:rPr>
        <w:footnoteReference w:id="1249"/>
      </w:r>
      <w:r>
        <w:rPr>
          <w:rFonts w:ascii="Amiri" w:hAnsi="Amiri" w:eastAsia="Amiri" w:cs="Amiri"/>
          <w:color w:val="111111"/>
          <w:sz w:val="28"/>
          <w:sz w:val="28"/>
          <w:szCs w:val="28"/>
          <w:rtl w:val="true"/>
          <w:lang w:bidi="ar-SA"/>
        </w:rPr>
        <w:t>في مسألة اعتبار التوالي من أنّ مراسيل يونس حجّة، وإسماعيل بن مرار ثقة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الكِنْديّ‌</w:t>
      </w:r>
      <w:r>
        <w:rPr>
          <w:rStyle w:val="FootnoteAnchor"/>
          <w:rtl w:val="true"/>
        </w:rPr>
        <w:footnoteReference w:id="1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برجلها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اليسرى‌، وهو ينافي صريح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الكندي ضعيفٌ لجهالته، ولا يُعتَمد عليه، فلا يصلح للمعارضة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إذا استبرأت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خَرَجتِ القُطنة نقيّةً‌، فهي طاهرة، يجب عليها الغُسل والعبادة، وإن </w:t>
      </w:r>
    </w:p>
    <w:p>
      <w:pPr>
        <w:pStyle w:val="BookText"/>
        <w:rPr/>
      </w:pPr>
      <w:r>
        <w:rPr>
          <w:rFonts w:ascii="Amiri" w:hAnsi="Amiri" w:eastAsia="Amiri" w:cs="Amiri"/>
          <w:color w:val="111111"/>
          <w:sz w:val="28"/>
          <w:sz w:val="28"/>
          <w:szCs w:val="28"/>
          <w:rtl w:val="true"/>
          <w:lang w:bidi="ar-SA"/>
        </w:rPr>
        <w:t xml:space="preserve">احتملت العود، ولا يجب عليها الاستظهار، بلا خلافٍ ظاهر، إلّاعن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 xml:space="preserve">على ما نسبه إليه الشهيدان،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 رحمه الله</w:t>
      </w:r>
      <w:r>
        <w:rPr>
          <w:rStyle w:val="FootnoteAnchor"/>
          <w:rtl w:val="true"/>
        </w:rPr>
        <w:footnoteReference w:id="1252"/>
      </w:r>
      <w:r>
        <w:rPr>
          <w:rFonts w:ascii="Amiri" w:hAnsi="Amiri" w:eastAsia="Amiri" w:cs="Amiri"/>
          <w:color w:val="111111"/>
          <w:sz w:val="28"/>
          <w:sz w:val="28"/>
          <w:szCs w:val="28"/>
          <w:rtl w:val="true"/>
          <w:lang w:bidi="ar-SA"/>
        </w:rPr>
        <w:t>، لإطلاق 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ترَ شيئاً فلتغتسل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في المرسل</w:t>
      </w:r>
      <w:r>
        <w:rPr>
          <w:rStyle w:val="FootnoteAnchor"/>
          <w:rtl w:val="true"/>
        </w:rPr>
        <w:footnoteReference w:id="1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يخرج فقد طَهُرت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مورد للرجوع إلى أصالة بقاء الحيض، مضافاً إلى عدم جريانها في نفسها، لأنّ الدّم في الرّحم لا يصدق عليه الحيض، كما عرفت في بعض المسائل المتقدّمة، فما علم حيضيّته زال، وحدوث فردٍ آخر مشكوك فيه، وإنْ كان الثاني على فرض حدوثه ملحقاً بالأوّل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حتّى لا 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تقدّم من عدم حجيّة هذا الأصل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الإستظهار فيما إذا ظَنّتِ العود لعادةٍ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الحرج لو وجب الغُسل، والعبادة بمجرّد احتمال العود ولو ظنّاً،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لزومه فيما إذا ظنَّتِ العود لعادةٍ‌، كما لو اعتادت النقاء في أثناء العادة، ثمّ رأت الدّم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دلّ على ترك العبادة أيّام العادة وبإطّراد العادة،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وبلزوم 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يدلّ على ترك العبادة عند رؤية الدّم المردّد بين الحيض وغيره، ولا يشمل مورد الشكّ في وجود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الإطّراد إنّما يوجب الظنّ بالعود لا العلم، وهو لا يُغني من الحقّ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عَلِمت العود قبل العَشَرة، لا يجب عليها الغُسل والعبادة، بناءً على ما عرفت من أنّ النقاء المتخلّل في حكم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خَرَجت القُطنة ملطّخة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ملطّخة بالدّم، صبرتْ حتّى تنقى، أو تنقضي عشرة أيّام،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في غير ذات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w:t>
      </w:r>
      <w:r>
        <w:rPr>
          <w:rStyle w:val="FootnoteAnchor"/>
          <w:rtl w:val="true"/>
        </w:rPr>
        <w:footnoteReference w:id="1257"/>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المرأة الدّم في أوّل حيضها، فاستمرّ الدّم، تَرَكت الصّلاة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مضمر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أنْ تجلس وتَدَع الصّلاة مادامت ترى الدّم، ما لم يجز العشرة</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طريقيّة العادة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ملطّخة بالصُّفرة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في العادة فكذلك، لما عرفت من طريقيّة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في غيرها، فقد استدلّ لوجوب الغُسل والعبادة عليها بما دلّ على أنّ الصُّفرة بعد الحيض ليست بحيض</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بقوله عليه السلام في صحيح ابن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رأت بعد الصُّفرة فلتتوضّأ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وبمفهوم قوله عليه السلام في المرسل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على رأس القُطنة مثل رأس الذُّباب دمّ 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يتعيّن حملهما على ما بعد مدّة الاستظهار، لصحيح سعيد بن يسار،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تحيض، ثمّ تطهر وربما رأتْ بعد ذلك الشيء من الدّم الرقيق بعد إغتسالها من طهرها؟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بعد أيّامها بيومين أو ثلاثة، ثمّ تُصلّي</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جامعٍ لشرائط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الصحيح كسائر نصوص الإستظهار مختصٌّ بمن تكون عادتها أقلّ من عشرة، كما يشهد 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تستظهر بعد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حجيّة مراسيل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وجوبهما عليها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507" w:name="pg11795_115656"/>
    </w:p>
    <w:p>
      <w:pPr>
        <w:pStyle w:val="Heading6"/>
        <w:numPr>
          <w:ilvl w:val="5"/>
          <w:numId w:val="1"/>
        </w:numPr>
        <w:rPr/>
      </w:pPr>
      <w:bookmarkStart w:id="508" w:name="__RefHeading___Toc10328999_73709187"/>
      <w:bookmarkStart w:id="509" w:name="_Toc192"/>
      <w:bookmarkEnd w:id="507"/>
      <w:bookmarkEnd w:id="508"/>
      <w:r>
        <w:rPr>
          <w:rtl w:val="true"/>
        </w:rPr>
        <w:t>الإستظهار</w:t>
      </w:r>
      <w:bookmarkEnd w:id="509"/>
    </w:p>
    <w:p>
      <w:pPr>
        <w:pStyle w:val="BookText"/>
        <w:rPr/>
      </w:pPr>
      <w:r>
        <w:rPr>
          <w:rFonts w:ascii="Amiri" w:hAnsi="Amiri" w:eastAsia="Amiri" w:cs="Amiri"/>
          <w:color w:val="111111"/>
          <w:sz w:val="28"/>
          <w:sz w:val="28"/>
          <w:szCs w:val="28"/>
          <w:rtl w:val="true"/>
          <w:lang w:bidi="ar-SA"/>
        </w:rPr>
        <w:t>وإن كانت ذاتُ عادةٍ أقلّ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حكم غيرها، مع علمها بعدم التجاوز عن العشرة، ويحكم بحيضيّة الجميع، لما تقدّم من الإجماع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احتملت التجاوز، فلا إشكال ولا ريب في أنّ الإستظهار، وهو طلب ظهور حال الدّم بترك العبادة في الجملة مشروعٌ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1261"/>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متواترة على اختلاف مضامينها، فإنّها بعد إتفاقها على مشروعيّته، مختلفة من حيث الإطلاق والتقييد بين تسعة 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المضمون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بالإستظهار، من دون تعرّض لمقداره؛ كموثّق يونس بن يعقوب</w:t>
      </w:r>
      <w:r>
        <w:rPr>
          <w:rStyle w:val="FootnoteAnchor"/>
          <w:rtl w:val="true"/>
        </w:rPr>
        <w:footnoteReference w:id="12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تجلس النفساء أيّام حيضها التي كانت تحيض، ثمّ تستظهر وتُصلّي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مرسل إبن مغيرة</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المضمون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تستظهر بيومٍ واحد؛ كموثّق إسحاق بن جرير</w:t>
      </w:r>
      <w:r>
        <w:rPr>
          <w:rStyle w:val="FootnoteAnchor"/>
          <w:rtl w:val="true"/>
        </w:rPr>
        <w:footnoteReference w:id="1267"/>
      </w:r>
      <w:r>
        <w:rPr>
          <w:rFonts w:ascii="Amiri" w:hAnsi="Amiri" w:eastAsia="Amiri" w:cs="Amiri"/>
          <w:color w:val="111111"/>
          <w:sz w:val="28"/>
          <w:sz w:val="28"/>
          <w:szCs w:val="28"/>
          <w:rtl w:val="true"/>
          <w:lang w:bidi="ar-SA"/>
        </w:rPr>
        <w:t>، عنه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تحيض، فتجوز أيّام حيضها؟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أيّام حيضها دون عشرة أيّام، استظهرت بيومٍ واحد، ثمّ هي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أخبار زرارة، ومحمّد بن مسلم</w:t>
      </w:r>
      <w:r>
        <w:rPr>
          <w:rStyle w:val="FootnoteAnchor"/>
          <w:rtl w:val="true"/>
        </w:rPr>
        <w:footnoteReference w:id="1268"/>
      </w:r>
      <w:r>
        <w:rPr>
          <w:rFonts w:ascii="Amiri" w:hAnsi="Amiri" w:eastAsia="Amiri" w:cs="Amiri"/>
          <w:color w:val="111111"/>
          <w:sz w:val="28"/>
          <w:sz w:val="28"/>
          <w:szCs w:val="28"/>
          <w:rtl w:val="true"/>
          <w:lang w:bidi="ar-SA"/>
        </w:rPr>
        <w:t>، ومالك بن أعين</w:t>
      </w:r>
      <w:r>
        <w:rPr>
          <w:rStyle w:val="FootnoteAnchor"/>
          <w:rtl w:val="true"/>
        </w:rPr>
        <w:footnoteReference w:id="1269"/>
      </w:r>
      <w:r>
        <w:rPr>
          <w:rFonts w:ascii="Amiri" w:hAnsi="Amiri" w:eastAsia="Amiri" w:cs="Amiri"/>
          <w:color w:val="111111"/>
          <w:sz w:val="28"/>
          <w:sz w:val="28"/>
          <w:szCs w:val="28"/>
          <w:rtl w:val="true"/>
          <w:lang w:bidi="ar-SA"/>
        </w:rPr>
        <w:t>، وداود مولى أبي المغرا</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المضمون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تستظهر بيومين، كصحيح زرارة</w:t>
      </w:r>
      <w:r>
        <w:rPr>
          <w:rStyle w:val="FootnoteAnchor"/>
          <w:rtl w:val="true"/>
        </w:rPr>
        <w:footnoteReference w:id="1271"/>
      </w:r>
      <w:r>
        <w:rPr>
          <w:rFonts w:ascii="Amiri" w:hAnsi="Amiri" w:eastAsia="Amiri" w:cs="Amiri"/>
          <w:color w:val="111111"/>
          <w:sz w:val="28"/>
          <w:sz w:val="28"/>
          <w:szCs w:val="28"/>
          <w:rtl w:val="true"/>
          <w:lang w:bidi="ar-SA"/>
        </w:rPr>
        <w:t>،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متى تصلّي‌؟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بقدر حيضها وتستظهر بيومين إن انقطع الدّم، وإلّا اغتسلت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موثّقه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المضمون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باستظهارها ثلاثة أيّام؛ كخبر محمّد بن عمر ابن سعيد</w:t>
      </w:r>
      <w:r>
        <w:rPr>
          <w:rStyle w:val="FootnoteAnchor"/>
          <w:rtl w:val="true"/>
        </w:rPr>
        <w:footnoteReference w:id="1273"/>
      </w:r>
      <w:r>
        <w:rPr>
          <w:rFonts w:ascii="Amiri" w:hAnsi="Amiri" w:eastAsia="Amiri" w:cs="Amiri"/>
          <w:color w:val="111111"/>
          <w:sz w:val="28"/>
          <w:sz w:val="28"/>
          <w:szCs w:val="28"/>
          <w:rtl w:val="true"/>
          <w:lang w:bidi="ar-SA"/>
        </w:rPr>
        <w:t>،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الطامث وحدّ جلوسها؟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تنتظر عدّة ما كانت تحيض، ثمّ تستظهر بثلاثة أيّام، ثمّ هي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موثّقا</w:t>
      </w:r>
      <w:r>
        <w:rPr>
          <w:rStyle w:val="FootnoteAnchor"/>
          <w:rtl w:val="true"/>
        </w:rPr>
        <w:footnoteReference w:id="1274"/>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المضمون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تستظهر بيوم أو بيومين؛ كصحيح زرارة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تكفّ عن الصّلاة أيّام أقرائها، وتحتاط بيومٍ أو اثنين، ثمّ تغتسل كلّ يوم وليلة ثلاث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ونحوه موثّقاه</w:t>
      </w:r>
      <w:r>
        <w:rPr>
          <w:rStyle w:val="FootnoteAnchor"/>
          <w:rtl w:val="true"/>
        </w:rPr>
        <w:footnoteReference w:id="1276"/>
      </w:r>
      <w:r>
        <w:rPr>
          <w:rFonts w:ascii="IRNazanin" w:hAnsi="IRNazanin" w:eastAsia="IRNazanin"/>
          <w:color w:val="111111"/>
          <w:sz w:val="28"/>
          <w:sz w:val="28"/>
          <w:szCs w:val="28"/>
          <w:rtl w:val="true"/>
          <w:lang w:bidi="fa-IR"/>
        </w:rPr>
        <w:t>، وأخبار محمّد بن مسلم</w:t>
      </w:r>
      <w:r>
        <w:rPr>
          <w:rStyle w:val="FootnoteAnchor"/>
          <w:rtl w:val="true"/>
        </w:rPr>
        <w:footnoteReference w:id="1277"/>
      </w:r>
      <w:r>
        <w:rPr>
          <w:rFonts w:ascii="Amiri" w:hAnsi="Amiri" w:eastAsia="Amiri" w:cs="Amiri"/>
          <w:color w:val="111111"/>
          <w:sz w:val="28"/>
          <w:sz w:val="28"/>
          <w:szCs w:val="28"/>
          <w:rtl w:val="true"/>
          <w:lang w:bidi="ar-SA"/>
        </w:rPr>
        <w:t>، والبصري</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بالبصري هو أبو عبد اللّه ولكن اُطلقت على ولده، ولذا عبَّر عن روايته برواية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والجُعفي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المضمون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تستظهر بيومين أو ثلاثة، كصحيح سعيد ابن يسار</w:t>
      </w:r>
      <w:r>
        <w:rPr>
          <w:rStyle w:val="FootnoteAnchor"/>
          <w:rtl w:val="true"/>
        </w:rPr>
        <w:footnoteReference w:id="1279"/>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تحيض ثمّ تطهر، وربما رأت بعد ذلك الشيء من الدّم الرقيق بعد اغتسالها من طُهرها؟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بعد أيّامها بيومين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حُمران</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المضمون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أنّها تستظهر بيوم أو يومين أو ثلاثة؛ كصحيح البزنطي</w:t>
      </w:r>
      <w:r>
        <w:rPr>
          <w:rStyle w:val="FootnoteAnchor"/>
          <w:rtl w:val="true"/>
        </w:rPr>
        <w:footnoteReference w:id="1281"/>
      </w:r>
      <w:r>
        <w:rPr>
          <w:rFonts w:ascii="Amiri" w:hAnsi="Amiri" w:eastAsia="Amiri" w:cs="Amiri"/>
          <w:color w:val="111111"/>
          <w:sz w:val="28"/>
          <w:sz w:val="28"/>
          <w:szCs w:val="28"/>
          <w:rtl w:val="true"/>
          <w:lang w:bidi="ar-SA"/>
        </w:rPr>
        <w:t>،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الطامث كم تستظهر؟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أو بيومين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المضمون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تستظهر إلى العشرة؛ كموثّق يونس بن يعقوب</w:t>
      </w:r>
      <w:r>
        <w:rPr>
          <w:rStyle w:val="FootnoteAnchor"/>
          <w:rtl w:val="true"/>
        </w:rPr>
        <w:footnoteReference w:id="1282"/>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رأتِ الدّم في حيضها حتّى تجاوز وقتها، متى ينبغي لها أن تُصلّي‌؟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عادتها الّتي كانت تجلس، ثمّ تستظهر بعشرة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مرسل ابن المغيرة</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قُرؤها دون العشرة إنتظرت العشرة، إن كانت أيّامها عشرة لم تستظهر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المضمون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أنّها تستظهر بمثل ثلثي أيّامها؛ كموثّق أبي بصير</w:t>
      </w:r>
      <w:r>
        <w:rPr>
          <w:rStyle w:val="FootnoteAnchor"/>
          <w:rtl w:val="true"/>
        </w:rPr>
        <w:footnoteReference w:id="1284"/>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إذا ابتُليت بأيّام كثيرة مثل أيّامها الّتي كانت تجلس قبل ذلك، واستظهرت بمثل ثلثي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في الجملة ممّا لا كلام فيه، إنّما 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الوجوب أو الاستحباب أو الإباحة‌؟</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فالمنسوب إلى عامّة المتأخّرين</w:t>
      </w:r>
      <w:r>
        <w:rPr>
          <w:rStyle w:val="FootnoteAnchor"/>
          <w:rtl w:val="true"/>
        </w:rPr>
        <w:footnoteReference w:id="1285"/>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Style w:val="FootnoteAnchor"/>
          <w:rtl w:val="true"/>
        </w:rPr>
        <w:footnoteReference w:id="12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2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2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29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Style w:val="FootnoteAnchor"/>
        </w:rPr>
        <w:footnoteReference w:id="129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Style w:val="FootnoteAnchor"/>
          <w:rtl w:val="true"/>
        </w:rPr>
        <w:footnoteReference w:id="12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2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2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29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الوحيد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مشروعيّته بالدور الأوّل، 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الإستظهار في الواجد للصِّفة، وعدم مشروعيّته في الفاقد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المشروعيّة بمَن تتخلّف عادتها أحياناً، وأمّا القول بلزومه لراجية الانقطاع دون غيرها، فهو يرجع إلى القول الثالث،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هذا الاختلاف، الاختلاف في كيفيّة الجمع بين هذه النصوص، والنصوص القادمة في مسألة تجاوز دمّ ذي العادة عن العشرة، الدالّة بظاهرها على المنع عن الإستظهار، و ترتيب أحكام المستحاضة، والاقتصار على العادة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 الطويلة</w:t>
      </w:r>
      <w:r>
        <w:rPr>
          <w:rStyle w:val="FootnoteAnchor"/>
          <w:rtl w:val="true"/>
        </w:rPr>
        <w:footnoteReference w:id="1302"/>
      </w:r>
      <w:r>
        <w:rPr>
          <w:rFonts w:ascii="Amiri" w:hAnsi="Amiri" w:eastAsia="Amiri" w:cs="Amiri"/>
          <w:color w:val="111111"/>
          <w:sz w:val="28"/>
          <w:sz w:val="28"/>
          <w:szCs w:val="28"/>
          <w:rtl w:val="true"/>
          <w:lang w:bidi="ar-SA"/>
        </w:rPr>
        <w:t>في المستحاضة المعتادة، فقد وردَ فيها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وقت لها إلّاأيّامها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فيها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 عليه، وتدَع ما سواه وتكون سُنَّتها فيما تستقبل إنْ إستحاضت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فيها ثالثاً في المضطربة المأمورة بالتحيّض سبعاً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أيّامها لو كانت أقلّ من سبع، لما قال لها تحيّضي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عليه السلام قد أمرها بترك الصّلاة أيّاماً، وهي مستحاضة، فإنّه يدلّ على أنّ الشارع لم يأمر بترك الصّلاة بعد أيّام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تنتظر أيّامها، فلا تُصلّي فيها ولا يقربها بعلها، وإنْ جازت أيّامها ورأت الدّم يثقبُ الكُرْسُف إغتسلت وصلّت</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تصوم شهر رمضان إلّاالأيّام التي كانت تحيض فيها</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مضت أيّام قُرئها إغتسلت</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 القصيرة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رأته بعد أيّام حيضها، فليس من الحيض</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مالك بن أعين، عن الإمام الباقر عليه السلام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المستحاضة كيف يغشاها 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الأيّام التي كانت تحيض فيها وحيضتها مستقيمة، فلا يقربها في مدّة تلك الأيّام من الشهر، ويغشاها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سوى ذلك</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w:t>
      </w:r>
      <w:r>
        <w:rPr>
          <w:rStyle w:val="FootnoteAnchor"/>
          <w:rtl w:val="true"/>
        </w:rPr>
        <w:footnoteReference w:id="13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الصُّفرة بعد الحيض ليست من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الصُّفرة في أيّام الحيض حيض، وفي أيّام الطُهر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للجمع بين الطائفتين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أخبار الإستظهار على الاستحباب، بقرينة نصوص الاقتصار على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نصوص الإستظهار أمرٌ بالإستظهار، وفي نصوص الاقتصار أمرٌ بالعبادة والغُسل، فأيُّ ترجيحٍ للاُولى كي يُحمل الأمر فيها على الاستحباب، فلِمَ لا يحمل الأمر في الثانية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عن الإستظهار في بعض النصوص بالاحتياط لا يكون مرجّحاً، لأنّه يمكن أنْ يكون علّة في الترخيص في ترك الواجب، مع أنّ موثّق ابن أعين كالصريح في حرمة الجماع بعد يوم من العادة، فلا يمكن حمله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كون هذا الجمع جمعاً عرفيّاً، كما يظهر لمن جَمَع الجملتين في كلام واحد، فإنّه يظهر عدم قرينيّة إحداهما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ابن مسلم المروي عن</w:t>
      </w:r>
      <w:r>
        <w:rPr>
          <w:rStyle w:val="FootnoteAnchor"/>
          <w:rtl w:val="true"/>
        </w:rPr>
        <w:footnoteReference w:id="1310"/>
      </w: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النفساء كم تقعد؟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أمرها رسول اللّه صلى الله عليه و آله أن تغتسل لثمان عشرة، ولا بأس بأنْ تستظهر بيومٍ أو بيومين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صريحٌ في عدم وجوب الإستظهار، وبه ترفع اليد عن ظاهر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سيجئ في باب النفاس أنّ فيه خللاً لا يمكن العمل به،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أخبارالاستظهار على الإباحة، لورودهامورد توهّم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الاقتصار على العادة أولى بذلك، لأنّ مقتضى الاستصحاب أيضاً هو التحيّض، كما سيمرّ عليك فتأمّل، ولا أقلّ من التساوي، وعليه فلا موجب لتعيّن حمل أخبار الإستظهار على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إمتناع حَمْل نصوص الاقتصار عليها، لأنّ إستحباب ترك العبادة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ممكنٌ كما في بعض موارد العبادات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عدم صحّة هذا الحمل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الجمع بينهما بحمل أخبار الإستظهار على ما إذا كان الدّم بصفة الحيض، والأخبار المتضمّنة للعدم على ما إذا لم يكن ذلك، واحتمله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سعيد المتقدّم يأبى عن هذا الحمل، وأيضاً حمل جميع أخبار الاقتصار على الفاقد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من الجمع بأحد وجهين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حَمل أخبار الاقتصار على التقيّة، لاتّفاق الأصحاب على العمل بمعارضها، ولأنّ القول بالإقتصار مذهب الجمهور إلّامالكاً</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تخصيص أخبار الاستظهار بغير مستقيمة الحيض، وتقييد الأخبار الأخيرة بمن كانت مستقيمة الحيض لا زيادة فيها ولا نقصان، ولا تقدّم ولا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في هذا الجمع، موثّق عبد الرحمن بن أبي عبد اللّه</w:t>
      </w:r>
      <w:r>
        <w:rPr>
          <w:rStyle w:val="FootnoteAnchor"/>
          <w:rtl w:val="true"/>
        </w:rPr>
        <w:footnoteReference w:id="1315"/>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المستحاضة تقعد أيّام قُرئها الّتي كانت تحيض فيها، فإنْ كان قرؤها مستقيماً فلتأخذ به، وإنْ كان فيه خلاف فلتحتط بيوم أو يومين ولتغتسل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ابن أعين</w:t>
      </w:r>
      <w:r>
        <w:rPr>
          <w:rStyle w:val="FootnoteAnchor"/>
          <w:rtl w:val="true"/>
        </w:rPr>
        <w:footnoteReference w:id="1316"/>
      </w:r>
      <w:r>
        <w:rPr>
          <w:rFonts w:ascii="Amiri" w:hAnsi="Amiri" w:eastAsia="Amiri" w:cs="Amiri"/>
          <w:color w:val="111111"/>
          <w:sz w:val="28"/>
          <w:sz w:val="28"/>
          <w:szCs w:val="28"/>
          <w:rtl w:val="true"/>
          <w:lang w:bidi="ar-SA"/>
        </w:rPr>
        <w:t>المتقدّم، وفيه تقييد الحيض بالإستقامة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التقيّة إنّما يكون فيما إذا لم يمكن الجمع العرفي، وكان بعض المرجّحات مفقوداً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موافقة الجمهور إنّما تكون من مرجّحات إحدى الحجّتين على الاُخرى‌، بعد فقد جملةٍ من المرجّحات، لا من مميّزات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موثّق البصري</w:t>
      </w:r>
      <w:r>
        <w:rPr>
          <w:rStyle w:val="FootnoteAnchor"/>
          <w:rtl w:val="true"/>
        </w:rPr>
        <w:footnoteReference w:id="1317"/>
      </w:r>
      <w:r>
        <w:rPr>
          <w:rFonts w:ascii="Amiri" w:hAnsi="Amiri" w:eastAsia="Amiri" w:cs="Amiri"/>
          <w:color w:val="111111"/>
          <w:sz w:val="28"/>
          <w:sz w:val="28"/>
          <w:szCs w:val="28"/>
          <w:rtl w:val="true"/>
          <w:lang w:bidi="ar-SA"/>
        </w:rPr>
        <w:t>هي الدّامية اليائسة عن انقطاع الدّم، وأمّا أخبار الإستظهار فهي بين ظاهرة في غير اليائسة، وظاهرة في غير الدّامية، بل لا معنى للإستظهار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لحمل الاحتياط فيه على الإستظهار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الأصحاب لم يحكموا بترك العبادة لمجرّد احتمال كون الدّم حيضاً من غير مراقبة الانقطاع، فلابدّ من حمله على الاحتياط في خصوص مورده من الوطي وطواف البيت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لو سُلّم شمول أخبار الإستظهار لها، فإنّه إنّما يكون شاهداً للجمع بين نصوص الإستظهار ونصوص الاقتصار الواردة في الدّامية، إذ لو لم يتمّ ما ذكرناه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لسيّد مشايخنا رحمه الله</w:t>
      </w:r>
      <w:r>
        <w:rPr>
          <w:rStyle w:val="FootnoteAnchor"/>
          <w:rtl w:val="true"/>
        </w:rPr>
        <w:footnoteReference w:id="1318"/>
      </w:r>
      <w:r>
        <w:rPr>
          <w:rFonts w:ascii="Amiri" w:hAnsi="Amiri" w:eastAsia="Amiri" w:cs="Amiri"/>
          <w:color w:val="111111"/>
          <w:sz w:val="28"/>
          <w:sz w:val="28"/>
          <w:szCs w:val="28"/>
          <w:rtl w:val="true"/>
          <w:lang w:bidi="ar-SA"/>
        </w:rPr>
        <w:t xml:space="preserve">القائل بأنّ مورده الدّامية اليائسة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 مورده الدّامية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منها في غيرها، فلا يصلح شاهداً للجمع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ابن أعين، فلا مفهوم له، كي يصلح شاهداً للجمع بين الطائفتين،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قد يُقال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نصوص 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بغير أيّام الإستظهار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الأعظم</w:t>
      </w:r>
      <w:r>
        <w:rPr>
          <w:rStyle w:val="FootnoteAnchor"/>
          <w:rtl w:val="true"/>
        </w:rPr>
        <w:footnoteReference w:id="13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ضعفُه غنيٌّ عن البيان، فإنّ بعضها صريحٌ في الاقتصار على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المفاتيح</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 xml:space="preserve">من حمل نصوص الاقتصار على الدّامية، وهي الّتي يستمرّ بها الدّم من حيضها الأوّل إلى الدورة الثانية فما زاد، وحمل نصوص الإستظهار على الدور الأوّل،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نصوص الاقتصار ظاهرٌ في الدور الأوّل، ويكون آبياً عن الحمل على الدور الثاني، لاحظ صحيح زرارة في النفساء</w:t>
      </w:r>
      <w:r>
        <w:rPr>
          <w:rStyle w:val="FootnoteAnchor"/>
          <w:rtl w:val="true"/>
        </w:rPr>
        <w:footnoteReference w:id="1322"/>
      </w:r>
      <w:r>
        <w:rPr>
          <w:rFonts w:ascii="Amiri" w:hAnsi="Amiri" w:eastAsia="Amiri" w:cs="Amiri"/>
          <w:color w:val="111111"/>
          <w:sz w:val="28"/>
          <w:sz w:val="28"/>
          <w:szCs w:val="28"/>
          <w:rtl w:val="true"/>
          <w:lang w:bidi="ar-SA"/>
        </w:rPr>
        <w:t>، ومرسلتي يونس الطويلة</w:t>
      </w:r>
      <w:r>
        <w:rPr>
          <w:rStyle w:val="FootnoteAnchor"/>
          <w:rtl w:val="true"/>
        </w:rPr>
        <w:footnoteReference w:id="1323"/>
      </w:r>
      <w:r>
        <w:rPr>
          <w:rFonts w:ascii="Amiri" w:hAnsi="Amiri" w:eastAsia="Amiri" w:cs="Amiri"/>
          <w:color w:val="111111"/>
          <w:sz w:val="28"/>
          <w:sz w:val="28"/>
          <w:szCs w:val="28"/>
          <w:rtl w:val="true"/>
          <w:lang w:bidi="ar-SA"/>
        </w:rPr>
        <w:t>والقصيرة</w:t>
      </w:r>
      <w:r>
        <w:rPr>
          <w:rStyle w:val="FootnoteAnchor"/>
          <w:rtl w:val="true"/>
        </w:rPr>
        <w:footnoteReference w:id="1324"/>
      </w:r>
      <w:r>
        <w:rPr>
          <w:rFonts w:ascii="Amiri" w:hAnsi="Amiri" w:eastAsia="Amiri" w:cs="Amiri"/>
          <w:color w:val="111111"/>
          <w:sz w:val="28"/>
          <w:sz w:val="28"/>
          <w:szCs w:val="28"/>
          <w:rtl w:val="true"/>
          <w:lang w:bidi="ar-SA"/>
        </w:rPr>
        <w:t>، ومرسلة داود</w:t>
      </w:r>
      <w:r>
        <w:rPr>
          <w:rStyle w:val="FootnoteAnchor"/>
          <w:rtl w:val="true"/>
        </w:rPr>
        <w:footnoteReference w:id="1325"/>
      </w:r>
      <w:r>
        <w:rPr>
          <w:rFonts w:ascii="Amiri" w:hAnsi="Amiri" w:eastAsia="Amiri" w:cs="Amiri"/>
          <w:color w:val="111111"/>
          <w:sz w:val="28"/>
          <w:sz w:val="28"/>
          <w:szCs w:val="28"/>
          <w:rtl w:val="true"/>
          <w:lang w:bidi="ar-SA"/>
        </w:rPr>
        <w:t>المتقدّمة، كما أنّ بعض أخبار الإستظهار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يأبى عن هذا الحمل، لا حظ خبر الجُعفي</w:t>
      </w:r>
      <w:r>
        <w:rPr>
          <w:rStyle w:val="FootnoteAnchor"/>
          <w:rtl w:val="true"/>
        </w:rPr>
        <w:footnoteReference w:id="1326"/>
      </w:r>
      <w:r>
        <w:rPr>
          <w:rFonts w:ascii="Amiri" w:hAnsi="Amiri" w:eastAsia="Amiri" w:cs="Amiri"/>
          <w:color w:val="111111"/>
          <w:sz w:val="28"/>
          <w:sz w:val="28"/>
          <w:szCs w:val="28"/>
          <w:rtl w:val="true"/>
          <w:lang w:bidi="ar-SA"/>
        </w:rPr>
        <w:t>، وصحيح زرارة</w:t>
      </w:r>
      <w:r>
        <w:rPr>
          <w:rStyle w:val="FootnoteAnchor"/>
          <w:rtl w:val="true"/>
        </w:rPr>
        <w:footnoteReference w:id="1327"/>
      </w:r>
      <w:r>
        <w:rPr>
          <w:rFonts w:ascii="Amiri" w:hAnsi="Amiri" w:eastAsia="Amiri" w:cs="Amiri"/>
          <w:color w:val="111111"/>
          <w:sz w:val="28"/>
          <w:sz w:val="28"/>
          <w:szCs w:val="28"/>
          <w:rtl w:val="true"/>
          <w:lang w:bidi="ar-SA"/>
        </w:rPr>
        <w:t>الوارد في إستظهار المبتدئة، وموثّق البصري</w:t>
      </w:r>
      <w:r>
        <w:rPr>
          <w:rStyle w:val="FootnoteAnchor"/>
          <w:rtl w:val="true"/>
        </w:rPr>
        <w:footnoteReference w:id="1328"/>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 يقتضي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الاقتصار على العادة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مقام بيان الحكم الواقعي للمستحاضة، ولا نظر لها إلى الحكم الظاهري فيما إذا احتملت الانقطاع قبل العشرة، كمرسل يونس الطويل</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الدّامية اليائسة عن الانقطاع، كموثّق البصري المتقدّم، النافي للإستظهار عن المستقيمة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مطلقٌ شاملٌ لليائسة عن الانقطاع والراجية له، كأكثر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الصُّفرة بعد الحيض ليست بحيض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 هذه الطوائف لا يصلح للمعارضة مع نصوص الإستظهار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نصوص الإستظهار، في مقام جعل حكمٍ ظاهري لمن لا تعلم أنّها حائض أو مستحاضة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فلإختصاص نصوص الإستظهار بالراجية للإنقطاع، كما تشهد له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والتعبير في بعض نصوصه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وصحيح زرارة،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ومرسل داود، وموثّق سماعة، وخبر الجُعفي، ورواية حمران المتضمّنة أنّه إن انقطع وإلّا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يتعيّن تقييد إطلاقها بنصوص الإستظهار، لأخصّيتها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أنّه يتعيّن تقييد إطلاقها بما دلّ على أنّ ما تراه قبل العَشَرة فهو من الحيضة الاُولى، مع أنّ الظاهر ورودها في مقام بيان الحكم الواقعي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لزوم الإستظهار</w:t>
      </w:r>
      <w:r>
        <w:rPr>
          <w:rFonts w:eastAsia="IRNazanin" w:cs="IRNazanin"/>
          <w:color w:val="111111"/>
          <w:sz w:val="28"/>
          <w:szCs w:val="28"/>
          <w:rtl w:val="true"/>
          <w:lang w:bidi="fa-IR"/>
        </w:rPr>
        <w:t>.</w:t>
      </w:r>
      <w:bookmarkStart w:id="510" w:name="pg11795_115668"/>
    </w:p>
    <w:p>
      <w:pPr>
        <w:pStyle w:val="Heading6"/>
        <w:numPr>
          <w:ilvl w:val="5"/>
          <w:numId w:val="1"/>
        </w:numPr>
        <w:rPr/>
      </w:pPr>
      <w:bookmarkStart w:id="511" w:name="__RefHeading___Toc10329001_73709187"/>
      <w:bookmarkStart w:id="512" w:name="_Toc193"/>
      <w:bookmarkEnd w:id="510"/>
      <w:bookmarkEnd w:id="511"/>
      <w:r>
        <w:rPr>
          <w:rtl w:val="true"/>
        </w:rPr>
        <w:t>مقدار الإستظهار</w:t>
      </w:r>
      <w:bookmarkEnd w:id="512"/>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المشهور التخيير بين اليوم واليومين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ثلاثة بل عن الحلّي</w:t>
      </w:r>
      <w:r>
        <w:rPr>
          <w:rStyle w:val="FootnoteAnchor"/>
          <w:rtl w:val="true"/>
        </w:rPr>
        <w:footnoteReference w:id="1330"/>
      </w:r>
      <w:r>
        <w:rPr>
          <w:rFonts w:ascii="IRNazanin" w:hAnsi="IRNazanin" w:eastAsia="IRNazanin"/>
          <w:color w:val="111111"/>
          <w:sz w:val="28"/>
          <w:sz w:val="28"/>
          <w:szCs w:val="28"/>
          <w:rtl w:val="true"/>
          <w:lang w:bidi="fa-IR"/>
        </w:rPr>
        <w:t>والمصنّف رحمه الله</w:t>
      </w:r>
      <w:r>
        <w:rPr>
          <w:rStyle w:val="FootnoteAnchor"/>
          <w:rtl w:val="true"/>
        </w:rPr>
        <w:footnoteReference w:id="13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اليوم واليومين والثلاثة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334"/>
      </w:r>
      <w:r>
        <w:rPr>
          <w:rFonts w:ascii="Amiri" w:hAnsi="Amiri" w:eastAsia="Amiri" w:cs="Amiri"/>
          <w:color w:val="111111"/>
          <w:sz w:val="28"/>
          <w:sz w:val="28"/>
          <w:szCs w:val="28"/>
          <w:rtl w:val="true"/>
          <w:lang w:bidi="ar-SA"/>
        </w:rPr>
        <w:t>والشهيد</w:t>
      </w:r>
      <w:r>
        <w:rPr>
          <w:rStyle w:val="FootnoteAnchor"/>
          <w:rtl w:val="true"/>
        </w:rPr>
        <w:footnoteReference w:id="13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التضارب في الأقوال اختلاف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مقام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بالإستظهار إنّما يكون لأجل ظهور الحال، وهو قد يحصل بيومٍ واحد، وقد لا يحصل إلّابالصبر إلى العشرة، فيكون اختلاف النصوص محمولاً على اختلاف الزمان الذي يحصل به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الأخبارالمعيّنة لليوم واليومين والثلاثة على المثال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سُلّم بُعده في نفسه، إلّاأنّه بقرينة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بمعنى طلب ظهور الحال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وعدم مشروعيّة الإستظهار لمن عَلمت التجاوز عن العشرة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الدّم إذا انقطع على العشرة أو أقلّ فالمجموع حيض، وإذا تجاوز عنها يكون مازاد عن العادة إستحاضة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يتعيّن حمل اختلاف النصوص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مفاد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تستظهر بيومٍ‌، فإنْ اِنقطع الدّم أو يئستْ من إنقطاعه قبل العشرة فهو، وإلّا فيوم آخر إلى أنْ يمضي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إختلافها على اختلاف العادات، بدعوى أنّ ما يظهر به الحال بحسب عادات النساء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 التسعة يظهر حالها بيوم واحد، وذات الثمانية بيومين، وذات السبعة بثلاثة، وهكذا، فجميع الأخبار محمولة على الصبر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أنْ يقال في تقريب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الإستظهار بيومٍ بعد ملاحظة ما دلّ على أنّ مجموع أيّام العادة والإستظهار، لابدّ وأن لا يزيد على العشرة في نفسه، وإنْ كان يشمل ذات التسعة فما دون، إلّاأنّ ما دلّ على أنّه يومان على هذا يكون أخصّ منه، لاختصاصه بذات الثمانية فما دون، فيخصّص به، فيختصّ بذات التسعة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وبعين هذا التقريب يكون ما دلّ على أنّه ثلاثة أخصّ من ما دلّ على أنّه يومان، لاختصاصه بذات السبعة فما دون، فيختصّ ما دلّ على أنّه يومان بذات الثمانية بالتقريب، وما دلّ على أنّه ثلاثة بعين هذا التقريب يُخصّص بأخبار ثلثي العادة، لإختصاصها بذات الستّة فما دون، فيختصّ بذات السبعة، فيقع التعارض بين أخبار ثلثي العادة، وبين ما دلّ على الانتظار إلى العشرة، والنسبة بينهما عموم من وجه، لتوافقهما في ذات التسعة، وتخالفهما في ذات الخمسة فما دون، وحيث أنّ </w:t>
      </w:r>
    </w:p>
    <w:p>
      <w:pPr>
        <w:pStyle w:val="BookText"/>
        <w:rPr/>
      </w:pPr>
      <w:r>
        <w:rPr>
          <w:rFonts w:ascii="Amiri" w:hAnsi="Amiri" w:eastAsia="Amiri" w:cs="Amiri"/>
          <w:color w:val="111111"/>
          <w:sz w:val="28"/>
          <w:sz w:val="28"/>
          <w:szCs w:val="28"/>
          <w:rtl w:val="true"/>
          <w:lang w:bidi="ar-SA"/>
        </w:rPr>
        <w:t>استقرار العادة على ما دون الستّة نادر، فيمكن دعوى اختصاص أخبار ثلثي العادة بذات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تتوقّف صحّته على القول بجواز ملاحظة النسبة بين المتعارضين، بعد تخصيص أحدهما بالمنفصل، لأنّ أخصّية كلّ من الأخبار المتعارضة في المقام عن الآخر، تتوقّف على تقييده بما دلّ على أنّ أكثر الحيض عشرة، وهو خلاف ما حقّقناه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إنقلاب النسبة</w:t>
      </w:r>
      <w:r>
        <w:rPr>
          <w:rStyle w:val="FootnoteAnchor"/>
          <w:rtl w:val="true"/>
        </w:rPr>
        <w:footnoteReference w:id="1337"/>
      </w:r>
      <w:r>
        <w:rPr>
          <w:rFonts w:ascii="Amiri" w:hAnsi="Amiri" w:eastAsia="Amiri" w:cs="Amiri"/>
          <w:color w:val="111111"/>
          <w:sz w:val="28"/>
          <w:sz w:val="28"/>
          <w:szCs w:val="28"/>
          <w:rtl w:val="true"/>
          <w:lang w:bidi="ar-SA"/>
        </w:rPr>
        <w:t>، مع أنّه مستلزمٌ لتخصيص الأكثر في جملةٍ من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ضعف ما ذكره جماعةٌ من مشايخنا المحقّقين</w:t>
      </w:r>
      <w:r>
        <w:rPr>
          <w:rStyle w:val="FootnoteAnchor"/>
          <w:rtl w:val="true"/>
        </w:rPr>
        <w:footnoteReference w:id="1338"/>
      </w:r>
      <w:r>
        <w:rPr>
          <w:rFonts w:ascii="Amiri" w:hAnsi="Amiri" w:eastAsia="Amiri" w:cs="Amiri"/>
          <w:color w:val="111111"/>
          <w:sz w:val="28"/>
          <w:sz w:val="28"/>
          <w:szCs w:val="28"/>
          <w:rtl w:val="true"/>
          <w:lang w:bidi="ar-SA"/>
        </w:rPr>
        <w:t>، من حمل اختلاف الأخبار على التخيير في مدّة الإستظهار، مع الالتزام بوجوبه في الجملة، أو استحباب جميع مراتبه، على اختلاف المسلكين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إن استظهرتْ وتجاوز الدّم عن العشرة، فسيجئ حكمها، وإن اِنقطع قبل العشرة فالمجموع حيض كما عرفت، وحينئذٍ إن إستظهرت بيوم أو يومين ويئستْ عن الانقطاع قبل العشرة، أو بنينا على عدم وجوب الإستظهار أكثر من يوم واحد أو يومين، وعملت ما تعمله المستحاضة في صلاتها وصومها، قضت ما فعلته من صوم كما هو المشهور، بل عن غير واحدٍ</w:t>
      </w:r>
      <w:r>
        <w:rPr>
          <w:rStyle w:val="FootnoteAnchor"/>
          <w:rtl w:val="true"/>
        </w:rPr>
        <w:footnoteReference w:id="1339"/>
      </w:r>
      <w:r>
        <w:rPr>
          <w:rFonts w:ascii="Amiri" w:hAnsi="Amiri" w:eastAsia="Amiri" w:cs="Amiri"/>
          <w:color w:val="111111"/>
          <w:sz w:val="28"/>
          <w:sz w:val="28"/>
          <w:szCs w:val="28"/>
          <w:rtl w:val="true"/>
          <w:lang w:bidi="ar-SA"/>
        </w:rPr>
        <w:t>دعوى الإجماع عليه، لأنّه اِنكشف بالإنقطاع كونها حائضاً في مجموع المدّة، فصومها في تلك المدّة باطل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المسألة، نظراً إلى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دلَّ على أنّه إن اِستظهرت بيوم أو يومين فهي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أن تكون المرأة حائضاً واقعاً ويحكم بذلك بعد الإنكشاف، ولكن مع ذلك يُحكم عليها قبل الإنكشاف بأنّها مستحاضة ظاهراً، أي مأمورة بأنْ تعمل عمل المستحاضة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أصالة بقاء الحيض وأحكامه، فقد مرَّ الكلام فيها، وعرفت عدم جريانها</w:t>
      </w:r>
      <w:r>
        <w:rPr>
          <w:rFonts w:eastAsia="Amiri" w:cs="Amiri" w:ascii="Amiri" w:hAnsi="Amiri"/>
          <w:color w:val="111111"/>
          <w:sz w:val="28"/>
          <w:szCs w:val="28"/>
          <w:rtl w:val="true"/>
          <w:lang w:bidi="ar-SA"/>
        </w:rPr>
        <w:t>.</w:t>
      </w:r>
      <w:bookmarkStart w:id="513" w:name="pg11795_115672"/>
    </w:p>
    <w:p>
      <w:pPr>
        <w:pStyle w:val="BookText"/>
        <w:rPr/>
      </w:pPr>
      <w:bookmarkEnd w:id="513"/>
      <w:r>
        <w:rPr>
          <w:rFonts w:ascii="Amiri" w:hAnsi="Amiri" w:eastAsia="Amiri" w:cs="Amiri"/>
          <w:color w:val="111111"/>
          <w:sz w:val="28"/>
          <w:sz w:val="28"/>
          <w:szCs w:val="28"/>
          <w:rtl w:val="true"/>
          <w:lang w:bidi="ar-SA"/>
        </w:rPr>
        <w:t>فإنْ كانتِ المرأة ذاتَ عادةٍ وقتيّة رَجَعتْ اليها</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10329003_73709187"/>
      <w:bookmarkStart w:id="515" w:name="_Toc194"/>
      <w:bookmarkEnd w:id="514"/>
      <w:r>
        <w:rPr>
          <w:rtl w:val="true"/>
        </w:rPr>
        <w:t>حكم تجاوز الدَّم العَشَرة</w:t>
      </w:r>
      <w:bookmarkEnd w:id="515"/>
    </w:p>
    <w:p>
      <w:pPr>
        <w:pStyle w:val="Heading6"/>
        <w:numPr>
          <w:ilvl w:val="5"/>
          <w:numId w:val="1"/>
        </w:numPr>
        <w:rPr/>
      </w:pPr>
      <w:bookmarkStart w:id="516" w:name="__RefHeading___Toc10329005_73709187"/>
      <w:bookmarkStart w:id="517" w:name="_Toc195"/>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 xml:space="preserve">لو تجاوز الدَّمُ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المرأة ذات عادة وقتيّة رجعتْ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إلى عادتها، بأنْ تجعل عادتها حيضاً، حتّى وإن لم تكن بصفات الحيض، والبقيّة استحاضة وإن كانت بصفاته، من غير فرقٍ بين العادة الحاصلة من التمييز، وبين الحاصلة من العادة المتعارفة،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ذات العادة عادتها حيضاً، ممّا لا خلاف فيه في الجملة، وعن غير واحد</w:t>
      </w:r>
      <w:r>
        <w:rPr>
          <w:rStyle w:val="FootnoteAnchor"/>
          <w:rtl w:val="true"/>
        </w:rPr>
        <w:footnoteReference w:id="134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الأنصاري رحمه الله</w:t>
      </w:r>
      <w:r>
        <w:rPr>
          <w:rStyle w:val="FootnoteAnchor"/>
          <w:rtl w:val="true"/>
        </w:rPr>
        <w:footnoteReference w:id="13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بإجماع العلماء عدا مالك كما عن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ما في العادة حيض، ونصوص الإستظهار المتقدّمة، وما دلّ على الاقتصار على العادة من غير فرقٍ بين كون ما في العادة بصفات الحيض وعدمه، لإطلاق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ما إذا كان ما في خارج العادة واجداً للصفات، وما فيها فاقداً لها كلامٌ سيأتي إن شاء اللّه تعالى‌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البقيّة استحاضة، وهذا أيضاً في الجملة ممّا لا خلاف فيه، ويشهد </w:t>
      </w:r>
    </w:p>
    <w:p>
      <w:pPr>
        <w:pStyle w:val="BookText"/>
        <w:rPr/>
      </w:pPr>
      <w:r>
        <w:rPr>
          <w:rFonts w:ascii="Amiri" w:hAnsi="Amiri" w:eastAsia="Amiri" w:cs="Amiri"/>
          <w:color w:val="111111"/>
          <w:sz w:val="28"/>
          <w:sz w:val="28"/>
          <w:szCs w:val="28"/>
          <w:rtl w:val="true"/>
          <w:lang w:bidi="ar-SA"/>
        </w:rPr>
        <w:t>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تنتظر أيّامها، فلا تصلّي فيها ولا يقربها بعلها، وإن جازت أيّامها، ورأت الدّم يثقب الكُرْسُف اغتسلت وصلّت</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مالك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المستحاضة كيف يغشاها 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الأيّام التي كانت تحيض فيها، وحيضتها مستقيمة فلا يقربها في مدّة تلك الأيّام من الشهر، ويغشاها فيما سوى ذلك</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اللّه بن سنان،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المستحاضة التي لا تطهر، لا بأس أن يأتيها بعلها إذا شاء، إلّا أيّام حيضها</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تصوم شهر رمضان إلّاالأيّام التي كانت تحيض فيها</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الطويل</w:t>
      </w:r>
      <w:r>
        <w:rPr>
          <w:rStyle w:val="FootnoteAnchor"/>
          <w:rtl w:val="true"/>
        </w:rPr>
        <w:footnoteReference w:id="1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أيّامها لو كانت أقلّ من سبع لما قال لها تحيّضي سبعاً، فيكون قد أمرها بترك الصّلاة أيّاماً وهي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جعل البقيّة إستحاضة في غير أيّام الإستظهار، لأنّه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القدر المتيقّن من النصوص المُشار إليها آنفاً، وإنّما الكلام وقع في خصوص أيّام الإستظهار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ذلك، بل عن غير واحدٍ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الإستشكال في جعل ما تراه في أيّام الإستظهار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إلحاقها بالحيض،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بنصوص الإستظهار، بدعوى، أنّها تدلّ على أنّها في مدّة الإستظهار كالحائض، ولا يجب عليها قضاء ما فاتها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وجوب القضاء تابعٌ لوجوب الأداء، فمع عدم وجوبه بل حرمته لا يكون القضاء واجباً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نصوص الإستظهار إنّما وردت في مقام بيان الحكم الظاهري، حين عدم العلم بالتجاوز، وأنّها تترك العبادة حتّى يظهر الحال، وهذا لا ينافي ثبوت أحكام المستحاضة عليها واقعاً في صورة تجاوز الدّم عن 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القضاء واقعاً تابعٌ لوجوب الأداء واقعاً لا وجوبه ظاهراً، فالأظهر ما اختاره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لها مع العادة تمييزٌ، بأنْ كان ما في العادة فاقداً للصفات، وما في غيرها واجداً لها، ففيه 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المنسوب إلى المشهور</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إنّما هو بالعادة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1356"/>
      </w:r>
      <w:r>
        <w:rPr>
          <w:rFonts w:ascii="IRNazanin" w:hAnsi="IRNazanin" w:eastAsia="IRNazanin"/>
          <w:color w:val="111111"/>
          <w:sz w:val="28"/>
          <w:sz w:val="28"/>
          <w:szCs w:val="28"/>
          <w:rtl w:val="true"/>
          <w:lang w:bidi="fa-IR"/>
        </w:rPr>
        <w:t xml:space="preserve">وموضعٍ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تعمل على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المحقّق الثاني</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التفصيل بين العادة الحاصلة من التمييز فالعبرة بالتمييز، وبين الحاصلة من العادة المتعارفة فالعبرة بالعادة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لعموم ما دلّ على رجوع المستحاضة إلى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الرجوع إلى الصفات عند اِشتباه دمّ الحيض بالإستحاضة، المتقدّم في أوّل هذا الباب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بعض النصوص، أنّه عند الاشتباه جَعَل الشارع العادة أمارةً للحيض، وفي المرتبة المتأخّرة جعل الأوصاف أمارة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التمييز إنّما هو مع إنتفاء العادة، لاحظ موثّق ابن جرير،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الدّم يستمرّ بها الشهر والشهرين والثلاثة، كيف تصنع بالصلاة‌؟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أيّام حيضها، ثمّ تغتسل لكلّ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حيضتها يختلف عليها، وكان يتقدّم الحيض اليوم واليومين والثلاثة ويتأخّر مثل ذلك، فما علمها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ليس به خفاء، هو دمٌ حارٌّ تجد له حرقة</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ومرسلة يونس الطويلة المتقدّمة، وفيها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تعرف أيّامها ما احتاجت إلى معرفة لون الدّم، لأنّ السُنّة في الحيض أن تكون الصُّفرة والكدرة في أيّام الحيض إذا عرفت حيضاً إذا كانت الأيّام معلومة، فإذا جهلت الأيّام وعددهااحتاجت حينئذٍإلى معرفة لون الدّم</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ضعف القول الثالث، مستنداً إلى أنّه مقتضى الجمع بين النصوص المتقدّمة وأخبار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العادة الحاصلة من الأخذ والانقطاع بما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الحاصلة من التمييز، بأنّ الفرع لا يزيد على الأصل، وبإنصراف نصوص العادة إلى غير ما ثبت بالتمييز، لأنّه خلاف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ليس مفاد دليلٍ معتبر، ولا موجب للقطع، فلا يصحّ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مراراً من أنّ الانصراف الناشئ عن قلّة فردٍ لا يوجب 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قلّة المصاديق من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النصوص المشار إليها، عدم الفرق بين إمكان الجمع بين العادة والتمييز، بجمع المجموع وفرضهما حيضين مستقلّين، وقع الفصل بينهما بأقلّ الطهر، وبين ما لا يمكن الجمع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القول بالتحيّض بهما معاًفي الصورة الاُولى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 واستدلّ له بعدم التنافي بين الدليلين، فيجب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ثبوته، لأنّ ظاهر النصوص المتقدّمة آنفاً إنحصار طريقيّة الصفات بصورة فقد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قيل من التحيّض بهما معاً إنْ لم يتجاوز المجموع العشرة، وإنْ اُدّعي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الإجماع عليه، لكن ردّه شيخنا الأنصاري</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أحداً من الأصحاب لم يذكر الجمع بين العادة والتمييز مع الإمكان بجعل المجموع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ذات العادة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18" w:name="pg11795_115678"/>
    </w:p>
    <w:p>
      <w:pPr>
        <w:pStyle w:val="BookText"/>
        <w:rPr/>
      </w:pPr>
      <w:bookmarkEnd w:id="518"/>
      <w:r>
        <w:rPr>
          <w:rFonts w:ascii="Amiri" w:hAnsi="Amiri" w:eastAsia="Amiri" w:cs="Amiri"/>
          <w:color w:val="111111"/>
          <w:sz w:val="28"/>
          <w:sz w:val="28"/>
          <w:szCs w:val="28"/>
          <w:rtl w:val="true"/>
          <w:lang w:bidi="ar-SA"/>
        </w:rPr>
        <w:t>وإن كانت مبتدِئةً‌، أو مضطربة، أو ناسيةً‌، ولها تمييز عَمِلت عليه</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10329007_73709187"/>
      <w:bookmarkStart w:id="520" w:name="_Toc196"/>
      <w:bookmarkEnd w:id="519"/>
      <w:r>
        <w:rPr>
          <w:rtl w:val="true"/>
        </w:rPr>
        <w:t>الرجوع إلى التمييز</w:t>
      </w:r>
      <w:bookmarkEnd w:id="520"/>
    </w:p>
    <w:p>
      <w:pPr>
        <w:pStyle w:val="Heading6"/>
        <w:numPr>
          <w:ilvl w:val="5"/>
          <w:numId w:val="1"/>
        </w:numPr>
        <w:rPr/>
      </w:pPr>
      <w:bookmarkStart w:id="521" w:name="__RefHeading___Toc10329009_73709187"/>
      <w:bookmarkStart w:id="522" w:name="_Toc197"/>
      <w:bookmarkEnd w:id="521"/>
      <w:r>
        <w:rPr>
          <w:rtl w:val="true"/>
        </w:rPr>
        <w:t>اشارة</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الشاملة لمن لم تستقرّ لها عادة، بأنْ رأت الدّم مرّتين مختلفتين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مضطربةً أو ناسيةً ولها تمييزٌ، عملت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فتجعل ما كان من الدّم واجداً لصفات الحيض حيضاً، وما كان بصفة الاستحاضة استحاضةً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فقهاء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في أوّل مبحث الحيض،</w:t>
      </w:r>
      <w:r>
        <w:rPr>
          <w:rStyle w:val="FootnoteAnchor"/>
          <w:rtl w:val="true"/>
        </w:rPr>
        <w:footnoteReference w:id="1370"/>
      </w:r>
      <w:r>
        <w:rPr>
          <w:rFonts w:ascii="Amiri" w:hAnsi="Amiri" w:eastAsia="Amiri" w:cs="Amiri"/>
          <w:color w:val="111111"/>
          <w:sz w:val="28"/>
          <w:sz w:val="28"/>
          <w:szCs w:val="28"/>
          <w:rtl w:val="true"/>
          <w:lang w:bidi="ar-SA"/>
        </w:rPr>
        <w:t>المتضمّنة لأماريّة الصفات، كحسن حفص</w:t>
      </w:r>
      <w:r>
        <w:rPr>
          <w:rStyle w:val="FootnoteAnchor"/>
          <w:rtl w:val="true"/>
        </w:rPr>
        <w:footnoteReference w:id="1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إمرأة فسألته عن المرأة يستمرُّ بها الدّم، فلا تدري دمُ حيضٍ أو غيره‌؟ فقال عليه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الحيض حارٌّ عبيطٌ أسودٌ له دفعٌ وحرارة، ودمّ الاستحاضة أصفرٌ بارد، فإذا كان للدّم حرارة ودفعٌ وسوادٌ، فلتدَع الصّلاة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 الطويلة</w:t>
      </w:r>
      <w:r>
        <w:rPr>
          <w:rStyle w:val="FootnoteAnchor"/>
          <w:rtl w:val="true"/>
        </w:rPr>
        <w:footnoteReference w:id="1372"/>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 الدّم البحراني </w:t>
      </w:r>
    </w:p>
    <w:p>
      <w:pPr>
        <w:pStyle w:val="BookText"/>
        <w:rPr/>
      </w:pPr>
      <w:r>
        <w:rPr>
          <w:rFonts w:ascii="Amiri" w:hAnsi="Amiri" w:eastAsia="Amiri" w:cs="Amiri"/>
          <w:color w:val="111111"/>
          <w:sz w:val="28"/>
          <w:sz w:val="28"/>
          <w:szCs w:val="28"/>
          <w:rtl w:val="true"/>
          <w:lang w:bidi="ar-SA"/>
        </w:rPr>
        <w:t>فدَعي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وأمرها هنا أن تنظر إلى الدّم إذا أقبل وإذا أدبر وتغيّر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 الحيض أسودٌ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وموثّق إسحاق بن جرير</w:t>
      </w:r>
      <w:r>
        <w:rPr>
          <w:rStyle w:val="FootnoteAnchor"/>
          <w:rtl w:val="true"/>
        </w:rPr>
        <w:footnoteReference w:id="13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عليه السلام امرأةً فسألَتهُ عن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حيضها تختلف عليها، وكان يتقدّم الحيض اليوم واليومين والثلاثة، ويتأخّر مثل ذلك، فما عملها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ليس به خفاء، هو دمٌ حارٌّ له حرقة، ودمّ الاستحاضة دمّ فاسد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واعترض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بأنّ مرسلة يونس الطويلة تدلّ على أنّ سُنّة المبتدئة الرجوع إلى العدد لا إلى التمييز، وأن الرجوع إليه من أحكام المضطربة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السُنّة الثالثة ففي التي ليس لها أيّام متقدّمة، ولم تر الدّم قط، ورأت أوّل ما أدركت واستمرّ بها، فإنّ سُنّة هذه غير سُنّة الاُولى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ذات العادة والمضطربة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تلجَّمي وتحيّضي في كلّ شهرٍ في علم اللّه ستّة أيّام أو سبعة أيّام، ثمّ إغتسلي غُسلاً، وصومي ثلاثة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سُنّة التي استمرّ بها الدّم أوّل 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 جملة من النصوص</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جارية حاضت أوّل حيضها، فدام دمها ثلاثة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أشهر، وهي لا تعرف أيّام قرئها؟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أقراؤها مثل أقراء نسائها، فإنْ كُنَّ نساؤها مختلفات فأكثر جلوسها عشرة وأقلّه ثلاثة</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إذا رأت الدّم في أوّل حيضها فاستمرّ، تركت الصّلاة عشرة أيّام، ثمّ تصلّي عشرين، فإنْ استمرّ بها الدّم بعد ذلك تركت الصّلاة ثلاثة أيّام، وصلّت سبعة وعشرين يوماً</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موثّقه الآخر</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المرسلة فهذه الفقرة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أنّها لا تعتدّ بالتمييز، وأنّها ترجع إلى العدد، إلّاأنّ الظاهر من ذيلها،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الأمر كذلك، ولكن الدّم أطبق عليها، فلم تزل الاستحاضة دارّة، وكان الدّم على لونٍ واحد، وحالةٍ واحدة، فسُنّتها السبع والثلاث والعشرون، لأنّ قصّتها كقصّة حَمَنة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أثجُّه ثَجّاً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يكون في صورة فقد التمييز، وأن المدار في هذا الحكم هو ذلك لا كونها مبتدئة، فإنّ الظاهر من الخبر الشريف</w:t>
      </w:r>
      <w:r>
        <w:rPr>
          <w:rStyle w:val="FootnoteAnchor"/>
          <w:rtl w:val="true"/>
        </w:rPr>
        <w:footnoteReference w:id="1378"/>
      </w:r>
      <w:r>
        <w:rPr>
          <w:rFonts w:ascii="Amiri" w:hAnsi="Amiri" w:eastAsia="Amiri" w:cs="Amiri"/>
          <w:color w:val="111111"/>
          <w:sz w:val="28"/>
          <w:sz w:val="28"/>
          <w:szCs w:val="28"/>
          <w:rtl w:val="true"/>
          <w:lang w:bidi="ar-SA"/>
        </w:rPr>
        <w:t>كونه مسوقاً لبيان أحكام ثلاثة صادرة عن النبيّ صلى الله عليه و آله في الوقائع الثلاث، والتنبيه على أنّه يستفاد منها سُننٌ ثلاث، وحيث إنّه عليه السلام صرّح في ذيله بأنّ قصّة حَمَنة التي هي المورد لهذا الحكم الثالث المستفاد منه السُنّة الثالثة كانت مع فقد التمييز، كما أنّها أشارت إلى ذلك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أثجّه ثجّاً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ألحق عليه السلام الناسية الفاقدة له بها، فيستكشف أنّ هذه السُنّة مجعولة لمن لا تمييز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ينافيه التصريح بأنّ هذه السُنّة إنّما تكون للمبتدأة، وأنّ سنّتها غير سُنّة الناسية وذات العادة، لأنّه يمكن أنْ يكون ذلك لأجل أنّ الغالب كون المبتدئة كذلك، مع أنّ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تحيض في كلّ شهر في علم اللّه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بضميمة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ممّا يزيد هذا بياناً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تحيّضي، وليس يكون التحيّض إلّاللمرأة التي تريد أن تكلّف ما تعمل 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 هذا الحكم من قبيل الاُصول العلميّة المجعولة للشاكّ‌، التي هي المرجع عند فقد الأمارة، وحينئذٍ فيتعيّن الالتزام بأنّه ليس للمبتدئة الرجوع إلى العدد إلّابعد فقد التمييز، وإلّا فعليها الرجوع إليه، لإطلاق ما دلّ على أماريّة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سماعة</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السائل فيه أنّها لا تمييز لها، لأنّه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تعرف أيّام قرئها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فرضها متبدئةً‌، لا ينافي ما اِخترناه تبعاً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موثّقا ابن بُكير</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بينهما وبين نصوص دليليّة الصفات عموم من وجه، ولأظهريّة تلك النصوص، لاسيّما مع غلبة تساوي الدّم في المتبدئة كما تقدّم، تتقدّم تلك، مع أنّه قد عرفت أنّ الحكم بالرجوع إلى العدد إنّما يكون من قبيل الأصل، يرجع إليه مع عدم الأمارة، ونصوص الصفات تدلّ على أماريّتها فتُقدّم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استمرار الدّم استمرار ه على لونٍ واحد غير بعيدة، فهما أيضاً مختصّان بغير ذات التمييز</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شيخنا الأعظم الأنصاري رحمه الله</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أغمض عن ذلك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فتعارضت الموثّقات مع أدلّة التمييز بالعموم من وجه، فيرجع إلى المرجّحات، مثل موافقه المشهور ومخالفة أبي حنيفة من الجمهور، ومع الإغماض عن ذلك فالمرجع إطلاقات الحيض، الصادق عرفاً على الواجد للصفات، والمسلوب عرفاً عن فاقدها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الرجوع إلى المرجّحات السنديّة في المتعارضين بالعموم من وجه، إنّما يكون إذا كانت دلالة كلّ منهما بالعموم لا بالإطلاق، وإلّا فمقتضى القاعدة تساقطهما كما حقّقناه في محلّه، والمقام ليس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فرض التساقط، وإنْ كان مقتضى القاعدة الرجوع إلى عامٍ أو مطلق إنْ كان، إلّاأنّه في المقام ليس كذلك، إذ لا دليل يدلّ بعمومه أو إطلاقه على حيضيّة الواجد، غير نصوص الصفات الساقطة بالتعارض</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ما أفتى به الأصحاب من الرجوع إلى التمييز</w:t>
      </w:r>
      <w:r>
        <w:rPr>
          <w:rFonts w:eastAsia="Amiri" w:cs="Amiri" w:ascii="Amiri" w:hAnsi="Amiri"/>
          <w:color w:val="111111"/>
          <w:sz w:val="28"/>
          <w:szCs w:val="28"/>
          <w:rtl w:val="true"/>
          <w:lang w:bidi="ar-SA"/>
        </w:rPr>
        <w:t>.</w:t>
      </w:r>
      <w:bookmarkStart w:id="523" w:name="pg11795_115683"/>
    </w:p>
    <w:p>
      <w:pPr>
        <w:pStyle w:val="Heading6"/>
        <w:numPr>
          <w:ilvl w:val="5"/>
          <w:numId w:val="1"/>
        </w:numPr>
        <w:rPr/>
      </w:pPr>
      <w:bookmarkStart w:id="524" w:name="__RefHeading___Toc10329011_73709187"/>
      <w:bookmarkStart w:id="525" w:name="_Toc198"/>
      <w:bookmarkEnd w:id="523"/>
      <w:bookmarkEnd w:id="524"/>
      <w:r>
        <w:rPr>
          <w:rtl w:val="true"/>
        </w:rPr>
        <w:t>شرائط الرجوع إلى التمييز</w:t>
      </w:r>
      <w:bookmarkEnd w:id="525"/>
    </w:p>
    <w:p>
      <w:pPr>
        <w:pStyle w:val="Heading6"/>
        <w:numPr>
          <w:ilvl w:val="5"/>
          <w:numId w:val="1"/>
        </w:numPr>
        <w:rPr/>
      </w:pPr>
      <w:bookmarkStart w:id="526" w:name="__RefHeading___Toc10329013_73709187"/>
      <w:bookmarkStart w:id="527" w:name="_Toc199"/>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ذكروا للتمييز شروطاً،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يحتاج إلى البيان، كتجاوز الدّم العشرة واختلاف صفة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محلّ الكلام، وهو شروط</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10329015_73709187"/>
      <w:bookmarkStart w:id="529" w:name="_Toc200"/>
      <w:bookmarkEnd w:id="528"/>
      <w:r>
        <w:rPr>
          <w:rtl w:val="true"/>
        </w:rPr>
        <w:t>الشرط الأوّل</w:t>
      </w:r>
      <w:r>
        <w:rPr>
          <w:rtl w:val="true"/>
        </w:rPr>
        <w:t xml:space="preserve">: </w:t>
      </w:r>
      <w:r>
        <w:rPr>
          <w:rtl w:val="true"/>
        </w:rPr>
        <w:t>أن لا يكون القوي أقلّ من ثلاثة،</w:t>
      </w:r>
      <w:bookmarkEnd w:id="529"/>
    </w:p>
    <w:p>
      <w:pPr>
        <w:pStyle w:val="BookText"/>
        <w:rPr/>
      </w:pPr>
      <w:r>
        <w:rPr>
          <w:rFonts w:ascii="Amiri" w:hAnsi="Amiri" w:eastAsia="Amiri" w:cs="Amiri"/>
          <w:color w:val="111111"/>
          <w:sz w:val="28"/>
          <w:sz w:val="28"/>
          <w:szCs w:val="28"/>
          <w:rtl w:val="true"/>
          <w:lang w:bidi="ar-SA"/>
        </w:rPr>
        <w:t xml:space="preserve">بل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 يكون الحيض أقلّ من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384"/>
      </w:r>
      <w:r>
        <w:rPr>
          <w:rFonts w:ascii="Amiri" w:hAnsi="Amiri" w:eastAsia="Amiri" w:cs="Amiri"/>
          <w:color w:val="111111"/>
          <w:sz w:val="28"/>
          <w:sz w:val="28"/>
          <w:szCs w:val="28"/>
          <w:rtl w:val="true"/>
          <w:lang w:bidi="ar-SA"/>
        </w:rPr>
        <w:t>رحمه الله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الروايات الواردة</w:t>
      </w:r>
      <w:r>
        <w:rPr>
          <w:rStyle w:val="FootnoteAnchor"/>
          <w:rtl w:val="true"/>
        </w:rPr>
        <w:footnoteReference w:id="1385"/>
      </w:r>
      <w:r>
        <w:rPr>
          <w:rFonts w:ascii="Amiri" w:hAnsi="Amiri" w:eastAsia="Amiri" w:cs="Amiri"/>
          <w:color w:val="111111"/>
          <w:sz w:val="28"/>
          <w:sz w:val="28"/>
          <w:szCs w:val="28"/>
          <w:rtl w:val="true"/>
          <w:lang w:bidi="ar-SA"/>
        </w:rPr>
        <w:t>في هذه المسألة مطلقة في التحيّض بما شابَهُ دمّ الحيض قليلاً أو كثيراً، فلا دليل على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واردة في مقام بيان تمييز دمّ الحيض عن دمّ الاستحاضة، فيما إذا احتمل كون الواجد حيضاً، بأنْ يكون واجداً لسائر الشروط، كما هو الشأن في جميع الأمارات، وإلّا فلو علم لسائر الأدلّة عدم كونه حيضاً، لا وجه للرجوع إلى الأمارة والطريق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على فرض فقد هذا الشرط</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حكم هذه حكم من استمرّ دمها على لونٍ واحد في الرجوع إلى عادة نسائها أو الروايات‌؟ </w:t>
      </w:r>
    </w:p>
    <w:p>
      <w:pPr>
        <w:pStyle w:val="BookText"/>
        <w:rPr/>
      </w:pPr>
      <w:r>
        <w:rPr>
          <w:rFonts w:ascii="Amiri" w:hAnsi="Amiri" w:eastAsia="Amiri" w:cs="Amiri"/>
          <w:color w:val="111111"/>
          <w:sz w:val="28"/>
          <w:sz w:val="28"/>
          <w:szCs w:val="28"/>
          <w:rtl w:val="true"/>
          <w:lang w:bidi="ar-SA"/>
        </w:rPr>
        <w:t>أو أنّ حكمها الرجوع إلى التمييز في الجملة، بأنْ تتحيّض بالناقص مع إكماله‌؟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 البُعد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 xml:space="preserve">عن الثاني، وتبعه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87"/>
      </w:r>
      <w:r>
        <w:rPr>
          <w:rFonts w:ascii="Amiri" w:hAnsi="Amiri" w:eastAsia="Amiri" w:cs="Amiri"/>
          <w:color w:val="111111"/>
          <w:sz w:val="28"/>
          <w:sz w:val="28"/>
          <w:szCs w:val="28"/>
          <w:rtl w:val="true"/>
          <w:lang w:bidi="ar-SA"/>
        </w:rPr>
        <w:t>وجملة من المحقّقين من متأخّر المتأخّرين، ولعلّ المشهور بين الأصحاب</w:t>
      </w:r>
      <w:r>
        <w:rPr>
          <w:rStyle w:val="FootnoteAnchor"/>
          <w:rtl w:val="true"/>
        </w:rPr>
        <w:footnoteReference w:id="1388"/>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للرجوع إلى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شيخنا الأعظم رحمه الله في طهارته</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أدلّة التمييز هو التحيّض بالقوي، وجعل الضعيف استحاضة، من دون إدخال شيء من أحدهما في الآخر، فالناقص خارجٌ عن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المحقّق الهمداني رحمه الله</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وإن سُلّم عدم شمولها له، لكن أهل العرف يفهمون حكمه عرفاً منها بفهم أوصاف كلّ من الدّمين، ولذا يتخطّى الأصحاب عن موارد النصوص إلى فروعٍ غير منصوصة، ليست استفادة حكمها من هذه النصوص أوضح من استفادة حكم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أوّل هذا المبحث من اختصاص أماريّة الصفات بموارد النصوص، وأنّه لايتخطّى عنها، فما ذكره شيخنا الأنصاري في محلّه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ربما أورد على الرجوع إلى أدلّة التمييز، بأنّ الرجوع إليها بجعل القوي حيضاً وإكماله من الضعيف، يستلزم إسقاط الضعيف الذي هو طريقٌ إلى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الاستحاضة عن الحجيّة، وهو ليس بأولى من إسقاط القوي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بأجوبة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الأنصاري رحمه الله</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مراعاة عموم الحكم على الضعيف بالإستحاضة في أدلّة التمييز، توجب خروج هذا المورد عن أدلّة التمييز، إذ المفروض إختلاط الحيض بالإستحاضة، فكيف يجعل تمييزها بجعل الجميع إستحاضة، فيلزم من الرجوع إلى أدلّة التمييز طرحها، بخلاف ما لو حكمنا على الناقص بالحيضيّة، وعلى الضعيف بالإستحاضة إلّاما يحتاج إليه في تكميل الناقص، فإنّه قد حصل التمييز من دون تقييد زائدٍ على ما هو المعلوم في كلّ من الضعيف والقوي من تقييده بصورة القابليّة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الخراساني رحمه الله</w:t>
      </w:r>
      <w:r>
        <w:rPr>
          <w:rStyle w:val="FootnoteAnchor"/>
          <w:rtl w:val="true"/>
        </w:rPr>
        <w:footnoteReference w:id="1392"/>
      </w:r>
      <w:r>
        <w:rPr>
          <w:rFonts w:ascii="Amiri" w:hAnsi="Amiri" w:eastAsia="Amiri" w:cs="Amiri"/>
          <w:color w:val="111111"/>
          <w:sz w:val="28"/>
          <w:sz w:val="28"/>
          <w:szCs w:val="28"/>
          <w:rtl w:val="true"/>
          <w:lang w:bidi="ar-SA"/>
        </w:rPr>
        <w:t xml:space="preserve">حيث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الإدبار الذي يوجب البناء على الاستحاضة كالإقبال كي يعارض به، ضرورة أنّه يتبع الإقبال،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بالإستحاضة عند وجود صفاتها من قبيل الأصل، نظير قاعدة الإمكان، فلا يرجع إليها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الهمداني</w:t>
      </w:r>
      <w:r>
        <w:rPr>
          <w:rStyle w:val="FootnoteAnchor"/>
          <w:rtl w:val="true"/>
        </w:rPr>
        <w:footnoteReference w:id="1393"/>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الأخبار مسوقة لبيان ما يمتاز به الحيض عن الاستحاضة، وإنّما ذُكر أوصاف الاستحاضة استطراداً لبيان أنّه ليس بحيض، فإذا تبيّن كون بعض ما رأته بصفات الاستحاضة حيضاً، باعتبار كونه مكمِّلاً لما علم حيضيّته بالأوصاف، فلا تنافيه هذه الأدلّة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الكلّ 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المحذور المترتّب على الرجوع إلى أدلّة التمييز، بجعل الجميع استحاضة، وإنْ كان تامّاً، ولكن هذا لايوجب الرجوع إلى أدلّة التمييز بجعل القويّ حيضاً وإكماله من الضعيف؛ إذ المقدار المكمّل له من الضعيف، كما يمكن جعله حيضاً لما ذكره كذلك، يمكن جعله إستحاضةً‌، لأنّ تلك الأدلّة بمدلوهاالمطابقي تدلّ عليذلك، فلامحالة تقع المعارضة بين قوّة القويّ المستلزمة لجعله حيضاً، وضعف الضعيف المقتضي لجعله استحاضة،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الروايات مسوقة لبيان أماريّة الإقبال للحيض، وإنّما ذُكر الإدبار بتبعه استطراداً، لبيان أنّه ليس بحيض، فهو يرجع إلى الوجه الرابع الذي سيأتي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أنّ حجيّة الإدبار مترتّبة على حجيّة الإقبال، بمعنى أنّه حجّة إذا لم يكن الإقبال حجّة، فيرد عليه أنّه خلاف إطلاق دليل 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النصوص أماريّة صفات الاستحاضة لها، كأماريّة صفات الحيض بلا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المقصود الأصلي في بيان الصفات، وإنْ كان بيان صفات الحيض، وإنّما ذُكرت صفات الاستحاضة إستطراداً، إلّاأنّه بعد بيانها ولو كذلك، وثبوت كونه عليه السلام في مقام البيان لا الإجمال والإهمال كما هو المفروض، لا سبيل إلى دعوى تعيّن سقوطها عن الحجيّة عند المعارضة، كما لا يخفى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في مقام الجواب عن هذا الإيراد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عدم كون جميع ما رأته بصفات الاستحاضة إستحاضة للحكم بحيضيّة بعضه، إمّا لكونه مكمّلاً للواجد لصفات الحيض، أو من جهة الرجوع إلى عادة نسائها أو الروايات، </w:t>
      </w:r>
    </w:p>
    <w:p>
      <w:pPr>
        <w:pStyle w:val="BookText"/>
        <w:rPr/>
      </w:pPr>
      <w:r>
        <w:rPr>
          <w:rFonts w:ascii="Amiri" w:hAnsi="Amiri" w:eastAsia="Amiri" w:cs="Amiri"/>
          <w:color w:val="111111"/>
          <w:sz w:val="28"/>
          <w:sz w:val="28"/>
          <w:szCs w:val="28"/>
          <w:rtl w:val="true"/>
          <w:lang w:bidi="ar-SA"/>
        </w:rPr>
        <w:t>وعليه فلا يكون الفقدان حجّةً على الاستحاضة كي يعارض مع الوجدان الذي هو طريقٌ إلى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حجيّة الصفات لا تدلّ على كون المقدار المكمّل من الفاقد إستحاضة، لاعتبار القابليّة في حجيّتها، اللّهُمَّ إلّاأنْ يقال إنّ أدلّة حجيّة الصفات في أنفسها تشمل المقدار المكمّل، ولكن لأجل عدم إمكان الحكم بكون الجميع إستحاضة، يقع التعارض بين أفراد الفقدان والضعف، وعليه فكما أنّ الضعف في المقدار المكمّل يعارض مع الضعف في غيره، كذلك يعارض مع قوّة القوي بلا تقدّم ولا تأخّر في ذلك، ولازمه عدم تعيّن أماريّة القوّة أيضاً، فتدبّر حتّى لا 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ما نُسب إلى المشهور من أنّ حكم هذه حكم من استمرّ دمها على لونٍ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ترجع في تكميل الناقص إلى الروايات أو عادة النساء؟</w:t>
      </w:r>
    </w:p>
    <w:p>
      <w:pPr>
        <w:pStyle w:val="BookText"/>
        <w:rPr/>
      </w:pPr>
      <w:r>
        <w:rPr>
          <w:rFonts w:ascii="Amiri" w:hAnsi="Amiri" w:eastAsia="Amiri" w:cs="Amiri"/>
          <w:color w:val="111111"/>
          <w:sz w:val="28"/>
          <w:sz w:val="28"/>
          <w:szCs w:val="28"/>
          <w:rtl w:val="true"/>
          <w:lang w:bidi="ar-SA"/>
        </w:rPr>
        <w:t>أم تقتصر في رفع اليد عن أوصاف الاستحاضة على قدر الضرورة‌؟</w:t>
      </w:r>
    </w:p>
    <w:p>
      <w:pPr>
        <w:pStyle w:val="BookText"/>
        <w:rPr/>
      </w:pPr>
      <w:r>
        <w:rPr>
          <w:rFonts w:ascii="Amiri" w:hAnsi="Amiri" w:eastAsia="Amiri" w:cs="Amiri"/>
          <w:color w:val="111111"/>
          <w:sz w:val="28"/>
          <w:sz w:val="28"/>
          <w:szCs w:val="28"/>
          <w:rtl w:val="true"/>
          <w:lang w:bidi="ar-SA"/>
        </w:rPr>
        <w:t>وجهان بل قولان، لا تبعد دعوى أظهريّة الأوّل، إذ الظاهر من ما دلّ على الرجوع إلى عادة النساء أو الروايات، أنّه لا فرق بين ما إذا اختلط تمام الحيض بالإستحاضة أو اختلط بعضه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هذا المسلك وما اخترناه، هو تعيّن محلّ الأخذ على هذا القول دون المختار، كما لا يخفى</w:t>
      </w:r>
      <w:r>
        <w:rPr>
          <w:rFonts w:eastAsia="Amiri" w:cs="Amiri" w:ascii="Amiri" w:hAnsi="Amiri"/>
          <w:color w:val="111111"/>
          <w:sz w:val="28"/>
          <w:szCs w:val="28"/>
          <w:rtl w:val="true"/>
          <w:lang w:bidi="ar-SA"/>
        </w:rPr>
        <w:t>.</w:t>
      </w:r>
      <w:bookmarkStart w:id="530" w:name="pg11795_115688"/>
    </w:p>
    <w:p>
      <w:pPr>
        <w:pStyle w:val="Heading6"/>
        <w:numPr>
          <w:ilvl w:val="5"/>
          <w:numId w:val="1"/>
        </w:numPr>
        <w:rPr/>
      </w:pPr>
      <w:bookmarkStart w:id="531" w:name="__RefHeading___Toc10329017_73709187"/>
      <w:bookmarkStart w:id="532" w:name="_Toc201"/>
      <w:bookmarkEnd w:id="530"/>
      <w:bookmarkEnd w:id="531"/>
      <w:r>
        <w:rPr>
          <w:rtl w:val="true"/>
        </w:rPr>
        <w:t>الشرط الثاني</w:t>
      </w:r>
      <w:bookmarkEnd w:id="532"/>
    </w:p>
    <w:p>
      <w:pPr>
        <w:pStyle w:val="BookText"/>
        <w:rPr/>
      </w:pPr>
      <w:r>
        <w:rPr>
          <w:rFonts w:ascii="Amiri" w:hAnsi="Amiri" w:eastAsia="Amiri" w:cs="Amiri"/>
          <w:color w:val="111111"/>
          <w:sz w:val="28"/>
          <w:sz w:val="28"/>
          <w:szCs w:val="28"/>
          <w:rtl w:val="true"/>
          <w:lang w:bidi="ar-SA"/>
        </w:rPr>
        <w:t>أن لا يكون ما بصفة الحيض أكثر من العشرة،</w:t>
      </w:r>
    </w:p>
    <w:p>
      <w:pPr>
        <w:pStyle w:val="BookText"/>
        <w:rPr/>
      </w:pPr>
      <w:r>
        <w:rPr>
          <w:rFonts w:ascii="Amiri" w:hAnsi="Amiri" w:eastAsia="Amiri" w:cs="Amiri"/>
          <w:color w:val="111111"/>
          <w:sz w:val="28"/>
          <w:sz w:val="28"/>
          <w:szCs w:val="28"/>
          <w:rtl w:val="true"/>
          <w:lang w:bidi="ar-SA"/>
        </w:rPr>
        <w:t>وإلّا لزم كون الحيض أزيد من العشرة، وقد عرفت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استشكله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من أنّه لا تساعده روايات الباب، قد عرفت الجواب عنه في الشرط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هذه كمَن استمرَّ بها الدّم على نَسَقٍ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المتّصف بصفة الحيض حيضاً مهما أمكن، فتتحيّض بالعشرة الأُولى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الفاضل في كاشف اللّثام</w:t>
      </w:r>
      <w:r>
        <w:rPr>
          <w:rStyle w:val="FootnoteAnchor"/>
          <w:rtl w:val="true"/>
        </w:rPr>
        <w:footnoteReference w:id="1396"/>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97"/>
      </w:r>
      <w:r>
        <w:rPr>
          <w:rFonts w:ascii="IRNazanin" w:hAnsi="IRNazanin" w:eastAsia="IRNazanin"/>
          <w:color w:val="111111"/>
          <w:sz w:val="28"/>
          <w:sz w:val="28"/>
          <w:szCs w:val="28"/>
          <w:rtl w:val="true"/>
          <w:lang w:bidi="fa-IR"/>
        </w:rPr>
        <w:t>وبعض من تأخّر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المقام أيضاً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رجوعها إلى التمييز وعدمه‌؟</w:t>
      </w:r>
    </w:p>
    <w:p>
      <w:pPr>
        <w:pStyle w:val="BookText"/>
        <w:rPr/>
      </w:pPr>
      <w:r>
        <w:rPr>
          <w:rFonts w:ascii="Amiri" w:hAnsi="Amiri" w:eastAsia="Amiri" w:cs="Amiri"/>
          <w:color w:val="111111"/>
          <w:sz w:val="28"/>
          <w:sz w:val="28"/>
          <w:szCs w:val="28"/>
          <w:rtl w:val="true"/>
          <w:lang w:bidi="ar-SA"/>
        </w:rPr>
        <w:t>والأقوى هو الثاني، لأنّ ظاهر أدلّة التمييز، جعل الواجد حيضاً والفاقد استحاضة، من دون زيادة لأحدهما على الآخر، فلا تشمل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صحّة الاستدلال للقول الآخر بعموم أدلّة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يفهم حكمها من النصوص عرفاً بالتقريب المتقدّم في سابقه، فقد عرفت اندفاعها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على أصحاب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يقع التعارض بين التنقيص من الأوّل ومن الآخر، فتسقط حجيّة الصفات في الطرفين معاً لعدم المرجّح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الاُصول من أنّ مقتضى القاعدة في تعارض الأمارات هو التخيير لا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الشيخ رحمه الله أنّه لا وجه للبناء على حيضيّة العشرة الأولى؛ إذ التقدّم الزماني ليس من المرجّحات، وقاعدة الإمكان معارضة بالمثل بالنسبة إلى العشرة اللّاحقة، وظاهر المرسلة أماريّة الإقبال للحيض، لا خصوص حدوثه، كي يدّعي أنّ حدوثه يوجب التحيّض لا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فرض الرجوع إلى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ترجع في تنقيص الزائد إلى الروايات‌؟</w:t>
      </w:r>
    </w:p>
    <w:p>
      <w:pPr>
        <w:pStyle w:val="BookText"/>
        <w:rPr/>
      </w:pPr>
      <w:r>
        <w:rPr>
          <w:rFonts w:ascii="Amiri" w:hAnsi="Amiri" w:eastAsia="Amiri" w:cs="Amiri"/>
          <w:color w:val="111111"/>
          <w:sz w:val="28"/>
          <w:sz w:val="28"/>
          <w:szCs w:val="28"/>
          <w:rtl w:val="true"/>
          <w:lang w:bidi="ar-SA"/>
        </w:rPr>
        <w:t>أم تقتصر في رفع اليد عن أوصاف الحيض على قدر الضرورة‌؟</w:t>
      </w:r>
    </w:p>
    <w:p>
      <w:pPr>
        <w:pStyle w:val="BookText"/>
        <w:rPr/>
      </w:pPr>
      <w:r>
        <w:rPr>
          <w:rFonts w:ascii="Amiri" w:hAnsi="Amiri" w:eastAsia="Amiri" w:cs="Amiri"/>
          <w:color w:val="111111"/>
          <w:sz w:val="28"/>
          <w:sz w:val="28"/>
          <w:szCs w:val="28"/>
          <w:rtl w:val="true"/>
          <w:lang w:bidi="ar-SA"/>
        </w:rPr>
        <w:t>صريح الشيخ قدس سره</w:t>
      </w:r>
      <w:r>
        <w:rPr>
          <w:rStyle w:val="FootnoteAnchor"/>
          <w:rtl w:val="true"/>
        </w:rPr>
        <w:footnoteReference w:id="1398"/>
      </w:r>
      <w:r>
        <w:rPr>
          <w:rFonts w:ascii="Amiri" w:hAnsi="Amiri" w:eastAsia="Amiri" w:cs="Amiri"/>
          <w:color w:val="111111"/>
          <w:sz w:val="28"/>
          <w:sz w:val="28"/>
          <w:szCs w:val="28"/>
          <w:rtl w:val="true"/>
          <w:lang w:bidi="ar-SA"/>
        </w:rPr>
        <w:t>هو الثاني، وعن بعض اختيار الأوّل، وهو الأقوى؛ إذ مَنْ رأت الدّم مدّةً بصفة الاستحاضة، ومدّةً تتجاوز عن عشرة أيّام بصفات الحيض، فهي كمن رأت إبتداءً بصفات الحيض أكثر من عشرة أيّام، لأنّ تلك الأيّام أيّام إختلاط حيضها بالإستحاضة، وأمّا الأيّام التي قبلها فهي مستحاضة فيها بمقتضى أخبار التمييز، واختلاف الدّم في الفرضين، وكونه في المقام مسبوقاً بدمٍ معلوم الحال، وفي الفرض الآخر مسبوقاً بالنقاء، لا يوجب اختلاف حكمهما بحسب ما يستفاد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أنّه مع فَقْد كلٍّ من الشرطين، تكون المرأة فاقدة للتمييز، ووظيفتها الرجوع إلى عادة النساء، أو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وتسليم كونها واجدة له، ورجوعها إليه، ترجع في تكميل الناقص وتنقيص الزائد إلى الروايات أو عادة النساء</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33" w:name="pg11795_115690"/>
    </w:p>
    <w:p>
      <w:pPr>
        <w:pStyle w:val="Heading6"/>
        <w:numPr>
          <w:ilvl w:val="5"/>
          <w:numId w:val="1"/>
        </w:numPr>
        <w:rPr/>
      </w:pPr>
      <w:bookmarkStart w:id="534" w:name="__RefHeading___Toc10329019_73709187"/>
      <w:bookmarkStart w:id="535" w:name="_Toc202"/>
      <w:bookmarkEnd w:id="533"/>
      <w:bookmarkEnd w:id="534"/>
      <w:r>
        <w:rPr>
          <w:rtl w:val="true"/>
        </w:rPr>
        <w:t>الشرط الثالث</w:t>
      </w:r>
      <w:r>
        <w:rPr>
          <w:rtl w:val="true"/>
        </w:rPr>
        <w:t xml:space="preserve">: </w:t>
      </w:r>
      <w:r>
        <w:rPr>
          <w:rtl w:val="true"/>
        </w:rPr>
        <w:t>عدم قصور الدّم الضعيف عن أقلّ الطهر</w:t>
      </w:r>
      <w:bookmarkEnd w:id="535"/>
    </w:p>
    <w:p>
      <w:pPr>
        <w:pStyle w:val="BookText"/>
        <w:rPr/>
      </w:pPr>
      <w:r>
        <w:rPr>
          <w:rFonts w:ascii="Amiri" w:hAnsi="Amiri" w:eastAsia="Amiri" w:cs="Amiri"/>
          <w:color w:val="111111"/>
          <w:sz w:val="28"/>
          <w:sz w:val="28"/>
          <w:szCs w:val="28"/>
          <w:rtl w:val="true"/>
          <w:lang w:bidi="ar-SA"/>
        </w:rPr>
        <w:t>حكم عدم قصور الدّم</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قصور الدّم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ما يضاف إليه من أيّام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أمكن كون مجموع القويين مع الضعيف المتخلّل حيضاً واحداً، كما إذا رأت الدّم الأسود مثلاً ثلاثاً، ثمّ الأصفر كذلك، ثمّ الأسود أربعة، ثمّ الأصفر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الحكم بحيضيّة الأسودين مع الحكم بكون المتخلّل طهراً، لما دلّ على أنّ أقلّ الطُهر عشرة، وقد مرّ الكلام فيه مفصّلاً</w:t>
      </w:r>
      <w:r>
        <w:rPr>
          <w:rStyle w:val="FootnoteAnchor"/>
          <w:rtl w:val="true"/>
        </w:rPr>
        <w:footnoteReference w:id="1399"/>
      </w:r>
      <w:r>
        <w:rPr>
          <w:rFonts w:ascii="Amiri" w:hAnsi="Amiri" w:eastAsia="Amiri" w:cs="Amiri"/>
          <w:color w:val="111111"/>
          <w:sz w:val="28"/>
          <w:sz w:val="28"/>
          <w:szCs w:val="28"/>
          <w:rtl w:val="true"/>
          <w:lang w:bidi="ar-SA"/>
        </w:rPr>
        <w:t>فراجع، 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يحكم بكون المجموع حيضة واحدة، ليتبعهما الأصفر، كما عن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والمحقّق الهمداني رحمه الله</w:t>
      </w:r>
      <w:r>
        <w:rPr>
          <w:rStyle w:val="FootnoteAnchor"/>
          <w:rtl w:val="true"/>
        </w:rPr>
        <w:footnoteReference w:id="14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هو الفقيه الهمداني في المصدر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سَوق أخبار التمييز يشهد بكونها مسوقة لبيان تشخيص الحيض عمّا ليس بحيض، فالحكم بكون الأصفر استحاضة وطهراً إنّما هو لعدم صلاحيّته للحيض، من حيث تخلّف أماراته، فإذا تحقّقت أمارة الحيض في الطرفين، فهي العلامة لحيضيّة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المستفاد من الأخبار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طريقيّة الوجدان في القوي للحيض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وطريقيّة الفقدان في الضعيف للإستحاضة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الإدبار للإقبال، وكونه حجّة على الاستحاضة، حيثُ لا يكون إقبال يدلّ على الحيض، ولو في غير ذلك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آنفاً من كونه حجّة عليها في عرض حجيّة الإقبال على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الحكم بحيضيّة المجموع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يحكم بحيضيّة القوي الأوّل، واستحاضيّة الضعيف مع القوي الآخر كما عن جماعةٍ؟ أم يمتنع الرجوع إلى التمييز؟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14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بامتناع شمول ما دلّ على اعتبار الصفات للقوي اللّاحق، لتوقّف شموله له على عدم شموله للضعيف المتقدّم عليه، وخروجه موقوفٌ على كون القوي اللّاحق فرداً وهو دور واضح، فلا يمكن الحكم بكون القوى اللّاحق حيضاً، وأمّا الضعيف فيمكن الحكم بكونه استحاضة فيحكم به ويتبعه القوي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يتوقّف على الحكم بكون القويّ الأوّل حيضاً، وهو أوّل الكلام؛ إذ كما أنّ الوجدان فيه علامة كونه حيضاً، كذلك الوجدان في الثاني علامة له، والفقدان في الضعيف علامة كونه استحاضة، وحيثُ لا يمكن التحفّظ على جميع ذلك، فلا محالة يقع التعارض بينها، فلا وجه للإلتزام بكون الوجدان في الأوّل حجّة على الحيض، ثمّ يلاحظ ما تقتضيه القاعدة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الحكم بكون القويّ الأوّل حيضاً، ووقوع التعارض بين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طريقيّة الإقبال في القوي اللّاحق والإدبار في الضعيف، لكن لا نُسلّم إمكان الحكم بكون الضعيف استحاضة، وعدم إمكان الحكم بكون القوي حيضاً، إذ يمكن أنْ يُعكس الاستدلال المزبور،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بكون الضعيف استحاضة، يتوقّف على عدم شمول الأدلّة للقوي اللّاحق، إذ مع الشمول له يمكن الحكم بكون الضعيف استحاضة، وهو يتوقّف على شمولها له، وهو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إمتناع الرجوع إلى التمييز، لتعارض طريقيّة الوجدان في القويّين مع الفقدان في الضعيف، ممّا يجعلها فاقدة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الحكم في المقام الثاني، وهو ما لا يمكن فيه الحكم بكون المجموع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تماميّة الشرط المزبور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من الإستشكال في ذلك، بدعوى عدم الدليل عليه، بل ظاهر الأخبار يرده، ويؤيّده خبرا أبي بصير</w:t>
      </w:r>
      <w:r>
        <w:rPr>
          <w:rStyle w:val="FootnoteAnchor"/>
          <w:rtl w:val="true"/>
        </w:rPr>
        <w:footnoteReference w:id="1404"/>
      </w:r>
      <w:r>
        <w:rPr>
          <w:rFonts w:ascii="Amiri" w:hAnsi="Amiri" w:eastAsia="Amiri" w:cs="Amiri"/>
          <w:color w:val="111111"/>
          <w:sz w:val="28"/>
          <w:sz w:val="28"/>
          <w:szCs w:val="28"/>
          <w:rtl w:val="true"/>
          <w:lang w:bidi="ar-SA"/>
        </w:rPr>
        <w:t>، ويونس بن يعقوب</w:t>
      </w:r>
      <w:r>
        <w:rPr>
          <w:rStyle w:val="FootnoteAnchor"/>
          <w:rtl w:val="true"/>
        </w:rPr>
        <w:footnoteReference w:id="1405"/>
      </w:r>
      <w:r>
        <w:rPr>
          <w:rFonts w:ascii="Amiri" w:hAnsi="Amiri" w:eastAsia="Amiri" w:cs="Amiri"/>
          <w:color w:val="111111"/>
          <w:sz w:val="28"/>
          <w:sz w:val="28"/>
          <w:szCs w:val="28"/>
          <w:rtl w:val="true"/>
          <w:lang w:bidi="ar-SA"/>
        </w:rPr>
        <w:t>المتقدّمان، في مبحث اعتبار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الدليل عليه، وأن الأخبار لا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وأمّاخبرا أبي بصيرويونس، فقد مرّ بيان المراد منهما في ذلك المبحث،</w:t>
      </w:r>
      <w:r>
        <w:rPr>
          <w:rStyle w:val="FootnoteAnchor"/>
          <w:rtl w:val="true"/>
        </w:rPr>
        <w:footnoteReference w:id="140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36" w:name="pg11795_115693"/>
    </w:p>
    <w:p>
      <w:pPr>
        <w:pStyle w:val="BookText"/>
        <w:rPr/>
      </w:pPr>
      <w:bookmarkEnd w:id="536"/>
      <w:r>
        <w:rPr>
          <w:rFonts w:ascii="Amiri" w:hAnsi="Amiri" w:eastAsia="Amiri" w:cs="Amiri"/>
          <w:color w:val="111111"/>
          <w:sz w:val="28"/>
          <w:sz w:val="28"/>
          <w:szCs w:val="28"/>
          <w:rtl w:val="true"/>
          <w:lang w:bidi="ar-SA"/>
        </w:rPr>
        <w:t>ولو فَقَدته، رجعتِ المُبتدئة إلى عادة أهلها</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10329021_73709187"/>
      <w:bookmarkStart w:id="538" w:name="_Toc203"/>
      <w:bookmarkEnd w:id="537"/>
      <w:r>
        <w:rPr>
          <w:rtl w:val="true"/>
        </w:rPr>
        <w:t>الرجوع إلى الأرقاب</w:t>
      </w:r>
      <w:bookmarkEnd w:id="538"/>
    </w:p>
    <w:p>
      <w:pPr>
        <w:pStyle w:val="BookText"/>
        <w:rPr/>
      </w:pPr>
      <w:r>
        <w:rPr>
          <w:rFonts w:ascii="Amiri" w:hAnsi="Amiri" w:eastAsia="Amiri" w:cs="Amiri"/>
          <w:color w:val="111111"/>
          <w:sz w:val="28"/>
          <w:sz w:val="28"/>
          <w:szCs w:val="28"/>
          <w:rtl w:val="true"/>
          <w:lang w:bidi="ar-SA"/>
        </w:rPr>
        <w:t xml:space="preserve">هذا إذا كان للمبتدأة أو المضطربة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فقدته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الدّم لوناً واحداً، أو لم يحصل أحد الشروط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المُبتدئة إلى عادة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الخمسة</w:t>
      </w:r>
      <w:r>
        <w:rPr>
          <w:rStyle w:val="FootnoteAnchor"/>
          <w:rtl w:val="true"/>
        </w:rPr>
        <w:footnoteReference w:id="14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وأتباعهم 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اتّفاق الأعيان من فضلائنا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هذا الحكم، واحتمال رجوعها إلى أقلّ الحيض للأصل، وإلى العشرة للإمكان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اختاره المشهور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 سماعة</w:t>
      </w:r>
      <w:r>
        <w:rPr>
          <w:rStyle w:val="FootnoteAnchor"/>
          <w:rtl w:val="true"/>
        </w:rPr>
        <w:footnoteReference w:id="14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جاريةٍ حاضتْ أوّل حيضها، فدام دمها ثلاثة أشهر، وهي لا تعرف أيّام أقرائها؟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أقراؤها مثل أقراء نسائها، فإنْ كُنَّ نساؤها مختلفات، فأكثر جلوسها عشرة وأقلّه ثلاثة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باُمور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مضمراً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معارضاً مع مرسل يونس الطويل</w:t>
      </w:r>
      <w:r>
        <w:rPr>
          <w:rStyle w:val="FootnoteAnchor"/>
          <w:rtl w:val="true"/>
        </w:rPr>
        <w:footnoteReference w:id="1411"/>
      </w:r>
      <w:r>
        <w:rPr>
          <w:rFonts w:ascii="Amiri" w:hAnsi="Amiri" w:eastAsia="Amiri" w:cs="Amiri"/>
          <w:color w:val="111111"/>
          <w:sz w:val="28"/>
          <w:sz w:val="28"/>
          <w:szCs w:val="28"/>
          <w:rtl w:val="true"/>
          <w:lang w:bidi="ar-SA"/>
        </w:rPr>
        <w:t>، الدالّ على الرجوع إلى العدد بعد فقد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التصريح فيه بتأخّر ذلك عن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إضماره لا يضرّ، بعدما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أنّه مجمعٌ على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الجمع بينه وبين المرسل، يقتضي حمل المرسل على من تعذّر عليها الرجوع إلى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أدلّة التمييز حاكمة عليه، وموجبة لدخول المرأة الواجدة له فيمن تَعرف أيّام أقرائها، فتكون خارجة عن موضوع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w:t>
      </w:r>
      <w:r>
        <w:rPr>
          <w:rStyle w:val="FootnoteAnchor"/>
          <w:rtl w:val="true"/>
        </w:rPr>
        <w:footnoteReference w:id="1413"/>
      </w:r>
      <w:r>
        <w:rPr>
          <w:rFonts w:ascii="Amiri" w:hAnsi="Amiri" w:eastAsia="Amiri" w:cs="Amiri"/>
          <w:color w:val="111111"/>
          <w:sz w:val="28"/>
          <w:sz w:val="28"/>
          <w:szCs w:val="28"/>
          <w:rtl w:val="true"/>
          <w:lang w:bidi="ar-SA"/>
        </w:rPr>
        <w:t>ومحمّد بن مسلم، عن الامام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للمستحاضة أن تنظر بعض نسائها فتقتدي بأقرائها، ثمّ تستظهر على ذلك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يشمل المضطربة، وظاهره الاكتفاء ببعض النسوة ومتضمّنٌ للأمر بإستظهارها بيوم، وشيء من ذلك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بالمضطربة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المُبتدئة بالمعنى الأعمّ‌، فسيجئ الكلام فيها، وستعرف أنّه لا مانع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الالتزام بكون حكمها حكم المُبتدئة بالمعنى الأخصّ‌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بها الناسية، فالظاهر عدم شمول الموثّق</w:t>
      </w:r>
      <w:r>
        <w:rPr>
          <w:rStyle w:val="FootnoteAnchor"/>
          <w:rtl w:val="true"/>
        </w:rPr>
        <w:footnoteReference w:id="1414"/>
      </w:r>
      <w:r>
        <w:rPr>
          <w:rFonts w:ascii="Amiri" w:hAnsi="Amiri" w:eastAsia="Amiri" w:cs="Amiri"/>
          <w:color w:val="111111"/>
          <w:sz w:val="28"/>
          <w:sz w:val="28"/>
          <w:szCs w:val="28"/>
          <w:rtl w:val="true"/>
          <w:lang w:bidi="ar-SA"/>
        </w:rPr>
        <w:t>لها، لإنصرافه عنها كإنصرافه عن 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شموله لها، فيقيّد بالإجماع وغيره ممّا دلّ على أنّها لا ترجع إلى عادة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الاكتفاء ببعض النسوة، فمضافاً إلى أنّه لا محذور في الالتزام به على ما ستعرف، يمكن أنْ يكون ذلك لأجل حصول الظنّ بعادة الكلّ من عادة البعض، فيكون ذلك أمارة على عادة الكلّ أو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بالإستظهار، فيُحمل على إرادة الاستحباب منه لا الوجوب، للإجماع، ويكون ذلك لرعاية احتمال إقتضاء طبيعتها لقذف دمّ الحيض أزيد من طبيعة نسائها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يظهر منه تقدّم ذلك على التمييز أو تأخّره عنه، مع أنّه يُحتمل أن يكون الرجوع إلى الأرقاب والتحيّض بعادتهن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كالتحيّض في أيّام الإستظهار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ظاهريّاً بلحاظ إنقطاعه على العشرة، لا واقعيّاً بلحاظ عبوره عنها،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إنّه 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يُقيَّد إطلاقه بما دلّ على الرجوع إلى التمييز، ويحمل على صورة فقده، مع أنّه يمكن القول بتقدّم التمييز عليه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الظاهر، إذ الظاهر منه كونه في مقام بيان الوظيفة الواقعيّة، لاسيّما وقد جُعل في مقابل الإستظهار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على رجوع المُبتدئة إلى عادة نسائها، لا ينبغي إنكارها،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ورفع اليد عنها لهذه المناقشات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صحّة الاستدلال للمطلوب بموثّق أبي بصير</w:t>
      </w:r>
      <w:r>
        <w:rPr>
          <w:rStyle w:val="FootnoteAnchor"/>
          <w:rtl w:val="true"/>
        </w:rPr>
        <w:footnoteReference w:id="1415"/>
      </w:r>
      <w:r>
        <w:rPr>
          <w:rFonts w:ascii="Amiri" w:hAnsi="Amiri" w:eastAsia="Amiri" w:cs="Amiri"/>
          <w:color w:val="111111"/>
          <w:sz w:val="28"/>
          <w:sz w:val="28"/>
          <w:szCs w:val="28"/>
          <w:rtl w:val="true"/>
          <w:lang w:bidi="ar-SA"/>
        </w:rPr>
        <w:t>المروي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إن كانت لا تعرف أيّام نفاسها فابتُليت، جلستْ مثل أيّام أُمّها أو أُختها أو خالتها، وإستظهرت بثلثي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بأيّام النفاس أيّام الحيض، إذ لا اعتبار بأيّام النفاس بالمعنى المقابل للحيض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أنّ ما عن الشيخ</w:t>
      </w:r>
      <w:r>
        <w:rPr>
          <w:rStyle w:val="FootnoteAnchor"/>
          <w:rtl w:val="true"/>
        </w:rPr>
        <w:footnoteReference w:id="1416"/>
      </w:r>
      <w:r>
        <w:rPr>
          <w:rFonts w:ascii="Amiri" w:hAnsi="Amiri" w:eastAsia="Amiri" w:cs="Amiri"/>
          <w:color w:val="111111"/>
          <w:sz w:val="28"/>
          <w:sz w:val="28"/>
          <w:szCs w:val="28"/>
          <w:rtl w:val="true"/>
          <w:lang w:bidi="ar-SA"/>
        </w:rPr>
        <w:t>، وابن حمزة، والحلّي</w:t>
      </w:r>
      <w:r>
        <w:rPr>
          <w:rStyle w:val="FootnoteAnchor"/>
          <w:rtl w:val="true"/>
        </w:rPr>
        <w:footnoteReference w:id="1417"/>
      </w:r>
      <w:r>
        <w:rPr>
          <w:rFonts w:ascii="Amiri" w:hAnsi="Amiri" w:eastAsia="Amiri" w:cs="Amiri"/>
          <w:color w:val="111111"/>
          <w:sz w:val="28"/>
          <w:sz w:val="28"/>
          <w:szCs w:val="28"/>
          <w:rtl w:val="true"/>
          <w:lang w:bidi="ar-SA"/>
        </w:rPr>
        <w:t xml:space="preserve">، والمحقّق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 والمصنّف</w:t>
      </w:r>
      <w:r>
        <w:rPr>
          <w:rStyle w:val="FootnoteAnchor"/>
          <w:rtl w:val="true"/>
        </w:rPr>
        <w:footnoteReference w:id="1419"/>
      </w:r>
      <w:r>
        <w:rPr>
          <w:rFonts w:ascii="Amiri" w:hAnsi="Amiri" w:eastAsia="Amiri" w:cs="Amiri"/>
          <w:color w:val="111111"/>
          <w:sz w:val="28"/>
          <w:sz w:val="28"/>
          <w:szCs w:val="28"/>
          <w:rtl w:val="true"/>
          <w:lang w:bidi="ar-SA"/>
        </w:rPr>
        <w:t xml:space="preserve">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والشهيدين</w:t>
      </w:r>
      <w:r>
        <w:rPr>
          <w:rStyle w:val="FootnoteAnchor"/>
          <w:rtl w:val="true"/>
        </w:rPr>
        <w:footnoteReference w:id="1420"/>
      </w:r>
      <w:r>
        <w:rPr>
          <w:rFonts w:ascii="Amiri" w:hAnsi="Amiri" w:eastAsia="Amiri" w:cs="Amiri"/>
          <w:color w:val="111111"/>
          <w:sz w:val="28"/>
          <w:sz w:val="28"/>
          <w:szCs w:val="28"/>
          <w:rtl w:val="true"/>
          <w:lang w:bidi="ar-SA"/>
        </w:rPr>
        <w:t>والمحقّق</w:t>
      </w:r>
      <w:r>
        <w:rPr>
          <w:rStyle w:val="FootnoteAnchor"/>
          <w:rtl w:val="true"/>
        </w:rPr>
        <w:footnoteReference w:id="1421"/>
      </w:r>
      <w:r>
        <w:rPr>
          <w:rFonts w:ascii="Amiri" w:hAnsi="Amiri" w:eastAsia="Amiri" w:cs="Amiri"/>
          <w:color w:val="111111"/>
          <w:sz w:val="28"/>
          <w:sz w:val="28"/>
          <w:szCs w:val="28"/>
          <w:rtl w:val="true"/>
          <w:lang w:bidi="ar-SA"/>
        </w:rPr>
        <w:t>الثاني</w:t>
      </w:r>
      <w:r>
        <w:rPr>
          <w:rStyle w:val="FootnoteAnchor"/>
          <w:rtl w:val="true"/>
        </w:rPr>
        <w:footnoteReference w:id="1422"/>
      </w:r>
      <w:r>
        <w:rPr>
          <w:rFonts w:ascii="Amiri" w:hAnsi="Amiri" w:eastAsia="Amiri" w:cs="Amiri"/>
          <w:color w:val="111111"/>
          <w:sz w:val="28"/>
          <w:sz w:val="28"/>
          <w:szCs w:val="28"/>
          <w:rtl w:val="true"/>
          <w:lang w:bidi="ar-SA"/>
        </w:rPr>
        <w:t>وغيرهم، من ثبوت هذا الحكم لمن لم تستقرّ لها عادة، أي المُبتدئة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الأقوى للموثّقين المتقدّمين</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مضمر سماعة</w:t>
      </w:r>
      <w:r>
        <w:rPr>
          <w:rStyle w:val="FootnoteAnchor"/>
          <w:rtl w:val="true"/>
        </w:rPr>
        <w:footnoteReference w:id="1424"/>
      </w:r>
      <w:r>
        <w:rPr>
          <w:rFonts w:ascii="Amiri" w:hAnsi="Amiri" w:eastAsia="Amiri" w:cs="Amiri"/>
          <w:color w:val="111111"/>
          <w:sz w:val="28"/>
          <w:sz w:val="28"/>
          <w:szCs w:val="28"/>
          <w:rtl w:val="true"/>
          <w:lang w:bidi="ar-SA"/>
        </w:rPr>
        <w:t>، فظاهره الإختصاص بالمبتدئة بالمعنى الأخصّ‌</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 ليس لخصوصيّة فيها، كما يظهر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لا تعرف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منه أنّ المناط عدم المعرفة بأيّامها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حينئذٍ البناء على ثبوت الحكم المذكور للناسية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وغيرهما</w:t>
      </w:r>
      <w:r>
        <w:rPr>
          <w:rStyle w:val="FootnoteAnchor"/>
          <w:rtl w:val="true"/>
        </w:rPr>
        <w:footnoteReference w:id="1427"/>
      </w:r>
      <w:r>
        <w:rPr>
          <w:rFonts w:ascii="Amiri" w:hAnsi="Amiri" w:eastAsia="Amiri" w:cs="Amiri"/>
          <w:color w:val="111111"/>
          <w:sz w:val="28"/>
          <w:sz w:val="28"/>
          <w:szCs w:val="28"/>
          <w:rtl w:val="true"/>
          <w:lang w:bidi="ar-SA"/>
        </w:rPr>
        <w:t>في غيرهما من اختصاص الحكم المذكور بالمبتدئة بالمعنى الأخصّ ضعيفٌ‌</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أنّه مع عدم اتّفاق نسائها، لا ترجع إلى بعضهن، لمضمر سماعة</w:t>
      </w:r>
      <w:r>
        <w:rPr>
          <w:rStyle w:val="FootnoteAnchor"/>
          <w:rtl w:val="true"/>
        </w:rPr>
        <w:footnoteReference w:id="1428"/>
      </w:r>
      <w:r>
        <w:rPr>
          <w:rFonts w:ascii="Amiri" w:hAnsi="Amiri" w:eastAsia="Amiri" w:cs="Amiri"/>
          <w:color w:val="111111"/>
          <w:sz w:val="28"/>
          <w:sz w:val="28"/>
          <w:szCs w:val="28"/>
          <w:rtl w:val="true"/>
          <w:lang w:bidi="ar-SA"/>
        </w:rPr>
        <w:t>المتقدّم، 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تكتفي بالبعض ما لم تعلم مخالفتها لسائر النساء، أم لا؟</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يعتبر اتّفاق جميع نسائها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429"/>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430"/>
      </w:r>
      <w:r>
        <w:rPr>
          <w:rFonts w:ascii="Amiri" w:hAnsi="Amiri" w:eastAsia="Amiri" w:cs="Amiri"/>
          <w:color w:val="111111"/>
          <w:sz w:val="28"/>
          <w:sz w:val="28"/>
          <w:szCs w:val="28"/>
          <w:rtl w:val="true"/>
          <w:lang w:bidi="ar-SA"/>
        </w:rPr>
        <w:t xml:space="preserve">وغيره، أم يكفي اتّفاق الأغلب، كما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4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للموثّقين</w:t>
      </w:r>
      <w:r>
        <w:rPr>
          <w:rStyle w:val="FootnoteAnchor"/>
          <w:rtl w:val="true"/>
        </w:rPr>
        <w:footnoteReference w:id="1432"/>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الجمع على صِرْف الطبيعة الصادقة على القليل،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حمل الجمع على ما يصدق على القليل والواحد خلاف الظاهر، يحتاج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الشريفة؛ فالحمل فيها عليه إنّما يكون من جهة أنّ ظاهر تقابل الجمع بالجمع هو الإستغراق والتفريق</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النزاع في أنّ الاكتفاء بعادة البعض، هل هو لأجل أنّها أمارة نوعيّة لاستكشاف عادة غيرها، أم لكونها الموضوع‌؟ ممّا لا تترتّب عليه ثمرة عمليّة، فالصفح عنه 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للثاني</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ظاهرٌ في مجموع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إذا لم يكن دليلٌ على الاكتفاء بالبعض، وقد عرفت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تعذّر الرجوع إلى الجميع أو تعسّره غالباً، ولذلك التزم الشهيد رحمه الله</w:t>
      </w:r>
      <w:r>
        <w:rPr>
          <w:rStyle w:val="FootnoteAnchor"/>
          <w:rtl w:val="true"/>
        </w:rPr>
        <w:footnoteReference w:id="1435"/>
      </w:r>
      <w:r>
        <w:rPr>
          <w:rFonts w:ascii="Amiri" w:hAnsi="Amiri" w:eastAsia="Amiri" w:cs="Amiri"/>
          <w:color w:val="111111"/>
          <w:sz w:val="28"/>
          <w:sz w:val="28"/>
          <w:szCs w:val="28"/>
          <w:rtl w:val="true"/>
          <w:lang w:bidi="ar-SA"/>
        </w:rPr>
        <w:t>بالإكتفاء بإتّفاق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منهم المحقّق</w:t>
      </w:r>
      <w:r>
        <w:rPr>
          <w:rStyle w:val="FootnoteAnchor"/>
          <w:rtl w:val="true"/>
        </w:rPr>
        <w:footnoteReference w:id="1436"/>
      </w:r>
      <w:r>
        <w:rPr>
          <w:rFonts w:ascii="Amiri" w:hAnsi="Amiri" w:eastAsia="Amiri" w:cs="Amiri"/>
          <w:color w:val="111111"/>
          <w:sz w:val="28"/>
          <w:sz w:val="28"/>
          <w:szCs w:val="28"/>
          <w:rtl w:val="true"/>
          <w:lang w:bidi="ar-SA"/>
        </w:rPr>
        <w:t>والمصنّف</w:t>
      </w:r>
      <w:r>
        <w:rPr>
          <w:rStyle w:val="FootnoteAnchor"/>
          <w:rtl w:val="true"/>
        </w:rPr>
        <w:footnoteReference w:id="1437"/>
      </w:r>
      <w:r>
        <w:rPr>
          <w:rFonts w:ascii="Amiri" w:hAnsi="Amiri" w:eastAsia="Amiri" w:cs="Amiri"/>
          <w:color w:val="111111"/>
          <w:sz w:val="28"/>
          <w:sz w:val="28"/>
          <w:szCs w:val="28"/>
          <w:rtl w:val="true"/>
          <w:lang w:bidi="ar-SA"/>
        </w:rPr>
        <w:t>والشهيد</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بنسائها أقاربها من الطرفين، أو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كالاُمّ والعَمّة والخالة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Style w:val="FootnoteAnchor"/>
          <w:rtl w:val="true"/>
        </w:rPr>
        <w:footnoteReference w:id="1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ممّا لا خلاف فيه،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ذُكرن كلّهنّ‌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التصريح بالاُمّ والخالة في موثّق أبي بصير</w:t>
      </w:r>
      <w:r>
        <w:rPr>
          <w:rStyle w:val="FootnoteAnchor"/>
          <w:rtl w:val="true"/>
        </w:rPr>
        <w:footnoteReference w:id="1440"/>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عدم الفرق بين الأحياء والأموات، ولا بين المتساويات لها في السنّوالبلد، والمتخالفات، كماصرّح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41"/>
      </w:r>
      <w:r>
        <w:rPr>
          <w:rFonts w:ascii="IRNazanin" w:hAnsi="IRNazanin" w:eastAsia="IRNazanin"/>
          <w:color w:val="111111"/>
          <w:sz w:val="28"/>
          <w:sz w:val="28"/>
          <w:szCs w:val="28"/>
          <w:rtl w:val="true"/>
          <w:lang w:bidi="fa-IR"/>
        </w:rPr>
        <w:t>لإطلاق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الشهيد</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اعتباراتّحادالبلد، نظراًإلى اختلاف الأمزجة باختلاف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يوجب تقييد إطلاق النصوص، أو انصرافها عن صورة تعدّدالبلد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جماعةٍ منهم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 والشهيد</w:t>
      </w:r>
      <w:r>
        <w:rPr>
          <w:rStyle w:val="FootnoteAnchor"/>
          <w:rtl w:val="true"/>
        </w:rPr>
        <w:footnoteReference w:id="1444"/>
      </w:r>
      <w:r>
        <w:rPr>
          <w:rFonts w:ascii="Amiri" w:hAnsi="Amiri" w:eastAsia="Amiri" w:cs="Amiri"/>
          <w:color w:val="111111"/>
          <w:sz w:val="28"/>
          <w:sz w:val="28"/>
          <w:szCs w:val="28"/>
          <w:rtl w:val="true"/>
          <w:lang w:bidi="ar-SA"/>
        </w:rPr>
        <w:t>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عادة الأهل، إنّما هو في العدد خاصّة، وهو الأظهر؛ إذ لا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أقراؤها مثل أقراء نسائها</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 إلّاالمماثلة من حيث العدد، لاسيّما بضميمة ما في ذيل المضمر</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 مختلفات، فأقلّها ثلاثة وأكثرها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صورة عدم العلم بإختلافهن من حيث الوقت والعدد، في غاية الندرة، فلا يصحّ تنزيل النصوص عليها، بل إتّفاقهن في الوقت فقط بعيدٌ جدّاً، فلا يعتبر إتّفاقهنّ وقتاً وعدداً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باتّفاقهنّ في الوقت فقط على فرض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المضمر وإنْ لم يشمل صورة الاتّفاق في الوقت، إلّاأنّ موثّق زرارة ومحمّدبن مسلم</w:t>
      </w:r>
      <w:r>
        <w:rPr>
          <w:rStyle w:val="FootnoteAnchor"/>
          <w:rtl w:val="true"/>
        </w:rPr>
        <w:footnoteReference w:id="1447"/>
      </w:r>
      <w:r>
        <w:rPr>
          <w:rFonts w:ascii="Amiri" w:hAnsi="Amiri" w:eastAsia="Amiri" w:cs="Amiri"/>
          <w:color w:val="111111"/>
          <w:sz w:val="28"/>
          <w:sz w:val="28"/>
          <w:szCs w:val="28"/>
          <w:rtl w:val="true"/>
          <w:lang w:bidi="ar-SA"/>
        </w:rPr>
        <w:t xml:space="preserve">يشملها كماذكره المحقّق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تستظهر على ذلك بيومٍ‌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يوجب ظهوره في إرادة الاتّفاق في العدد خاصّة،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وجود الأقارب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39" w:name="pg11795_115701"/>
    </w:p>
    <w:p>
      <w:pPr>
        <w:pStyle w:val="BookText"/>
        <w:rPr/>
      </w:pPr>
      <w:bookmarkEnd w:id="539"/>
      <w:r>
        <w:rPr>
          <w:rFonts w:ascii="Amiri" w:hAnsi="Amiri" w:eastAsia="Amiri" w:cs="Amiri"/>
          <w:color w:val="111111"/>
          <w:sz w:val="28"/>
          <w:sz w:val="28"/>
          <w:szCs w:val="28"/>
          <w:rtl w:val="true"/>
          <w:lang w:bidi="ar-SA"/>
        </w:rPr>
        <w:t>فإنْ فُقِدن فإلى أقرانها</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10329023_73709187"/>
      <w:bookmarkStart w:id="541" w:name="_Toc204"/>
      <w:bookmarkEnd w:id="540"/>
      <w:r>
        <w:rPr>
          <w:rtl w:val="true"/>
        </w:rPr>
        <w:t>الرجوع إلى الأقران</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يوجدن على وجهٍ يمكن الرجوع إليهنّ‌، وإلّا ففقدهن بقول مطلق ممتنعٌ‌، إذ لا أقلّ من الاُمّهات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كُنّ مختلفات، 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ذوات السِّن المقارنات لسنّها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الأصحاب المتأخّرين، وإن إختلفوا بين من قيّد الأقران بأهل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450"/>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أطلق كالمصنّف</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نعم في قواعد الأحكام ج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القول بالرجوع إلى الأقران، وهكذا في نهاية الاحكام ج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بعضهم التخيير بينه وبين الرجوع إلى عادة أقاربها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1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المضمر والموثّق للأقران؛ إذ يكفي في الإضافة أدنى ملابسة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وبغلبة لحوق المرأة في الطبع بأقرانها، كما يشهد به مرسل يونس القصير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كلّ ما كَبُر سنّها قلَّ حيضها إلى أنْ ترتفع</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أنّها خلاف النُّسخ المتعارفة، إنّها توجب أن يكون مفاد الخبر حينئذٍ الرجوع إلى عادة أقران أقاربها، لا عادة أقرانها، وهذا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عموم نسائها للأقران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فمندفعة بكونه خلاف المتبادر من هذا اللّفظ، مع أنّ مقتضاه اعتبار اتّفاق الجميع من الأقارب والأقران، أو عدم إختلافهنّ‌، وهذا ممّا لا فرد له خارجاً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وإدّعاء</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المجموع مراد، لكن مرتّباً بمساعدة الفهم العرفي لما هو المغروس في أذهان العرف، من تعذّر إرادة موافقة الكلّ‌، وكون الأقارب أولى بالمراعاة من الأقران، كما ترى‌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أوجبت حصول الظنّ‌، إلّاأنّه لا يُغني من الحقّ شيئاً،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وكأنه لذلك أهمله جماعةٌ كالصدوق والسيّد والشيخ في بعض كتبه، وأنكره آخرون كالمحقّق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457"/>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وغيرهم، وهو الأظهر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542" w:name="pg11795_115704"/>
    </w:p>
    <w:p>
      <w:pPr>
        <w:pStyle w:val="BookText"/>
        <w:rPr/>
      </w:pPr>
      <w:bookmarkEnd w:id="542"/>
      <w:r>
        <w:rPr>
          <w:rFonts w:ascii="Amiri" w:hAnsi="Amiri" w:eastAsia="Amiri" w:cs="Amiri"/>
          <w:color w:val="111111"/>
          <w:sz w:val="28"/>
          <w:sz w:val="28"/>
          <w:szCs w:val="28"/>
          <w:rtl w:val="true"/>
          <w:lang w:bidi="ar-SA"/>
        </w:rPr>
        <w:t>فإنْ فُقِدن، أو كُنَّ مختلفات العادة، تحيّضتْ في كلّ شهرٍ سبعة أيّام، أو ثلاثة من الأوّل وعَشَرة من الثاني</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10329025_73709187"/>
      <w:bookmarkStart w:id="544" w:name="_Toc205"/>
      <w:bookmarkEnd w:id="543"/>
      <w:r>
        <w:rPr>
          <w:rtl w:val="true"/>
        </w:rPr>
        <w:t>حكم المرأة الفاقدة للأقران</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فُقِدن، أو كُنَّ مختلفات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الروايات،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الأصحاب في تعيين عدد الأيّام التي تتحيّض فيها، على أقوال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إختاره المصنّف رحمه الله في المقام، تبعاً لموضعٍ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4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461"/>
      </w:r>
      <w:r>
        <w:rPr>
          <w:rFonts w:ascii="Amiri" w:hAnsi="Amiri" w:eastAsia="Amiri" w:cs="Amiri"/>
          <w:color w:val="111111"/>
          <w:sz w:val="28"/>
          <w:sz w:val="28"/>
          <w:szCs w:val="28"/>
          <w:rtl w:val="true"/>
          <w:lang w:bidi="ar-SA"/>
        </w:rPr>
        <w:t xml:space="preserve">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تحيّضتْ في كلّ شهرٍ سبعة أيّام، أو ثلاثة من الأوّل وعَشَرة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التحيّض في كلّ شهرٍ بسبعة أيّام، أو عَشَرة من الأوّل وثلاثة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المفاتيح</w:t>
      </w:r>
      <w:r>
        <w:rPr>
          <w:rStyle w:val="FootnoteAnchor"/>
          <w:rtl w:val="true"/>
        </w:rPr>
        <w:footnoteReference w:id="1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السبعة من كلّ شهر، وبين الثلاثة من الأوّل والعَشَرة من الثاني، أو العكس</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التحيّض في كلّ شهرٍ بسبعة أيّام خاصّة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14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أوّل </w:t>
      </w:r>
    </w:p>
    <w:p>
      <w:pPr>
        <w:pStyle w:val="BookText"/>
        <w:rPr/>
      </w:pPr>
      <w:r>
        <w:rPr>
          <w:rFonts w:ascii="Amiri" w:hAnsi="Amiri" w:eastAsia="Amiri" w:cs="Amiri"/>
          <w:color w:val="111111"/>
          <w:sz w:val="28"/>
          <w:sz w:val="28"/>
          <w:szCs w:val="28"/>
          <w:rtl w:val="true"/>
          <w:lang w:bidi="ar-SA"/>
        </w:rPr>
        <w:t>الشهر كما عن بعض أصحابنا</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كلّ شهر</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كلّ شهر، كما عن أبي عليّ وبعض متأخّري المتأخّرين</w:t>
      </w:r>
      <w:r>
        <w:rPr>
          <w:rStyle w:val="FootnoteAnchor"/>
          <w:rtl w:val="true"/>
        </w:rPr>
        <w:footnoteReference w:id="1467"/>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تُجعل حيضها عَشَرة، وطُهرها عَشَرة</w:t>
      </w:r>
      <w:r>
        <w:rPr>
          <w:rStyle w:val="FootnoteAnchor"/>
          <w:rtl w:val="true"/>
        </w:rPr>
        <w:footnoteReference w:id="1469"/>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الثلاثة من الأوّل والعَشَرة من الثاني، وبين السِّتّة والسبعة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الستّة والسبعة، وبين الثلاثة من شهر والعَشَرة من الآخر،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4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14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rtl w:val="true"/>
          <w:lang w:bidi="ar-SA"/>
        </w:rPr>
        <w:t>»</w:t>
      </w:r>
      <w:r>
        <w:rPr>
          <w:rStyle w:val="FootnoteAnchor"/>
          <w:rtl w:val="true"/>
        </w:rPr>
        <w:footnoteReference w:id="14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4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تجلس بين ثلاثة إلى عَشَرة</w:t>
      </w:r>
      <w:r>
        <w:rPr>
          <w:rStyle w:val="FootnoteAnchor"/>
          <w:rtl w:val="true"/>
        </w:rPr>
        <w:footnoteReference w:id="1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الثلاثة في كلّ شهر، والستّة أو السبعة، اختاره المحقّق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الأقوال، وقد أنهاها الشيخ الأعظم رحمه الله</w:t>
      </w:r>
      <w:r>
        <w:rPr>
          <w:rStyle w:val="FootnoteAnchor"/>
          <w:rtl w:val="true"/>
        </w:rPr>
        <w:footnoteReference w:id="1478"/>
      </w:r>
      <w:r>
        <w:rPr>
          <w:rFonts w:ascii="Amiri" w:hAnsi="Amiri" w:eastAsia="Amiri" w:cs="Amiri"/>
          <w:color w:val="111111"/>
          <w:sz w:val="28"/>
          <w:sz w:val="28"/>
          <w:szCs w:val="28"/>
          <w:rtl w:val="true"/>
          <w:lang w:bidi="ar-SA"/>
        </w:rPr>
        <w:t>إلى عشرين، وتظهر جملةٌ اُخرى منها في ضمن الإشارة إلى ما هو المدرك للحكم مع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نصوص الباب، فهي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المتقدّم، عن الإمام الصادق عليه السلام، من حكاية قول النبيّ صلى الله عليه و آله لحَمَنة بنت جحش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تحيّضي في كلّ شهرٍ في علم اللّه ستّة أو سبعة أيّام، ثمّ إغتسلي غُسلاً، وصومي ثلاثة وعشرين يوماً أو أربعة وعشرين</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الجملة من المرسل، التخيير بين الستّة والسبعة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معارضة مع بقيّة الفقرات اللّاحقة، حيث أنّها تدلّ على تعيّن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أقصى وقتها سبع، وأقصى طُهرها ثلاثة وعشرون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فسُنّتها السبع والثلاث والعشرون، لأنّ قصّتها كقصّة حَمَنة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يُقدّم ما يدلّ على تعيّن السبع، لاحتمال كون الترديد في تلك الجملة من الرواي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إنّه من جهة عدم إمكان الجمع، لابدَّ من الاحتياط، لدوران الأمر بين التعيين والتخيير، فيتعيّن الالتزام بتعيّن السبعة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 كون الترديد من الراوي مخالفاً لظاهر النقل، لا يعتنى 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أنّه يبعّده جزم الراوي بمقالة الإمام عليه السلام عند ذكره سائر الفقرات، فهما أمارتان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المختار هو التخيير في تعارض الأمارتين، الذي لا يكون من موارد الرجوع إلى المرجّحات السنديّة كما في المقام، فيتعيّن القول بالتخيير، وليس المقام من قبيل نقل رواية واحدة بضبطين كي يكون من موارد الرجوع إلى أصالة التعيين أو التخيير، على الخلاف في تلك المسألة كما لا يخفى، مع أنّ المختار في تلك المسألة أيضاً هو الرجوع إلى أصالة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ذكره بعض المحقّقين رحمهم الله</w:t>
      </w:r>
      <w:r>
        <w:rPr>
          <w:rStyle w:val="FootnoteAnchor"/>
          <w:rtl w:val="true"/>
        </w:rPr>
        <w:footnoteReference w:id="1480"/>
      </w:r>
      <w:r>
        <w:rPr>
          <w:rFonts w:ascii="Amiri" w:hAnsi="Amiri" w:eastAsia="Amiri" w:cs="Amiri"/>
          <w:color w:val="111111"/>
          <w:sz w:val="28"/>
          <w:sz w:val="28"/>
          <w:szCs w:val="28"/>
          <w:rtl w:val="true"/>
          <w:lang w:bidi="ar-SA"/>
        </w:rPr>
        <w:t>من أنّ ذكر السَّبع خاصّة، بعد نقل الترديد عنه صلى الله عليه و آله، جارٍ على طبق قانون المحاورة من الاقتصار بذكر أحد شِقي الترديد عند الحاجة إلى التكرير، والجري على ما يقتضيه هذا الشقّ إقتصاراً وإجتزاءً في إفادة حكم الشقّ الآخر بالمقايسة على هذا الشقّ‌، ويؤيّده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أقصى وقتها 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دلالة المرسل على التخيير بين الستّة والسبعة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التخيير المستفاد منه على النساء بحسب الأمزجة،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482"/>
      </w:r>
      <w:r>
        <w:rPr>
          <w:rFonts w:ascii="Amiri" w:hAnsi="Amiri" w:eastAsia="Amiri" w:cs="Amiri"/>
          <w:color w:val="111111"/>
          <w:sz w:val="28"/>
          <w:sz w:val="28"/>
          <w:szCs w:val="28"/>
          <w:rtl w:val="true"/>
          <w:lang w:bidi="ar-SA"/>
        </w:rPr>
        <w:t>خلاف ظاهره، والقول به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القول بتعيّن السبعة إستنادا إلى الفقرات اللّاحقة لتلك الجملة في المرسل أيضاً ضعيفٌ‌</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موثّقا ابن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1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إذا رأتِ الدّم في أوّل حيضها، فاستمرّ بها الدّم بعد ذلك، تركت الصّلاة عشرة أيّام، ثمّ تُصلّي عشرين يوما، فإنْ استمرّ بها الدّم بعد ذلك تركت الصّلاة ثلاثة أيّام وصلّت سبعة وعشرين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Style w:val="FootnoteAnchor"/>
          <w:rtl w:val="true"/>
        </w:rPr>
        <w:footnoteReference w:id="14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الجارية أوّل ما تحيض، يدفع عليها الدّم، فتكون مستحاضة، أنّها تنتظر بالصلاة فلا تُصلّي حتّى يمضي أكثر ما يكون من الحيض، فإذا مضى ذلك وهو عَشَرة أيّام، فعلت ما تفعله المستحاضة، ثمّ صلّت، فمكثت تُصلّي بقيّة شهرها، تترك الصّلاة في المرّة الثانية أقلّ ما تترك إمرأة الصّلاة، وتجلس أقلّ ما يكون من الطمث، وهو ثلاثة أيّام، فإنْ دام عليها الحيض صلّت في وقت الصّلاة التي صلّت، وجَعَلت وقت طهرها أكثر ما يكون من الطهر، وتركها للصلاة أقلّ ما يكون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هذين الموثّقين التحيّض بالثلاثة، إذ ما في صدرهما من التحيّض بالعشرة، فإنّما هو بالنسبة إلى المُبتدئة في أوّل رؤية الدّم، المحتملة إنقطاع الدّم إلى العشرة، فيكون من قبيل التحيّض أيّام الإستظهار، ولا علاقة له بما نحن فيه ممّا علم اختلاط الحيض بالإستحاضة، وعدم تمييز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بينهما وبين المرسل، يقتضي الالتزام بالتخيير بين الثلاثة والستّة أو السبعة، كما اختاره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 وتبعه جماعةٌ من المحقّقين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يظهر ضعف القول بالتخيير بين الثلاثة والسبعة، وما يمكن أنْ يكون مدركاً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 سماعة المتقدّم</w:t>
      </w:r>
      <w:r>
        <w:rPr>
          <w:rStyle w:val="FootnoteAnchor"/>
          <w:rtl w:val="true"/>
        </w:rPr>
        <w:footnoteReference w:id="14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نساؤها مختلفات، فأكثر جلوسها عشرة، وأقلّه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بنوا على ظهوره في التحيّض بثلاثة أيّام من شهر، وعَشَرة من آخر، وإن اختلفوا في أنّ المستفاد منه تقديم العَشَرة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 xml:space="preserve">، أو الثلاثة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مدّعياً عليه الوفاق، أو مخيّراً في ذلك كما عن جماعةٍ‌، وجمعاً بينه وبين المرسل التزموا بالتخيير بما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وماذكرناه في المرسل من الاحتمالات يظهر مدرك جملةٍمن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عليهم 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489"/>
      </w:r>
      <w:r>
        <w:rPr>
          <w:rFonts w:ascii="IRNazanin" w:hAnsi="IRNazanin" w:eastAsia="IRNazanin"/>
          <w:color w:val="111111"/>
          <w:sz w:val="28"/>
          <w:sz w:val="28"/>
          <w:szCs w:val="28"/>
          <w:rtl w:val="true"/>
          <w:lang w:bidi="fa-IR"/>
        </w:rPr>
        <w:t>وشارحها</w:t>
      </w:r>
      <w:r>
        <w:rPr>
          <w:rStyle w:val="FootnoteAnchor"/>
          <w:rtl w:val="true"/>
        </w:rPr>
        <w:footnoteReference w:id="1490"/>
      </w:r>
      <w:r>
        <w:rPr>
          <w:rFonts w:ascii="Amiri" w:hAnsi="Amiri" w:eastAsia="Amiri" w:cs="Amiri"/>
          <w:color w:val="111111"/>
          <w:sz w:val="28"/>
          <w:sz w:val="28"/>
          <w:szCs w:val="28"/>
          <w:rtl w:val="true"/>
          <w:lang w:bidi="ar-SA"/>
        </w:rPr>
        <w:t>، والشيخ الأعظم</w:t>
      </w:r>
      <w:r>
        <w:rPr>
          <w:rStyle w:val="FootnoteAnchor"/>
          <w:rtl w:val="true"/>
        </w:rPr>
        <w:footnoteReference w:id="1491"/>
      </w:r>
      <w:r>
        <w:rPr>
          <w:rFonts w:ascii="Amiri" w:hAnsi="Amiri" w:eastAsia="Amiri" w:cs="Amiri"/>
          <w:color w:val="111111"/>
          <w:sz w:val="28"/>
          <w:sz w:val="28"/>
          <w:szCs w:val="28"/>
          <w:rtl w:val="true"/>
          <w:lang w:bidi="ar-SA"/>
        </w:rPr>
        <w:t>وغيرهم بظهوره في التخيير بين الثلاثة والعشرة، وما بينهما كما عن الصدوق والسيّد اختياره، وأيّدوه برواية الخزّاز، عن الإمام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المستحاضة كيف تصنع إذا رأت الدّم، وإذا رأت الصُّفرة‌؟ وكم تدَع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ثلاثة وأكثره عشرة</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يستفاد منه سوى التخيير بين خصوص الأقلّ والأكثر، دون ما بينهما، لعدم التصريح به، وعدم استلزامه لهما كما لا يخفى، فلا وجه لدعوى دلالته عليه بالالتزام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المضمر يدلّ على التخيير بين الثلاثة والعشرة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شهر، كما عن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مضيفاً إليهما التحيّض بالسبعة، لا التحيّض بأحدهما في شهر، وبالآخر في الآخر، كما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الجمع بين هذين الخبرين، وبين المرسل بالإلتزام بالتخيير غير ممكن، إذ المرسل المتضمّن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أقصى وقتها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حيضها أكثر من سبع، وكانت أيّامها عشرة أو أكثر لم يأمرها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كالصريح في عدم الزيادة على السبع، فكيف يمكن الجمع بينه، وبين قوله عليه السلام في المضمر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فأكثر جلوسها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يرى العرف التهافت بينهما، كما يظهر لمن جمعهما في كلامٍ واحد، حيث إنّ العرف لا يرى أحدهما قرينةً على الآخر، فيتعيّن الرجوع إلى المرجّحات، وهي مع المرسل، 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المُضمر عن الحجيّة بالنسبة إلى ما في ذيله، وكذلك سقوط رواية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المرسل وبين موثّقي ابن بكير، يقتضي الالتزام بالتخيير بين الثلاثة والستّة أو السبعة، كما هو مختار محققي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جميع ما ذكرناه، ظهر ضعف الأقوال الاُخر، لاسيّما ما كان منها مبنياً على سقوط جميع الروايات، بالمعارضة مع الرجوع إلى الأصل أو قاعدة الإمكان، أو غيرها من القواعد، على التفصيل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1493"/>
      </w:r>
      <w:r>
        <w:rPr>
          <w:rFonts w:ascii="Amiri" w:hAnsi="Amiri" w:eastAsia="Amiri" w:cs="Amiri"/>
          <w:color w:val="111111"/>
          <w:sz w:val="28"/>
          <w:sz w:val="28"/>
          <w:szCs w:val="28"/>
          <w:rtl w:val="true"/>
          <w:lang w:bidi="ar-SA"/>
        </w:rPr>
        <w:t>إذ على فرض عدم تماميّة الجمع المزبور أيضاً لا يصحّ الرجوع إلى شيء منها؛ إذ لو كان لأحد المتعارضين مرجّحٌ فيقدّم، وإلّا فالتخيير، وعلى أيّة حال لا وجه لطرح الجميع، فتدبّر في أطراف ما ذكرناه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المُبتدئة بالمعنى الأخصّ‌</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المُبتدئة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لم تستقرّ لها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يُشكِل الحكم فيها بما في الروايات، من جهة اختصاص موردها بالمبتدئة بالمعنى الأخصّ‌، ولكن يمكن استفادة حكم المضطربة من المرسل بهذا المعنى، إذ هو وإنْ كان في بادي النظر متضمّناً لبيان أحكام الأصناف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المعتادة، والناسية، والمُبتدئة بالمعنى الأخصّ‌، وأنّ الرجوع إلى الروايات مختصٌّ بالصنف الأخير، إلّاأنّه بعد التدبّر فيه يظهر إلحاق من لم تستقرّ لها عادة بالمبتدئة في هذا الحكم، إذ الالتزام بخروج سُنّتها عن السُّنن الثلاث منافٍ للحصر، وإلحاقها بالمعتادة غير معقول، ممّا يعني لحوقها بالناسية أو المُبتدئة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حكمهما من هذه الجهة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ترجع إلى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المستفاد من تعليل رجوع الناسية الفاقدة للتمييز إلى العدد في ذيل المرسل، واعتبار قضيّتها قضيّة حَمَنة، بعد أن مثّل للمبتدئة بالمعنى الأخصّ بحَمَنة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السُنّة أي التحيّض في كلّ شهر في علم اللّه بالستّة أو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كلّ امرأة غير معتادة لا تمييز 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فيستفاد من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تستقرّ لها عادة، حكمها التحيّض بالستّة أو السبعة، بل هو يدلّ على اتّحاد حكمهما مع عدم التمييز، وحيث إنّ حكم المُبتدئة التخيير بين الثلاثة والستّة أو السبعة، فكذلك من لم تستقرّ لها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اُمورٌ يقتضي التعرّض لها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يكون أوّله عند رؤية الهلال لعدم الدليل عليه، بل قد يمتنع كما لو رأت الدّم إبتداءً في أواخر الشهر الأوّل،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p>
    <w:p>
      <w:pPr>
        <w:pStyle w:val="BookText"/>
        <w:rPr/>
      </w:pPr>
      <w:r>
        <w:rPr>
          <w:rFonts w:ascii="Amiri" w:hAnsi="Amiri" w:eastAsia="Amiri" w:cs="Amiri"/>
          <w:color w:val="111111"/>
          <w:sz w:val="28"/>
          <w:sz w:val="28"/>
          <w:szCs w:val="28"/>
          <w:rtl w:val="true"/>
          <w:lang w:bidi="ar-SA"/>
        </w:rPr>
        <w:t xml:space="preserve">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عليها التحيّض في أوّل رؤية الدّم، فيلزم من ذلك أن لا يفصل بين أقلّ الحيض منه، ومن أوّل الشهر الثاني بأقلّ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إليذلك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w:t>
      </w:r>
      <w:r>
        <w:rPr>
          <w:rStyle w:val="FootnoteAnchor"/>
          <w:rtl w:val="true"/>
        </w:rPr>
        <w:footnoteReference w:id="1494"/>
      </w:r>
      <w:r>
        <w:rPr>
          <w:rFonts w:ascii="Amiri" w:hAnsi="Amiri" w:eastAsia="Amiri" w:cs="Amiri"/>
          <w:color w:val="111111"/>
          <w:sz w:val="28"/>
          <w:sz w:val="28"/>
          <w:szCs w:val="28"/>
          <w:rtl w:val="true"/>
          <w:lang w:bidi="ar-SA"/>
        </w:rPr>
        <w:t>وموثّقا ابن بكير</w:t>
      </w:r>
      <w:r>
        <w:rPr>
          <w:rStyle w:val="FootnoteAnchor"/>
          <w:rtl w:val="true"/>
        </w:rPr>
        <w:footnoteReference w:id="1495"/>
      </w:r>
      <w:r>
        <w:rPr>
          <w:rFonts w:ascii="IRNazanin" w:hAnsi="IRNazanin" w:eastAsia="IRNazanin"/>
          <w:color w:val="111111"/>
          <w:sz w:val="28"/>
          <w:sz w:val="28"/>
          <w:szCs w:val="28"/>
          <w:rtl w:val="true"/>
          <w:lang w:bidi="fa-IR"/>
        </w:rPr>
        <w:t>، فراجعهما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تجب الموافقة بين الشهور، فلو اختارت في الشهر الأوّل أوّله، فلابدّ لها في الشهر الثاني من اختيار أوّله، لأنّ النصوص كما تضمّنت أيّام الحيض، فهي كذلك متضمّنة لأيّام الطهر، فلو اختارت في الشهر الثاني في الفرض أواسط الشهر، تلزم زيادة مدّة الطهر واختلافها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اختيارها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يجب اختيار العدد في أوّل رؤية الدّم، كما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وكاشف اللّثام</w:t>
      </w:r>
      <w:r>
        <w:rPr>
          <w:rStyle w:val="FootnoteAnchor"/>
          <w:rtl w:val="true"/>
        </w:rPr>
        <w:footnoteReference w:id="14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لها وضع العدد كيف ما شاءت، كما عن المصنّف</w:t>
      </w:r>
      <w:r>
        <w:rPr>
          <w:rStyle w:val="FootnoteAnchor"/>
          <w:rtl w:val="true"/>
        </w:rPr>
        <w:footnoteReference w:id="1498"/>
      </w:r>
      <w:r>
        <w:rPr>
          <w:rFonts w:ascii="Amiri" w:hAnsi="Amiri" w:eastAsia="Amiri" w:cs="Amiri"/>
          <w:color w:val="111111"/>
          <w:sz w:val="28"/>
          <w:sz w:val="28"/>
          <w:szCs w:val="28"/>
          <w:rtl w:val="true"/>
          <w:lang w:bidi="ar-SA"/>
        </w:rPr>
        <w:t>في بعض كتبه، والمحقّق</w:t>
      </w:r>
      <w:r>
        <w:rPr>
          <w:rStyle w:val="FootnoteAnchor"/>
          <w:rtl w:val="true"/>
        </w:rPr>
        <w:footnoteReference w:id="1499"/>
      </w:r>
      <w:r>
        <w:rPr>
          <w:rFonts w:ascii="Amiri" w:hAnsi="Amiri" w:eastAsia="Amiri" w:cs="Amiri"/>
          <w:color w:val="111111"/>
          <w:sz w:val="28"/>
          <w:sz w:val="28"/>
          <w:szCs w:val="28"/>
          <w:rtl w:val="true"/>
          <w:lang w:bidi="ar-SA"/>
        </w:rPr>
        <w:t>والشهيد</w:t>
      </w:r>
      <w:r>
        <w:rPr>
          <w:rStyle w:val="FootnoteAnchor"/>
          <w:rtl w:val="true"/>
        </w:rPr>
        <w:footnoteReference w:id="1500"/>
      </w:r>
      <w:r>
        <w:rPr>
          <w:rFonts w:ascii="Amiri" w:hAnsi="Amiri" w:eastAsia="Amiri" w:cs="Amiri"/>
          <w:color w:val="111111"/>
          <w:sz w:val="28"/>
          <w:sz w:val="28"/>
          <w:szCs w:val="28"/>
          <w:rtl w:val="true"/>
          <w:lang w:bidi="ar-SA"/>
        </w:rPr>
        <w:t>والمحقّق</w:t>
      </w:r>
      <w:r>
        <w:rPr>
          <w:rStyle w:val="FootnoteAnchor"/>
          <w:rtl w:val="true"/>
        </w:rPr>
        <w:footnoteReference w:id="1501"/>
      </w:r>
      <w:r>
        <w:rPr>
          <w:rFonts w:ascii="Amiri" w:hAnsi="Amiri" w:eastAsia="Amiri" w:cs="Amiri"/>
          <w:color w:val="111111"/>
          <w:sz w:val="28"/>
          <w:sz w:val="28"/>
          <w:szCs w:val="28"/>
          <w:rtl w:val="true"/>
          <w:lang w:bidi="ar-SA"/>
        </w:rPr>
        <w:t>الثانيين، بل هوالمنسوب إلى الأصحاب‌؟ وجهان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أدلّة التخيير، كقوله عليه السلام في المرسل</w:t>
      </w:r>
      <w:r>
        <w:rPr>
          <w:rStyle w:val="FootnoteAnchor"/>
          <w:rtl w:val="true"/>
        </w:rPr>
        <w:footnoteReference w:id="15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تحيّضي في كلّ‌ة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شهر في علم اللّه ستّة أو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هو الأوّل،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الظاهر من نصوص العدد، المتضمّنة مدّتي التطهّر والتحيّض، هو اعتبار التوالي في أيّام التطهّر، وحينئذٍ يدور الأمر بين تعيّن كون أيّام التحيّض هو الأوّل، أو الآخر، أو التخيير بينهما، وحيث لا قائل بالأخيرين فيتعيّن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موثّقي ابن بكير المتقدّمين</w:t>
      </w:r>
      <w:r>
        <w:rPr>
          <w:rStyle w:val="FootnoteAnchor"/>
          <w:rtl w:val="true"/>
        </w:rPr>
        <w:footnoteReference w:id="1503"/>
      </w:r>
      <w:r>
        <w:rPr>
          <w:rFonts w:ascii="Amiri" w:hAnsi="Amiri" w:eastAsia="Amiri" w:cs="Amiri"/>
          <w:color w:val="111111"/>
          <w:sz w:val="28"/>
          <w:sz w:val="28"/>
          <w:szCs w:val="28"/>
          <w:rtl w:val="true"/>
          <w:lang w:bidi="ar-SA"/>
        </w:rPr>
        <w:t>إنّما يدلّان على أنّها تتحيّض في أوّل رؤية الدّم عَشَرة أيّام، ثمّ بعد ذلك تُصلّي عشرين يوماً، وبعد ذلك إلى العدد، وهي الثلاثة على ما في الموثّقين، والستّة أو السبعة على ما في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فإمّا أنْ لا تصدق المستحاضة عليها، إلّابعد تجاوز العَشَرة، فليس لها وضع العدد إلّابعد مُضيّ عشرين يوماً، وإمّا أنْ تصدق عليها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ذلك، وبين ما دلّ بظاهره على التحيّض بالعَشَرة الاُولى والتطهّر بعدها بعشرين يوماً، يقتضي عدم جواز رجوعها عن ذلك، غاية الأمر أنّ لها الخيار في أنْ تختار العدد من العَشَرة التي تتحيّض بها، فليس لها جعل حيضها في ما عداها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على فرض اختيارها جعل العدد كالسبعة في آخر العشرة الاُولى‌، ليس لهافي الدورالأوّل جعل مدّة التطهيرثلاث وعشرين يوماً، لأنّ الموثّقين صريحان في أنّها تجعل مدّتها في الدور الأوّل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ما اخترناه ما في النصوص كالمرسلة وغيرها من عطف التطهّر علىة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التحيّض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تعيّن تأخّره عنه، فتأمّل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يكن مرجّحٌ لغير الأوّل كالعادة والتمييز، وإلّا فمقتضى النصوص الرجوع إليه كما هو واضح</w:t>
      </w:r>
      <w:r>
        <w:rPr>
          <w:rFonts w:eastAsia="Amiri" w:cs="Amiri" w:ascii="Amiri" w:hAnsi="Amiri"/>
          <w:color w:val="111111"/>
          <w:sz w:val="28"/>
          <w:szCs w:val="28"/>
          <w:rtl w:val="true"/>
          <w:lang w:bidi="ar-SA"/>
        </w:rPr>
        <w:t>.</w:t>
      </w:r>
      <w:bookmarkStart w:id="545" w:name="pg11795_115715"/>
    </w:p>
    <w:p>
      <w:pPr>
        <w:pStyle w:val="Heading6"/>
        <w:numPr>
          <w:ilvl w:val="5"/>
          <w:numId w:val="1"/>
        </w:numPr>
        <w:rPr/>
      </w:pPr>
      <w:bookmarkStart w:id="546" w:name="__RefHeading___Toc10329027_73709187"/>
      <w:bookmarkStart w:id="547" w:name="_Toc206"/>
      <w:bookmarkEnd w:id="545"/>
      <w:bookmarkEnd w:id="546"/>
      <w:r>
        <w:rPr>
          <w:rtl w:val="true"/>
        </w:rPr>
        <w:t>حكم المضطربة</w:t>
      </w:r>
      <w:bookmarkEnd w:id="547"/>
    </w:p>
    <w:p>
      <w:pPr>
        <w:pStyle w:val="Heading6"/>
        <w:numPr>
          <w:ilvl w:val="5"/>
          <w:numId w:val="1"/>
        </w:numPr>
        <w:rPr/>
      </w:pPr>
      <w:bookmarkStart w:id="548" w:name="__RefHeading___Toc10329029_73709187"/>
      <w:bookmarkStart w:id="549" w:name="_Toc207"/>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والمضطربة تتحيّض بالسَّبعة أو الثلاثة والعشرة في الشهرين</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10329031_73709187"/>
      <w:bookmarkStart w:id="551" w:name="_Toc208"/>
      <w:bookmarkEnd w:id="550"/>
      <w:r>
        <w:rPr>
          <w:rtl w:val="true"/>
        </w:rPr>
        <w:t>حكم ناسية الوقت والعَدَد</w:t>
      </w:r>
      <w:bookmarkEnd w:id="551"/>
    </w:p>
    <w:p>
      <w:pPr>
        <w:pStyle w:val="Heading6"/>
        <w:numPr>
          <w:ilvl w:val="5"/>
          <w:numId w:val="1"/>
        </w:numPr>
        <w:rPr/>
      </w:pPr>
      <w:bookmarkStart w:id="552" w:name="__RefHeading___Toc10329033_73709187"/>
      <w:bookmarkStart w:id="553" w:name="_Toc209"/>
      <w:bookmarkEnd w:id="552"/>
      <w:r>
        <w:rPr>
          <w:rtl w:val="true"/>
        </w:rPr>
        <w:t>اشارة</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 وهي الناسية لعادتها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إمّا أنْ تكون ناسية لوقتها وعددها، وهي المعبّر عنها بالمتحيّرة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تكون ناسية للوقت دون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تكون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المقام إنّما هو في صورة فقد التمييز، وإلّا فهي ترجع إليه كما تقدّم، ومع فقده لا ترجع إلى الأرقاب بلا خلافٍ ظاهر، وقد تقدّم في نصوص الرجوع إلى الأقارب</w:t>
      </w:r>
      <w:r>
        <w:rPr>
          <w:rStyle w:val="FootnoteAnchor"/>
          <w:rtl w:val="true"/>
        </w:rPr>
        <w:footnoteReference w:id="1504"/>
      </w:r>
      <w:r>
        <w:rPr>
          <w:rFonts w:ascii="Amiri" w:hAnsi="Amiri" w:eastAsia="Amiri" w:cs="Amiri"/>
          <w:color w:val="111111"/>
          <w:sz w:val="28"/>
          <w:sz w:val="28"/>
          <w:szCs w:val="28"/>
          <w:rtl w:val="true"/>
          <w:lang w:bidi="ar-SA"/>
        </w:rPr>
        <w:t>إختصاصها بغير المضطربة بهذا المعنى، وعلى ذلك، فمحلّ الكلام هو تعيين العدد الذي ترجع إليه الناسية</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10329035_73709187"/>
      <w:bookmarkStart w:id="555" w:name="_Toc210"/>
      <w:bookmarkEnd w:id="554"/>
      <w:r>
        <w:rPr>
          <w:rtl w:val="true"/>
        </w:rPr>
        <w:t>حكم المتحيّرة</w:t>
      </w:r>
      <w:bookmarkEnd w:id="555"/>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الناسية لوقتها وعددها، فقد اختلفت كلماتهم فيها، وفي رسالة الشيخ الأعظم</w:t>
      </w:r>
      <w:r>
        <w:rPr>
          <w:rStyle w:val="FootnoteAnchor"/>
          <w:rtl w:val="true"/>
        </w:rPr>
        <w:footnoteReference w:id="15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هنا أقوالاً اُخر تبلغ خمسة عشر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المصنّف رحمه الله في جملةٍ من كتبه،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 xml:space="preserve">وغيره، بل الأكثر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 xml:space="preserve">، بل المشهور،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تتحيّض بالسَّبعة أو الثلاثة والعشرة في الشهرين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الثلاثة من شهر والعشرة من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مقتضى الجمع بين مرسل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دلالته على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تقدّم في المُبتدئة من موثّقتي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عرفت من دلالة المرسل على الستّة، 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الدالّة منه على الستّة مختصّة بالمبتدئة، وما دلّ منه على أنّ الناسية ترجع إلى العدد، يدلّ على خصوص السبعة، ولكن ستعرف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تقدّم أنّ موثّقي ابن بكير لا يدلّان على الثلاثة والعشرة، ولا يستفاد منهما إلّاالثلاثة من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بنحوٍ يظهر الحقّ في المقام، مع ضعف سائر الأقوال،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نصوص العدد غير المرسل فهي مختصّ موردها بالمبتدئة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 فقوله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السُنّة الثالثة فهي للّتي ليس لها أيّام متقدّمة، ولم تر الدّم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مختصّاً بالمبتدئة، إلّاأنّ قوله عليه السلام في ذيله في الناسية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الأمر كذلك، ولكن الدّم أطبق عليها، وكان الدّم على لونٍ واحد، فسُنّتها السبع والثلاث والعشرون، لأنّ قصّتها قصّة حَمَنة</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 يدلّ على رجوعها إلى العدد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الجملة وإنْ دلّت على تعيّن السبع، إلّاأنّه من جهة التعليل باتّحاد حكمها مع حكم المُبتدئة، وقد عرفت أنّ سُنّتها المستفادة من المرسل هو التخيير بين الستّة والسبعة، فإنّه يتعيّن الالتزام بالتخيير بينهما فيها أيضاً، بل مقتضى إطلاق التعليل اتّحاد حكمهما، فكما أنّ المُبتدئة مخيّرة بين الثلاث والستّ أو السبع، فكذلك الناسية، ولكن الأحوط أن تختار السبع كما لا يخفى</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56" w:name="pg11795_115717"/>
    </w:p>
    <w:p>
      <w:pPr>
        <w:pStyle w:val="Heading6"/>
        <w:numPr>
          <w:ilvl w:val="5"/>
          <w:numId w:val="1"/>
        </w:numPr>
        <w:rPr/>
      </w:pPr>
      <w:bookmarkStart w:id="557" w:name="__RefHeading___Toc10329037_73709187"/>
      <w:bookmarkStart w:id="558" w:name="_Toc211"/>
      <w:bookmarkEnd w:id="556"/>
      <w:bookmarkEnd w:id="557"/>
      <w:r>
        <w:rPr>
          <w:rtl w:val="true"/>
        </w:rPr>
        <w:t>ناسية الوقت</w:t>
      </w:r>
      <w:bookmarkEnd w:id="558"/>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ذَكَرت العدد ونَسيت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علمت بأنّها تحيض في الشهر ثلاثة أيّام، ونسيت وقتها، ففيها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من لزوم الاحتياط بنحو سيمرّ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المشهور</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ترجع إلى عادتها، فتتحيّض بعددها، مخيّرة في وضعها من الشهر حيث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فيها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جماعة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تقتضي وجوب الاحتياط، بأنْ تعمل في فترة نسيانها ما تعمله المستحاضة، وتترك جميع ما يجب على الحائض تركه، بأن تغتسل للحيض في كلّ وقتٍ تحتمل انقطاع دمّ الحيض، وتقضى صوم عادتها، للعلم الإجمالي بصيرورتها حائضاً أو مستحاضة، واختلاط كلّ منهما بالآخر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المحقّقين، منهم الشيخ الأعظم رحمه الله</w:t>
      </w:r>
      <w:r>
        <w:rPr>
          <w:rStyle w:val="FootnoteAnchor"/>
          <w:rtl w:val="true"/>
        </w:rPr>
        <w:footnoteReference w:id="1514"/>
      </w:r>
      <w:r>
        <w:rPr>
          <w:rFonts w:ascii="Amiri" w:hAnsi="Amiri" w:eastAsia="Amiri" w:cs="Amiri"/>
          <w:color w:val="111111"/>
          <w:sz w:val="28"/>
          <w:sz w:val="28"/>
          <w:szCs w:val="28"/>
          <w:rtl w:val="true"/>
          <w:lang w:bidi="ar-SA"/>
        </w:rPr>
        <w:t xml:space="preserve">، بعدم منجّزية هذا </w:t>
      </w:r>
    </w:p>
    <w:p>
      <w:pPr>
        <w:pStyle w:val="BookText"/>
        <w:rPr/>
      </w:pPr>
      <w:r>
        <w:rPr>
          <w:rFonts w:ascii="Amiri" w:hAnsi="Amiri" w:eastAsia="Amiri" w:cs="Amiri"/>
          <w:color w:val="111111"/>
          <w:sz w:val="28"/>
          <w:sz w:val="28"/>
          <w:szCs w:val="28"/>
          <w:rtl w:val="true"/>
          <w:lang w:bidi="ar-SA"/>
        </w:rPr>
        <w:t xml:space="preserve">العلم الإجمالي، بناءً منهم على عدم منجّزية العلم الإجمالي عند اشتباه المكلّف به في الاُمور التدريجيّة، فيما لا يكون العلم فيه متعلقاً بتكليف فعليّ على كلّ حال، ولم يكن ملاك الأمر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تامّاً قبل مجئ وقتها؛ إذ المفروض تردّد التكليف بين كونه فعليّاً، وكونه مشروطاً بشرطٍ غير حاصل، فلا علم بالتكليف ولا بالملاك التامّ فعلاً، فيجري الأصل في الطرف المُبتلى به فعلاً بلا معارضٍ‌، لعدم جريانه في الطرف الآخر، وعند الإبتلاء به يجري فيه الأصل أيضاً بلا معارضٍ‌، لعدم وجود هذا الطرف حتّى يجري فيه الأصل فيتعارضان، غاية الأمر بعد جريان الأصلين، ومُضيّ زمان الإبتلاء بهما، يقطع بمخالفة أحدهما للواقع، ولا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بما أنّ الحيض الذي عُلّق عليه الأحكام لا علم به، فلا علم بالتكليف الفعلي، ولا بالملاك الفعلي التامّ‌، فالعلم الإجمالي المزبور لا يكون منجّزاً، وحينئذٍ لا مانع من الرجوع إلى الاُصول، ففي الفرض عليها الرجوع إلى استصحاب الطهر إلى الآن الأوّل من الأيّام الثلاثة الباقية من الشهر، وأمّا بعد ذلك فلا يمكن لها الرجوع إليه لعلمها بحصول حيضٍ وطُهر في هذا الشهر، والشكّ في بقاء كلّ منهما، فإمّا أن لا يجري الاستصحاب فيهما، أو يجريان ويتعارضان ويتساقطان على اختلاف المسلكين، فترجع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ذكروه نظر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الإجمالي في التدريجيّات منجّزٌ في جميع الفروض حتّى في الفرض المزبور، لإستقلال العقل بقبح تفويت الملاك المُلزم في ظرفه، بسلب القدرة عن النفس قبل مجي وقته، من غير فرقٍ بين أن يكون المفوّت العبد أو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w:t>
      </w:r>
    </w:p>
    <w:p>
      <w:pPr>
        <w:pStyle w:val="BookText"/>
        <w:rPr/>
      </w:pPr>
      <w:r>
        <w:rPr>
          <w:rFonts w:ascii="Amiri" w:hAnsi="Amiri" w:eastAsia="Amiri" w:cs="Amiri"/>
          <w:color w:val="111111"/>
          <w:sz w:val="28"/>
          <w:sz w:val="28"/>
          <w:szCs w:val="28"/>
          <w:rtl w:val="true"/>
          <w:lang w:bidi="ar-SA"/>
        </w:rPr>
        <w:t>أنّ ترخيص المولى إرتكاب كلّ طرفٍ في ظرف الإبتلاء به في الفرض يعدّ ترخيصاً لتفويت الملاك الملزم، وهو قبيحٌ‌، فهو مانعٌ عن جريان الاُصول، كممانعة الترخيص في المعصية، مع أنّ دعوى تعارض الأصل الجاري في أحد الطرفين في ظرف الإبتلاء به، مع الأصل الجاري في الطرف الآخر في الزمان المتأخّر عند الإبتلاء به، قريبة جدّاً، فالأقوى تنجّز العلم الإجمالي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عدم الحيض في نفسها لا تجري في حقّ المرأة، وإن جرت بالنسبة إلى زوجها، لتعارضها مع أصالة عدم الاستحاضة، للعلم بأحدهما فتتساقطان، فلابدّ لها من الاحتياط بالجمع بين تروك الحائض وأفعال المستحاضة، ولكن قد عرفت في مبحث اعتبار التوالي،</w:t>
      </w:r>
      <w:r>
        <w:rPr>
          <w:rStyle w:val="FootnoteAnchor"/>
          <w:rtl w:val="true"/>
        </w:rPr>
        <w:footnoteReference w:id="1515"/>
      </w:r>
      <w:r>
        <w:rPr>
          <w:rFonts w:ascii="Amiri" w:hAnsi="Amiri" w:eastAsia="Amiri" w:cs="Amiri"/>
          <w:color w:val="111111"/>
          <w:sz w:val="28"/>
          <w:sz w:val="28"/>
          <w:szCs w:val="28"/>
          <w:rtl w:val="true"/>
          <w:lang w:bidi="ar-SA"/>
        </w:rPr>
        <w:t>جريان استصحاب عدم الحيض، وعدم معارضته باستصحاب عدم الاستحاضة، فراجع ما حقّقناه في ذلك المبحث، وعليه فينحصر الإشكال فيما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اُورد على أصل الاستدلال، باستلزام الاحتياط الحَرَج المنفيّ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نفي الحرج إنّما تدلّ على نفي كلّ حكم شخصي لزم منه الحرج، ولا يستلزم ذلك رفع تنجّز العلم الإجمالي، ولو لم يلزم من الاحتياط حَرَجٌ‌، فتدبّر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5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5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مع قطع النظر عن ما يستفاد من نصوص المقام، وستعرف ما تقتضيه، ومنه يظهر ضعف هذا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جملةٍ من كتب المصنّف</w:t>
      </w:r>
      <w:r>
        <w:rPr>
          <w:rStyle w:val="FootnoteAnchor"/>
          <w:rtl w:val="true"/>
        </w:rPr>
        <w:footnoteReference w:id="1519"/>
      </w:r>
      <w:r>
        <w:rPr>
          <w:rFonts w:ascii="Amiri" w:hAnsi="Amiri" w:eastAsia="Amiri" w:cs="Amiri"/>
          <w:color w:val="111111"/>
          <w:sz w:val="28"/>
          <w:sz w:val="28"/>
          <w:szCs w:val="28"/>
          <w:rtl w:val="true"/>
          <w:lang w:bidi="ar-SA"/>
        </w:rPr>
        <w:t>والشهيدين</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1"/>
      </w:r>
      <w:r>
        <w:rPr>
          <w:rFonts w:ascii="Amiri" w:hAnsi="Amiri" w:eastAsia="Amiri" w:cs="Amiri"/>
          <w:color w:val="111111"/>
          <w:sz w:val="28"/>
          <w:sz w:val="28"/>
          <w:szCs w:val="28"/>
          <w:rtl w:val="true"/>
          <w:lang w:bidi="ar-SA"/>
        </w:rPr>
        <w:t>والمحقّق الثاني</w:t>
      </w:r>
      <w:r>
        <w:rPr>
          <w:rStyle w:val="FootnoteAnchor"/>
          <w:rtl w:val="true"/>
        </w:rPr>
        <w:footnoteReference w:id="1522"/>
      </w:r>
      <w:r>
        <w:rPr>
          <w:rFonts w:ascii="Amiri" w:hAnsi="Amiri" w:eastAsia="Amiri" w:cs="Amiri"/>
          <w:color w:val="111111"/>
          <w:sz w:val="28"/>
          <w:sz w:val="28"/>
          <w:szCs w:val="28"/>
          <w:rtl w:val="true"/>
          <w:lang w:bidi="ar-SA"/>
        </w:rPr>
        <w:t>وغيرهم، بل عن الأكثر أو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ترجع إلى عادتها، فتتحيّض بعددها، مخيّرة في وضعها من الشهر حيث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التخيير المزبور بعدم الأمارة المفيدة للظنّ بموقع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أوّلاً في مقدار تحيّضها، ثمّ في وقت التحيّض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لا يجب عليها الاحتياط في تمام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لمرسلة يونس</w:t>
      </w:r>
      <w:r>
        <w:rPr>
          <w:rStyle w:val="FootnoteAnchor"/>
          <w:rtl w:val="true"/>
        </w:rPr>
        <w:footnoteReference w:id="1526"/>
      </w:r>
      <w:r>
        <w:rPr>
          <w:rFonts w:ascii="Amiri" w:hAnsi="Amiri" w:eastAsia="Amiri" w:cs="Amiri"/>
          <w:color w:val="111111"/>
          <w:sz w:val="28"/>
          <w:sz w:val="28"/>
          <w:szCs w:val="28"/>
          <w:rtl w:val="true"/>
          <w:lang w:bidi="ar-SA"/>
        </w:rPr>
        <w:t>الطويلة، فهي صريحة في حصر سُنن المستحاضة في الأخذ بالعادة، والرجوع إلى التمييز والعدد، فينتفي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دلّ على عدم وجوبه على المتحيّرة الناسية للوقت والعدد، فإنّه يدلّ بالفحوى على عدم وجوبه على الناسية للوقت خاصّة؛ إذ ذِكْر العدد لا يوجب زيادة التكليف</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المستفاد من المرسل، بقرينة ما ذكرناه من أنّه يتعيّن عليها في الفرض رجوعها إلى عادتها؛ إذ حصر سُنن المستحاضة في الثلاث مستلزمٌ لإلغاء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الخصوصيّات المذكورة في الموارد الثلاثة، وإلّا لما أمكن أن يستفاد منه جميع أحكام المستحاضة، وعليه فيستفاد منه أنّ ذات العادة من جهة واحدة وظيفتها الرجوع إلى عادتها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ذلك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تعرف أيّامها ما احتاجت إلى معرفة لون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الجهل بالأيّام سبب الحاجة إلى معرفة لون الدّم،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الهمداني رحمه الله</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 عليه السلام في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 رسول اللّه صلى الله عليه و آله لحَمَنة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تحيّضي في كلّ شهرٍ في علم اللّه ستّة أو سبعة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أيّامها لو كانت أقلّ من سبع، وكانت خمساً أو أقلّ من ذلك، ما قال لها تحيّضي سبعاً، فيكون قد أمرها بترك الصّلاة أيّاماً وهي مستحاضة غير حائض، وكذلك لو كان حيضها أكثر من سبع وكانت أيّامها عشراً أو أكثر، لم يأمرها بالصلاة وهي حائض، ثمّ ممّا يزيد هذا بياناً،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يكون التحيّض إلّاللمرأة التي تريد أن تكلّف ما تعمل 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المرأة إذا كانت لحيضها أيّام معلومة، كان يأمرها بأنْ تتحيّض في علم اللّه بذلك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 دلالة هذه الفقرة من المرسل في نفسها عليه، مع قطع النظر عن ما ذكرناه من القرائن كما هو ظاهر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 إذ مورد هذه السُنّة على ما هو صريح قوله عليه السلام في صدر المرسل</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إحدى السُّنن، فالحائض التي لها أيّام معلومة، قد أحصتها بلا اختلاط عليها، ثمّ استحاضت فاستمرّ بها الدّم، وهي في تلك تعرف أيّامها، ومبلغ عدّتها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فهي تعدّ ذاكرة الوقت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لرجوعها إلى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النصوص</w:t>
      </w:r>
      <w:r>
        <w:rPr>
          <w:rStyle w:val="FootnoteAnchor"/>
          <w:rtl w:val="true"/>
        </w:rPr>
        <w:footnoteReference w:id="1529"/>
      </w:r>
      <w:r>
        <w:rPr>
          <w:rFonts w:ascii="Amiri" w:hAnsi="Amiri" w:eastAsia="Amiri" w:cs="Amiri"/>
          <w:color w:val="111111"/>
          <w:sz w:val="28"/>
          <w:sz w:val="28"/>
          <w:szCs w:val="28"/>
          <w:rtl w:val="true"/>
          <w:lang w:bidi="ar-SA"/>
        </w:rPr>
        <w:t>الآمرة بأخذ المستحاضة مقدار عادتها غير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بالعادة المعلومة وقتاً؛ إذ ليست هي متضمّنة لأخذها مقدار عادتها، بل متضمّنة لتحيضها أيّام قرئها، أو أيّامها، أو تلك الأيّام، وظهورها فيما ذكرناه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الفرق بين نسيان العادة علمها أو بعضها بإطلاق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مثل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التحيّض في أيّام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العلم، فكيف لا يُعقل الفرق بين العلم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الزمان الذي تتحيّض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لتعيّن جعل العدد في الأوّل؛ بأنّ عليها أن تتحيّض في أوّل رؤية الدّم، فلا وجه لرجوعها عن ذلك، وتركها العبادة، وقضاء ما تركته سابقاً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الأعظم رحمه الله</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قد لا تتحيّض في أوّل رؤية الدّم عمداً وجهلاً، مع أنّ عدم الوجه في رجوعها عن ذلك لا يوجب إلزامها بذلك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أدلّة التحيّض في أوّل الرؤية، أنّه يتعيّن عليها أن تكلَّف ما تعمل الحائض، فما لم ينكشف خلاف ذلك، بأنْ لم يصادف المتجاوز عن العشرة أمارةٌ مرشدة إلى كون المتجاوز حيضاً، لا وجه لرفع اليد عمّا ثبت عليها بمقتضى تكليفها الظاهري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الأعاظم</w:t>
      </w:r>
      <w:r>
        <w:rPr>
          <w:rStyle w:val="FootnoteAnchor"/>
          <w:rtl w:val="true"/>
        </w:rPr>
        <w:footnoteReference w:id="1531"/>
      </w:r>
      <w:r>
        <w:rPr>
          <w:rFonts w:ascii="Amiri" w:hAnsi="Amiri" w:eastAsia="Amiri" w:cs="Amiri"/>
          <w:color w:val="111111"/>
          <w:sz w:val="28"/>
          <w:sz w:val="28"/>
          <w:szCs w:val="28"/>
          <w:rtl w:val="true"/>
          <w:lang w:bidi="ar-SA"/>
        </w:rPr>
        <w:t>تأييداً للشيخ الأعظم رحمه الله، من أنّ إطلاق أدلّة التخيير يدلّ على جواز رجوعها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بأنّتلك الأدلّة إمّا لاتشمل العَشَرة الاُولى، فلاتدلّ عليجوازالرجوع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تشملها، فغاية ما تدلّ عليه أنّ لها الخيار في جعل العدد في العَشَرة التي تحيض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لا تدلّ على جواز الرجوع، فالقول بتعيّن جعل العدد في الأوّل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 ذكرناه يظهر مستند القول بالتخيير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تمييز، وإلّا فتأخذ بما فيه الصفة، لما عرفت آنفاً من أنّ مرسلة يونس تدلّ على رجوع جميع أقسام المستحاضة غير ذات العادة إلى التمييز، فراجع</w:t>
      </w:r>
      <w:r>
        <w:rPr>
          <w:rFonts w:eastAsia="Amiri" w:cs="Amiri" w:ascii="Amiri" w:hAnsi="Amiri"/>
          <w:color w:val="111111"/>
          <w:sz w:val="28"/>
          <w:szCs w:val="28"/>
          <w:rtl w:val="true"/>
          <w:lang w:bidi="ar-SA"/>
        </w:rPr>
        <w:t>.</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كلّه ظهر حكم صاحبة العادة العدديّة، التي لم تستقرّ لها عادة بحسب الوقت، فإنّ حكمها حكم ناسية الوقت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59" w:name="pg11795_115724"/>
    </w:p>
    <w:p>
      <w:pPr>
        <w:pStyle w:val="Heading6"/>
        <w:numPr>
          <w:ilvl w:val="5"/>
          <w:numId w:val="1"/>
        </w:numPr>
        <w:rPr/>
      </w:pPr>
      <w:bookmarkStart w:id="560" w:name="__RefHeading___Toc10329039_73709187"/>
      <w:bookmarkStart w:id="561" w:name="_Toc212"/>
      <w:bookmarkEnd w:id="559"/>
      <w:bookmarkEnd w:id="560"/>
      <w:r>
        <w:rPr>
          <w:rtl w:val="true"/>
        </w:rPr>
        <w:t>حكمُ ناسية العدد</w:t>
      </w:r>
      <w:bookmarkEnd w:id="561"/>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نسيت العدد، وذَكَرت الوقت، بأنْ كانت ذاكرةً لوقتها في الجملة، فلا شبهة في وجوب رجوعها إلى عادتها، لإطلاق ما دلّ على الرجوع إلى العادة، وعليه فإنْ ذَكَرت أوّل حيضها أكملته ثلاثة أيّام بلا خلاف ولا كلام، وكذا لا كلام في ما فوقها ممّا لا تحتمل نقصان عادتها منه، وأمّا فيما زاد عن ذلك إلى العشرة ممّا تحتمل كونه من عادتها، فإنْ كان لها تمييزٌ رجعتْ إليه في تعيين العدد، لنصوص</w:t>
      </w:r>
      <w:r>
        <w:rPr>
          <w:rStyle w:val="FootnoteAnchor"/>
          <w:rtl w:val="true"/>
        </w:rPr>
        <w:footnoteReference w:id="1533"/>
      </w:r>
      <w:r>
        <w:rPr>
          <w:rFonts w:ascii="Amiri" w:hAnsi="Amiri" w:eastAsia="Amiri" w:cs="Amiri"/>
          <w:color w:val="111111"/>
          <w:sz w:val="28"/>
          <w:sz w:val="28"/>
          <w:szCs w:val="28"/>
          <w:rtl w:val="true"/>
          <w:lang w:bidi="ar-SA"/>
        </w:rPr>
        <w:t>أماريّة الصفات، وإلّا رجعت إلى عادة أهلها، لإطلاق موثّقي زرارة ومحمّد بن مسلم</w:t>
      </w:r>
      <w:r>
        <w:rPr>
          <w:rStyle w:val="FootnoteAnchor"/>
          <w:rtl w:val="true"/>
        </w:rPr>
        <w:footnoteReference w:id="1534"/>
      </w:r>
      <w:r>
        <w:rPr>
          <w:rFonts w:ascii="Amiri" w:hAnsi="Amiri" w:eastAsia="Amiri" w:cs="Amiri"/>
          <w:color w:val="111111"/>
          <w:sz w:val="28"/>
          <w:sz w:val="28"/>
          <w:szCs w:val="28"/>
          <w:rtl w:val="true"/>
          <w:lang w:bidi="ar-SA"/>
        </w:rPr>
        <w:t>، وأبي بصير</w:t>
      </w:r>
      <w:r>
        <w:rPr>
          <w:rStyle w:val="FootnoteAnchor"/>
          <w:rtl w:val="true"/>
        </w:rPr>
        <w:footnoteReference w:id="1535"/>
      </w:r>
      <w:r>
        <w:rPr>
          <w:rFonts w:ascii="Amiri" w:hAnsi="Amiri" w:eastAsia="Amiri" w:cs="Amiri"/>
          <w:color w:val="111111"/>
          <w:sz w:val="28"/>
          <w:sz w:val="28"/>
          <w:szCs w:val="28"/>
          <w:rtl w:val="true"/>
          <w:lang w:bidi="ar-SA"/>
        </w:rPr>
        <w:t>المتقدّمين في المُبتدئة</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فقدن، أو كنَّ مختلفات، ففيها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وهو تحيّضها بالعَشَرة ما لم تعلم انتفاء بعضها، وإلّا فبالممكن منها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الاحتياط، بالجمع بين أفعال المستحاضة وتروك الحائض، وهو المنسوب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5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539"/>
      </w:r>
      <w:r>
        <w:rPr>
          <w:rFonts w:ascii="Amiri" w:hAnsi="Amiri" w:eastAsia="Amiri" w:cs="Amiri"/>
          <w:color w:val="111111"/>
          <w:sz w:val="28"/>
          <w:sz w:val="28"/>
          <w:szCs w:val="28"/>
          <w:rtl w:val="true"/>
          <w:lang w:bidi="ar-SA"/>
        </w:rPr>
        <w:t>، والمصنّف</w:t>
      </w:r>
      <w:r>
        <w:rPr>
          <w:rStyle w:val="FootnoteAnchor"/>
          <w:rtl w:val="true"/>
        </w:rPr>
        <w:footnoteReference w:id="1540"/>
      </w:r>
      <w:r>
        <w:rPr>
          <w:rFonts w:ascii="Amiri" w:hAnsi="Amiri" w:eastAsia="Amiri" w:cs="Amiri"/>
          <w:color w:val="111111"/>
          <w:sz w:val="28"/>
          <w:sz w:val="28"/>
          <w:szCs w:val="28"/>
          <w:rtl w:val="true"/>
          <w:lang w:bidi="ar-SA"/>
        </w:rPr>
        <w:t xml:space="preserve">في جملةٍ من كتبه،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الاقتصار على المتيقّن،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5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5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 واستقرّ عليه الشيخ الأعظم رحمه الله</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رجوعها إلى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بأخذ السبعة تعييناً كما عن الشيخ في الخلاف مدّعياً عليه الإجماع</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ثبوت التخيير الثابت للمبتدئة لها، كما عن غيره</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بقاء الحيض، وبقاعدة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الحيض من الاُمور غير القارة التي توجد شيئاً فشيئاً، فالمرجع عند الشكّ فيه، هي أصالة عدم حدوث ما شكّ في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من جريان الاستصحاب فيها، لأنّ المناط في جريانه صدق البقاء عرفاً، من غير فرقٍ بين كون المستصحب وجوداً واحداً حقيقيّاً مستمرّاً، أم وجودات متباينة بالدقّة العقليّة، يجمعها جامعٌ واحد عرفي ولو اعتباراً، وتمام الكلام في محلّه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الذي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جريانه يتوقّف على عدم استفادة حكمها من نصوص الباب، وستعرف أنّه يستفاد منها، فلا مورد للاستصحاب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ما تقدّم من سقوط هذا الأصل في هذا الباب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ما في الاستدلال بالقاعدة، مضافاً إلى ما عرفت عند التعرّض للقاعدة من عدم ثبوتها بنحو تشتمل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مقتضى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ينحلّ باستصحاب بقاء الحيض وعدم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إجتهادٌ في مقابل النصّ الدالّ على أنّها ترجع إلى العدد الذي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الاقتصار في ترك العبادات الواجبة على القدر المتيقّن، لإطلاق الأمر بها، وبأصالة عدم زيادة الحيض، بناءً على عدم جريان استصحاب بقاء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التمسّك بإطلاق ما تضمّن الأمر بالعبادات، بعد تقييده بما دلّ على عدم وجوبها على الحائض في ما إذا شكّت في كونه حائضاً، يعدّ تمسّكاً بالعام في الشبهة المصداقيّة، وهو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عدم زيادة الحيض، فلأنّه لا يثبت بها كون المرأة غير حائض، والدّم الموجود غير حيضٍ‌، إلّاعلى القول بالأصل المثبت، الذي لا نقول به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الرجوع إلى هذه القواعد والاُصول إنّما يكون مع عدم النصّ‌، وهو موجودٌ في المقام، يدلّ على أنّ وظيفتها الرجوع إلى العدد، لاحظ قوله عليه السلام في ذيل مرسل يونس الطويل</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اختلطت عليها أيّامها وزادت أو نقصت، حتّى لايقف على حدٍّ، ولا من الدّم على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الأمر كذلك، ولكن الدّم أطبق عليها، فلم تزل الاستحاضة دارّة، وكان الدّم على لونٍواحد، فسُنّتهاالسّبع والثلاث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لشموله لذاكرة الوقت ناسية العدد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والجمود على ظاهر هذه الجملة، وإنْ كان يقتضي القول بما إختاره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550"/>
      </w:r>
      <w:r>
        <w:rPr>
          <w:rFonts w:ascii="Amiri" w:hAnsi="Amiri" w:eastAsia="Amiri" w:cs="Amiri"/>
          <w:color w:val="111111"/>
          <w:sz w:val="28"/>
          <w:sz w:val="28"/>
          <w:szCs w:val="28"/>
          <w:rtl w:val="true"/>
          <w:lang w:bidi="ar-SA"/>
        </w:rPr>
        <w:t>، ولكن من جهة التعليل باتّحاد حكمها مع حكم المُبتدئة، يكون الأظهر هو القول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وإنْ كان الأحوط اختيار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في المقام وفي المضطربة، يظهر حكم ذاكرة الوقت مضطربة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ذكرت الناسية آخر حيضها جعلته نهاية الثلاثة، وبالنسبة إلى ما عداها من الأوقات المشكوك فيها إلى العشرة فيها،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المختار في مَن ذَكَرت أوّل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لك أيضاً حكم ما إن ذكرت وسطه أو شيئاً منه، فإنّها في جميع الصور تأخذ بالمعلوم، وفي المشكوك فيه ترجع إلى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تعلم بكون أيّام حيضها أكثر من الثلاثة، أو أقلّ من السبعة، وإلّا فليس لها اختيار الثلاثة في الأوّل والسبعة في الثاني، لقوله عليه السلام في المرسل</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أنّ أيّامها لو كانت أقلّ من سبع، وكانت خمساً أو أقلّ من ذلك، ما قال لها تحيّضي سبعاً، فيكون قد أمرها بترك الصّلاة أيّاماً وهي مستحاضة غير حائض، وكذلك لو كان حيضها أكثر من سبعٍ وكانت أيّامها عشرة أو أكثر، ما كان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أن يأمرها بالصلاة وهي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بصورة العلم تفصيلاًً بالعادة، كما ترى خلاف مقتضى الإطلاق،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إلى رواية الثلاث، ولكن لا مانع من رجوعها إلى المرسل الدالّ على التخيير بين الستّ والسبع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إلى المرسل، بل ترجع إلى رواية الثلاث</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علمت كونها أكثر من سبع، لا ترجع إلى النصوص، ولا إلى استصحاب بقاء الحيض إلى العشرة، لما تقدّم، فعليها الاحتياط في المقدار الزائد على العدد إلى العشرة</w:t>
      </w:r>
      <w:r>
        <w:rPr>
          <w:rFonts w:eastAsia="Amiri" w:cs="Amiri" w:ascii="Amiri" w:hAnsi="Amiri"/>
          <w:color w:val="111111"/>
          <w:sz w:val="28"/>
          <w:szCs w:val="28"/>
          <w:rtl w:val="true"/>
          <w:lang w:bidi="ar-SA"/>
        </w:rPr>
        <w:t>.</w:t>
      </w:r>
      <w:bookmarkStart w:id="562" w:name="pg11795_115729"/>
    </w:p>
    <w:p>
      <w:pPr>
        <w:pStyle w:val="Heading6"/>
        <w:numPr>
          <w:ilvl w:val="5"/>
          <w:numId w:val="1"/>
        </w:numPr>
        <w:rPr/>
      </w:pPr>
      <w:bookmarkStart w:id="563" w:name="__RefHeading___Toc10329041_73709187"/>
      <w:bookmarkStart w:id="564" w:name="_Toc213"/>
      <w:bookmarkEnd w:id="562"/>
      <w:bookmarkEnd w:id="563"/>
      <w:r>
        <w:rPr>
          <w:rtl w:val="true"/>
        </w:rPr>
        <w:t>التمييز بالأوصاف غير المنصوصة</w:t>
      </w:r>
      <w:bookmarkEnd w:id="564"/>
    </w:p>
    <w:p>
      <w:pPr>
        <w:pStyle w:val="Heading6"/>
        <w:numPr>
          <w:ilvl w:val="5"/>
          <w:numId w:val="1"/>
        </w:numPr>
        <w:rPr/>
      </w:pPr>
      <w:bookmarkStart w:id="565" w:name="__RefHeading___Toc10329043_73709187"/>
      <w:bookmarkStart w:id="566" w:name="_Toc214"/>
      <w:bookmarkEnd w:id="565"/>
      <w:r>
        <w:rPr>
          <w:rtl w:val="true"/>
        </w:rPr>
        <w:t>تذييلٌ في بيان أمرين</w:t>
      </w:r>
      <w:r>
        <w:rPr>
          <w:rtl w:val="true"/>
        </w:rPr>
        <w:t>:</w:t>
      </w:r>
      <w:bookmarkEnd w:id="566"/>
    </w:p>
    <w:p>
      <w:pPr>
        <w:pStyle w:val="Heading6"/>
        <w:numPr>
          <w:ilvl w:val="5"/>
          <w:numId w:val="1"/>
        </w:numPr>
        <w:rPr/>
      </w:pPr>
      <w:bookmarkStart w:id="567" w:name="__RefHeading___Toc10329045_73709187"/>
      <w:bookmarkStart w:id="568" w:name="_Toc215"/>
      <w:bookmarkEnd w:id="567"/>
      <w:r>
        <w:rPr>
          <w:rtl w:val="true"/>
        </w:rPr>
        <w:t>الكلام في التعدّي عن الاوصاف المنصوصة</w:t>
      </w:r>
      <w:bookmarkEnd w:id="568"/>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الرجوع إلى أوصاف الحيض والاستحاضة المنصوصة</w:t>
      </w:r>
      <w:r>
        <w:rPr>
          <w:rStyle w:val="FootnoteAnchor"/>
          <w:rtl w:val="true"/>
        </w:rPr>
        <w:footnoteReference w:id="1552"/>
      </w:r>
      <w:r>
        <w:rPr>
          <w:rFonts w:ascii="Amiri" w:hAnsi="Amiri" w:eastAsia="Amiri" w:cs="Amiri"/>
          <w:color w:val="111111"/>
          <w:sz w:val="28"/>
          <w:sz w:val="28"/>
          <w:szCs w:val="28"/>
          <w:rtl w:val="true"/>
          <w:lang w:bidi="ar-SA"/>
        </w:rPr>
        <w:t>، في موارد الرجوع إلى التمييز، إنّما الكلام في التعدّي عنها</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ظاهر كلمات جماعةٍ منهم المصنّف</w:t>
      </w:r>
      <w:r>
        <w:rPr>
          <w:rStyle w:val="FootnoteAnchor"/>
          <w:rtl w:val="true"/>
        </w:rPr>
        <w:footnoteReference w:id="1554"/>
      </w:r>
      <w:r>
        <w:rPr>
          <w:rFonts w:ascii="Amiri" w:hAnsi="Amiri" w:eastAsia="Amiri" w:cs="Amiri"/>
          <w:color w:val="111111"/>
          <w:sz w:val="28"/>
          <w:sz w:val="28"/>
          <w:szCs w:val="28"/>
          <w:rtl w:val="true"/>
          <w:lang w:bidi="ar-SA"/>
        </w:rPr>
        <w:t>والشهيد</w:t>
      </w:r>
      <w:r>
        <w:rPr>
          <w:rStyle w:val="FootnoteAnchor"/>
          <w:rtl w:val="true"/>
        </w:rPr>
        <w:footnoteReference w:id="1555"/>
      </w:r>
      <w:r>
        <w:rPr>
          <w:rFonts w:ascii="Amiri" w:hAnsi="Amiri" w:eastAsia="Amiri" w:cs="Amiri"/>
          <w:color w:val="111111"/>
          <w:sz w:val="28"/>
          <w:sz w:val="28"/>
          <w:szCs w:val="28"/>
          <w:rtl w:val="true"/>
          <w:lang w:bidi="ar-SA"/>
        </w:rPr>
        <w:t>، والمحقّق الثانيان</w:t>
      </w:r>
      <w:r>
        <w:rPr>
          <w:rStyle w:val="FootnoteAnchor"/>
          <w:rtl w:val="true"/>
        </w:rPr>
        <w:footnoteReference w:id="1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التمييز بغيرهامن المسلّمات، وقالوا إنّ القوّة والضعف، تحصلان بصفاتٍ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فالأسود قويّ الأحمر، وهو قويّ الأشقر، وهو قويّ الأصفر، وهو قويّ الأكدر،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والأحمر قويّ الأصفر والأكدر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الكريهة قويّ قليلها، وهو قويّ عديمها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الثخانة، فالثخين قويّ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بالتعبير في مرسل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بالإقبال والإدبار الحاصلين بالقوّة والضعف</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الظاهر من النصوص الواردة في اشتباه دمّ الحيض بالاستحاضة</w:t>
      </w:r>
      <w:r>
        <w:rPr>
          <w:rStyle w:val="FootnoteAnchor"/>
          <w:rtl w:val="true"/>
        </w:rPr>
        <w:footnoteReference w:id="15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كونهاواردة في مقام التنبيه على أمرٍ عرفي وإمضائه، ومن الواضح أنّ إمتياز الحيض عن الاستحاضة إنّما يكون بالقوّة والضعف، لا بخصوص ما نصّت عليه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فلإقتران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فلهذا إحتاجت إلى أنْ تَعرف إقبال الدّم من إدباره،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وتغيير لونه من السواد إلى غيره، وذلك أن دمّ الحيض أسود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يوجب عدم ظهوره في الإطلاق، مع أنّ الظاهر عدم كونه عليه السلام في هذه الجملة في مقام بيان طريقيّة الإقبال والإدبار، لكونها واردة في مقام بيان علّة الحكم بالرجوع إلى التمييز، ولا يخفى الفرق بين مورده ومورد الرجوع إلى العادة على مَن 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إطلاقها، يتعيّن تقييده بالنصوص الاُخر المتضمّنة أنّ دمّ الحيض أسودٌ حارٌّ، ودمّ الاستحاضة أصفرٌ بارد، فإنّها صريحة في أنّ امتياز الحيض عن الاستحاضة، إنّما يكون بالسواد والصُّفرة والحرارة والبرودة، لا بالشدّة والضعف، فلا يمكن حملها على إرادة مطلق الإقبال والإدبار، المستلزمة لكون الدّمين كليهما بلونٍ واحد، إلّاأنّ أحدهما أشدّ من الآخر، ممّا يقتضي أن يتعيّن حمل الإقبال والإدبار على خصوص ما في النصوص، فتدبّر فإنّه دقيق</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دمّ الحيض وإنْ كان من الموضوعات الخارجيّة الواقعيّة، إلّا أنّه لأجل إشتباهه كثيراً بغيره، وعدم تلازم الحيضيّة مع الصِّفات التي ادّعى كونها أمارة للحيض عرفاً لحكم الشارع المقدّس في غير مقام، بكون الفاقد للصفات حيضاً، وكون الواجد غير حيضٍ‌، يتعيّن الاقتصار على ما جعله الشارع طريقاً إليه، ما لم يحصل الاطمئنان به، وحيث أنّ النصوص مختصّة ببعض الصفات، فالتعدّي </w:t>
      </w:r>
      <w:bookmarkStart w:id="569" w:name="pg11795_115731"/>
    </w:p>
    <w:p>
      <w:pPr>
        <w:pStyle w:val="BookText"/>
        <w:rPr/>
      </w:pPr>
      <w:bookmarkEnd w:id="569"/>
      <w:r>
        <w:rPr>
          <w:rFonts w:ascii="Amiri" w:hAnsi="Amiri" w:eastAsia="Amiri" w:cs="Amiri"/>
          <w:color w:val="111111"/>
          <w:sz w:val="28"/>
          <w:sz w:val="28"/>
          <w:szCs w:val="28"/>
          <w:rtl w:val="true"/>
          <w:lang w:bidi="ar-SA"/>
        </w:rPr>
        <w:t>يحتاج إلى دليلٍ آخر وهو مفقود، مع أنّ ثبوت امتياز الحيض عن الاستحاضة عرفاً بمطلق القوّة والضعف محلّ نظرٍ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تعيّن الاقتصار على الصفات المنصوصة</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10329047_73709187"/>
      <w:bookmarkStart w:id="571" w:name="_Toc216"/>
      <w:bookmarkEnd w:id="570"/>
      <w:r>
        <w:rPr>
          <w:rtl w:val="true"/>
        </w:rPr>
        <w:t>يعتبر اجتماع صفات الحيض</w:t>
      </w:r>
      <w:bookmarkEnd w:id="571"/>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تجتمع صفات الحيض، بل فُقد بعضها، فهل يحكم بالحيضيّة أم لا؟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نصوص أماريّة الصفات لأجل إختلافها في بيانها، والاقتصار في بعضها على بيان واحدة منها بضميمة الإرتكاز العرفي، تكون ظاهرة في أماريّة كلّ واحدة منها للحيض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وإنْ كان تامّاً، إلّاأنّه من جهة دلالة تلك النصوص على أماريّة عدم كلّ واحدةٍ منها للإستحاضة، بقرينة المقابلة، تتعارض الحجّتان، فلا وجه لتعيّن البناء على الحيضيّة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الحيض وجدان واحدة، وطريق الاستحاضة فقدان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ظاهر النصوص،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الاكتفاء بواحدة منها في الحكم بالحيضيّة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الثاني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مؤلّفه الأحقر،</w:t>
      </w:r>
    </w:p>
    <w:p>
      <w:pPr>
        <w:pStyle w:val="BookText"/>
        <w:rPr/>
      </w:pPr>
      <w:r>
        <w:rPr>
          <w:rFonts w:ascii="Amiri" w:hAnsi="Amiri" w:eastAsia="Amiri" w:cs="Amiri"/>
          <w:color w:val="111111"/>
          <w:sz w:val="28"/>
          <w:sz w:val="28"/>
          <w:szCs w:val="28"/>
          <w:rtl w:val="true"/>
          <w:lang w:bidi="ar-SA"/>
        </w:rPr>
        <w:t>محمّد صادق الحسيني الروحاني عفى اللّه عنه،</w:t>
      </w:r>
    </w:p>
    <w:p>
      <w:pPr>
        <w:pStyle w:val="BookText"/>
        <w:rPr/>
      </w:pPr>
      <w:r>
        <w:rPr>
          <w:rFonts w:ascii="Amiri" w:hAnsi="Amiri" w:eastAsia="Amiri" w:cs="Amiri"/>
          <w:color w:val="111111"/>
          <w:sz w:val="28"/>
          <w:sz w:val="28"/>
          <w:szCs w:val="28"/>
          <w:rtl w:val="true"/>
          <w:lang w:bidi="ar-SA"/>
        </w:rPr>
        <w:t>ويتلوه الجزء الثالث إنْ شاء اللّه تعالى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توفيقي إلّاباللّه، والحمدُ للّه أوّلاً وآخراً وظاهراً وباطناً</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11795_115733"/>
      <w:bookmarkStart w:id="573" w:name="pg11795_115733"/>
      <w:bookmarkEnd w:id="573"/>
    </w:p>
    <w:p>
      <w:pPr>
        <w:pStyle w:val="Heading2"/>
        <w:numPr>
          <w:ilvl w:val="1"/>
          <w:numId w:val="1"/>
        </w:numPr>
        <w:rPr/>
      </w:pPr>
      <w:bookmarkStart w:id="574" w:name="pg11795_115733"/>
      <w:bookmarkStart w:id="575" w:name="__RefHeading___Toc10329049_73709187"/>
      <w:bookmarkStart w:id="576" w:name="_Toc217"/>
      <w:bookmarkEnd w:id="574"/>
      <w:bookmarkEnd w:id="575"/>
      <w:r>
        <w:rPr>
          <w:rtl w:val="true"/>
        </w:rPr>
        <w:t>فهرس الموضوعات</w:t>
      </w:r>
      <w:bookmarkEnd w:id="576"/>
    </w:p>
    <w:p>
      <w:pPr>
        <w:pStyle w:val="BookText"/>
        <w:rPr/>
      </w:pPr>
      <w:r>
        <w:rPr>
          <w:rFonts w:ascii="Amiri" w:hAnsi="Amiri" w:eastAsia="Amiri" w:cs="Amiri"/>
          <w:color w:val="111111"/>
          <w:sz w:val="28"/>
          <w:sz w:val="28"/>
          <w:szCs w:val="28"/>
          <w:rtl w:val="true"/>
          <w:lang w:bidi="ar-SA"/>
        </w:rPr>
        <w:t>في حكم العبادة عند ترك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في وجوب البدار مطلقاً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زوال السبب المسوّغ للتيمّم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وجوب الترتيب في أجزاء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وجوب الموالاة وبيان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بقيّة واجبات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الوضوء بالماء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الوضوء تحت الخيمة المغصوبة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اعتبار عدم المانع من استعمال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حكم طهارة الجاهل بضررها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حكم تعارض الوضوء والصلاة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المباشرة في أفعال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التولية في حال 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مستحبّات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تثنية الغسلات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عددٌ من مستحبّات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ما يكره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أحكام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الشكّ في أثناء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في حكم الشكّ بعد الانصراف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 الخلل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الشاكّ المأمور بالوضوء لو نسي وصَلّى بدونه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لو توضّأ للتجديد، ثُمَّ علم ببطلان أحد الوضوئين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في حكم ما لو صلّى بعد كلّ واحدٍ من الوضوئين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حكم المسح على الحائل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لو شكّ في الوضوء لاحتمال الإخلال العَمدي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حكم كثير الشكّ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وجوب إيصال الماء تحت الجبيرة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إذا لم يمكن إيصال الماء تحت الجبيرة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هل الجرح المكشوف يلحق بالجبيرة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الجبيرة في موضع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وضوء الجبيرة رافع للحَدَث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حكم الشاكّ في البُرء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عدم إحراز كون الوظيفة الوضوء أو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حكم دائم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حكم المسلوس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خروج المنيّ من المرأة يوجب جنابتها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أمارات المنيّ‌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الجماع موجبٌ للجنابة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الوطئ في دُبر الرَّجل يوجبُ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إذا رأى في ثوبه منيّاً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الجنابة الدائرة بين شخصين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المنيّ بصورة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حكم إجناب الشخص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حكم مقطوع الحَشَفة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واجبات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لزوم استيعاب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وجوب التخليل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لا يجبُ غَسل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لا يجب غسل البواطن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في حكم ما يشكّ أنّه من الظاهر أو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لزوم 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الترتيب بين الجانبين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الترتيب يَسقُط بالارتماس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في معنى الارتماس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في جواز غَسل الأعضاء ارتماساً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لزوم غسل الرقبة مع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عدم وجوب 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حكم البدء بالأعلى فالأعلى‌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عدم اعتبار طهارة الأعضاء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الغُسل تحت المطر والميزاب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في جواز الغُسل بالغسالة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الشكّ في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مستحبّات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الأفعال الممنوعة على المُجنب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قراءة سور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حُرمة مسّ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اللَّبث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المشاهد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حكم المَسجدين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من أجنب في أحد المسجدين يتيمّم للخروج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إدخال الجُنُب في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في حكم استئجار الجُنُب للدخول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التيمّم لدخول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ما يُكرَه على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الحَدَث الأكبر في أثناء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الحَدَث الأصغر في أثناء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الحَدَث في أثناء الأغسال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حكم اجتماع الأغسال المتعدّدة على المكلّف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في استغناء المغتسل عن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حصول امتثال جميع الأغسال لو نوى واحداً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لو نوى غير 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حُكم البَلَل المُشتبه بعد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شرائط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منتهى الحيض في القُرشيّة والنبطيّة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الشكّ في القُرشيّة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الشكّ في البلوغ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اشتباه الحيض بالإستحاضة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اشتباه دمّ الحيض بدم العُذرة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اشتباه دمّ الحيض بدم القُرحة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أقلّ الحيض وأكثره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اعتبار التوالي في ثلاثة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حجيّة مراسيل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اعتبار الاستمرار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عن حقيقة الأيّام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أكثر الحيض عشرة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أقلّ الطهر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أقسام الحائض</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البحث عن قاعدة الإمكان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دليل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بيان المراد بالإمكان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ما به تتحقّق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العادة الوقتيّة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العادة المركّبة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ما به تزول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حصول العادة بالتمييز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حُكم صاحبة العادة الوقتيّة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حكم المُبتدئة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فروع ذات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تجاوز الدّم عن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وجوب الاستبراء</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البحث عن كيفيّة الاستبراء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الإستظهار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مقدار الإستظهار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حكم تجاوز الدَّم العَشَرة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الرجوع إلى التمييز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شرائط الرجوع إلى التمييز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حكم عدم قصور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الرجوع إلى الأرقاب</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الرجوع إلى الأقران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حكم المرأة الفاقدة للأقران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حكم ناسية الوقت والعَدَد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حكم المتحيّرة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ناسية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حكمُ ناسية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التمييز بالأوصاف غير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يعتبر اجتماع صفات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في تعليقه على 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مسح وزالت الضرورة أو نزع الخفّ استأنف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زالت الضرورة أو نزع الخُفّ استأنف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عليه استئناف الوضوء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مسح على الحائل للضرورة أو التقيّة ثمّ زالتا أو نزع الخُفّ فالأقرب الاستئناف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إلّاأنّه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زال السبب ففي الإعادة من غير حدث إشكال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زال السبب للمسح على 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المقتضي للمسح على الخفّين عندنا هو الضرورة والتقيَّة فيدوم بدوامها ولا يتقدّر بما قدروه، فإذا زالت الضرورة ولم 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بقاء الطهارة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زال السبب فالأقرب بقاء الطهارة، وقيل ينتقض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استدلّ على عدم الإعادة بمقدّمات،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ومتى تقرّرت هذه المقدّمات لزم الجزم بعدم الإعادة هنا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الأظهر عدم الوجوب، لأنّ امتثال الأمر يقتضي الإجزاء، والإعادة على خلاف الأصل فيتوقّف على الدليل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ليحيى بن سعيد الحلّي المتوفّى سنة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يبطل الوضوء بزوال التقيّة والضرورة ما لم يحدث على الأصح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الجواب الشيخ الأنصاري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الفرض التاسع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البحث 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الترتيب والمولاة، 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أخلَّ بالترتيب ناسياً بطل وضوؤه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عامداً أعاد مع الجفاف، وإلّاعلى ما يحصل معه الترتيب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الترتيب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خالف عمدا أعاده، ونسياناً يعيد إنْ كان جفّ الوضوء، وإلّا على ما يحصل معه الترتيب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الثالثة المولاة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الحلّي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نسبه 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بحيث لا يجفّ السابق من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أشهر الأقوال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السيّد المرتضى في المصباح المحقّق الخوانساري في 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والموالاة واجبة في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الرسائل العشر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والوجه وجوب المتابعة مع الاختيار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التفريق بين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والموالات أيضا واجبة في الطهارة ولا يجوز تبعيضها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جفاف بعض الوضوء قبل تمامه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للمحقّق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وبالجملة الظاهر القول الأوّل، وهو مراعاة الجفاف لكن بمعنى اشتراطها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الوضوء لا وجوبها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الثانية، وقد اعتبر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الرأي قولٌ رابع وإليه مالَ جملةٌ من أفاضل متأخّري المتأخّرين، وبعد استعراض الأقوال والمناقشة قوى ما ذهب إليه الصدوقان ومَن تبعهما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أنّه لو تابع بين أعضاء الوضوء صحَّ وضوؤه وإنْ اتّفق الجفاف 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إجماع الفرقة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دلَّت رواية زرارة ورواية الفقيه على أنّ المسح ببلّة وضوء اليد ومع عدمه فمن بلّة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فإن لم يبقى بلّة فعليه إعادة الوضوء كما في رواية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الشيخ البهائي في 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والثلاثون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ويمسح الرأس والرِّجلين واليدان رطبتان في الزمان والهواء المعتدلين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أخلّ بشيء ممّا ذكرناه أبطل وضوءه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ترك الموالاة حتّى يجفّ العضو المتقدّم لم يجزه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يتابع بعضه ببعض بحيث يجفّ غسل عضو قبل موالاته بغسل العضو الآخر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المسألة التاسعة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اعتبار إباحة ماء الوضوء في الجملة فقد استفاض نقل الإجماع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الدلائل بعد نسبة الحكم بالفساد إلى الأصحاب، نقل عن الكليني 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ما ينهى عنه لخصوص العبادة، وما ينهى عنه لنفسه من المكان واللِّباس،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قوله يصحّ الوضوء بالمغصوب لأنّه منهي عنه لنفسه وهو قوي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اختيار المحقّق الخوئي 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وراجع تفصيل مبناه في ذلك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إلّافي الناسي فإنّه يصحّح عمله بخلاف بقيّة الأقسام، راجع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إحياء الموات، ح </w:t>
      </w:r>
      <w:r>
        <w:rPr>
          <w:rFonts w:eastAsia="IRNazanin" w:cs="IRNazanin"/>
          <w:b w:val="false"/>
          <w:bCs w:val="false"/>
          <w:i w:val="false"/>
          <w:iCs w:val="false"/>
          <w:color w:val="333333"/>
          <w:sz w:val="20"/>
          <w:szCs w:val="20"/>
        </w:rPr>
        <w:t>32251</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ابتداءً من 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الوجه السيّد الحكيم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لم يتبنّاه حيث قال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فالمتعيّن القول بالبطلان كما عرفت، فلاحظ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المحقّق الخوئي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المحقّق النائيني رحمه الله ذهب إلى بطلانهما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مقتضى القاعدة هو الرجوع إلى أخبار الترجيح والتخيير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المؤلّف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انفردت الإماميّة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بوجوب تولّي المتطهّر وضوءه بنفسه إذاكان متمكِّناً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تضعيفه للرواية بإبراهيم بن إسحاق الأحمر،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الأصحاب عملوا بمضمونها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أن يولّي وضوءه غيره اعتباراً، هذا مذهب الأصحاب، ولا يجزي لو فعل، ومع الضرورة يجزي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الواجب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المباشرة بنفسه فيبطل لو ولّاه غيره اختياراً تفرّد به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والشهيد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وفي نقلهما لكلامه،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أن لا يشرك الإنسان في وضوئه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فالمقابلة قد يكون الإشراك مكروهاً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المصدرين السابقين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التيمّم ح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كقوله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ما غلب اللّه عليه فاللّه أولى بالعذر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الكثير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عن الصدوق في المقنع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حيث ذكر من سنن الوضوء تثنية الغسلات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الشهيد في الألفيّة والنفليّة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تثنية غسل الأعضاء، وبالملازمة يدلّ ذلك على جوازالاكتفاء بالمرّة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الطهارة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المبحث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مستحبّاته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يحب التيامن في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وعن الذكرى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كان يحب التيامن في طهوره، وتنعّله، وشأنه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المبحث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مستحبّاته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الاغتراف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الأوّل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التسمية إجماعاً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المجلس الحادي والثلاثون،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ومنها أبا بصير رقم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أباعبد اللّه عليه السلام عنهما،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من الوضوء فإن نسيتهما فلا تعد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والواجب في العضوين المغسولين الدفعة الواحدة، والمرّتان سُنّة وفضيلة بإجماع المسلمين، ولا يلتفت إلى خلاف من 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الوضوء مثنى مثنى‌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مدّعياً على ذلك الإجماع، إلّاأنّه لم يفصّل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الغسلة الاُولى والثانية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بدأة الرجل بظاهر ذراعيه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الحلّي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الاستحباب اتّفق علماؤنا، ولم يفصّل بين الغسلة الاُولى والثانية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حكى التفصيل بين الغسلة الاُولى والثانية 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أقف له على مستند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علماؤنا يستحبّ الوضوء بمدّ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الوضوء بمد وهو قول علمائنا، وأكثر أهل العلم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ما جاء بالشهادات،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قوله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يمسح وجهه بالمنديل‌؟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الماء الآجن يتوضّأ منه إلّاأن تجد ماءً غيره فتنزّه منه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أجن،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أجن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إجماع الفرقة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كيحيى بن سعيد في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التفصيل هذا إلى المتأخّرين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أطلق الأصحاب القول بإعادة الطهارة على من تيقّن الحَدَث والطهارة، وشكّ في المتأخّر منهما، ونحن فصّلنا ذلك في أكثر كتبنا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وقد نسبه السيّد الحكيم قدس سره في حقائق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مشايخه المحقّقين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هناك قسم آخر قد ظهر حكمه ممّا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حكاه عنه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كلامه، ونسبه إلى ظاهر المشهور، وقد حكاه عنه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نفى عنه الخلاف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وفي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الفارق بين هذا الحكم وغيره النصّ والإجماع،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حكاه عنه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وبما ذكرنا ظهر اختصاص قاعدة التجاوز بأجزاء الصلاة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الشكّ في الطهارة قبل الفراغ منها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قد فرغ وانصرف عن حاله لم يلتفت إلى الشكّ وهوإجماع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عدم الالتفات إلى الشكّ في شيءٍ من أفعال الوضوء بعد الانصراف من أفعاله وإنْ لم ينتقل عن محلّه فإجماعي أيضاً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الحكيم قدس سره عن جماعة كما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الروضة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الإشكال السيّد الخوئي قدس سره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حيث تبنّى الاستصحاب في المقام ولم يلتزم 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الشكّ اللّاحق يوجب الإعادة بحكم استصحاب عدم الطهارة، لولا حكومة قاعدة الشكّ بعد الفراغ عليه، فافهم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 ابن إدريس هو الأجود عندي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الرابع في أحكام الوضوء، إلّاأنّه صحّح الصلاة بناءً على كفاية الاقتصار في الوضوء على نيّة القُربة دون الحاجة إلى الاستباحة، 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الجامع للشرايع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توضّأ لصلاة ولم يحدث ولم يصلِّ ثمّ جدّد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لإبن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السهو العرض في الوضوء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تيقّن أنّه أحدث عقيب طهارة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عدم جريان قاعدة الفراغ والتجاوز</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عرض له شكّ في أنّه ترك بعض أعضائه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يكثر ذلك منه ويتواتر فلا يلتفت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ويسقط اعتبار الشكّ ببلوغ الكثرة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يكثر شكّه، فإن كثُر عادةً لم تجب الإعادة للحرج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يعيد على المشكوك فيه وما بعده إذا لم يكثر شكّه، وهو غير بعيد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في استدلاله على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حيث نسبه المحقّق الخوانساري إلى الفقهاء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المسألة الخامسة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المسألة الحادية عشرة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الغسل المستفاد من الأدلّة عرفاً ما كان خالياً عن 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وظاهرهم التخيّر في ذلك مع الإمكان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المسألة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الجبائر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المسألة الخامسة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عن شرح المفاتيح</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فالاستحباب غير بعيد للجمع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بحمل هذا على الاستحباب متّجه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تنافي أخبار المسح عليها بحمل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ويدع ما سوى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يدع غسله، ولا يلزم منه ترك مسحه فيحمل المطلق على المقيّد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التيمّم، السادس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الجرح يتمكّن من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عنه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أحمد يمسح الجرح ويغسل ما فوقه، وهو جيّد إنْ أمِنَ الضررمع المسح</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لم يكن على الجراح لصوق، وظاهر المحل طاهر، وجبَ مسحه إذا لم يتضرّر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وإذا كان المقصود نهاية الشيخ الطوسي فهو غير صريح في ذلك، وإن كان يمكن استظهار ذلك من عبارته، راجع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البهائي العاملي في 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ألحق الجروح والقروح بالكسر في حكم الجبيرة واعتبر أنّ المسح عليها هو المعروف بين فقهائنا رضوان اللّه عليهم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عبارات الأصحاب تأبى عن ذلك</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ويستبيح بذلك جميع الصلوات ما لم يحدث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زال العذر لم تبطل الطهارة في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مختار السيّد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فعل ذلك جاز أن يستبيح به جميع الصلوات ما لم يحدث أو يزول العذر، فإذا زال استأنف الوضوء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وما يمكن استظهاره منه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الإعادة فمنفيّة بالأصل وبأنّه أدّى وظيفته وقته على الوجه المشروع، فكان مجزياً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 ذلك إشارة على أنّه يستأنف وضوءاً جديداً للصلوات الآتية، فلا يكون وضوء الجبيرة رافعاً للحَدَث</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ولكن لم يظهر من قوله التصريح بالاستباحة دون الرافعيّة، فإنّه تردّد في المسألة ولم يبعد استفادة القول بالرافعيّة، فإنّه قال بعد ذكر حكم الجبيرة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الاستئناف مع الزوال إشكال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قال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يترك الميسور بالمعسور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إمكان جواز الصلاة في أوّل الوقت لعموم أدلّة الوقات والصلاة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والوجه عندي أنّ عذره إنْ كان دائماً لا ينقطع، فإنّه يبني على صلاته من غير أن يجدّد 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وقريب منه ما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إمكان جواز الصلاة في أوّل الوقت لعموم أدلّة الوقات والصلاة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 عندي أن يجمع بين الظهر والعصر بوضوء واحد، وبين المغرب والعشاء بوضوء، ويفرد الصبح بوضوء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الأعظم رحمه الله في نجاة العباد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أشرنا سابقاً إلى أنّ الأظهر في تعارض العامّين من وجه هو الرجوع إلى أخبار الترجيح والتخيير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حيث اعتبر المحقّق الحلّي أنّ إنزال المنيّ موجب للغسل يقظةً ونوماً وعليه إجماع المسلمين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المسالة الثالثة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الذكرى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وحكاه أيضاً النووي في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أحكام الفصل ففيه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العلماء على وجوب الغُسل بخروج المنيّ‌، ولا فرق عندنا بين خروجه بجماع أو احتلام أو استمناء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بشهوة أو غيرها، وسواء تلذّذ بخروجه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وسواء خرج في النوم أو اليقظة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حنيفة ومالك وأحمد لا يجب إلّاإذا خرج بشهوة ودفق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معرفة نواقض هذه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باب الطهارة من 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وباب حكم الجنابة وصفة الطهارة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غسل الجنابة وأحكامها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 ليحيى بن سعيد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والغُسل عند إنزال الماء الدّافق بشهوة أو غير شهوة في حال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عبَّر عن الماء الدّافق دون اعتباره سبباً في وجوب الغُسل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إنزال الماء الدّافق كيف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بشهوة وغيرها بدفق أو لا يوجب الغُسل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خرج المنيّ من ثقبة في الذَّكر أو الأنثيين أو الصلب وجبَ الغُسل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كذلك في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موجبات الجنابة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لو خرج من ثقبة في الإحليل أو في خصيتيه، أمّا لو خرج من غير ذلك فاعتبار الاعتياد حقيقٌ بأنْ يكون مقطوعاً به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وقد ذكر ذلك في باب التنازع فصل الحجر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المقام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إطلاق السيّد المرتضى قدس سره في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التاسعة والثلاثون، حيث ادّعى الإجماع على أنّ مطلق خروج المنيّ يوجب الغسل من الرجل أو المرأة كما هو الظاهر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فرق في وجوب الغسل بالإنزال بين الرّجل والمرأة بإجماع علماء المسلمين، والأخبار الواردة به متضافرة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احتلمت المرأة فأنزلت فليس عليها غسل، وروي أنّ عليها الغسل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اعتبار الصفات الثلاثة عن الشرائع والمعتبر والمنتهى والتذكرة والتحرير والإرشاد والدروس والذكرى والبيان وجامع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وحاشية الشرائع، وفي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اعتبار الثلاثة في الصحيح دون المريض إلى جمع من الأصحاب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ظاهر النهاية والوسيلة الاكتفاء بالدّفق من الصحيح ثمّ حكى ما نقله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فضلاً عن حكايته عن ظاهر النهاية والوسيلة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ذلك قد يظهر من المبسوط والاقتصاد والمصباح ومختصره وجمل العلم والعمل والجمل والعقود والمقنعة والتبيان والمراسم والكافي والإصباح ومجمع البيان وروض الجنان وأحكام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عبارة النهاية يحتمل كون الاكتفاء به للمريض، وهو كما ذكر بمراجعة أغلب هذه المصادر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يكفي واحدة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وظاهر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المقصد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 الجنابة وفيه فصلان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وعلامته الدّفق سواء كان معه شهوة أم لم يكن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الموجب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إنزال الماء يقظةً أو نوماً، ولو اشتبه اعتبر بالدفق وفتور البدن، وتكفي في المريض الشهوة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يمكن إرجاع القول بالاكتفاء بالاثنين من الدّفق والشهوة، أو الدّفق والفتور إلى شيءٍ واحد، لتلازم الشهوة والفتور، وكذا العكس</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 مريضاً كفت الشهوة وفتور الجسد في وجوبه مع عدم الخلاف فيه فيما أجد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فوجب حمل الرواية على ضربٍ من التأويل إمّا بأنّه لم يجد على ثوبه وإنْ رأى في رأس ذَكَره شيئاً أو غير ذلك، أو طرحها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هذه الرواية لا تخلو من إشكال لتضمّنها وجوب الغُسل على المريض بمجرّد وجود اللّذة والشهوة، مع عدم رؤية شيء بعد انتباهه، ولم يذهب إليه ذاهبٌ من الأصحاب، ولم يرد به خبر آخر في الباب، بل ربما دلّت الأخبار على خلافه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وجزم علم الهدى رضى الله عنه بإيجاب الغسل وإن لم ينزل وهو أشبه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غير واحد منهم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أثناء تعداده موجبات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وغيبوبة الحَشَفة في فرج آدمي سواء كان الفرج قُبلاً أو دُبراً على الصحيح من الأقوال لأنّه إجماع المسلمين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ابن بابوية في كتابه عدم وجوب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رواية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روى عدم وجوب الغُسل على مَن أتى المرأة في دُبُرها ولم ينزل فلا غسل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إلّاأنّه لم يظهر منه تبنّي ذلك</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حديث ابن أبي عمير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وأيضاً ظاهر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فلأصحابنا فيه روايتان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مورد آخر من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 الغسل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والوطي في الدُّبر يتعلّق به أحكام الوطي في الفرج، من ذلك إفساد الصوم، ووجوب الكفّارة ووجوب الغُسل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والأقرب ما ذهب إليه السيّد المرتضى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عن أمير المؤمنين عليه السلام مثله في محلّ الشاهد 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نسبه إليه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نسبه إلى اللّغة غير واحد من الأصحاب، بل عن المرتضى كما في السرائر أنّه لا خلاف فيه بين أهل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وأيضاً يسمّى الدُّبر فرجاً بغير خلاف بين أهل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إلّاأنّه لم ينسب هذا القول للسيّد المرتضى كما هو ظاهر من الجواهر، فراجع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ونسبه أيضاً إلى السيّد المرتضى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وحاصله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المرتضى رضى الله عنه ادّعى أنّ كلّ من قال بوجوب الغُسل بالوطئ في دُبُر المرأة قال بوجوبه في دُبر الغلام، ومن نفاه في الأوّل نفاه في الثاني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الوطي في دُبُر الغلام موقباً 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أشبهه أنّه لا يجب ما لم ينزل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المركّب في هذا الأمر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المركّب فإنّكلّ قائلٍ بوجوبه في دُبُر المرأة قائلٌ بوجوبه في دُبُر الغلام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34121</w:t>
      </w:r>
      <w:r>
        <w:rPr>
          <w:rFonts w:ascii="IRNazanin" w:hAnsi="IRNazanin" w:eastAsia="IRNazanin"/>
          <w:b w:val="false"/>
          <w:b w:val="false"/>
          <w:bCs w:val="false"/>
          <w:i w:val="false"/>
          <w:i w:val="false"/>
          <w:iCs w:val="false"/>
          <w:color w:val="333333"/>
          <w:sz w:val="20"/>
          <w:sz w:val="20"/>
          <w:szCs w:val="20"/>
          <w:rtl w:val="true"/>
        </w:rPr>
        <w:t>، وأيضاً حديث أبي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كما هو الظاهر من كلامه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13712</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العلّامة في المختلف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والسيّد المرتضى قال قولاً يدلّ على أنّ أصحابنا أوجبوا الغسل بالإيلاج في فرج البهيمة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رأى في ثوبه منيّاً، فإنْ كان الثوب مختصّاً به وجب الغسل، وإلّا فلا، ويُعيد الصّلاة من آخر نومة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وجد الرجل في ثوبه منيّاً ولم يذكر وقت خروجه منه، فإنْ كان ذلك الثوب يلبسه هو وغيره، فلا يجب عليه الغُسل، ويستحبّ له أن يغتسل احتياطاً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المسألة غير واحد من الأعلام كالمحقّق اليزدي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والشيخ الجواهري في رسائل 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هنا لم أعثر على خلاف فيه بين أصحابنا، بل لعلّه إجماعي كما عساه يظهر من المنقول في السرائر من خلاف المرتضى، وبه صرّح بعض متأخّري المتأخّرين كصاحب المدارك وغيره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حيث نسب بطلان الصّلاة إلى بعض الجمهور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وعندي فيه إشكال، فإنّ الشارع أسقط نظره عن هذه الجنابة ولم يعتدّ بها في أحكام الجنب، فإنّ لكلّ واحد منهما الدخول في المساجد، وقراءة العزائم، وغير ذلك من المحرّمات على الجنب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ولأحدهما أن يأتمّ بصاحبه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تبطل صلاة المؤتم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الجديدة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لواحدٍ منهما الايتمام بصاحبه‌؟ الوجه ذلك، لسقوط حكم هذه الجنابة في نظر الشارع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ائتم أحدهما بصاحبه لم يصحّ صلاة المؤتم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 منهما الايتمام بالآخر على إشكال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شاركه غيره سقط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باجتماعهما يقطع بجنب فلا يأتم أحدهما بصاحبه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لتردّد حال المأموم بين كونه جنباً، أو مؤتمّاً بجنب، وأيّاً ما كان يلزم البطلان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ائتم أحدهما بالآخر بطلت صلاة المأموم خاصّة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والمأموم يعلم جنابته أو جنابة إمامه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حيث اعتبر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الخارج المشكوك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له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فيه من الاحتياط وتحقّق البراءة معه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أجنب نفسه مختاراً وجب عليه الغسل وإنْ خاف منه على نفسه، ولم يجزه التيمّم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طبعة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 له التيمّم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25164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مقطوع الحَشَفة إذا أولج مقدارها وجب عليه الغُسل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 إلّاأنّه احتاط لما عليه الأصحاب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فالعمدة في الحكم المذكور كونه مظنّة الإجماع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27189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إلّاأنّه توقّف في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عليه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كونه لنفسه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السرائر صاحب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ولم نعثر عليه صريحاً في السرائر، نعم فرق بين غسل الجنابة وغيره بما قد يستظهر منه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من الطهارات الثلاث بواجب في نفسه عدا غسل الجنابة على الخلاف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وأمّا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وغيره فإنّه أوجب إيصال الماء إلى كلّ البشرة دون التعرّض للإجماع إلّافي التذكرة فإنّه صريح</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ويغسل جميع جسده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الاقتصاد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والرسائل العشر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حيث اعتبر وجوب استيعاب الجسد دون دعوى الإجماع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 تخليل الماء إلى البشرة واجب،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أرسل الأمر إرسال المسلّمات دون دعوى الإجماع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تنفض المرأة شعرها إذا بلَّ الماء أُصوله، وهو مذهب الأصحاب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استظهر غير واحد أنّ عبارة المقنعة لا تدلّ على وجوب غسل الشَّعر، وهو ليس ببعيد، وذلك لما يظهر من التعليل بإيصال الماء إلى الأُصول بقوله قبل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تبدأ بغسل رأسها حتّى تُوصل الماء إلى اُصول شعرها وإنْ كان مشدوداً حلّته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 أنّه إن تحقّق الإجماع على عدم وجوب غسل الشَّعر فذاك، وإلّا فإثبات هذا الحكم بمجرّد ذلك لا يخلو من إشكال، واللّه أعلم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عليه إيصال الماء إلى جميع الظاهر من بدنه دون الباطن منه بلا خلاف</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البواطن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الفم والأنف والاُذن، ومنه الثّقب الذي يكون في الاُذن للحلقة إذا كان بحيث لا يرى باطنه على الأظهر، وبه جزم شيخنا المعاصر سلّمه اللّه تعالى‌</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كما هو الظاهر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وغسل الرأس والرقبة والأذنين وما ظهر من الصماخ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والصماخ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الأُذن، ويقال هو الأُذن نفسها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انفردت به الإماميّة القول بترتيب غسل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حيث رتّب بين غسل الرأس ثمّ الجانب الأيمن ثمّ الأيسر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ذلك بالإجماع المذكور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الترتيب، يبدأ برأسه، ثمّ جانبه الأيمن، ثمّ الأيسر، ذهب إليه علماؤنا 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السعديّة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الثامن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يبدأ بغسل الرأس مع الرقبة، نصَّ عليه المفيد والجماعة، ثمّ بالجانب الأيمن ثمّ بالأيسر، وهو من تفرّداتنا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واعتبر الترتيب في غير الذكرى ولم يتعرّض للإجماع كالدروس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الجنب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رواية حريز ح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الحديث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حيث أسقط الرواية عن العمل للمعارضة،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لا يقبل التقييد، كالصحيح، في أمر مولانا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الحكاية المعروفة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الترتيب، معارض بصحيح آخر لراويه تضمّن أمره الجارية بخلاف ما فيه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انفردت به الإماميّة القول بترتيب غسل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 الجنابة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الرابع من واجبات الغسل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غسل الجنابة وآدابه، وهو ظاهر المقنع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الغسل من الجنابة وغيرها،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صبّ الماء على رأسك وبدنك مرّتين، وامرر يديك على بدنك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وجوب الترتيب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لم يصرّح الصدوقان بالترتيب فى البدن و لابنفيه، وابن الجنيد جتزأ مع قلّة الماء بالصَّب على الرأس، وإمرار اليد على البدن تبعاً للماء المنحدر من الرأس على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وابن أبي عقيل عطف الأيسر 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قوله مفصّلاً، فالعطف بالواو على الأقلّ ليس نصّاً بالترتيب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 في كيفيّة غسل الجنابة و وجوب الترتيب فيه وعدم وجوب الموالاة بشيء من المعنيين المذكورين في الوضوء عشرة أحاديث</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78/54</w:t>
      </w:r>
      <w:r>
        <w:rPr>
          <w:rFonts w:ascii="IRNazanin" w:hAnsi="IRNazanin" w:eastAsia="IRNazanin"/>
          <w:b w:val="false"/>
          <w:b w:val="false"/>
          <w:bCs w:val="false"/>
          <w:i w:val="false"/>
          <w:i w:val="false"/>
          <w:iCs w:val="false"/>
          <w:color w:val="333333"/>
          <w:sz w:val="20"/>
          <w:sz w:val="20"/>
          <w:szCs w:val="20"/>
          <w:rtl w:val="true"/>
        </w:rPr>
        <w:t>، في كيفيّة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التعرّض للأقوال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يبعد القول بعدم وجوب الترتيب بينهما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الروايات دلّت على وجوب تقديم الرأس على الجسد، أمّا اليمين على الشمال فغير صريحة بذلك</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فإنّه بعد ذكر الأقوال والروايات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الاجتراء على خلاف المعمول بين الأصحاب المدّعى عليه الإجماع مشكل، كما أنّ إثبات وجوب الموافقة أيضاً 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تقديم الرأس في الغسل وسقوط الموالاة فيه،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تقديم اليمين على الشمال فلا، وهو ممّا لا دليل عليه وإنّما القول به مجرّد شهرة بلا 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 ما ورد في التيامن على الاستحباب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غُسل الميّت كغُسل الجنابة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سقوط الترتيب في الغُسل الارتماسي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الارتماس ويتحقّق بغمس البدن في الكثير أو القليل أو شبه الغمس بالوقوف تحت الميزاب أو المطر على وجه يشتمل الماء على مجموع ظاهر البدن آناً ما، به يتحقّق الغسل دون ما قبله من المقدّمات وما بعده من الزيادات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الشهيد الثاني في روض الجنان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وصرّح به في الحدائق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الذكرى يبدأ بغسل الرأس مع الرقبة، نصَّ عليه المفيدوالجماعة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ذلك مراد الباقين من الأصحاب أيضاً، لكن استنباطه من الروايات لا يخلو عن إشكال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الموالاة في الغسل من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أكثر أهل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نهاية الاحكام 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 علمائنا 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عن جماهة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الكافي لأبي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 خلال ترتيبه لكيفيّة الغسل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غَسل الرأس في الجنابة إلى أصل العنق، ثمّ الجانب الأيمن من العنق إلى تحت القدم، ثمّ الجانب الأيسر كذلك، ويختم بغسل الرجلين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 الجنابة، فإنّ ترتيبه الغسل ظاهر في ذلك</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الجنابة كيفيّتها وسننها وآدابها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إلّاأنّ اعتبار البدأة بالأعلى فالأعلى غير واضح من كلامه، والعطف على الوضوء ظاهر في خصوص الترتيب بين الأعضاء لا في كيفيّة غسل العضو</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لأبي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وإزالة المنيّ عن رأس الإحليل، وعن جميع جسده إن أصابه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 الجنابة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غسل الجنابة وما يوجبه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للشيخ الصدوق ص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الحديث السابق إلّاأنّ بقيّة الحديث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وهو الظاهر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على بدنه نجاسة أزالها، ثمّ اغتسل، فإنْ خالف واغتسل أوّلاً فقد ارتفع حَدَث الجنابة، وعليه أن يزيل النجاسة إن كانت لم تزل بالغسل، وإن زالت بالاغتسال فقد أجزأه عن غسلها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أراد الجُنُب الاغتسال من الجنابة، فمن السُّنن والآداب أن يجتهد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وتقديم غَسل الفرج من باب الأولى قطعاً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وقف تحت الغيث حتّى بلَّ جسده طهر مع الجريان وإن لم يرتّب، خلافاً لبعض علمائنا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ارتمس في الماء ارتماسة واحدة أو قعد تحت المجرى أو وقف تحت المطر أجزأه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عليه السلام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الشكّ في شيءٍ من أعضاء الغسل، فإنْ كان في المكان أعادعليه وعلى ما بعده، وإنْ كان بعد الانتقال فكذلك، بخلاف الوضوء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الحَدَث متيقّن والرافع مشكوك فيه والأصل عدمه، فيحكم ببقاء الحَدَث، وهو الأصحّ‌</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في أحكام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في 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شكّ في شيء من أفعال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على حاله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بما شكّ فيه، ثمّ بما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حكاه عنهما الشيخ الأعظم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شكّه في شيء من أفعال الوضوء أو الغسل قبل انصرافه عنه أتى به أي بالمشكوك فيه وبما بعده وجوباً في الغسل مطلقاً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المسألة الثالثة،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شكّ في فعل شيء من أفعال الوضوء، بل مطلق الطهارة الشاملة للغسل على ما صرّح به العلّامة وأكثر من تأخّر عنه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للآخوند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وبما ذكرنا ظهر اختصاص قاعدة التجاوز بأجزاء الصّلاة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الشكّ في الطهارة قبل الفراغ منها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6/151</w:t>
      </w:r>
      <w:r>
        <w:rPr>
          <w:rFonts w:ascii="IRNazanin" w:hAnsi="IRNazanin" w:eastAsia="IRNazanin"/>
          <w:b w:val="false"/>
          <w:b w:val="false"/>
          <w:bCs w:val="false"/>
          <w:i w:val="false"/>
          <w:i w:val="false"/>
          <w:iCs w:val="false"/>
          <w:color w:val="333333"/>
          <w:sz w:val="20"/>
          <w:sz w:val="20"/>
          <w:szCs w:val="20"/>
          <w:rtl w:val="true"/>
        </w:rPr>
        <w:t>؛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وقد نسبه إلى مشهور المتأخّرين، بل قيل بالوجوب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المبحث الثاني في مسنوناته،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واجباً عند أكثر علمائنا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أراد الاغتسال وجبَ عليه إن كان رجلاً الاستبراء بالبول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الغُسل ففيه 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منه الاستبراء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الغُسل من الجنابة فالمفروض على مَن أراده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الاستبراء بالبول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قطب الدِّين محمّد بن الحسن الكيدري البيهقي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بعد عام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حكى قوله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 كيفيّة الغسل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لأبي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ويلزم مريدها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الاستبراء، وهو أنْ يعصر ذَكَره من المقعدة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الاستبراء للرّجل المجنب عن الإنزال، بأنْ يمسح من المقعدة إلى أصل القضيب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لإبن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وسُن للمنزل الاستبراء بالبول والاجتهاد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والبول أمام الغسل، والاستبراء</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ذلك القواعد، وأمّا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التزم بالاستحباب الشديد،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وبعض أصحابنا يذهب إلى أنّ الاستبراء بالبول أو الاجتهاد واجبٌ على الرِّجال، وبعضهم يذهب إلى أنّه مندوب شديد الندبيّة، وهو الأصحّ‌</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والاستبراء للرجل المنزل بالبول، فإنْ تعذّر مسحَ من المقعدة إلى أصل القضيب ثلاثاً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نفى عنه الخلاف ونقل حكاية الإجماع عليه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لابن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وأقلّ ما يجزئه من الماء للغسل ما يكون كالدّهن للبدن، وهذا يكون عند الضرورة، والإسباغ يكون بتسعة أرطال من ماء، فإنْ استعمل أكثر من ذلك جاز</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وأقلّ ما يجزيه من الماء ما يكون جارياً على جميع الجسد، ويبلّ أصل كلّ شعرة وإنْ كان قليلاً مثل الدّهن والإسباغ بتسعة أرطال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وللغسل صاع وهو أربعة أمداد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المشهور على ذلك غير واحد من الأعلام منهم المحقّق السبزواري في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أيضاً الحرّ العاملي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إلّاأنّ المقطع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وسائل الشيعة، ولكنّه ذكره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وأيضاً ذكره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وتعالى كره لي ستّ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وإتيان المساجد جنباً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مسّ هامش المصحف أو صفح أوراقه وقرأ فيه فقد ترك ندباً أو فعل مكروهاً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عدّ من الندب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يقرب المساجد إلّاعابر سبيل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المقنع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بأس أن يختضب الجُنُب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وينام في المسجد ويمرّ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السبزواري في مشارق الشموس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الأصحاب لم يعملوا بمضمونه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واعتبر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حمل الحديث على التقيّة أولي لموافقته لبعض العامّة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وقد حكاه عن 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العزيّة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الجنيد واستحسنه لتحقّق معنى المسجديّة فيها وزيادة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والسبعون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ويستحب التيمم في أربعة، و ذكر منها المحتلم في المسجد الحرام و مسجد الرسول صلي الله عليه و آله للخروج منه للاغتسال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كيفية الغسل وأحكامه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أحكام الجنب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والنفليّة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ويختصّ التيمّم بخروج الجُنُب والحائض من المسجدين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فرق في الجُنُب بين كونه محتلماً أو غيره، حتّى لو دخل وهو جنب عمداً أو سهواً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وللمجنب في أحد المسجدين ليخرج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ويلحق به من أجنب خارجهماودخل عامداً أو ساهياً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فإنّك إذا احتلمت في أحد هذين المسجدين تيمّمت وخرجت، ولم تمش فيهماإلّا متيمّماً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احتلم في أحد هذين المسجدين تيمّم في مكانه وخرج واغتسل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 أجنب في المسجدين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احتلم في أحد المسجدين يتيمّم لخروجه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كيفيّة الغسل وأحكامه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أمكن الغسل فيهما وساوى زمان التيمّم قدّم الغُسل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لكن الظاهر التزامه بخصوص التيمّم في المسجدين للخروج، دون الغسل حتّى مع القدرة عليه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وجوب التيمّم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القول في تيمّم المُجنب في المسجدين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ويختصّ التيمّم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ولا يشاركه في ذلك الغُسل وإن أمكن فعله في المسجد، ولم يستلزم إزالة نجاسته، سواء ساوى زمانه زمان التيمّم أو قصر عنه أو زاد عليه على الأصحّ‌</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السيّد في مستمسك العروة الوثقى عن الوحيد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المفاتيح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مثل هذا النبوي ونحوه غير موجودٍ في كتبنا ولا في كتب العامّة، بل الموجود في كتبهم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إذا حرّم على قومٍ أكل شيء حرّم ثمنه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حفظه المولى</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الأمالي للصدوق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الشهيد الثاني في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ونقل عن سلّار في أحد قوليه تحريم القراءة مطلقاً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من حكاه عن تلخيص التلخيص في هذا المورد إلّامن بعض المعاصرين أو أساتذتهم من متأخِّري المتأخّرين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أسرارهم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ويكره للجنب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وقراءة ما عدا العزائم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يقرأ القرآن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القرآن فلا يجوز أن يقرأ منه أكثر من سبع آيات والأفضل ترك ذلك</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للجُنُب مَسّ المصحف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تأكل ولا تشرب وأنت جُنُب حتّى تغسل فرجك وتتوضّأ، فإنّك إذا فعلت ذلك، خيفَ عليك البَرَص</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 الأكل والشرب من المكروهات للجُنُب قبل المضمضة والاستنشاق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الإجماع</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والوَضَح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ونسب الإجماع إلى ظاهر الغنية والتذكرة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بعد أن عدّه من مكروهات الجُنُب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إليه علماؤنا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علماؤنا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ينام حتّى يغتسل ويتمضمض ويستنشق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وظهور النهي هنا في الحرام بقرينة عطفه على دخول المسجدين وقراءة العزائم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وحرمة هذه من المسلّمات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يختضب حتّى يغتسل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وظهور النهي هنا في الحرام بقرينة عطفه على دخول المسجدين وقراءة العزائم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وحرمتها من المسلّمات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وقد تقدّم تخريجه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عقيب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أيضاً أنّ المختضب لا يُجنب حتّى يأخذ الخضاب، وأمّا في أوّل الخضاب فلا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25245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أحكام الحائض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حمل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بعلاقته، فإجماع الأصحاب على الكراهية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في مكروهات الجُنُب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تعليق المصحف،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تعلّقه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الشرائع لم يذكر حمل المصحف من مكروهات الجُنُب، فقط ذكره في أحكام الحائض</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يشترط عدم تجدّد حدث أكبر من جنابة أو غيرها أو أصغر، فإنْ تجدّد أحدهما في الأثناء أعاد فيهما في الجنابة اتّفاقاً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هي موجودة في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الآتي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الحديث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ومتى غسل رأسه من الجنابة ثمّ أحدثَ ما ينقض الوضوء أعاد الغَسل من الرأس</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الإعادة 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وقوّاها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وقال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والحقّ عندي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الإعادة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الأقوى الاستيناف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ويجب إعادته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أحدثَ ولو أصغر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أحدثَ في أثنائه أعاد على الأقوى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ما عليه المتأخّرون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إلّاأنّه لم يتبنّاه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والمعتمد عدم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حكاه عنه غير واحدٍ من الأعلام منهم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نسبته إلى المشهور صاحب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اُستاذه في حاشية المدارك</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فقه الرضا عليه السلام باب الغسل من الجنابة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رسالة للمحقّق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واعتمد فريق على الاكتفاء بالإتمام، ذهب إليه ابن البرّاج وابن ادريس واختاره جدّي المحقّق أعلى اللّه كلمته، وتبعه خالي المدقّق طاب مرقده، وهو عندي أمتن الأقوال دليلاً وأظهرها سبيلاً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اللّمعات النيّرة للآخوند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الوضوء مع غسل الجنابة قبله ولا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حديث رقم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ويدلّ على ذلك أيضاً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قوّى رأي السيّد وما مالَ إليه والده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البهائي عن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والدي قدّس اللّه روحه يميل إلى مذهب السيّد المرتضى رضى الله عنه من وجوب الإتمام والوضوء</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أحدَثَ فيما بين الوقتين حَدَثاً، من جملة الستّة التي تنقض الوضوء ولا توجب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الوجه المحقّق الهمداني في ضمن عدّة وجوه متصوّرة للمسألة، كما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عدم التزامه به، وأيضاً ذكره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يظهر أنّه مختار كاشف الغطاء كما 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 يوم الجمعة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عندنا أنّ طبيعة الغسل من حيث هي رافعة مطلقاً، فإنْ أصابت حَدَثاً أصغر أو أكبر رفعته قهراً، مستحبّاً كان الغسل أو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وقد استشكل وتوقّف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وظاهره اجتزاء غسل الجنابة فقط عن غيره، فقد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ويكفي غسل الجنابة عن غيره منها لو جامعه دون العكس</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اغتسل غسل الجنابة كفى عن ذلك الغير وارتفع الحَدَث، دون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وحينئذٍ فالأقرب رفع حَدَث الجنابة لوجود المساوي في الرفع</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إلّاأنّه لم يظهر منه دعوى الإجماع وإنْ وافق المشهور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ولكنّه لم يذكر إجماعاً في المورد، نعم إذا كان المقصود منه المحقّق الثاني فقد تعرّض للإجماع، اُنظر الحاشية الآتية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اغتسل غسل الجنابة كفى عن ذلك الغير وارتفع الحَدَث، دون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وجه الفرض الأوّل مضافاً إلى الإجماع، فهو أنّ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سنُنبّه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تعدّدت أسبابه، فإذا 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نوت الحيض فإشكال ينشأ من عدم ارتفاعه مع بقاء الجنابة لعدم نيّتها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وهو ظاهر روض الجنان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 في أثناء الغُسل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وبعد مناقشته الاحتمالات قوّى إشكال عدم الاكتفاء بغسل غير الجنابة عن الجنابة كما في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تداخل الأغسال، الأولى</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من صرّح بالإجماع على وجوب الغُسل لمَن لم يستبرء، إلّاأنّ كلماتهم أكثر من أنْ تُحصى في وجوب إعادة الغسل في الفرض، على مَن لم يستبرء بالبول قبل الغسل، أو يجتهد في إخراج المنيّ‌، نعم ادّعى ابن زهرة في الغنية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على وجوب الاستبراء وأوجبه آخرون لأخبار إعادة الغُسل مع الإخلال به وخروج شيء من الذَكَر، كما حكاه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الأعلام، وقال باستحبابه الباقون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في الهداية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صريح في الاستحباب، وقد يظهر منه القول بوجوب الإعادة، فقد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خرج من إحليله بعد الغُسل شيء، وقد كان بال قبل أن يغتسل فلا شيء عليه، وإن لم يكن بال قبل أن يغتسل فليعُد 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المقنع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هذا التفصيل في مقام توجيه رواية عبداللّه بن هلال وزيد الشحّام وأيّدهذا التفصيل برواية جميل بن درّاج وأحمد بن هلال، راجع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على المشهور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الإعادة مع عدم الاستبراء مستدلّاً برواية سلمان بن خالد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السيّد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رأى بَلَلاً بعد الغسل أعاد إلّامع البول أو الاجتهاد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لم يكن استبرأ على ما شرحناه أعاد الغُسل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رأى على إحليله بَلَلاً بعد الغسل وقد بال ونتر أو اجتهد ونتر فلا يعيدن غُسله، وإن لم يكن فعل ذلك أعاد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إلّاأنّه قد يظهر من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الغُسل لو استعمل الخَرَطات أيضاً ثمّ خرج شيء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اجتهد قبل البول واستبرا فلا شيء ولا وضوء ولا غُسل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منه عدم الغسل لو استبرأ بالبول أو بالخَرَطات إن تعذّر البول،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تعذّرالبول فالاجتهاد،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تركهما أعاد الغُسل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الاستبراء قولان أحوطهما الوجوب على المنزل بالبول ثمّ الاجتهاد، فلو وجد بَلَلاً مشتبهاً بعده لم يتلفت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الغسل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لو لم يستبرئ واغتسل، ثمّ وجد بَلَلاً معلوماً أو مشتبهاً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ويظهر منه انتفاء البول والاستبراء في وجوب الإعادة بقوله بعد طرح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انتفى الأمران أعادَ الغُسل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فإنّه من الواضح أنّ النسبة إليه غير صحيحة، فإنّه بعد حكمه بعدم استبراء المرأة لعدم اتّحاد المَخْرَجين،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رأت بَلَلاً فلا إعادة، لأنّ الأظهر أنّه من بقايا مني الرجل، وذلك غير موجب للغُسل لما قدّمناه من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الحيض والاستحاضة والنفاس،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الحيض والمحيض عبارتان عن معنى واحد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الثاني من الحيض، وبعد التعريف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ويسمّى محيضاً للآية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فصل الحيض والاستحاضة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الحيض والمحيض عبارتان عن 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بالدّم الأسود والخارج بحرارة على وجه يتعلّق به أحكام مخصوصة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دمّ الحيض إنّما خلقه اللّه تعالى لحكمة إعداد الرّحم للحمل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ومنهم صاحب الجواهر في رسائله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الحيض هو دمٌ معتاد للنساء خُلق فيهم لحِكَم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والسيّد اليزدي في العروة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خلقه اللّه تعالى في الرّحم لمصالح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في المدارك إلى الشهرة في كلام الأصحاب من أنّه لغةً 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العلّامة الحِلّي في منتهى المطلب حيث عرّفه بالسيل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التعاريف تعرّض لها أهل اللّغة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لسان العرب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يُطلق على المعاني غير الملموسة كالقتل والضرب والقيام والقعود ومنه السيل، ويقابله اسم العين وهو ما يُطلق على الأعيان الخارجيّة كالشجر والحجر والحيوان، كما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الميراث</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اعتبر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المحيض يكون إسماً ومصدراً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في الأغلب دمٌ أسود أو أحمر غليظ حارّ له 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هذا التعريف مأخوذٌ من رواية حفص بن البختري وغيرها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الحيض، وكشف الرموز للفاضل الآبي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الحيض والنفاس، وهو اختيار المفيد في المقنعة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الحائض وهي التي ترى الدّم الغليظ الأحمر الخارج منها بحرارة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المراسم العلويّة لسلّار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وقواعد الأحكام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وإيضاح الفوائدلفخر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دمّ الحيض من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تدري أحيضٌ هو أو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ونحوه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وعنه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خصوص القُرشيّة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بهما ابن حمزة في الوسيلة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الأقوال وما روي في ذلك، ونقل رواية التهذيب، إلّاأنّه اعتبر أنّ في سند الرواية إلى عبد الرحمان ضعفٌ‌، ثمّ استجود رأي ابن بابويه في خصوص القُرشيّة إلى ما بعد الخمسين، واعتبر العلّامة في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الغالب في القُرشيّة والنبطيّة بلوغها ستّين، ولرواية الصادق عليه السلام، كما هو عليه في متن التبصرة، وكذلك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الشهيد في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28324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ادّعى على ذلك الإجماع 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وأرسله إرسال المسلّمات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متّفقٌ عليه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حيث نَسبَ القول إلى المنتهى بأنّه مذهب العلماء كافّة،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ما ذكره الأصحاب ونقلوا فيه الإجماع</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رأته لتسع سنين فصاعداً جاز أنْ يكون دمُ حيض</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القول إلى المشهور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وفي روض الجنان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وأيضاً السيّدالعاملي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 xml:space="preserve">، ولكن بضمّ النبطيّة إلى القُرشيّة إلى ستّين سنة، وأمّا استثناء خصوص القُرشيّة دون النبطيّة فهو قولٌ رابع رواه الصدوق في الفقيه في باب غسل الحيض والنفاس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في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المرأة يرتفع طمثها ثمّ يعود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وهو خيرة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الطهارة، والطوسي في التبيان في تفسير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طلاق اليأس من المحيض</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 اليأس أن تبلغ خمسين، وقيل في القُرشيّة والنبطيّة ستّين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العدّة من أقسام الطلاق، حدّ اليأس</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المقصود منه هو كتاب البيان للشهيد فقد التزم بأنّ حدّ الحيض خمسون لغير القُرشيّة والنبطيّة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واليأس وهو ستّون سنة للقُرشيّة والنبطيّة وخمسون لغيرهما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الثاني في المحيض</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وعنه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ورواه عنه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المحكم والمحيط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9/195</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السين، حاشية الجمل على شرح 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المصباح، وغيرهم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3/1162</w:t>
      </w:r>
      <w:r>
        <w:rPr>
          <w:rFonts w:ascii="IRNazanin" w:hAnsi="IRNazanin" w:eastAsia="IRNazanin"/>
          <w:b w:val="false"/>
          <w:b w:val="false"/>
          <w:bCs w:val="false"/>
          <w:i w:val="false"/>
          <w:i w:val="false"/>
          <w:iCs w:val="false"/>
          <w:color w:val="333333"/>
          <w:sz w:val="20"/>
          <w:sz w:val="20"/>
          <w:szCs w:val="20"/>
          <w:rtl w:val="true"/>
        </w:rPr>
        <w:t>، فصل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فصل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المغرب في ترتيب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 مع الرّاء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وَلده النضر بن كنانة ومن لم يَلده فليس بقريش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جمهرة اللّغة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والنَضْر بن كِنانة أبو قريش خاصّة، فمَن لم يَلده النضْرُ فليس من قريش</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البيت عليهم السلام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الحكيم ونقل أقوالهم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سبائك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النضر على المذهب الراجح، وفي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قريش كلّها فهر بن مالك، فما دونه قريش وما فوقه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قبائل قريش فإنّما تنتهي إلى فهر بن مالك لا تتجاوزه، وفي سبك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قرشيّ‌، ومَن لم يَلِده فليس بقرشيّ‌، ونحوه ما في المختصر من أخبار البشر لأبي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 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 أَئِمَّةِ النَّسَبِ كُلُّ مَنْ لَمْ يَلِدْهُ فِهْرٌ فَلَيْسَ بقُرَشِيٍّ قالهُ ابنُ الكَلْبِيِّ‌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استدلّ بأصالة عدم الانتساب المعمول عليه عند الفقهاء</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ادّعى الإجماع على ذلك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ثمّ لا تحيض الناقصة عن التسع إجماعاً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فبعد ذكره الرواية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والإجماع نقله في المعتبر عن أهل العلم كافّة، وشرطنا إكمال التسع لعدم صدقها حقيقةً بدونها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ما يختصّ به الجارية فالحيض، فمتى حاضت فقد بلغت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أنّه في 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أن ترى المرأة دمّ الحيض قبل أن تبلغ تسع سنين، فإنْ رأته قبله لم يكن دمّ 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من العبارتين التنافي، وقد وُفّق بين العبارتين بتحمّل العبارة الأولى على المعلوم سنّها فإنّها تتحيّض عند رؤيتها الدّم، ويكون علامة على بلوغها التسع</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الحكاية عن وصايا النهاية السيّد الحكيم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بعد الرجوع إلى كتاب الوصايا في النهاية لم نجد ما نقل عنه، بل ما وجدناه في شرائط الوصية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 بلوغ المرأة تسع سنين، فإذا بلغت ذلك جاز تصرّفها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يذكر رحمه الله أنّ الحيض بنفسه بلوغ أو علامة، مع أنّه عدّد علامات بلوغ الصبي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وبلوغ المراة بأحد 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الحيض، وتمام عشر سنين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 الحجر،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والبلوغ يكون بأحد خمسة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وظهور المنيّ والحيض والحلم والإنبات، بدليل إجماع الطائفة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والمرأة تعرف بلوغها، من خمس طرائق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منها الحيض</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24772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الفقهاء هذه المسالة إرسال المسلّمات عند تعرّضهم لمسائل الاشتباه بين الحيض والاستحاضة، وذكروا الصفات المميّزة أوّلاً، وهذا منهم كالنصّ بأنّ الصفات هي المرجع عند الاشتباه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ولعلّ المراد رواية ابن عبد الرحمن المذكورة في نفس المصدر السابق</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صاحب المدارك وإليهم السيّد الحكيم في مستمسكه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في أحكام الحيض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فالصور ثلاثة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وجود هكذا رواية،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وغاية ما أفاده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اشتبه بالعُذرة حكم لها بتطوّق القُطنة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ما قاله العلّامة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اشتبه بالعُذرة حكم لها بتطوّق القُطنة وللقرح إن خرج من الأيمن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غير ظاهر في نفي الحيضيّة مع الإستنقاع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رأيهما في المصدرين السابقين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حيث اقتصر كالعلّامة على ذكر صورة التطوّق</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حيث اقتصر أيضاً كالعلّامة على ذكر صورة التطوّق</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جامع المقاصد أوّلاً إلى المشهور ثمّ إلى أكثر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الشهيد الأوّل عن ابن طاووس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في بعض نسخ التهذيب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السابق</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الشهيد الأوّل في المصدر السابق، ولم نجده عنه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خارجاً من الجانب الأيسر فهو دم حيض</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المدارك المخطوط رقم </w:t>
      </w:r>
      <w:r>
        <w:rPr>
          <w:rFonts w:eastAsia="IRNazanin" w:cs="IRNazanin"/>
          <w:b w:val="false"/>
          <w:bCs w:val="false"/>
          <w:i w:val="false"/>
          <w:iCs w:val="false"/>
          <w:color w:val="333333"/>
          <w:sz w:val="20"/>
          <w:szCs w:val="20"/>
        </w:rPr>
        <w:t>14799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مخطوطات المكتبة الرضويّة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حكم المفيد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أبحاث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هذا الحكم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والرواية مضطربة فلا عمل بها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طهارة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مصحّح حميد، وفي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موثّق سماعة ولم يعلّق عليهما، نعم في 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تعليقه على حديث ابن سنان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اعتبر أنّ أكثر الحيض ثمانية،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الحديث شاذّ أجمعت العصابة على ترك العمل به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نقل مصحّح حميد ولم يعلّق عليه، نعم في 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تعليقه على حديث ابن سنان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اعتبر أنّ أكثر الحيض ثمانية،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الخبر لا ينافي ما قدّمناه من الأخبار لإجماع الطائفة على خلافه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المختلف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رسالة أبيه إليه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الهداية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انتصاره ولا في ناصريّاته ولا في رسائله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نقله الشيخ الأنصاري عنه في طهارته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وقبله غيره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غير الاستبصار فإنّه إختار فيه عدم اعتبار التوالي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لأبي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إلّاأنّه ليس فيه تصريح بالتوالي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القواعد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 اللُّمعة وشرحها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السيّد الحكيم إلى هذا القول في مستمسكه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هذه الرسالة صاحب الحدائق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وذهب إليه صاحب الحدائق في المصدر المتقدّم ونقله عن بعض من علماء البحرين أيضاً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الطوسي من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أبو علي في المقدّمة الخامسة من فوائده إلى اُستاذه السيّد صاحب الرياض، ونقل ذلك السيّد الخوئي في 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محمّد بن الحسن بن الشهيد الثاني صاحب استقصاء الاعتبار في شرح الاستبصار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رأيه هذا، بل وجدنا ما يدلّ على خلافه في جامع الشتات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حيث قبل رواية من لا توثيق له لرواية بعض أصحاب الإجماع عنه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واقفي مخلط</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المقدّمة الخامسة، فوائد تتعلّق بالرِّجال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أجمعت العصابة على تصحيح مايصحّ عنهم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الراشحة الثالثة في طبقات أصحاب الإجماع،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أجمعت العصابة على تصحيح ما يصحّ عنهم، والإقرار لهم بالفقه والفضل والضبط والثقة، وإن كانت روايتهم بإرسال، أو رفع، أو عمّن يسمّونه وهو ليس بمعروف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المحقّق الداماد في الرواشح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نسبَ ذلك المحقّق الداماد إلى الأصحاب مُؤذِناً بدعوى الإجماع</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85/273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التعبير للكشّي في اختيار الشيخ، نعم عدّه من الستّة الأواخر الذين أقرَّ لهم الأصحاب بالفقه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ورد هذا التعبير بعينه في كلام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فهرسته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وفهرست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النجاشي في فهرسته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للقطب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في ذيل آية السؤال عن المحيض</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رسالته لولده الصدوق، راجع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أخذ في ثبوت الحيض رؤية الدّم ثلاثة أيّام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حاشية الروض يعني الحاشية المسمّاة بروض الجنان، فإنّه شرح لإرشاد الأذهان للعلّامة، وعبارة الشيخ الأعظم عنه أدقّ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 وجوده في كلّ يوم كما إختاره جماعة تبعاً للشارح في الروض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الناصريّات للشريف المرتضى والمختلف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وصاحب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صاحب وسائل الشيعة رحمه الله عن الشيخ الطوسي رحمه الله بأنّه لم يقُل به أحدٌ من الطائفة ولم نجد مَن قال إنّه خلاف إجماع المسلمين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28394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إجازات الحديث للعلّامة المجلسي قدس سره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ومختاره هو الثاني لا الأوّل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والحقّ أنّه توجيه الشيخ الطوسي في استبصاره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رأت الدّم تركت الصوم والصلاة، وكلّما رأت الطُهر صلّت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وتقدّم أنّه هو صاحب التوجيه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ترَكَت الصوم والصّلاة كلّما رأت الدّم، وكلّما رأت الطُهر 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كلامه هذا ناظر أساساً لحالة التحيّر واختلاط الدّم بالطُهر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ومتى أمكن 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مخطوطة مصابيح الظلام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عَدَلَ من استصحاب الزمان إلى استصحاب الحكم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الاستصحاب، التنبيه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جريان الاستصحاب في الاُمورالتدريجيّة، واستصحاب الزمان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استصحاب التدريجيّات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ما رواه صاحب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ما بعده من الأحاديث</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ذكرهما الشيخ الأنصاري في طهارته بلا نقلهما عن شرح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نعم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شرح المفاتيح</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أحاديث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بأحاديثه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بأحاديثه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أيّام الحيض التي ترى فيها الصفرة والكدرة بالأيّام المختصّة بالحيض بحسب عادة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تفسيرها بأيّام إمكان الحيض فقد نقله عن صريح المبسوط والسرائر والروض والنهاية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دمّ يمكن أنْ يكون حيضاً فهو 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ذكره الأصحاب كذلك، وتكرّر في كلامهم، ويظهر أنّه مما أجمعوا عليه، ولولاه لكان الحكم به مشكلاً، من حيث ترك المعلوم ثبوته في الذمّة تعويلاً على مجرّد الإمكان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للأردبيلي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تأمّل بإطلاق الحكم بالحيض لمجرّد إمكانه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وقد مرّت الإشارة إليه قبل صفحات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العادة إنّما تثبت بمرّتين متساويتين عدداً ووقتاً إجماعاً، لأنّ العادة مأخوذة من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ذكر هناك تقسيمات كثيرة لأفراد العادة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مرسلته الطويلة التي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من كلامه في النهاية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فصل الشهر معتبر في العادة،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وتستقرّ عادة المراة بأنْ يتوالى عليها شهران ترى في كلّ واحد منهما الدّم أيّاماً سواء، لا زيادة فيها ولا نقصان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اليزدي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اللّمعات النيّرة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تجاوز الدّم عن العشرة في ذات العادة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تثبت العادة بتكرّر ما ثبت حيضيّته من المستمرّ باعتبار الأوصاف‌؟ فيه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أوجههما العدم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مرسلة يونس وموثّقة إسحاق بن جرير المتقدّمتين آنفاً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الأحاديث</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الأحاديث</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القول بالتفصيل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الشرائع كما في المسألة الاُولى من المسائل الخمسة التي ذكرها لذات العادة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الثاني في كتابه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فهذه أقوال ثلاثة، وسيأتي التحقيق في أدلّتها تِباعاً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هذين الخبرين من قبيل مصحّحتي الصحّاف وإسحاق عن أبي بصير، وموثّقة سماعة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المتقدّمتين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موثّقة سماعة المتقدّمة</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صاحب الحدائق كما يظهر من كلامه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حيث فرّق بين تقدّم الدّم عن العادة فحكمها حكم المبتدأة والمضطربة وما تأخّر،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إذا تأخّر فيمكن الفرق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القطع بالحيضيّة عطفاً على ما مرَّ عند نقل الأقوال فراجع</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لإبن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 ليحيى بن سعيد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لسلّار بن عبد العزيز،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رأته أقلّ من ثلاثة أيّام فليس بحيض</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القول بالرجوع إلى التمييز</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13284</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للاتّفاق من الطرفين على أنّ الدّم المستمرّ إلى ثلاثةٍ حيض</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رَأتْ الدّم لم تُصلِّ‌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الدرس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المحقّق في المعتبر، وفي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العلّامة في أكثر من كتاب من كتبه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وهكذا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روايات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يونس بن يعقوب،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بعض روايات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الوسائل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عقدها لهذا الأمر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استظهار ذات العادة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وقد رواها زرارة أيضاً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مروي عن عبد الرحمن بن أبي عبد اللّه، وقد ورد في اختيار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عبد اللّه رجلٌ من أهل البصرة اسمه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همام بن عبد الرحمن بن أبي عبد اللّه ميمون البصري واسماعيل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هو وأبوه 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ترجمة 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نقلاً عن منتقى الجمان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العروة وعدّة من المحشّين عليها، العروة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الحيض</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يظهر ذلك من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 البحراني في حدائقه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لم نجد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نسبه إليه البحراني في حدائقه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لإبن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 حيث يظهر منه وجوب الغُسل بعد يوم أو يومين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النفساء استقرب عدم الوجوب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خرجت القُطنة نقيّة فطاهر، وإلّا صبرت المعتادة يومين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الحلّي في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وفي المعتبر للقول بالإستظهار يوماً أو يومين، ولم نجد نسبته إلى الأشهر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المختلف والمنتهى والتذكرة ونهاية الاحكام والتحرير إلّااختيار التخيير بين اليوم واليومين من دون إشارة إلى أنّه 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الأَجزاء الأُولى لها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الكتب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المدارك إلّاما اختاره من التخيير بين اليوم واليومين والثلاثة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 صاحب المدارك، وهو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كتابه أحكام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الروض 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دمّ ينقطع على العشرة فما دون فهو 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النسبة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كجامع المدارك للخوانساري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حكايته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وجوب قضاء اليومين إشكال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المحقّق في الشرائع، ونسبه الشهيد الثاني للمشهور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مصباح السيّد لا مصباح الشيخ، كما نقله عنه صاحب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لإبن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مختصٌّ بغير المبتدئة</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ذكر أنّ طرف القلّة حدّه الثلاثة، والكثرة حدّه العشرة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يونس</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والآخر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روايات ثلاث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يونس الطويلة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حفص بن البختري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إسحاق بن جرير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والعلّامة الحليين على ما نقله 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وضّح المحقّق المراد من إطلاق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الخمسة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ووالده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اعتبر من لم تستقرّ لها عادة من أقسام المُبتدئة مقابل ذات العادة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والمُبتدئة والمضطربة إلى التميّز، ومع فقده ترجع المُبتدئة إلى عادة أهلها وأقرانها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أرجع مستمرّة الدّم التي لا عادة لها إلى نسائها إنْ فقدت التمييز</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إليهم ذلك الشيخ الأنصاري في طهارته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موثّق زرارة ومحمّد بن مسلم وموثّق أبي بصير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اعتبر المضطربة هي من لم تستقرّ لها عادة وجعلها قِبال المُبتدئة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اعتبر المضطربة هي من لم تستقرّ لها عادة وجعلها في عرض المبتدئة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حيث نسب إلى المشهور إلحاق من لم يستقرّ لها عادة بالمبتدئة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شرط في الرجوع إلى نسائها إتّفاقهن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موثّق زرارة، وأبي بصير المتقدّمتين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الأقوى‌، والمراد منه عدم الاكتفاء بالبعض من نسائها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القيل كلّ من الشيخ الأنصاري والسيّد الحكيم في مستدركه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المبتدئة إن كان لها تميّز</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نظره في الرجوع إلى نسائها إنّما هو من حيث العدد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في مضمرة سماعة المتقدّمة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الجعفريّة للمحقّق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المسألة حيث عطف على نسائها بنساءأقرانها من بلدها بثمّ‌، ولم ينسب ذلك إلى الأصحاب، وأمّا شرح الجعفريّة فليست بأيدينا، نعم حكاه عنها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واسم الكتاب كما في الحاشية المظفريّة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الحيض، في المُبتدئة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يزال مخطوط في مكتبة المرعشي النجفي قدس سره تحت رقم </w:t>
      </w:r>
      <w:r>
        <w:rPr>
          <w:rFonts w:eastAsia="IRNazanin" w:cs="IRNazanin"/>
          <w:b w:val="false"/>
          <w:bCs w:val="false"/>
          <w:i w:val="false"/>
          <w:iCs w:val="false"/>
          <w:color w:val="333333"/>
          <w:sz w:val="20"/>
          <w:szCs w:val="20"/>
        </w:rPr>
        <w:t>2776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وتبعهم كاشف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إختار فيه رأي السيّد المرتضى بعدم توسّط الأقران بين نسائها والرجوع إلى الروايات، راجع 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من منتهى المطلب</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هذه الدعوى وردّها الفقيه الهمداني في مصباحه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لإبن حمزة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المفاتيح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يحضرنا الكتاب إلّاأنّه في حاشية مفتاح الكرامة 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 الطهارة في أحكام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التلخيص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 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بين الناسية والمضطربة والمُبتدئة عمّا حكي عنه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بعض الأصحاب صاحب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تصريح باسمه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بعض الأصحاب صاحب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تصريح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وجدناه 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رسالة والد الصدوق إليه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حيث قوّى رأي المحقّق في المعتبر بالتحيّض ثلاثة لأنّه القدر المتيقّن</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الآبي في كتابه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السيّد المرتضى</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الأُولى من فصل في تجاوز الدّم عن العشرة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الفقيه الهداني في مصباحه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من العروة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من النهاية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من الخلاف</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الروضة للمحقّق الخوانساري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مرسل يونس الطويل، تقدّم تخريجه في الصفحة السابقة</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الصفحة السابقة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في شرح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مرسل يونس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الأكثر السيّد محمّد جواد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كالقول بجعل العدد أوّل الشهر، أو بحسب غَلَبة ظنّها واجتهادها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التخصيص بالأوّل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إليها مراراًهنا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فقرة من مرسلة يونس الطويلة التي نقلناها سابقاً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 التهذيب، وقد نقل صاحب وسائل الشيعة صدرها هذا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كروايات 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وسائل الشيعة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الحكيم في مستمسكه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روايات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اُشير إليهما في بحث الإستظهار</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لحكم ذاكرة الوقت وناسية العدد، ولكن حكم فيها بترك العبادة ثلاثة أيّام، وأنّه لادليل على الباقي، وإنّما حكم بالاحتياط في صورة نسيانها الوقت والعدد معاً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ذكرت الوقت دون العدد تحيّضت في الوقت أقلّ الحيض، ثمّ عملت عمل المستحاضة وصامت وصلّت، ولا يطأها الزوج، ولا يطلقها باقي العشرة، واعتسلت عند كلّ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وإرشاد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إليه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عن الخلاف</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المرسلة الطويلة ليونس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السواد والحرارة والدفع للحيض والصُّفرة والبرودة وعدم القوّة والدفع للإستحاضة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الثخانة والرِّقة وكراهة رائحته وعدمها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69595</Words>
  <Characters>318326</Characters>
  <CharactersWithSpaces>384348</CharactersWithSpaces>
  <Paragraphs>3989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2026-08-22T07:43:16Z</dcterms:created>
  <dc:creator>ghaemiyeh.com</dc:creator>
  <dc:description/>
  <dc:language>en-US</dc:language>
  <cp:lastModifiedBy/>
  <dcterms:modified xsi:type="dcterms:W3CDTF">2026-08-22T11:13:36Z</dcterms:modified>
  <cp:revision>1</cp:revision>
  <dc:subject/>
  <dc:title>فقه الصادق علیه السلام جلد 2</dc:title>
</cp:coreProperties>
</file>

<file path=docProps/custom.xml><?xml version="1.0" encoding="utf-8"?>
<Properties xmlns="http://schemas.openxmlformats.org/officeDocument/2006/custom-properties" xmlns:vt="http://schemas.openxmlformats.org/officeDocument/2006/docPropsVTypes"/>
</file>