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و مقالات تبحث فی مواضیع فقهیه اصولیه کلامیه تراجم و مکاتبات و حورات مع بعض الاعلام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0667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070669_73709187">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7070671_73709187">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7070673_73709187">
            <w:r>
              <w:rPr>
                <w:webHidden/>
                <w:rStyle w:val="IndexLink"/>
                <w:rtl w:val="true"/>
              </w:rPr>
              <w:t>الفصل الأوّل مقالات في الكلام والعقائد</w:t>
            </w:r>
            <w:r>
              <w:rPr>
                <w:rStyle w:val="IndexLink"/>
                <w:rtl w:val="true"/>
              </w:rPr>
              <w:tab/>
            </w:r>
            <w:r>
              <w:rPr>
                <w:rStyle w:val="IndexLink"/>
              </w:rPr>
              <w:t>18</w:t>
            </w:r>
          </w:hyperlink>
        </w:p>
        <w:p>
          <w:pPr>
            <w:pStyle w:val="Contents3"/>
            <w:tabs>
              <w:tab w:val="clear" w:pos="8459"/>
              <w:tab w:val="right" w:pos="9026" w:leader="dot"/>
            </w:tabs>
            <w:rPr/>
          </w:pPr>
          <w:hyperlink w:anchor="__RefHeading___Toc7070675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7070677_73709187">
            <w:r>
              <w:rPr>
                <w:webHidden/>
                <w:rStyle w:val="IndexLink"/>
              </w:rPr>
              <w:t>1</w:t>
            </w:r>
            <w:r>
              <w:rPr>
                <w:rStyle w:val="IndexLink"/>
                <w:rtl w:val="true"/>
              </w:rPr>
              <w:t xml:space="preserve"> </w:t>
            </w:r>
            <w:r>
              <w:rPr>
                <w:rStyle w:val="IndexLink"/>
                <w:rtl w:val="true"/>
              </w:rPr>
              <w:t>الإله في كلمة الإخلاص</w:t>
            </w:r>
            <w:r>
              <w:rPr>
                <w:rStyle w:val="IndexLink"/>
                <w:rtl w:val="true"/>
              </w:rPr>
              <w:tab/>
            </w:r>
            <w:r>
              <w:rPr>
                <w:rStyle w:val="IndexLink"/>
              </w:rPr>
              <w:t>19</w:t>
            </w:r>
          </w:hyperlink>
        </w:p>
        <w:p>
          <w:pPr>
            <w:pStyle w:val="Contents4"/>
            <w:tabs>
              <w:tab w:val="clear" w:pos="8176"/>
              <w:tab w:val="right" w:pos="9026" w:leader="dot"/>
            </w:tabs>
            <w:rPr/>
          </w:pPr>
          <w:hyperlink w:anchor="__RefHeading___Toc7070679_73709187">
            <w:r>
              <w:rPr>
                <w:webHidden/>
                <w:rStyle w:val="IndexLink"/>
                <w:rtl w:val="true"/>
              </w:rPr>
              <w:t>تمهيد</w:t>
            </w:r>
            <w:r>
              <w:rPr>
                <w:rStyle w:val="IndexLink"/>
                <w:rtl w:val="true"/>
              </w:rPr>
              <w:tab/>
            </w:r>
            <w:r>
              <w:rPr>
                <w:rStyle w:val="IndexLink"/>
              </w:rPr>
              <w:t>19</w:t>
            </w:r>
          </w:hyperlink>
        </w:p>
        <w:p>
          <w:pPr>
            <w:pStyle w:val="Contents4"/>
            <w:tabs>
              <w:tab w:val="clear" w:pos="8176"/>
              <w:tab w:val="right" w:pos="9026" w:leader="dot"/>
            </w:tabs>
            <w:rPr/>
          </w:pPr>
          <w:hyperlink w:anchor="__RefHeading___Toc7070681_73709187">
            <w:r>
              <w:rPr>
                <w:webHidden/>
                <w:rStyle w:val="IndexLink"/>
                <w:rtl w:val="true"/>
              </w:rPr>
              <w:t xml:space="preserve">معنى </w:t>
            </w:r>
            <w:r>
              <w:rPr>
                <w:rStyle w:val="IndexLink"/>
                <w:rtl w:val="true"/>
              </w:rPr>
              <w:t>«</w:t>
            </w:r>
            <w:r>
              <w:rPr>
                <w:rStyle w:val="IndexLink"/>
                <w:rtl w:val="true"/>
              </w:rPr>
              <w:t>الإله</w:t>
            </w:r>
            <w:r>
              <w:rPr>
                <w:rStyle w:val="IndexLink"/>
                <w:rtl w:val="true"/>
              </w:rPr>
              <w:t xml:space="preserve">» </w:t>
            </w:r>
            <w:r>
              <w:rPr>
                <w:rStyle w:val="IndexLink"/>
                <w:rtl w:val="true"/>
              </w:rPr>
              <w:t>في الذكر الحكيم</w:t>
            </w:r>
            <w:r>
              <w:rPr>
                <w:rStyle w:val="IndexLink"/>
                <w:rtl w:val="true"/>
              </w:rPr>
              <w:tab/>
            </w:r>
            <w:r>
              <w:rPr>
                <w:rStyle w:val="IndexLink"/>
              </w:rPr>
              <w:t>19</w:t>
            </w:r>
          </w:hyperlink>
        </w:p>
        <w:p>
          <w:pPr>
            <w:pStyle w:val="Contents4"/>
            <w:tabs>
              <w:tab w:val="clear" w:pos="8176"/>
              <w:tab w:val="right" w:pos="9026" w:leader="dot"/>
            </w:tabs>
            <w:rPr/>
          </w:pPr>
          <w:hyperlink w:anchor="__RefHeading___Toc7070683_73709187">
            <w:r>
              <w:rPr>
                <w:webHidden/>
                <w:rStyle w:val="IndexLink"/>
                <w:rtl w:val="true"/>
              </w:rPr>
              <w:t>ما هو المختار؟</w:t>
            </w:r>
            <w:r>
              <w:rPr>
                <w:rStyle w:val="IndexLink"/>
                <w:rtl w:val="true"/>
              </w:rPr>
              <w:tab/>
            </w:r>
            <w:r>
              <w:rPr>
                <w:rStyle w:val="IndexLink"/>
              </w:rPr>
              <w:t>21</w:t>
            </w:r>
          </w:hyperlink>
        </w:p>
        <w:p>
          <w:pPr>
            <w:pStyle w:val="Contents5"/>
            <w:tabs>
              <w:tab w:val="clear" w:pos="7892"/>
              <w:tab w:val="right" w:pos="9026" w:leader="dot"/>
            </w:tabs>
            <w:rPr/>
          </w:pPr>
          <w:hyperlink w:anchor="__RefHeading___Toc7070685_7370918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7070687_73709187">
            <w:r>
              <w:rPr>
                <w:webHidden/>
                <w:rStyle w:val="IndexLink"/>
                <w:rtl w:val="true"/>
              </w:rPr>
              <w:t>الأوّل</w:t>
            </w:r>
            <w:r>
              <w:rPr>
                <w:rStyle w:val="IndexLink"/>
                <w:rtl w:val="true"/>
              </w:rPr>
              <w:t xml:space="preserve">: </w:t>
            </w:r>
            <w:r>
              <w:rPr>
                <w:rStyle w:val="IndexLink"/>
                <w:rtl w:val="true"/>
              </w:rPr>
              <w:t>مادة اللفظين واحدة</w:t>
            </w:r>
            <w:r>
              <w:rPr>
                <w:rStyle w:val="IndexLink"/>
                <w:rtl w:val="true"/>
              </w:rPr>
              <w:tab/>
            </w:r>
            <w:r>
              <w:rPr>
                <w:rStyle w:val="IndexLink"/>
              </w:rPr>
              <w:t>22</w:t>
            </w:r>
          </w:hyperlink>
        </w:p>
        <w:p>
          <w:pPr>
            <w:pStyle w:val="Contents5"/>
            <w:tabs>
              <w:tab w:val="clear" w:pos="7892"/>
              <w:tab w:val="right" w:pos="9026" w:leader="dot"/>
            </w:tabs>
            <w:rPr/>
          </w:pPr>
          <w:hyperlink w:anchor="__RefHeading___Toc7070689_73709187">
            <w:r>
              <w:rPr>
                <w:webHidden/>
                <w:rStyle w:val="IndexLink"/>
                <w:rtl w:val="true"/>
              </w:rPr>
              <w:t>الثاني</w:t>
            </w:r>
            <w:r>
              <w:rPr>
                <w:rStyle w:val="IndexLink"/>
                <w:rtl w:val="true"/>
              </w:rPr>
              <w:t xml:space="preserve">: </w:t>
            </w:r>
            <w:r>
              <w:rPr>
                <w:rStyle w:val="IndexLink"/>
                <w:rtl w:val="true"/>
              </w:rPr>
              <w:t>الاحتجاج بعدم وجود إله غير اللّه</w:t>
            </w:r>
            <w:r>
              <w:rPr>
                <w:rStyle w:val="IndexLink"/>
                <w:rtl w:val="true"/>
              </w:rPr>
              <w:tab/>
            </w:r>
            <w:r>
              <w:rPr>
                <w:rStyle w:val="IndexLink"/>
              </w:rPr>
              <w:t>23</w:t>
            </w:r>
          </w:hyperlink>
        </w:p>
        <w:p>
          <w:pPr>
            <w:pStyle w:val="Contents5"/>
            <w:tabs>
              <w:tab w:val="clear" w:pos="7892"/>
              <w:tab w:val="right" w:pos="9026" w:leader="dot"/>
            </w:tabs>
            <w:rPr/>
          </w:pPr>
          <w:hyperlink w:anchor="__RefHeading___Toc7070691_73709187">
            <w:r>
              <w:rPr>
                <w:webHidden/>
                <w:rStyle w:val="IndexLink"/>
                <w:rtl w:val="true"/>
              </w:rPr>
              <w:t>الثالث</w:t>
            </w:r>
            <w:r>
              <w:rPr>
                <w:rStyle w:val="IndexLink"/>
                <w:rtl w:val="true"/>
              </w:rPr>
              <w:t xml:space="preserve">: </w:t>
            </w:r>
            <w:r>
              <w:rPr>
                <w:rStyle w:val="IndexLink"/>
                <w:rtl w:val="true"/>
              </w:rPr>
              <w:t>الاستدلال على التوحيد بلزوم الفساد عند تعدّد الآلهة</w:t>
            </w:r>
            <w:r>
              <w:rPr>
                <w:rStyle w:val="IndexLink"/>
                <w:rtl w:val="true"/>
              </w:rPr>
              <w:tab/>
            </w:r>
            <w:r>
              <w:rPr>
                <w:rStyle w:val="IndexLink"/>
              </w:rPr>
              <w:t>24</w:t>
            </w:r>
          </w:hyperlink>
        </w:p>
        <w:p>
          <w:pPr>
            <w:pStyle w:val="Contents5"/>
            <w:tabs>
              <w:tab w:val="clear" w:pos="7892"/>
              <w:tab w:val="right" w:pos="9026" w:leader="dot"/>
            </w:tabs>
            <w:rPr/>
          </w:pPr>
          <w:hyperlink w:anchor="__RefHeading___Toc7070693_73709187">
            <w:r>
              <w:rPr>
                <w:webHidden/>
                <w:rStyle w:val="IndexLink"/>
                <w:rtl w:val="true"/>
              </w:rPr>
              <w:t>الرابع</w:t>
            </w:r>
            <w:r>
              <w:rPr>
                <w:rStyle w:val="IndexLink"/>
                <w:rtl w:val="true"/>
              </w:rPr>
              <w:t xml:space="preserve">: </w:t>
            </w:r>
            <w:r>
              <w:rPr>
                <w:rStyle w:val="IndexLink"/>
                <w:rtl w:val="true"/>
              </w:rPr>
              <w:t>الملازمة بين الإلوهية وعدم ورود النار</w:t>
            </w:r>
            <w:r>
              <w:rPr>
                <w:rStyle w:val="IndexLink"/>
                <w:rtl w:val="true"/>
              </w:rPr>
              <w:tab/>
            </w:r>
            <w:r>
              <w:rPr>
                <w:rStyle w:val="IndexLink"/>
              </w:rPr>
              <w:t>26</w:t>
            </w:r>
          </w:hyperlink>
        </w:p>
        <w:p>
          <w:pPr>
            <w:pStyle w:val="Contents5"/>
            <w:tabs>
              <w:tab w:val="clear" w:pos="7892"/>
              <w:tab w:val="right" w:pos="9026" w:leader="dot"/>
            </w:tabs>
            <w:rPr/>
          </w:pPr>
          <w:hyperlink w:anchor="__RefHeading___Toc7070695_73709187">
            <w:r>
              <w:rPr>
                <w:webHidden/>
                <w:rStyle w:val="IndexLink"/>
                <w:rtl w:val="true"/>
              </w:rPr>
              <w:t>الخامس</w:t>
            </w:r>
            <w:r>
              <w:rPr>
                <w:rStyle w:val="IndexLink"/>
                <w:rtl w:val="true"/>
              </w:rPr>
              <w:t xml:space="preserve">: </w:t>
            </w:r>
            <w:r>
              <w:rPr>
                <w:rStyle w:val="IndexLink"/>
                <w:rtl w:val="true"/>
              </w:rPr>
              <w:t>لزوم اختلال المعنى لو فسّر بالمعبود</w:t>
            </w:r>
            <w:r>
              <w:rPr>
                <w:rStyle w:val="IndexLink"/>
                <w:rtl w:val="true"/>
              </w:rPr>
              <w:tab/>
            </w:r>
            <w:r>
              <w:rPr>
                <w:rStyle w:val="IndexLink"/>
              </w:rPr>
              <w:t>26</w:t>
            </w:r>
          </w:hyperlink>
        </w:p>
        <w:p>
          <w:pPr>
            <w:pStyle w:val="Contents5"/>
            <w:tabs>
              <w:tab w:val="clear" w:pos="7892"/>
              <w:tab w:val="right" w:pos="9026" w:leader="dot"/>
            </w:tabs>
            <w:rPr/>
          </w:pPr>
          <w:hyperlink w:anchor="__RefHeading___Toc7070697_73709187">
            <w:r>
              <w:rPr>
                <w:webHidden/>
                <w:rStyle w:val="IndexLink"/>
                <w:rtl w:val="true"/>
              </w:rPr>
              <w:t>السادس</w:t>
            </w:r>
            <w:r>
              <w:rPr>
                <w:rStyle w:val="IndexLink"/>
                <w:rtl w:val="true"/>
              </w:rPr>
              <w:t xml:space="preserve">: </w:t>
            </w:r>
            <w:r>
              <w:rPr>
                <w:rStyle w:val="IndexLink"/>
                <w:rtl w:val="true"/>
              </w:rPr>
              <w:t>استعمال لفظ الجلالة مكان الآخر وبالعكس</w:t>
            </w:r>
            <w:r>
              <w:rPr>
                <w:rStyle w:val="IndexLink"/>
                <w:rtl w:val="true"/>
              </w:rPr>
              <w:tab/>
            </w:r>
            <w:r>
              <w:rPr>
                <w:rStyle w:val="IndexLink"/>
              </w:rPr>
              <w:t>27</w:t>
            </w:r>
          </w:hyperlink>
        </w:p>
        <w:p>
          <w:pPr>
            <w:pStyle w:val="Contents5"/>
            <w:tabs>
              <w:tab w:val="clear" w:pos="7892"/>
              <w:tab w:val="right" w:pos="9026" w:leader="dot"/>
            </w:tabs>
            <w:rPr/>
          </w:pPr>
          <w:hyperlink w:anchor="__RefHeading___Toc7070699_73709187">
            <w:r>
              <w:rPr>
                <w:webHidden/>
                <w:rStyle w:val="IndexLink"/>
                <w:rtl w:val="true"/>
              </w:rPr>
              <w:t>السابع</w:t>
            </w:r>
            <w:r>
              <w:rPr>
                <w:rStyle w:val="IndexLink"/>
                <w:rtl w:val="true"/>
              </w:rPr>
              <w:t xml:space="preserve">: </w:t>
            </w:r>
            <w:r>
              <w:rPr>
                <w:rStyle w:val="IndexLink"/>
                <w:rtl w:val="true"/>
              </w:rPr>
              <w:t xml:space="preserve">معنى </w:t>
            </w:r>
            <w:r>
              <w:rPr>
                <w:rStyle w:val="IndexLink"/>
                <w:rtl w:val="true"/>
              </w:rPr>
              <w:t>«</w:t>
            </w:r>
            <w:r>
              <w:rPr>
                <w:rStyle w:val="IndexLink"/>
                <w:rtl w:val="true"/>
              </w:rPr>
              <w:t>الإله</w:t>
            </w:r>
            <w:r>
              <w:rPr>
                <w:rStyle w:val="IndexLink"/>
                <w:rtl w:val="true"/>
              </w:rPr>
              <w:t xml:space="preserve">» </w:t>
            </w:r>
            <w:r>
              <w:rPr>
                <w:rStyle w:val="IndexLink"/>
                <w:rtl w:val="true"/>
              </w:rPr>
              <w:t>في تثليث النصارى</w:t>
            </w:r>
            <w:r>
              <w:rPr>
                <w:rStyle w:val="IndexLink"/>
                <w:rtl w:val="true"/>
              </w:rPr>
              <w:tab/>
            </w:r>
            <w:r>
              <w:rPr>
                <w:rStyle w:val="IndexLink"/>
              </w:rPr>
              <w:t>28</w:t>
            </w:r>
          </w:hyperlink>
        </w:p>
        <w:p>
          <w:pPr>
            <w:pStyle w:val="Contents5"/>
            <w:tabs>
              <w:tab w:val="clear" w:pos="7892"/>
              <w:tab w:val="right" w:pos="9026" w:leader="dot"/>
            </w:tabs>
            <w:rPr/>
          </w:pPr>
          <w:hyperlink w:anchor="__RefHeading___Toc7070701_73709187">
            <w:r>
              <w:rPr>
                <w:webHidden/>
                <w:rStyle w:val="IndexLink"/>
                <w:rtl w:val="true"/>
              </w:rPr>
              <w:t>الثامن</w:t>
            </w:r>
            <w:r>
              <w:rPr>
                <w:rStyle w:val="IndexLink"/>
                <w:rtl w:val="true"/>
              </w:rPr>
              <w:t xml:space="preserve">: </w:t>
            </w:r>
            <w:r>
              <w:rPr>
                <w:rStyle w:val="IndexLink"/>
                <w:rtl w:val="true"/>
              </w:rPr>
              <w:t>وقوع قوله</w:t>
            </w:r>
            <w:r>
              <w:rPr>
                <w:rStyle w:val="IndexLink"/>
                <w:rtl w:val="true"/>
              </w:rPr>
              <w:t>: (</w:t>
            </w:r>
            <w:r>
              <w:rPr>
                <w:rStyle w:val="IndexLink"/>
                <w:rtl w:val="true"/>
              </w:rPr>
              <w:t>لا إِلهَ إِلاّ هُوَ</w:t>
            </w:r>
            <w:r>
              <w:rPr>
                <w:rStyle w:val="IndexLink"/>
                <w:rtl w:val="true"/>
              </w:rPr>
              <w:t xml:space="preserve">) </w:t>
            </w:r>
            <w:r>
              <w:rPr>
                <w:rStyle w:val="IndexLink"/>
                <w:rtl w:val="true"/>
              </w:rPr>
              <w:t>تعليلاً لحصر الشؤون</w:t>
            </w:r>
            <w:r>
              <w:rPr>
                <w:rStyle w:val="IndexLink"/>
                <w:rtl w:val="true"/>
              </w:rPr>
              <w:tab/>
            </w:r>
            <w:r>
              <w:rPr>
                <w:rStyle w:val="IndexLink"/>
              </w:rPr>
              <w:t>30</w:t>
            </w:r>
          </w:hyperlink>
        </w:p>
        <w:p>
          <w:pPr>
            <w:pStyle w:val="Contents5"/>
            <w:tabs>
              <w:tab w:val="clear" w:pos="7892"/>
              <w:tab w:val="right" w:pos="9026" w:leader="dot"/>
            </w:tabs>
            <w:rPr/>
          </w:pPr>
          <w:hyperlink w:anchor="__RefHeading___Toc7070703_73709187">
            <w:r>
              <w:rPr>
                <w:webHidden/>
                <w:rStyle w:val="IndexLink"/>
                <w:rtl w:val="true"/>
              </w:rPr>
              <w:t>التاسع</w:t>
            </w:r>
            <w:r>
              <w:rPr>
                <w:rStyle w:val="IndexLink"/>
                <w:rtl w:val="true"/>
              </w:rPr>
              <w:t xml:space="preserve">: </w:t>
            </w:r>
            <w:r>
              <w:rPr>
                <w:rStyle w:val="IndexLink"/>
                <w:rtl w:val="true"/>
              </w:rPr>
              <w:t>مفهوم الإله عند الوثنيين</w:t>
            </w:r>
            <w:r>
              <w:rPr>
                <w:rStyle w:val="IndexLink"/>
                <w:rtl w:val="true"/>
              </w:rPr>
              <w:tab/>
            </w:r>
            <w:r>
              <w:rPr>
                <w:rStyle w:val="IndexLink"/>
              </w:rPr>
              <w:t>32</w:t>
            </w:r>
          </w:hyperlink>
        </w:p>
        <w:p>
          <w:pPr>
            <w:pStyle w:val="Contents6"/>
            <w:tabs>
              <w:tab w:val="clear" w:pos="7609"/>
              <w:tab w:val="right" w:pos="9026" w:leader="dot"/>
            </w:tabs>
            <w:rPr/>
          </w:pPr>
          <w:hyperlink w:anchor="__RefHeading___Toc7070705_7370918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7070707_73709187">
            <w:r>
              <w:rPr>
                <w:webHidden/>
                <w:rStyle w:val="IndexLink"/>
                <w:rtl w:val="true"/>
              </w:rPr>
              <w:t>انتقال هُبَل إلى مكة</w:t>
            </w:r>
            <w:r>
              <w:rPr>
                <w:rStyle w:val="IndexLink"/>
                <w:rtl w:val="true"/>
              </w:rPr>
              <w:tab/>
            </w:r>
            <w:r>
              <w:rPr>
                <w:rStyle w:val="IndexLink"/>
              </w:rPr>
              <w:t>33</w:t>
            </w:r>
          </w:hyperlink>
        </w:p>
        <w:p>
          <w:pPr>
            <w:pStyle w:val="Contents5"/>
            <w:tabs>
              <w:tab w:val="clear" w:pos="7892"/>
              <w:tab w:val="right" w:pos="9026" w:leader="dot"/>
            </w:tabs>
            <w:rPr/>
          </w:pPr>
          <w:hyperlink w:anchor="__RefHeading___Toc7070709_73709187">
            <w:r>
              <w:rPr>
                <w:webHidden/>
                <w:rStyle w:val="IndexLink"/>
                <w:rtl w:val="true"/>
              </w:rPr>
              <w:t>العاشر</w:t>
            </w:r>
            <w:r>
              <w:rPr>
                <w:rStyle w:val="IndexLink"/>
                <w:rtl w:val="true"/>
              </w:rPr>
              <w:t xml:space="preserve">: </w:t>
            </w:r>
            <w:r>
              <w:rPr>
                <w:rStyle w:val="IndexLink"/>
                <w:rtl w:val="true"/>
              </w:rPr>
              <w:t>الإله في كلام الإمام علي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7070711_73709187">
            <w:r>
              <w:rPr>
                <w:webHidden/>
                <w:rStyle w:val="IndexLink"/>
                <w:rtl w:val="true"/>
              </w:rPr>
              <w:t>حصيلة البحث</w:t>
            </w:r>
            <w:r>
              <w:rPr>
                <w:rStyle w:val="IndexLink"/>
                <w:rtl w:val="true"/>
              </w:rPr>
              <w:t>:</w:t>
              <w:tab/>
            </w:r>
            <w:r>
              <w:rPr>
                <w:rStyle w:val="IndexLink"/>
              </w:rPr>
              <w:t>34</w:t>
            </w:r>
          </w:hyperlink>
        </w:p>
        <w:p>
          <w:pPr>
            <w:pStyle w:val="Contents4"/>
            <w:tabs>
              <w:tab w:val="clear" w:pos="8176"/>
              <w:tab w:val="right" w:pos="9026" w:leader="dot"/>
            </w:tabs>
            <w:rPr/>
          </w:pPr>
          <w:hyperlink w:anchor="__RefHeading___Toc7070713_73709187">
            <w:r>
              <w:rPr>
                <w:webHidden/>
                <w:rStyle w:val="IndexLink"/>
                <w:rtl w:val="true"/>
              </w:rPr>
              <w:t>تصحيح خطأ في الاصطلاح</w:t>
            </w:r>
            <w:r>
              <w:rPr>
                <w:rStyle w:val="IndexLink"/>
                <w:rtl w:val="true"/>
              </w:rPr>
              <w:tab/>
            </w:r>
            <w:r>
              <w:rPr>
                <w:rStyle w:val="IndexLink"/>
              </w:rPr>
              <w:t>35</w:t>
            </w:r>
          </w:hyperlink>
        </w:p>
        <w:p>
          <w:pPr>
            <w:pStyle w:val="Contents3"/>
            <w:tabs>
              <w:tab w:val="clear" w:pos="8459"/>
              <w:tab w:val="right" w:pos="9026" w:leader="dot"/>
            </w:tabs>
            <w:rPr/>
          </w:pPr>
          <w:hyperlink w:anchor="__RefHeading___Toc7070715_73709187">
            <w:r>
              <w:rPr>
                <w:webHidden/>
                <w:rStyle w:val="IndexLink"/>
              </w:rPr>
              <w:t>2</w:t>
            </w:r>
            <w:r>
              <w:rPr>
                <w:rStyle w:val="IndexLink"/>
                <w:rtl w:val="true"/>
              </w:rPr>
              <w:t>. «</w:t>
            </w:r>
            <w:r>
              <w:rPr>
                <w:rStyle w:val="IndexLink"/>
                <w:rtl w:val="true"/>
              </w:rPr>
              <w:t>رؤية اللّه</w:t>
            </w:r>
            <w:r>
              <w:rPr>
                <w:rStyle w:val="IndexLink"/>
                <w:rtl w:val="true"/>
              </w:rPr>
              <w:t xml:space="preserve">» </w:t>
            </w:r>
            <w:r>
              <w:rPr>
                <w:rStyle w:val="IndexLink"/>
                <w:rtl w:val="true"/>
              </w:rPr>
              <w:t>طبقاً للكتاب والسنّة</w:t>
            </w:r>
            <w:r>
              <w:rPr>
                <w:rStyle w:val="IndexLink"/>
                <w:rtl w:val="true"/>
              </w:rPr>
              <w:tab/>
            </w:r>
            <w:r>
              <w:rPr>
                <w:rStyle w:val="IndexLink"/>
              </w:rPr>
              <w:t>38</w:t>
            </w:r>
          </w:hyperlink>
        </w:p>
        <w:p>
          <w:pPr>
            <w:pStyle w:val="Contents4"/>
            <w:tabs>
              <w:tab w:val="clear" w:pos="8176"/>
              <w:tab w:val="right" w:pos="9026" w:leader="dot"/>
            </w:tabs>
            <w:rPr/>
          </w:pPr>
          <w:hyperlink w:anchor="__RefHeading___Toc7070717_73709187">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7070719_73709187">
            <w:r>
              <w:rPr>
                <w:webHidden/>
                <w:rStyle w:val="IndexLink"/>
              </w:rPr>
              <w:t>1</w:t>
            </w:r>
            <w:r>
              <w:rPr>
                <w:rStyle w:val="IndexLink"/>
                <w:rtl w:val="true"/>
              </w:rPr>
              <w:t xml:space="preserve">. </w:t>
            </w:r>
            <w:r>
              <w:rPr>
                <w:rStyle w:val="IndexLink"/>
                <w:rtl w:val="true"/>
              </w:rPr>
              <w:t>التركيز على التجسيم</w:t>
            </w:r>
            <w:r>
              <w:rPr>
                <w:rStyle w:val="IndexLink"/>
                <w:rtl w:val="true"/>
              </w:rPr>
              <w:tab/>
            </w:r>
            <w:r>
              <w:rPr>
                <w:rStyle w:val="IndexLink"/>
              </w:rPr>
              <w:t>40</w:t>
            </w:r>
          </w:hyperlink>
        </w:p>
        <w:p>
          <w:pPr>
            <w:pStyle w:val="Contents4"/>
            <w:tabs>
              <w:tab w:val="clear" w:pos="8176"/>
              <w:tab w:val="right" w:pos="9026" w:leader="dot"/>
            </w:tabs>
            <w:rPr/>
          </w:pPr>
          <w:hyperlink w:anchor="__RefHeading___Toc7070721_73709187">
            <w:r>
              <w:rPr>
                <w:webHidden/>
                <w:rStyle w:val="IndexLink"/>
              </w:rPr>
              <w:t>2</w:t>
            </w:r>
            <w:r>
              <w:rPr>
                <w:rStyle w:val="IndexLink"/>
                <w:rtl w:val="true"/>
              </w:rPr>
              <w:t xml:space="preserve">. </w:t>
            </w:r>
            <w:r>
              <w:rPr>
                <w:rStyle w:val="IndexLink"/>
                <w:rtl w:val="true"/>
              </w:rPr>
              <w:t>التركيز على رؤية اللّه</w:t>
            </w:r>
            <w:r>
              <w:rPr>
                <w:rStyle w:val="IndexLink"/>
                <w:rtl w:val="true"/>
              </w:rPr>
              <w:tab/>
            </w:r>
            <w:r>
              <w:rPr>
                <w:rStyle w:val="IndexLink"/>
              </w:rPr>
              <w:t>41</w:t>
            </w:r>
          </w:hyperlink>
        </w:p>
        <w:p>
          <w:pPr>
            <w:pStyle w:val="Contents4"/>
            <w:tabs>
              <w:tab w:val="clear" w:pos="8176"/>
              <w:tab w:val="right" w:pos="9026" w:leader="dot"/>
            </w:tabs>
            <w:rPr/>
          </w:pPr>
          <w:hyperlink w:anchor="__RefHeading___Toc7070723_73709187">
            <w:r>
              <w:rPr>
                <w:webHidden/>
                <w:rStyle w:val="IndexLink"/>
                <w:rtl w:val="true"/>
              </w:rPr>
              <w:t>نظرية تافهة</w:t>
            </w:r>
            <w:r>
              <w:rPr>
                <w:rStyle w:val="IndexLink"/>
                <w:rtl w:val="true"/>
              </w:rPr>
              <w:tab/>
            </w:r>
            <w:r>
              <w:rPr>
                <w:rStyle w:val="IndexLink"/>
              </w:rPr>
              <w:t>51</w:t>
            </w:r>
          </w:hyperlink>
        </w:p>
        <w:p>
          <w:pPr>
            <w:pStyle w:val="Contents4"/>
            <w:tabs>
              <w:tab w:val="clear" w:pos="8176"/>
              <w:tab w:val="right" w:pos="9026" w:leader="dot"/>
            </w:tabs>
            <w:rPr/>
          </w:pPr>
          <w:hyperlink w:anchor="__RefHeading___Toc7070725_73709187">
            <w:r>
              <w:rPr>
                <w:webHidden/>
                <w:rStyle w:val="IndexLink"/>
                <w:rtl w:val="true"/>
              </w:rPr>
              <w:t>حوار بين الإمام الرضا عليه السلام وبعض المحدّثين</w:t>
            </w:r>
            <w:r>
              <w:rPr>
                <w:rStyle w:val="IndexLink"/>
                <w:rtl w:val="true"/>
              </w:rPr>
              <w:tab/>
            </w:r>
            <w:r>
              <w:rPr>
                <w:rStyle w:val="IndexLink"/>
              </w:rPr>
              <w:t>52</w:t>
            </w:r>
          </w:hyperlink>
        </w:p>
        <w:p>
          <w:pPr>
            <w:pStyle w:val="Contents3"/>
            <w:tabs>
              <w:tab w:val="clear" w:pos="8459"/>
              <w:tab w:val="right" w:pos="9026" w:leader="dot"/>
            </w:tabs>
            <w:rPr/>
          </w:pPr>
          <w:hyperlink w:anchor="__RefHeading___Toc7070727_73709187">
            <w:r>
              <w:rPr>
                <w:webHidden/>
                <w:rStyle w:val="IndexLink"/>
              </w:rPr>
              <w:t>3</w:t>
            </w:r>
            <w:r>
              <w:rPr>
                <w:rStyle w:val="IndexLink"/>
                <w:rtl w:val="true"/>
              </w:rPr>
              <w:t xml:space="preserve">. </w:t>
            </w:r>
            <w:r>
              <w:rPr>
                <w:rStyle w:val="IndexLink"/>
                <w:rtl w:val="true"/>
              </w:rPr>
              <w:t>الصفات الخبرية في الكتاب والسنّة</w:t>
            </w:r>
            <w:r>
              <w:rPr>
                <w:rStyle w:val="IndexLink"/>
                <w:rtl w:val="true"/>
              </w:rPr>
              <w:tab/>
            </w:r>
            <w:r>
              <w:rPr>
                <w:rStyle w:val="IndexLink"/>
              </w:rPr>
              <w:t>54</w:t>
            </w:r>
          </w:hyperlink>
        </w:p>
        <w:p>
          <w:pPr>
            <w:pStyle w:val="Contents4"/>
            <w:tabs>
              <w:tab w:val="clear" w:pos="8176"/>
              <w:tab w:val="right" w:pos="9026" w:leader="dot"/>
            </w:tabs>
            <w:rPr/>
          </w:pPr>
          <w:hyperlink w:anchor="__RefHeading___Toc7070729_7370918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7070731_73709187">
            <w:r>
              <w:rPr>
                <w:webHidden/>
                <w:rStyle w:val="IndexLink"/>
                <w:rtl w:val="true"/>
              </w:rPr>
              <w:t>ما هو الميزان في معرفة صفاته تعالى‌؟</w:t>
            </w:r>
            <w:r>
              <w:rPr>
                <w:rStyle w:val="IndexLink"/>
                <w:rtl w:val="true"/>
              </w:rPr>
              <w:tab/>
            </w:r>
            <w:r>
              <w:rPr>
                <w:rStyle w:val="IndexLink"/>
              </w:rPr>
              <w:t>55</w:t>
            </w:r>
          </w:hyperlink>
        </w:p>
        <w:p>
          <w:pPr>
            <w:pStyle w:val="Contents4"/>
            <w:tabs>
              <w:tab w:val="clear" w:pos="8176"/>
              <w:tab w:val="right" w:pos="9026" w:leader="dot"/>
            </w:tabs>
            <w:rPr/>
          </w:pPr>
          <w:hyperlink w:anchor="__RefHeading___Toc7070733_73709187">
            <w:r>
              <w:rPr>
                <w:webHidden/>
                <w:rStyle w:val="IndexLink"/>
                <w:rtl w:val="true"/>
              </w:rPr>
              <w:t>صرف الظاهر عن ظاهره</w:t>
            </w:r>
            <w:r>
              <w:rPr>
                <w:rStyle w:val="IndexLink"/>
                <w:rtl w:val="true"/>
              </w:rPr>
              <w:tab/>
            </w:r>
            <w:r>
              <w:rPr>
                <w:rStyle w:val="IndexLink"/>
              </w:rPr>
              <w:t>55</w:t>
            </w:r>
          </w:hyperlink>
        </w:p>
        <w:p>
          <w:pPr>
            <w:pStyle w:val="Contents5"/>
            <w:tabs>
              <w:tab w:val="clear" w:pos="7892"/>
              <w:tab w:val="right" w:pos="9026" w:leader="dot"/>
            </w:tabs>
            <w:rPr/>
          </w:pPr>
          <w:hyperlink w:anchor="__RefHeading___Toc7070735_7370918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7070737_73709187">
            <w:r>
              <w:rPr>
                <w:webHidden/>
                <w:rStyle w:val="IndexLink"/>
              </w:rPr>
              <w:t>1</w:t>
            </w:r>
            <w:r>
              <w:rPr>
                <w:rStyle w:val="IndexLink"/>
                <w:rtl w:val="true"/>
              </w:rPr>
              <w:t xml:space="preserve">. </w:t>
            </w:r>
            <w:r>
              <w:rPr>
                <w:rStyle w:val="IndexLink"/>
                <w:rtl w:val="true"/>
              </w:rPr>
              <w:t>قول المشبّهة</w:t>
            </w:r>
            <w:r>
              <w:rPr>
                <w:rStyle w:val="IndexLink"/>
                <w:rtl w:val="true"/>
              </w:rPr>
              <w:tab/>
            </w:r>
            <w:r>
              <w:rPr>
                <w:rStyle w:val="IndexLink"/>
              </w:rPr>
              <w:t>60</w:t>
            </w:r>
          </w:hyperlink>
        </w:p>
        <w:p>
          <w:pPr>
            <w:pStyle w:val="Contents5"/>
            <w:tabs>
              <w:tab w:val="clear" w:pos="7892"/>
              <w:tab w:val="right" w:pos="9026" w:leader="dot"/>
            </w:tabs>
            <w:rPr/>
          </w:pPr>
          <w:hyperlink w:anchor="__RefHeading___Toc7070739_73709187">
            <w:r>
              <w:rPr>
                <w:webHidden/>
                <w:rStyle w:val="IndexLink"/>
              </w:rPr>
              <w:t>2</w:t>
            </w:r>
            <w:r>
              <w:rPr>
                <w:rStyle w:val="IndexLink"/>
                <w:rtl w:val="true"/>
              </w:rPr>
              <w:t xml:space="preserve">. </w:t>
            </w:r>
            <w:r>
              <w:rPr>
                <w:rStyle w:val="IndexLink"/>
                <w:rtl w:val="true"/>
              </w:rPr>
              <w:t>قول المثبّتة</w:t>
            </w:r>
            <w:r>
              <w:rPr>
                <w:rStyle w:val="IndexLink"/>
                <w:rtl w:val="true"/>
              </w:rPr>
              <w:tab/>
            </w:r>
            <w:r>
              <w:rPr>
                <w:rStyle w:val="IndexLink"/>
              </w:rPr>
              <w:t>60</w:t>
            </w:r>
          </w:hyperlink>
        </w:p>
        <w:p>
          <w:pPr>
            <w:pStyle w:val="Contents6"/>
            <w:tabs>
              <w:tab w:val="clear" w:pos="7609"/>
              <w:tab w:val="right" w:pos="9026" w:leader="dot"/>
            </w:tabs>
            <w:rPr/>
          </w:pPr>
          <w:hyperlink w:anchor="__RefHeading___Toc7070741_73709187">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7070743_73709187">
            <w:r>
              <w:rPr>
                <w:webHidden/>
                <w:rStyle w:val="IndexLink"/>
                <w:rtl w:val="true"/>
              </w:rPr>
              <w:t>بين التشبيه والتعقيد</w:t>
            </w:r>
            <w:r>
              <w:rPr>
                <w:rStyle w:val="IndexLink"/>
                <w:rtl w:val="true"/>
              </w:rPr>
              <w:tab/>
            </w:r>
            <w:r>
              <w:rPr>
                <w:rStyle w:val="IndexLink"/>
              </w:rPr>
              <w:t>60</w:t>
            </w:r>
          </w:hyperlink>
        </w:p>
        <w:p>
          <w:pPr>
            <w:pStyle w:val="Contents6"/>
            <w:tabs>
              <w:tab w:val="clear" w:pos="7609"/>
              <w:tab w:val="right" w:pos="9026" w:leader="dot"/>
            </w:tabs>
            <w:rPr/>
          </w:pPr>
          <w:hyperlink w:anchor="__RefHeading___Toc7070745_73709187">
            <w:r>
              <w:rPr>
                <w:webHidden/>
                <w:rStyle w:val="IndexLink"/>
                <w:rtl w:val="true"/>
              </w:rPr>
              <w:t>إكمال وإيضاح</w:t>
            </w:r>
            <w:r>
              <w:rPr>
                <w:rStyle w:val="IndexLink"/>
                <w:rtl w:val="true"/>
              </w:rPr>
              <w:tab/>
            </w:r>
            <w:r>
              <w:rPr>
                <w:rStyle w:val="IndexLink"/>
              </w:rPr>
              <w:t>63</w:t>
            </w:r>
          </w:hyperlink>
        </w:p>
        <w:p>
          <w:pPr>
            <w:pStyle w:val="Contents5"/>
            <w:tabs>
              <w:tab w:val="clear" w:pos="7892"/>
              <w:tab w:val="right" w:pos="9026" w:leader="dot"/>
            </w:tabs>
            <w:rPr/>
          </w:pPr>
          <w:hyperlink w:anchor="__RefHeading___Toc7070747_73709187">
            <w:r>
              <w:rPr>
                <w:webHidden/>
                <w:rStyle w:val="IndexLink"/>
              </w:rPr>
              <w:t>3</w:t>
            </w:r>
            <w:r>
              <w:rPr>
                <w:rStyle w:val="IndexLink"/>
                <w:rtl w:val="true"/>
              </w:rPr>
              <w:t xml:space="preserve">. </w:t>
            </w:r>
            <w:r>
              <w:rPr>
                <w:rStyle w:val="IndexLink"/>
                <w:rtl w:val="true"/>
              </w:rPr>
              <w:t>التفويض أو تعطيل العقول عن التفكير</w:t>
            </w:r>
            <w:r>
              <w:rPr>
                <w:rStyle w:val="IndexLink"/>
                <w:rtl w:val="true"/>
              </w:rPr>
              <w:tab/>
            </w:r>
            <w:r>
              <w:rPr>
                <w:rStyle w:val="IndexLink"/>
              </w:rPr>
              <w:t>67</w:t>
            </w:r>
          </w:hyperlink>
        </w:p>
        <w:p>
          <w:pPr>
            <w:pStyle w:val="Contents5"/>
            <w:tabs>
              <w:tab w:val="clear" w:pos="7892"/>
              <w:tab w:val="right" w:pos="9026" w:leader="dot"/>
            </w:tabs>
            <w:rPr/>
          </w:pPr>
          <w:hyperlink w:anchor="__RefHeading___Toc7070749_73709187">
            <w:r>
              <w:rPr>
                <w:webHidden/>
                <w:rStyle w:val="IndexLink"/>
              </w:rPr>
              <w:t>4</w:t>
            </w:r>
            <w:r>
              <w:rPr>
                <w:rStyle w:val="IndexLink"/>
                <w:rtl w:val="true"/>
              </w:rPr>
              <w:t xml:space="preserve">. </w:t>
            </w:r>
            <w:r>
              <w:rPr>
                <w:rStyle w:val="IndexLink"/>
                <w:rtl w:val="true"/>
              </w:rPr>
              <w:t>التأويل</w:t>
            </w:r>
            <w:r>
              <w:rPr>
                <w:rStyle w:val="IndexLink"/>
                <w:rtl w:val="true"/>
              </w:rPr>
              <w:tab/>
            </w:r>
            <w:r>
              <w:rPr>
                <w:rStyle w:val="IndexLink"/>
              </w:rPr>
              <w:t>68</w:t>
            </w:r>
          </w:hyperlink>
        </w:p>
        <w:p>
          <w:pPr>
            <w:pStyle w:val="Contents3"/>
            <w:tabs>
              <w:tab w:val="clear" w:pos="8459"/>
              <w:tab w:val="right" w:pos="9026" w:leader="dot"/>
            </w:tabs>
            <w:rPr/>
          </w:pPr>
          <w:hyperlink w:anchor="__RefHeading___Toc7070751_73709187">
            <w:r>
              <w:rPr>
                <w:webHidden/>
                <w:rStyle w:val="IndexLink"/>
              </w:rPr>
              <w:t>4</w:t>
            </w:r>
            <w:r>
              <w:rPr>
                <w:rStyle w:val="IndexLink"/>
                <w:rtl w:val="true"/>
              </w:rPr>
              <w:t xml:space="preserve">. </w:t>
            </w:r>
            <w:r>
              <w:rPr>
                <w:rStyle w:val="IndexLink"/>
                <w:rtl w:val="true"/>
              </w:rPr>
              <w:t>ثبات الأنواع أو تطوّرها في الذكر الحكيم</w:t>
            </w:r>
            <w:r>
              <w:rPr>
                <w:rStyle w:val="IndexLink"/>
                <w:rtl w:val="true"/>
              </w:rPr>
              <w:tab/>
            </w:r>
            <w:r>
              <w:rPr>
                <w:rStyle w:val="IndexLink"/>
              </w:rPr>
              <w:t>71</w:t>
            </w:r>
          </w:hyperlink>
        </w:p>
        <w:p>
          <w:pPr>
            <w:pStyle w:val="Contents4"/>
            <w:tabs>
              <w:tab w:val="clear" w:pos="8176"/>
              <w:tab w:val="right" w:pos="9026" w:leader="dot"/>
            </w:tabs>
            <w:rPr/>
          </w:pPr>
          <w:hyperlink w:anchor="__RefHeading___Toc7070753_73709187">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7070755_73709187">
            <w:r>
              <w:rPr>
                <w:webHidden/>
                <w:rStyle w:val="IndexLink"/>
                <w:rtl w:val="true"/>
              </w:rPr>
              <w:t>المرحلة الأُولى</w:t>
            </w:r>
            <w:r>
              <w:rPr>
                <w:rStyle w:val="IndexLink"/>
                <w:rtl w:val="true"/>
              </w:rPr>
              <w:t xml:space="preserve">: </w:t>
            </w:r>
            <w:r>
              <w:rPr>
                <w:rStyle w:val="IndexLink"/>
                <w:rtl w:val="true"/>
              </w:rPr>
              <w:t>التراب المتحوّل</w:t>
            </w:r>
            <w:r>
              <w:rPr>
                <w:rStyle w:val="IndexLink"/>
                <w:rtl w:val="true"/>
              </w:rPr>
              <w:tab/>
            </w:r>
            <w:r>
              <w:rPr>
                <w:rStyle w:val="IndexLink"/>
              </w:rPr>
              <w:t>72</w:t>
            </w:r>
          </w:hyperlink>
        </w:p>
        <w:p>
          <w:pPr>
            <w:pStyle w:val="Contents4"/>
            <w:tabs>
              <w:tab w:val="clear" w:pos="8176"/>
              <w:tab w:val="right" w:pos="9026" w:leader="dot"/>
            </w:tabs>
            <w:rPr/>
          </w:pPr>
          <w:hyperlink w:anchor="__RefHeading___Toc7070757_73709187">
            <w:r>
              <w:rPr>
                <w:webHidden/>
                <w:rStyle w:val="IndexLink"/>
                <w:rtl w:val="true"/>
              </w:rPr>
              <w:t>المرحلة الثانية</w:t>
            </w:r>
            <w:r>
              <w:rPr>
                <w:rStyle w:val="IndexLink"/>
                <w:rtl w:val="true"/>
              </w:rPr>
              <w:t xml:space="preserve">: </w:t>
            </w:r>
            <w:r>
              <w:rPr>
                <w:rStyle w:val="IndexLink"/>
                <w:rtl w:val="true"/>
              </w:rPr>
              <w:t>مرحلة التصوير</w:t>
            </w:r>
            <w:r>
              <w:rPr>
                <w:rStyle w:val="IndexLink"/>
                <w:rtl w:val="true"/>
              </w:rPr>
              <w:tab/>
            </w:r>
            <w:r>
              <w:rPr>
                <w:rStyle w:val="IndexLink"/>
              </w:rPr>
              <w:t>73</w:t>
            </w:r>
          </w:hyperlink>
        </w:p>
        <w:p>
          <w:pPr>
            <w:pStyle w:val="Contents4"/>
            <w:tabs>
              <w:tab w:val="clear" w:pos="8176"/>
              <w:tab w:val="right" w:pos="9026" w:leader="dot"/>
            </w:tabs>
            <w:rPr/>
          </w:pPr>
          <w:hyperlink w:anchor="__RefHeading___Toc7070759_73709187">
            <w:r>
              <w:rPr>
                <w:webHidden/>
                <w:rStyle w:val="IndexLink"/>
                <w:rtl w:val="true"/>
              </w:rPr>
              <w:t>المرحلة الثالثة</w:t>
            </w:r>
            <w:r>
              <w:rPr>
                <w:rStyle w:val="IndexLink"/>
                <w:rtl w:val="true"/>
              </w:rPr>
              <w:t xml:space="preserve">: </w:t>
            </w:r>
            <w:r>
              <w:rPr>
                <w:rStyle w:val="IndexLink"/>
                <w:rtl w:val="true"/>
              </w:rPr>
              <w:t>مرحلة نفخ الروح</w:t>
            </w:r>
            <w:r>
              <w:rPr>
                <w:rStyle w:val="IndexLink"/>
                <w:rtl w:val="true"/>
              </w:rPr>
              <w:tab/>
            </w:r>
            <w:r>
              <w:rPr>
                <w:rStyle w:val="IndexLink"/>
              </w:rPr>
              <w:t>73</w:t>
            </w:r>
          </w:hyperlink>
        </w:p>
        <w:p>
          <w:pPr>
            <w:pStyle w:val="Contents4"/>
            <w:tabs>
              <w:tab w:val="clear" w:pos="8176"/>
              <w:tab w:val="right" w:pos="9026" w:leader="dot"/>
            </w:tabs>
            <w:rPr/>
          </w:pPr>
          <w:hyperlink w:anchor="__RefHeading___Toc7070761_73709187">
            <w:r>
              <w:rPr>
                <w:webHidden/>
                <w:rStyle w:val="IndexLink"/>
                <w:rtl w:val="true"/>
              </w:rPr>
              <w:t>دليل القائل بتطوّر الأنواع من القرآن</w:t>
            </w:r>
            <w:r>
              <w:rPr>
                <w:rStyle w:val="IndexLink"/>
                <w:rtl w:val="true"/>
              </w:rPr>
              <w:tab/>
            </w:r>
            <w:r>
              <w:rPr>
                <w:rStyle w:val="IndexLink"/>
              </w:rPr>
              <w:t>74</w:t>
            </w:r>
          </w:hyperlink>
        </w:p>
        <w:p>
          <w:pPr>
            <w:pStyle w:val="Contents3"/>
            <w:tabs>
              <w:tab w:val="clear" w:pos="8459"/>
              <w:tab w:val="right" w:pos="9026" w:leader="dot"/>
            </w:tabs>
            <w:rPr/>
          </w:pPr>
          <w:hyperlink w:anchor="__RefHeading___Toc7070763_73709187">
            <w:r>
              <w:rPr>
                <w:webHidden/>
                <w:rStyle w:val="IndexLink"/>
              </w:rPr>
              <w:t>5</w:t>
            </w:r>
            <w:r>
              <w:rPr>
                <w:rStyle w:val="IndexLink"/>
                <w:rtl w:val="true"/>
              </w:rPr>
              <w:t xml:space="preserve">. </w:t>
            </w:r>
            <w:r>
              <w:rPr>
                <w:rStyle w:val="IndexLink"/>
                <w:rtl w:val="true"/>
              </w:rPr>
              <w:t>حياة النبي الأكرم صلى الله عليه و آله قبل البعثة حافلة بالكرامات</w:t>
            </w:r>
            <w:r>
              <w:rPr>
                <w:rStyle w:val="IndexLink"/>
                <w:rtl w:val="true"/>
              </w:rPr>
              <w:tab/>
            </w:r>
            <w:r>
              <w:rPr>
                <w:rStyle w:val="IndexLink"/>
              </w:rPr>
              <w:t>76</w:t>
            </w:r>
          </w:hyperlink>
        </w:p>
        <w:p>
          <w:pPr>
            <w:pStyle w:val="Contents4"/>
            <w:tabs>
              <w:tab w:val="clear" w:pos="8176"/>
              <w:tab w:val="right" w:pos="9026" w:leader="dot"/>
            </w:tabs>
            <w:rPr/>
          </w:pPr>
          <w:hyperlink w:anchor="__RefHeading___Toc7070765_7370918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7070767_73709187">
            <w:r>
              <w:rPr>
                <w:webHidden/>
                <w:rStyle w:val="IndexLink"/>
              </w:rPr>
              <w:t>1</w:t>
            </w:r>
            <w:r>
              <w:rPr>
                <w:rStyle w:val="IndexLink"/>
                <w:rtl w:val="true"/>
              </w:rPr>
              <w:t xml:space="preserve">. </w:t>
            </w:r>
            <w:r>
              <w:rPr>
                <w:rStyle w:val="IndexLink"/>
                <w:rtl w:val="true"/>
              </w:rPr>
              <w:t>الكرامة الإلهية أيام الرضاع</w:t>
            </w:r>
            <w:r>
              <w:rPr>
                <w:rStyle w:val="IndexLink"/>
                <w:rtl w:val="true"/>
              </w:rPr>
              <w:tab/>
            </w:r>
            <w:r>
              <w:rPr>
                <w:rStyle w:val="IndexLink"/>
              </w:rPr>
              <w:t>77</w:t>
            </w:r>
          </w:hyperlink>
        </w:p>
        <w:p>
          <w:pPr>
            <w:pStyle w:val="Contents4"/>
            <w:tabs>
              <w:tab w:val="clear" w:pos="8176"/>
              <w:tab w:val="right" w:pos="9026" w:leader="dot"/>
            </w:tabs>
            <w:rPr/>
          </w:pPr>
          <w:hyperlink w:anchor="__RefHeading___Toc7070769_73709187">
            <w:r>
              <w:rPr>
                <w:webHidden/>
                <w:rStyle w:val="IndexLink"/>
              </w:rPr>
              <w:t>2</w:t>
            </w:r>
            <w:r>
              <w:rPr>
                <w:rStyle w:val="IndexLink"/>
                <w:rtl w:val="true"/>
              </w:rPr>
              <w:t xml:space="preserve">. </w:t>
            </w:r>
            <w:r>
              <w:rPr>
                <w:rStyle w:val="IndexLink"/>
                <w:rtl w:val="true"/>
              </w:rPr>
              <w:t>تعرّف نصارى الحبشة عليه وهو طفل</w:t>
            </w:r>
            <w:r>
              <w:rPr>
                <w:rStyle w:val="IndexLink"/>
                <w:rtl w:val="true"/>
              </w:rPr>
              <w:tab/>
            </w:r>
            <w:r>
              <w:rPr>
                <w:rStyle w:val="IndexLink"/>
              </w:rPr>
              <w:t>78</w:t>
            </w:r>
          </w:hyperlink>
        </w:p>
        <w:p>
          <w:pPr>
            <w:pStyle w:val="Contents4"/>
            <w:tabs>
              <w:tab w:val="clear" w:pos="8176"/>
              <w:tab w:val="right" w:pos="9026" w:leader="dot"/>
            </w:tabs>
            <w:rPr/>
          </w:pPr>
          <w:hyperlink w:anchor="__RefHeading___Toc7070771_73709187">
            <w:r>
              <w:rPr>
                <w:webHidden/>
                <w:rStyle w:val="IndexLink"/>
              </w:rPr>
              <w:t>3</w:t>
            </w:r>
            <w:r>
              <w:rPr>
                <w:rStyle w:val="IndexLink"/>
                <w:rtl w:val="true"/>
              </w:rPr>
              <w:t xml:space="preserve">. </w:t>
            </w:r>
            <w:r>
              <w:rPr>
                <w:rStyle w:val="IndexLink"/>
                <w:rtl w:val="true"/>
              </w:rPr>
              <w:t>ابتعاده عن الوثنية منذ نعومة أظفاره</w:t>
            </w:r>
            <w:r>
              <w:rPr>
                <w:rStyle w:val="IndexLink"/>
                <w:rtl w:val="true"/>
              </w:rPr>
              <w:tab/>
            </w:r>
            <w:r>
              <w:rPr>
                <w:rStyle w:val="IndexLink"/>
              </w:rPr>
              <w:t>79</w:t>
            </w:r>
          </w:hyperlink>
        </w:p>
        <w:p>
          <w:pPr>
            <w:pStyle w:val="Contents4"/>
            <w:tabs>
              <w:tab w:val="clear" w:pos="8176"/>
              <w:tab w:val="right" w:pos="9026" w:leader="dot"/>
            </w:tabs>
            <w:rPr/>
          </w:pPr>
          <w:hyperlink w:anchor="__RefHeading___Toc7070773_73709187">
            <w:r>
              <w:rPr>
                <w:webHidden/>
                <w:rStyle w:val="IndexLink"/>
              </w:rPr>
              <w:t>4</w:t>
            </w:r>
            <w:r>
              <w:rPr>
                <w:rStyle w:val="IndexLink"/>
                <w:rtl w:val="true"/>
              </w:rPr>
              <w:t xml:space="preserve">. </w:t>
            </w:r>
            <w:r>
              <w:rPr>
                <w:rStyle w:val="IndexLink"/>
                <w:rtl w:val="true"/>
              </w:rPr>
              <w:t>إعراضه عن الحلف باللّات والعزّى</w:t>
            </w:r>
            <w:r>
              <w:rPr>
                <w:rStyle w:val="IndexLink"/>
                <w:rtl w:val="true"/>
              </w:rPr>
              <w:tab/>
            </w:r>
            <w:r>
              <w:rPr>
                <w:rStyle w:val="IndexLink"/>
              </w:rPr>
              <w:t>80</w:t>
            </w:r>
          </w:hyperlink>
        </w:p>
        <w:p>
          <w:pPr>
            <w:pStyle w:val="Contents4"/>
            <w:tabs>
              <w:tab w:val="clear" w:pos="8176"/>
              <w:tab w:val="right" w:pos="9026" w:leader="dot"/>
            </w:tabs>
            <w:rPr/>
          </w:pPr>
          <w:hyperlink w:anchor="__RefHeading___Toc7070775_73709187">
            <w:r>
              <w:rPr>
                <w:webHidden/>
                <w:rStyle w:val="IndexLink"/>
              </w:rPr>
              <w:t>5</w:t>
            </w:r>
            <w:r>
              <w:rPr>
                <w:rStyle w:val="IndexLink"/>
                <w:rtl w:val="true"/>
              </w:rPr>
              <w:t xml:space="preserve">. </w:t>
            </w:r>
            <w:r>
              <w:rPr>
                <w:rStyle w:val="IndexLink"/>
                <w:rtl w:val="true"/>
              </w:rPr>
              <w:t>رعيُه الغنم وتعويد النفس على مشاقّ الأُمور</w:t>
            </w:r>
            <w:r>
              <w:rPr>
                <w:rStyle w:val="IndexLink"/>
                <w:rtl w:val="true"/>
              </w:rPr>
              <w:tab/>
            </w:r>
            <w:r>
              <w:rPr>
                <w:rStyle w:val="IndexLink"/>
              </w:rPr>
              <w:t>80</w:t>
            </w:r>
          </w:hyperlink>
        </w:p>
        <w:p>
          <w:pPr>
            <w:pStyle w:val="Contents4"/>
            <w:tabs>
              <w:tab w:val="clear" w:pos="8176"/>
              <w:tab w:val="right" w:pos="9026" w:leader="dot"/>
            </w:tabs>
            <w:rPr/>
          </w:pPr>
          <w:hyperlink w:anchor="__RefHeading___Toc7070777_73709187">
            <w:r>
              <w:rPr>
                <w:webHidden/>
                <w:rStyle w:val="IndexLink"/>
              </w:rPr>
              <w:t>6</w:t>
            </w:r>
            <w:r>
              <w:rPr>
                <w:rStyle w:val="IndexLink"/>
                <w:rtl w:val="true"/>
              </w:rPr>
              <w:t xml:space="preserve">. </w:t>
            </w:r>
            <w:r>
              <w:rPr>
                <w:rStyle w:val="IndexLink"/>
                <w:rtl w:val="true"/>
              </w:rPr>
              <w:t>مشاركته في حلف الفضول</w:t>
            </w:r>
            <w:r>
              <w:rPr>
                <w:rStyle w:val="IndexLink"/>
                <w:rtl w:val="true"/>
              </w:rPr>
              <w:tab/>
            </w:r>
            <w:r>
              <w:rPr>
                <w:rStyle w:val="IndexLink"/>
              </w:rPr>
              <w:t>81</w:t>
            </w:r>
          </w:hyperlink>
        </w:p>
        <w:p>
          <w:pPr>
            <w:pStyle w:val="Contents3"/>
            <w:tabs>
              <w:tab w:val="clear" w:pos="8459"/>
              <w:tab w:val="right" w:pos="9026" w:leader="dot"/>
            </w:tabs>
            <w:rPr/>
          </w:pPr>
          <w:hyperlink w:anchor="__RefHeading___Toc7070779_73709187">
            <w:r>
              <w:rPr>
                <w:webHidden/>
                <w:rStyle w:val="IndexLink"/>
              </w:rPr>
              <w:t>6</w:t>
            </w:r>
            <w:r>
              <w:rPr>
                <w:rStyle w:val="IndexLink"/>
                <w:rtl w:val="true"/>
              </w:rPr>
              <w:t xml:space="preserve">. </w:t>
            </w:r>
            <w:r>
              <w:rPr>
                <w:rStyle w:val="IndexLink"/>
                <w:rtl w:val="true"/>
              </w:rPr>
              <w:t>عصمة أئمة أهل البيت عليهم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7070781_7370918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7070783_73709187">
            <w:r>
              <w:rPr>
                <w:webHidden/>
                <w:rStyle w:val="IndexLink"/>
                <w:rtl w:val="true"/>
              </w:rPr>
              <w:t>الأوّل</w:t>
            </w:r>
            <w:r>
              <w:rPr>
                <w:rStyle w:val="IndexLink"/>
                <w:rtl w:val="true"/>
              </w:rPr>
              <w:t xml:space="preserve">: </w:t>
            </w:r>
            <w:r>
              <w:rPr>
                <w:rStyle w:val="IndexLink"/>
                <w:rtl w:val="true"/>
              </w:rPr>
              <w:t>حقيقة العصمة</w:t>
            </w:r>
            <w:r>
              <w:rPr>
                <w:rStyle w:val="IndexLink"/>
                <w:rtl w:val="true"/>
              </w:rPr>
              <w:tab/>
            </w:r>
            <w:r>
              <w:rPr>
                <w:rStyle w:val="IndexLink"/>
              </w:rPr>
              <w:t>83</w:t>
            </w:r>
          </w:hyperlink>
        </w:p>
        <w:p>
          <w:pPr>
            <w:pStyle w:val="Contents5"/>
            <w:tabs>
              <w:tab w:val="clear" w:pos="7892"/>
              <w:tab w:val="right" w:pos="9026" w:leader="dot"/>
            </w:tabs>
            <w:rPr/>
          </w:pPr>
          <w:hyperlink w:anchor="__RefHeading___Toc7070785_7370918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7070787_73709187">
            <w:r>
              <w:rPr>
                <w:webHidden/>
                <w:rStyle w:val="IndexLink"/>
              </w:rPr>
              <w:t>1</w:t>
            </w:r>
            <w:r>
              <w:rPr>
                <w:rStyle w:val="IndexLink"/>
                <w:rtl w:val="true"/>
              </w:rPr>
              <w:t xml:space="preserve">. </w:t>
            </w:r>
            <w:r>
              <w:rPr>
                <w:rStyle w:val="IndexLink"/>
                <w:rtl w:val="true"/>
              </w:rPr>
              <w:t>العصمة الدرجة القصوى من التقوى</w:t>
            </w:r>
            <w:r>
              <w:rPr>
                <w:rStyle w:val="IndexLink"/>
                <w:rtl w:val="true"/>
              </w:rPr>
              <w:tab/>
            </w:r>
            <w:r>
              <w:rPr>
                <w:rStyle w:val="IndexLink"/>
              </w:rPr>
              <w:t>83</w:t>
            </w:r>
          </w:hyperlink>
        </w:p>
        <w:p>
          <w:pPr>
            <w:pStyle w:val="Contents5"/>
            <w:tabs>
              <w:tab w:val="clear" w:pos="7892"/>
              <w:tab w:val="right" w:pos="9026" w:leader="dot"/>
            </w:tabs>
            <w:rPr/>
          </w:pPr>
          <w:hyperlink w:anchor="__RefHeading___Toc7070789_73709187">
            <w:r>
              <w:rPr>
                <w:webHidden/>
                <w:rStyle w:val="IndexLink"/>
              </w:rPr>
              <w:t>2</w:t>
            </w:r>
            <w:r>
              <w:rPr>
                <w:rStyle w:val="IndexLink"/>
                <w:rtl w:val="true"/>
              </w:rPr>
              <w:t xml:space="preserve">. </w:t>
            </w:r>
            <w:r>
              <w:rPr>
                <w:rStyle w:val="IndexLink"/>
                <w:rtl w:val="true"/>
              </w:rPr>
              <w:t>العصمة</w:t>
            </w:r>
            <w:r>
              <w:rPr>
                <w:rStyle w:val="IndexLink"/>
                <w:rtl w:val="true"/>
              </w:rPr>
              <w:t xml:space="preserve">: </w:t>
            </w:r>
            <w:r>
              <w:rPr>
                <w:rStyle w:val="IndexLink"/>
                <w:rtl w:val="true"/>
              </w:rPr>
              <w:t>نتيجة العلم القطعي بعواقب المعاصي</w:t>
            </w:r>
            <w:r>
              <w:rPr>
                <w:rStyle w:val="IndexLink"/>
                <w:rtl w:val="true"/>
              </w:rPr>
              <w:tab/>
            </w:r>
            <w:r>
              <w:rPr>
                <w:rStyle w:val="IndexLink"/>
              </w:rPr>
              <w:t>85</w:t>
            </w:r>
          </w:hyperlink>
        </w:p>
        <w:p>
          <w:pPr>
            <w:pStyle w:val="Contents5"/>
            <w:tabs>
              <w:tab w:val="clear" w:pos="7892"/>
              <w:tab w:val="right" w:pos="9026" w:leader="dot"/>
            </w:tabs>
            <w:rPr/>
          </w:pPr>
          <w:hyperlink w:anchor="__RefHeading___Toc7070791_73709187">
            <w:r>
              <w:rPr>
                <w:webHidden/>
                <w:rStyle w:val="IndexLink"/>
              </w:rPr>
              <w:t>3</w:t>
            </w:r>
            <w:r>
              <w:rPr>
                <w:rStyle w:val="IndexLink"/>
                <w:rtl w:val="true"/>
              </w:rPr>
              <w:t xml:space="preserve">. </w:t>
            </w:r>
            <w:r>
              <w:rPr>
                <w:rStyle w:val="IndexLink"/>
                <w:rtl w:val="true"/>
              </w:rPr>
              <w:t>الاستشعار بعظمة الرب وكماله وجماله</w:t>
            </w:r>
            <w:r>
              <w:rPr>
                <w:rStyle w:val="IndexLink"/>
                <w:rtl w:val="true"/>
              </w:rPr>
              <w:tab/>
            </w:r>
            <w:r>
              <w:rPr>
                <w:rStyle w:val="IndexLink"/>
              </w:rPr>
              <w:t>88</w:t>
            </w:r>
          </w:hyperlink>
        </w:p>
        <w:p>
          <w:pPr>
            <w:pStyle w:val="Contents4"/>
            <w:tabs>
              <w:tab w:val="clear" w:pos="8176"/>
              <w:tab w:val="right" w:pos="9026" w:leader="dot"/>
            </w:tabs>
            <w:rPr/>
          </w:pPr>
          <w:hyperlink w:anchor="__RefHeading___Toc7070793_73709187">
            <w:r>
              <w:rPr>
                <w:webHidden/>
                <w:rStyle w:val="IndexLink"/>
                <w:rtl w:val="true"/>
              </w:rPr>
              <w:t>العصمة عن الخطأ</w:t>
            </w:r>
            <w:r>
              <w:rPr>
                <w:rStyle w:val="IndexLink"/>
                <w:rtl w:val="true"/>
              </w:rPr>
              <w:tab/>
            </w:r>
            <w:r>
              <w:rPr>
                <w:rStyle w:val="IndexLink"/>
              </w:rPr>
              <w:t>89</w:t>
            </w:r>
          </w:hyperlink>
        </w:p>
        <w:p>
          <w:pPr>
            <w:pStyle w:val="Contents4"/>
            <w:tabs>
              <w:tab w:val="clear" w:pos="8176"/>
              <w:tab w:val="right" w:pos="9026" w:leader="dot"/>
            </w:tabs>
            <w:rPr/>
          </w:pPr>
          <w:hyperlink w:anchor="__RefHeading___Toc7070795_73709187">
            <w:r>
              <w:rPr>
                <w:webHidden/>
                <w:rStyle w:val="IndexLink"/>
                <w:rtl w:val="true"/>
              </w:rPr>
              <w:t>الثاني</w:t>
            </w:r>
            <w:r>
              <w:rPr>
                <w:rStyle w:val="IndexLink"/>
                <w:rtl w:val="true"/>
              </w:rPr>
              <w:t xml:space="preserve">: </w:t>
            </w:r>
            <w:r>
              <w:rPr>
                <w:rStyle w:val="IndexLink"/>
                <w:rtl w:val="true"/>
              </w:rPr>
              <w:t>العصمة لا تلازم النبوّة</w:t>
            </w:r>
            <w:r>
              <w:rPr>
                <w:rStyle w:val="IndexLink"/>
                <w:rtl w:val="true"/>
              </w:rPr>
              <w:tab/>
            </w:r>
            <w:r>
              <w:rPr>
                <w:rStyle w:val="IndexLink"/>
              </w:rPr>
              <w:t>90</w:t>
            </w:r>
          </w:hyperlink>
        </w:p>
        <w:p>
          <w:pPr>
            <w:pStyle w:val="Contents4"/>
            <w:tabs>
              <w:tab w:val="clear" w:pos="8176"/>
              <w:tab w:val="right" w:pos="9026" w:leader="dot"/>
            </w:tabs>
            <w:rPr/>
          </w:pPr>
          <w:hyperlink w:anchor="__RefHeading___Toc7070797_73709187">
            <w:r>
              <w:rPr>
                <w:webHidden/>
                <w:rStyle w:val="IndexLink"/>
                <w:rtl w:val="true"/>
              </w:rPr>
              <w:t>البحث الأوّل</w:t>
            </w:r>
            <w:r>
              <w:rPr>
                <w:rStyle w:val="IndexLink"/>
                <w:rtl w:val="true"/>
              </w:rPr>
              <w:t xml:space="preserve">: </w:t>
            </w:r>
            <w:r>
              <w:rPr>
                <w:rStyle w:val="IndexLink"/>
                <w:rtl w:val="true"/>
              </w:rPr>
              <w:t>عصمة أهل البيت عليهم السلام في القرآن الكريم</w:t>
            </w:r>
            <w:r>
              <w:rPr>
                <w:rStyle w:val="IndexLink"/>
                <w:rtl w:val="true"/>
              </w:rPr>
              <w:tab/>
            </w:r>
            <w:r>
              <w:rPr>
                <w:rStyle w:val="IndexLink"/>
              </w:rPr>
              <w:t>91</w:t>
            </w:r>
          </w:hyperlink>
        </w:p>
        <w:p>
          <w:pPr>
            <w:pStyle w:val="Contents5"/>
            <w:tabs>
              <w:tab w:val="clear" w:pos="7892"/>
              <w:tab w:val="right" w:pos="9026" w:leader="dot"/>
            </w:tabs>
            <w:rPr/>
          </w:pPr>
          <w:hyperlink w:anchor="__RefHeading___Toc7070799_73709187">
            <w:r>
              <w:rPr>
                <w:webHidden/>
                <w:rStyle w:val="IndexLink"/>
                <w:rtl w:val="true"/>
              </w:rPr>
              <w:t>الآية الأُولى</w:t>
            </w:r>
            <w:r>
              <w:rPr>
                <w:rStyle w:val="IndexLink"/>
                <w:rtl w:val="true"/>
              </w:rPr>
              <w:t>:</w:t>
              <w:tab/>
            </w:r>
            <w:r>
              <w:rPr>
                <w:rStyle w:val="IndexLink"/>
              </w:rPr>
              <w:t>91</w:t>
            </w:r>
          </w:hyperlink>
        </w:p>
        <w:p>
          <w:pPr>
            <w:pStyle w:val="Contents6"/>
            <w:tabs>
              <w:tab w:val="clear" w:pos="7609"/>
              <w:tab w:val="right" w:pos="9026" w:leader="dot"/>
            </w:tabs>
            <w:rPr/>
          </w:pPr>
          <w:hyperlink w:anchor="__RefHeading___Toc7070801_73709187">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7070803_73709187">
            <w:r>
              <w:rPr>
                <w:webHidden/>
                <w:rStyle w:val="IndexLink"/>
                <w:rtl w:val="true"/>
              </w:rPr>
              <w:t>شبهتان ضئيلتان</w:t>
            </w:r>
            <w:r>
              <w:rPr>
                <w:rStyle w:val="IndexLink"/>
                <w:rtl w:val="true"/>
              </w:rPr>
              <w:tab/>
            </w:r>
            <w:r>
              <w:rPr>
                <w:rStyle w:val="IndexLink"/>
              </w:rPr>
              <w:t>100</w:t>
            </w:r>
          </w:hyperlink>
        </w:p>
        <w:p>
          <w:pPr>
            <w:pStyle w:val="Contents6"/>
            <w:tabs>
              <w:tab w:val="clear" w:pos="7609"/>
              <w:tab w:val="right" w:pos="9026" w:leader="dot"/>
            </w:tabs>
            <w:rPr/>
          </w:pPr>
          <w:hyperlink w:anchor="__RefHeading___Toc7070805_73709187">
            <w:r>
              <w:rPr>
                <w:webHidden/>
                <w:rStyle w:val="IndexLink"/>
                <w:rtl w:val="true"/>
              </w:rPr>
              <w:t>سؤال وإجابة</w:t>
            </w:r>
            <w:r>
              <w:rPr>
                <w:rStyle w:val="IndexLink"/>
                <w:rtl w:val="true"/>
              </w:rPr>
              <w:tab/>
            </w:r>
            <w:r>
              <w:rPr>
                <w:rStyle w:val="IndexLink"/>
              </w:rPr>
              <w:t>102</w:t>
            </w:r>
          </w:hyperlink>
        </w:p>
        <w:p>
          <w:pPr>
            <w:pStyle w:val="Contents5"/>
            <w:tabs>
              <w:tab w:val="clear" w:pos="7892"/>
              <w:tab w:val="right" w:pos="9026" w:leader="dot"/>
            </w:tabs>
            <w:rPr/>
          </w:pPr>
          <w:hyperlink w:anchor="__RefHeading___Toc7070807_73709187">
            <w:r>
              <w:rPr>
                <w:webHidden/>
                <w:rStyle w:val="IndexLink"/>
                <w:rtl w:val="true"/>
              </w:rPr>
              <w:t>الآية الثانية</w:t>
            </w:r>
            <w:r>
              <w:rPr>
                <w:rStyle w:val="IndexLink"/>
                <w:rtl w:val="true"/>
              </w:rPr>
              <w:t xml:space="preserve">: </w:t>
            </w:r>
            <w:r>
              <w:rPr>
                <w:rStyle w:val="IndexLink"/>
                <w:rtl w:val="true"/>
              </w:rPr>
              <w:t>آية طاعة أُولي الأمر</w:t>
            </w:r>
            <w:r>
              <w:rPr>
                <w:rStyle w:val="IndexLink"/>
                <w:rtl w:val="true"/>
              </w:rPr>
              <w:tab/>
            </w:r>
            <w:r>
              <w:rPr>
                <w:rStyle w:val="IndexLink"/>
              </w:rPr>
              <w:t>103</w:t>
            </w:r>
          </w:hyperlink>
        </w:p>
        <w:p>
          <w:pPr>
            <w:pStyle w:val="Contents4"/>
            <w:tabs>
              <w:tab w:val="clear" w:pos="8176"/>
              <w:tab w:val="right" w:pos="9026" w:leader="dot"/>
            </w:tabs>
            <w:rPr/>
          </w:pPr>
          <w:hyperlink w:anchor="__RefHeading___Toc7070809_73709187">
            <w:r>
              <w:rPr>
                <w:webHidden/>
                <w:rStyle w:val="IndexLink"/>
                <w:rtl w:val="true"/>
              </w:rPr>
              <w:t>البحث الثاني</w:t>
            </w:r>
            <w:r>
              <w:rPr>
                <w:rStyle w:val="IndexLink"/>
                <w:rtl w:val="true"/>
              </w:rPr>
              <w:t xml:space="preserve">: </w:t>
            </w:r>
            <w:r>
              <w:rPr>
                <w:rStyle w:val="IndexLink"/>
                <w:rtl w:val="true"/>
              </w:rPr>
              <w:t>عصمة أهل البيت عليهم السلام في السنّة النبوية</w:t>
            </w:r>
            <w:r>
              <w:rPr>
                <w:rStyle w:val="IndexLink"/>
                <w:rtl w:val="true"/>
              </w:rPr>
              <w:tab/>
            </w:r>
            <w:r>
              <w:rPr>
                <w:rStyle w:val="IndexLink"/>
              </w:rPr>
              <w:t>106</w:t>
            </w:r>
          </w:hyperlink>
        </w:p>
        <w:p>
          <w:pPr>
            <w:pStyle w:val="Contents5"/>
            <w:tabs>
              <w:tab w:val="clear" w:pos="7892"/>
              <w:tab w:val="right" w:pos="9026" w:leader="dot"/>
            </w:tabs>
            <w:rPr/>
          </w:pPr>
          <w:hyperlink w:anchor="__RefHeading___Toc7070811_7370918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7070813_73709187">
            <w:r>
              <w:rPr>
                <w:webHidden/>
                <w:rStyle w:val="IndexLink"/>
              </w:rPr>
              <w:t>1</w:t>
            </w:r>
            <w:r>
              <w:rPr>
                <w:rStyle w:val="IndexLink"/>
                <w:rtl w:val="true"/>
              </w:rPr>
              <w:t xml:space="preserve">. </w:t>
            </w:r>
            <w:r>
              <w:rPr>
                <w:rStyle w:val="IndexLink"/>
                <w:rtl w:val="true"/>
              </w:rPr>
              <w:t>حديث الثقلين</w:t>
            </w:r>
            <w:r>
              <w:rPr>
                <w:rStyle w:val="IndexLink"/>
                <w:rtl w:val="true"/>
              </w:rPr>
              <w:tab/>
            </w:r>
            <w:r>
              <w:rPr>
                <w:rStyle w:val="IndexLink"/>
              </w:rPr>
              <w:t>106</w:t>
            </w:r>
          </w:hyperlink>
        </w:p>
        <w:p>
          <w:pPr>
            <w:pStyle w:val="Contents5"/>
            <w:tabs>
              <w:tab w:val="clear" w:pos="7892"/>
              <w:tab w:val="right" w:pos="9026" w:leader="dot"/>
            </w:tabs>
            <w:rPr/>
          </w:pPr>
          <w:hyperlink w:anchor="__RefHeading___Toc7070815_73709187">
            <w:r>
              <w:rPr>
                <w:webHidden/>
                <w:rStyle w:val="IndexLink"/>
              </w:rPr>
              <w:t>2</w:t>
            </w:r>
            <w:r>
              <w:rPr>
                <w:rStyle w:val="IndexLink"/>
                <w:rtl w:val="true"/>
              </w:rPr>
              <w:t xml:space="preserve">. </w:t>
            </w:r>
            <w:r>
              <w:rPr>
                <w:rStyle w:val="IndexLink"/>
                <w:rtl w:val="true"/>
              </w:rPr>
              <w:t>حديث السفينة</w:t>
            </w:r>
            <w:r>
              <w:rPr>
                <w:rStyle w:val="IndexLink"/>
                <w:rtl w:val="true"/>
              </w:rPr>
              <w:tab/>
            </w:r>
            <w:r>
              <w:rPr>
                <w:rStyle w:val="IndexLink"/>
              </w:rPr>
              <w:t>108</w:t>
            </w:r>
          </w:hyperlink>
        </w:p>
        <w:p>
          <w:pPr>
            <w:pStyle w:val="Contents3"/>
            <w:tabs>
              <w:tab w:val="clear" w:pos="8459"/>
              <w:tab w:val="right" w:pos="9026" w:leader="dot"/>
            </w:tabs>
            <w:rPr/>
          </w:pPr>
          <w:hyperlink w:anchor="__RefHeading___Toc7070817_73709187">
            <w:r>
              <w:rPr>
                <w:webHidden/>
                <w:rStyle w:val="IndexLink"/>
              </w:rPr>
              <w:t>7</w:t>
            </w:r>
            <w:r>
              <w:rPr>
                <w:rStyle w:val="IndexLink"/>
                <w:rtl w:val="true"/>
              </w:rPr>
              <w:t xml:space="preserve">. </w:t>
            </w:r>
            <w:r>
              <w:rPr>
                <w:rStyle w:val="IndexLink"/>
                <w:rtl w:val="true"/>
              </w:rPr>
              <w:t>تفسير القرآن بالقرآن منهج مؤيّد بالقرآن والسنّة</w:t>
            </w:r>
            <w:r>
              <w:rPr>
                <w:rStyle w:val="IndexLink"/>
                <w:rtl w:val="true"/>
              </w:rPr>
              <w:tab/>
            </w:r>
            <w:r>
              <w:rPr>
                <w:rStyle w:val="IndexLink"/>
              </w:rPr>
              <w:t>110</w:t>
            </w:r>
          </w:hyperlink>
        </w:p>
        <w:p>
          <w:pPr>
            <w:pStyle w:val="Contents4"/>
            <w:tabs>
              <w:tab w:val="clear" w:pos="8176"/>
              <w:tab w:val="right" w:pos="9026" w:leader="dot"/>
            </w:tabs>
            <w:rPr/>
          </w:pPr>
          <w:hyperlink w:anchor="__RefHeading___Toc7070819_7370918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7070821_73709187">
            <w:r>
              <w:rPr>
                <w:webHidden/>
                <w:rStyle w:val="IndexLink"/>
              </w:rPr>
              <w:t>1</w:t>
            </w:r>
            <w:r>
              <w:rPr>
                <w:rStyle w:val="IndexLink"/>
                <w:rtl w:val="true"/>
              </w:rPr>
              <w:t xml:space="preserve">. </w:t>
            </w:r>
            <w:r>
              <w:rPr>
                <w:rStyle w:val="IndexLink"/>
                <w:rtl w:val="true"/>
              </w:rPr>
              <w:t>هل هذا المنهج يهدف إلى كفاية كتاب اللّه‌؟</w:t>
            </w:r>
            <w:r>
              <w:rPr>
                <w:rStyle w:val="IndexLink"/>
                <w:rtl w:val="true"/>
              </w:rPr>
              <w:tab/>
            </w:r>
            <w:r>
              <w:rPr>
                <w:rStyle w:val="IndexLink"/>
              </w:rPr>
              <w:t>117</w:t>
            </w:r>
          </w:hyperlink>
        </w:p>
        <w:p>
          <w:pPr>
            <w:pStyle w:val="Contents4"/>
            <w:tabs>
              <w:tab w:val="clear" w:pos="8176"/>
              <w:tab w:val="right" w:pos="9026" w:leader="dot"/>
            </w:tabs>
            <w:rPr/>
          </w:pPr>
          <w:hyperlink w:anchor="__RefHeading___Toc7070823_73709187">
            <w:r>
              <w:rPr>
                <w:webHidden/>
                <w:rStyle w:val="IndexLink"/>
              </w:rPr>
              <w:t>2</w:t>
            </w:r>
            <w:r>
              <w:rPr>
                <w:rStyle w:val="IndexLink"/>
                <w:rtl w:val="true"/>
              </w:rPr>
              <w:t xml:space="preserve">. </w:t>
            </w:r>
            <w:r>
              <w:rPr>
                <w:rStyle w:val="IndexLink"/>
                <w:rtl w:val="true"/>
              </w:rPr>
              <w:t>هل هذا المنهج عبارة عن ضرب القرآن بعضه ببعض‌؟</w:t>
            </w:r>
            <w:r>
              <w:rPr>
                <w:rStyle w:val="IndexLink"/>
                <w:rtl w:val="true"/>
              </w:rPr>
              <w:tab/>
            </w:r>
            <w:r>
              <w:rPr>
                <w:rStyle w:val="IndexLink"/>
              </w:rPr>
              <w:t>117</w:t>
            </w:r>
          </w:hyperlink>
        </w:p>
        <w:p>
          <w:pPr>
            <w:pStyle w:val="Contents3"/>
            <w:tabs>
              <w:tab w:val="clear" w:pos="8459"/>
              <w:tab w:val="right" w:pos="9026" w:leader="dot"/>
            </w:tabs>
            <w:rPr/>
          </w:pPr>
          <w:hyperlink w:anchor="__RefHeading___Toc7070825_73709187">
            <w:r>
              <w:rPr>
                <w:webHidden/>
                <w:rStyle w:val="IndexLink"/>
              </w:rPr>
              <w:t>8</w:t>
            </w:r>
            <w:r>
              <w:rPr>
                <w:rStyle w:val="IndexLink"/>
                <w:rtl w:val="true"/>
              </w:rPr>
              <w:t xml:space="preserve">. </w:t>
            </w:r>
            <w:r>
              <w:rPr>
                <w:rStyle w:val="IndexLink"/>
                <w:rtl w:val="true"/>
              </w:rPr>
              <w:t>أسئلة حول البسملة وأجوبتها</w:t>
            </w:r>
            <w:r>
              <w:rPr>
                <w:rStyle w:val="IndexLink"/>
                <w:rtl w:val="true"/>
              </w:rPr>
              <w:tab/>
            </w:r>
            <w:r>
              <w:rPr>
                <w:rStyle w:val="IndexLink"/>
              </w:rPr>
              <w:t>119</w:t>
            </w:r>
          </w:hyperlink>
        </w:p>
        <w:p>
          <w:pPr>
            <w:pStyle w:val="Contents4"/>
            <w:tabs>
              <w:tab w:val="clear" w:pos="8176"/>
              <w:tab w:val="right" w:pos="9026" w:leader="dot"/>
            </w:tabs>
            <w:rPr/>
          </w:pPr>
          <w:hyperlink w:anchor="__RefHeading___Toc7070827_73709187">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7070829_73709187">
            <w:r>
              <w:rPr>
                <w:webHidden/>
                <w:rStyle w:val="IndexLink"/>
              </w:rPr>
              <w:t>1</w:t>
            </w:r>
            <w:r>
              <w:rPr>
                <w:rStyle w:val="IndexLink"/>
                <w:rtl w:val="true"/>
              </w:rPr>
              <w:t xml:space="preserve">. </w:t>
            </w:r>
            <w:r>
              <w:rPr>
                <w:rStyle w:val="IndexLink"/>
                <w:rtl w:val="true"/>
              </w:rPr>
              <w:t>ما معنى الباء في قوله</w:t>
            </w:r>
            <w:r>
              <w:rPr>
                <w:rStyle w:val="IndexLink"/>
                <w:rtl w:val="true"/>
              </w:rPr>
              <w:t>: «</w:t>
            </w:r>
            <w:r>
              <w:rPr>
                <w:rStyle w:val="IndexLink"/>
                <w:rtl w:val="true"/>
              </w:rPr>
              <w:t>بسم اللّه</w:t>
            </w:r>
            <w:r>
              <w:rPr>
                <w:rStyle w:val="IndexLink"/>
                <w:rtl w:val="true"/>
              </w:rPr>
              <w:t>»</w:t>
            </w:r>
            <w:r>
              <w:rPr>
                <w:rStyle w:val="IndexLink"/>
                <w:rtl w:val="true"/>
              </w:rPr>
              <w:t>؟</w:t>
            </w:r>
            <w:r>
              <w:rPr>
                <w:rStyle w:val="IndexLink"/>
                <w:rtl w:val="true"/>
              </w:rPr>
              <w:tab/>
            </w:r>
            <w:r>
              <w:rPr>
                <w:rStyle w:val="IndexLink"/>
              </w:rPr>
              <w:t>119</w:t>
            </w:r>
          </w:hyperlink>
        </w:p>
        <w:p>
          <w:pPr>
            <w:pStyle w:val="Contents4"/>
            <w:tabs>
              <w:tab w:val="clear" w:pos="8176"/>
              <w:tab w:val="right" w:pos="9026" w:leader="dot"/>
            </w:tabs>
            <w:rPr/>
          </w:pPr>
          <w:hyperlink w:anchor="__RefHeading___Toc7070831_73709187">
            <w:r>
              <w:rPr>
                <w:webHidden/>
                <w:rStyle w:val="IndexLink"/>
              </w:rPr>
              <w:t>2</w:t>
            </w:r>
            <w:r>
              <w:rPr>
                <w:rStyle w:val="IndexLink"/>
                <w:rtl w:val="true"/>
              </w:rPr>
              <w:t xml:space="preserve">. </w:t>
            </w:r>
            <w:r>
              <w:rPr>
                <w:rStyle w:val="IndexLink"/>
                <w:rtl w:val="true"/>
              </w:rPr>
              <w:t>ما هو سبب حذف الهمزة عند الكتابة‌؟</w:t>
            </w:r>
            <w:r>
              <w:rPr>
                <w:rStyle w:val="IndexLink"/>
                <w:rtl w:val="true"/>
              </w:rPr>
              <w:tab/>
            </w:r>
            <w:r>
              <w:rPr>
                <w:rStyle w:val="IndexLink"/>
              </w:rPr>
              <w:t>120</w:t>
            </w:r>
          </w:hyperlink>
        </w:p>
        <w:p>
          <w:pPr>
            <w:pStyle w:val="Contents4"/>
            <w:tabs>
              <w:tab w:val="clear" w:pos="8176"/>
              <w:tab w:val="right" w:pos="9026" w:leader="dot"/>
            </w:tabs>
            <w:rPr/>
          </w:pPr>
          <w:hyperlink w:anchor="__RefHeading___Toc7070833_73709187">
            <w:r>
              <w:rPr>
                <w:webHidden/>
                <w:rStyle w:val="IndexLink"/>
              </w:rPr>
              <w:t>3</w:t>
            </w:r>
            <w:r>
              <w:rPr>
                <w:rStyle w:val="IndexLink"/>
                <w:rtl w:val="true"/>
              </w:rPr>
              <w:t xml:space="preserve">. </w:t>
            </w:r>
            <w:r>
              <w:rPr>
                <w:rStyle w:val="IndexLink"/>
                <w:rtl w:val="true"/>
              </w:rPr>
              <w:t>كيف نستعين بالاسم لا بالذات‌؟</w:t>
            </w:r>
            <w:r>
              <w:rPr>
                <w:rStyle w:val="IndexLink"/>
                <w:rtl w:val="true"/>
              </w:rPr>
              <w:tab/>
            </w:r>
            <w:r>
              <w:rPr>
                <w:rStyle w:val="IndexLink"/>
              </w:rPr>
              <w:t>121</w:t>
            </w:r>
          </w:hyperlink>
        </w:p>
        <w:p>
          <w:pPr>
            <w:pStyle w:val="Contents4"/>
            <w:tabs>
              <w:tab w:val="clear" w:pos="8176"/>
              <w:tab w:val="right" w:pos="9026" w:leader="dot"/>
            </w:tabs>
            <w:rPr/>
          </w:pPr>
          <w:hyperlink w:anchor="__RefHeading___Toc7070835_73709187">
            <w:r>
              <w:rPr>
                <w:webHidden/>
                <w:rStyle w:val="IndexLink"/>
              </w:rPr>
              <w:t>4</w:t>
            </w:r>
            <w:r>
              <w:rPr>
                <w:rStyle w:val="IndexLink"/>
                <w:rtl w:val="true"/>
              </w:rPr>
              <w:t xml:space="preserve">. </w:t>
            </w:r>
            <w:r>
              <w:rPr>
                <w:rStyle w:val="IndexLink"/>
                <w:rtl w:val="true"/>
              </w:rPr>
              <w:t>ما هو المراد من الاسمين</w:t>
            </w:r>
            <w:r>
              <w:rPr>
                <w:rStyle w:val="IndexLink"/>
                <w:rtl w:val="true"/>
              </w:rPr>
              <w:t xml:space="preserve">: </w:t>
            </w:r>
            <w:r>
              <w:rPr>
                <w:rStyle w:val="IndexLink"/>
                <w:rtl w:val="true"/>
              </w:rPr>
              <w:t>الرحمن الرحيم‌؟</w:t>
            </w:r>
            <w:r>
              <w:rPr>
                <w:rStyle w:val="IndexLink"/>
                <w:rtl w:val="true"/>
              </w:rPr>
              <w:tab/>
            </w:r>
            <w:r>
              <w:rPr>
                <w:rStyle w:val="IndexLink"/>
              </w:rPr>
              <w:t>123</w:t>
            </w:r>
          </w:hyperlink>
        </w:p>
        <w:p>
          <w:pPr>
            <w:pStyle w:val="Contents4"/>
            <w:tabs>
              <w:tab w:val="clear" w:pos="8176"/>
              <w:tab w:val="right" w:pos="9026" w:leader="dot"/>
            </w:tabs>
            <w:rPr/>
          </w:pPr>
          <w:hyperlink w:anchor="__RefHeading___Toc7070837_73709187">
            <w:r>
              <w:rPr>
                <w:webHidden/>
                <w:rStyle w:val="IndexLink"/>
              </w:rPr>
              <w:t>5</w:t>
            </w:r>
            <w:r>
              <w:rPr>
                <w:rStyle w:val="IndexLink"/>
                <w:rtl w:val="true"/>
              </w:rPr>
              <w:t xml:space="preserve">. </w:t>
            </w:r>
            <w:r>
              <w:rPr>
                <w:rStyle w:val="IndexLink"/>
                <w:rtl w:val="true"/>
              </w:rPr>
              <w:t>ما هو الفرق بين الرحمن والرحيم‌؟</w:t>
            </w:r>
            <w:r>
              <w:rPr>
                <w:rStyle w:val="IndexLink"/>
                <w:rtl w:val="true"/>
              </w:rPr>
              <w:tab/>
            </w:r>
            <w:r>
              <w:rPr>
                <w:rStyle w:val="IndexLink"/>
              </w:rPr>
              <w:t>125</w:t>
            </w:r>
          </w:hyperlink>
        </w:p>
        <w:p>
          <w:pPr>
            <w:pStyle w:val="Contents4"/>
            <w:tabs>
              <w:tab w:val="clear" w:pos="8176"/>
              <w:tab w:val="right" w:pos="9026" w:leader="dot"/>
            </w:tabs>
            <w:rPr/>
          </w:pPr>
          <w:hyperlink w:anchor="__RefHeading___Toc7070839_73709187">
            <w:r>
              <w:rPr>
                <w:webHidden/>
                <w:rStyle w:val="IndexLink"/>
              </w:rPr>
              <w:t>6</w:t>
            </w:r>
            <w:r>
              <w:rPr>
                <w:rStyle w:val="IndexLink"/>
                <w:rtl w:val="true"/>
              </w:rPr>
              <w:t xml:space="preserve">. </w:t>
            </w:r>
            <w:r>
              <w:rPr>
                <w:rStyle w:val="IndexLink"/>
                <w:rtl w:val="true"/>
              </w:rPr>
              <w:t>لماذا تقدّم الرحمن على الرحيم‌؟</w:t>
            </w:r>
            <w:r>
              <w:rPr>
                <w:rStyle w:val="IndexLink"/>
                <w:rtl w:val="true"/>
              </w:rPr>
              <w:tab/>
            </w:r>
            <w:r>
              <w:rPr>
                <w:rStyle w:val="IndexLink"/>
              </w:rPr>
              <w:t>126</w:t>
            </w:r>
          </w:hyperlink>
        </w:p>
        <w:p>
          <w:pPr>
            <w:pStyle w:val="Contents3"/>
            <w:tabs>
              <w:tab w:val="clear" w:pos="8459"/>
              <w:tab w:val="right" w:pos="9026" w:leader="dot"/>
            </w:tabs>
            <w:rPr/>
          </w:pPr>
          <w:hyperlink w:anchor="__RefHeading___Toc7070841_73709187">
            <w:r>
              <w:rPr>
                <w:webHidden/>
                <w:rStyle w:val="IndexLink"/>
              </w:rPr>
              <w:t>9</w:t>
            </w:r>
            <w:r>
              <w:rPr>
                <w:rStyle w:val="IndexLink"/>
                <w:rtl w:val="true"/>
              </w:rPr>
              <w:t xml:space="preserve">. </w:t>
            </w:r>
            <w:r>
              <w:rPr>
                <w:rStyle w:val="IndexLink"/>
                <w:rtl w:val="true"/>
              </w:rPr>
              <w:t>الناشئ الجديد والظروف المحدقة به</w:t>
            </w:r>
            <w:r>
              <w:rPr>
                <w:rStyle w:val="IndexLink"/>
                <w:rtl w:val="true"/>
              </w:rPr>
              <w:tab/>
            </w:r>
            <w:r>
              <w:rPr>
                <w:rStyle w:val="IndexLink"/>
              </w:rPr>
              <w:t>128</w:t>
            </w:r>
          </w:hyperlink>
        </w:p>
        <w:p>
          <w:pPr>
            <w:pStyle w:val="Contents4"/>
            <w:tabs>
              <w:tab w:val="clear" w:pos="8176"/>
              <w:tab w:val="right" w:pos="9026" w:leader="dot"/>
            </w:tabs>
            <w:rPr/>
          </w:pPr>
          <w:hyperlink w:anchor="__RefHeading___Toc7070843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7070845_73709187">
            <w:r>
              <w:rPr>
                <w:webHidden/>
                <w:rStyle w:val="IndexLink"/>
                <w:rtl w:val="true"/>
              </w:rPr>
              <w:t>الهداية العامّة والخاصّة</w:t>
            </w:r>
            <w:r>
              <w:rPr>
                <w:rStyle w:val="IndexLink"/>
                <w:rtl w:val="true"/>
              </w:rPr>
              <w:tab/>
            </w:r>
            <w:r>
              <w:rPr>
                <w:rStyle w:val="IndexLink"/>
              </w:rPr>
              <w:t>130</w:t>
            </w:r>
          </w:hyperlink>
        </w:p>
        <w:p>
          <w:pPr>
            <w:pStyle w:val="Contents5"/>
            <w:tabs>
              <w:tab w:val="clear" w:pos="7892"/>
              <w:tab w:val="right" w:pos="9026" w:leader="dot"/>
            </w:tabs>
            <w:rPr/>
          </w:pPr>
          <w:hyperlink w:anchor="__RefHeading___Toc7070847_7370918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7070849_73709187">
            <w:r>
              <w:rPr>
                <w:webHidden/>
                <w:rStyle w:val="IndexLink"/>
                <w:rtl w:val="true"/>
              </w:rPr>
              <w:t>الف</w:t>
            </w:r>
            <w:r>
              <w:rPr>
                <w:rStyle w:val="IndexLink"/>
                <w:rtl w:val="true"/>
              </w:rPr>
              <w:t xml:space="preserve">: </w:t>
            </w:r>
            <w:r>
              <w:rPr>
                <w:rStyle w:val="IndexLink"/>
                <w:rtl w:val="true"/>
              </w:rPr>
              <w:t>الهداية العامّة التكوينية</w:t>
            </w:r>
            <w:r>
              <w:rPr>
                <w:rStyle w:val="IndexLink"/>
                <w:rtl w:val="true"/>
              </w:rPr>
              <w:tab/>
            </w:r>
            <w:r>
              <w:rPr>
                <w:rStyle w:val="IndexLink"/>
              </w:rPr>
              <w:t>131</w:t>
            </w:r>
          </w:hyperlink>
        </w:p>
        <w:p>
          <w:pPr>
            <w:pStyle w:val="Contents5"/>
            <w:tabs>
              <w:tab w:val="clear" w:pos="7892"/>
              <w:tab w:val="right" w:pos="9026" w:leader="dot"/>
            </w:tabs>
            <w:rPr/>
          </w:pPr>
          <w:hyperlink w:anchor="__RefHeading___Toc7070851_73709187">
            <w:r>
              <w:rPr>
                <w:webHidden/>
                <w:rStyle w:val="IndexLink"/>
                <w:rtl w:val="true"/>
              </w:rPr>
              <w:t>ب</w:t>
            </w:r>
            <w:r>
              <w:rPr>
                <w:rStyle w:val="IndexLink"/>
                <w:rtl w:val="true"/>
              </w:rPr>
              <w:t xml:space="preserve">: </w:t>
            </w:r>
            <w:r>
              <w:rPr>
                <w:rStyle w:val="IndexLink"/>
                <w:rtl w:val="true"/>
              </w:rPr>
              <w:t>الهداية العامّة التشريعية</w:t>
            </w:r>
            <w:r>
              <w:rPr>
                <w:rStyle w:val="IndexLink"/>
                <w:rtl w:val="true"/>
              </w:rPr>
              <w:tab/>
            </w:r>
            <w:r>
              <w:rPr>
                <w:rStyle w:val="IndexLink"/>
              </w:rPr>
              <w:t>131</w:t>
            </w:r>
          </w:hyperlink>
        </w:p>
        <w:p>
          <w:pPr>
            <w:pStyle w:val="Contents4"/>
            <w:tabs>
              <w:tab w:val="clear" w:pos="8176"/>
              <w:tab w:val="right" w:pos="9026" w:leader="dot"/>
            </w:tabs>
            <w:rPr/>
          </w:pPr>
          <w:hyperlink w:anchor="__RefHeading___Toc7070853_73709187">
            <w:r>
              <w:rPr>
                <w:webHidden/>
                <w:rStyle w:val="IndexLink"/>
                <w:rtl w:val="true"/>
              </w:rPr>
              <w:t>الهداية الخاصة</w:t>
            </w:r>
            <w:r>
              <w:rPr>
                <w:rStyle w:val="IndexLink"/>
                <w:rtl w:val="true"/>
              </w:rPr>
              <w:tab/>
            </w:r>
            <w:r>
              <w:rPr>
                <w:rStyle w:val="IndexLink"/>
              </w:rPr>
              <w:t>133</w:t>
            </w:r>
          </w:hyperlink>
        </w:p>
        <w:p>
          <w:pPr>
            <w:pStyle w:val="Contents3"/>
            <w:tabs>
              <w:tab w:val="clear" w:pos="8459"/>
              <w:tab w:val="right" w:pos="9026" w:leader="dot"/>
            </w:tabs>
            <w:rPr/>
          </w:pPr>
          <w:hyperlink w:anchor="__RefHeading___Toc7070855_73709187">
            <w:r>
              <w:rPr>
                <w:webHidden/>
                <w:rStyle w:val="IndexLink"/>
              </w:rPr>
              <w:t>10</w:t>
            </w:r>
            <w:r>
              <w:rPr>
                <w:rStyle w:val="IndexLink"/>
                <w:rtl w:val="true"/>
              </w:rPr>
              <w:t xml:space="preserve">. </w:t>
            </w:r>
            <w:r>
              <w:rPr>
                <w:rStyle w:val="IndexLink"/>
                <w:rtl w:val="true"/>
              </w:rPr>
              <w:t>ظاهرة التكفير على ضوء القرآن والسنّة الشريفة</w:t>
            </w:r>
            <w:r>
              <w:rPr>
                <w:rStyle w:val="IndexLink"/>
                <w:rtl w:val="true"/>
              </w:rPr>
              <w:tab/>
            </w:r>
            <w:r>
              <w:rPr>
                <w:rStyle w:val="IndexLink"/>
              </w:rPr>
              <w:t>139</w:t>
            </w:r>
          </w:hyperlink>
        </w:p>
        <w:p>
          <w:pPr>
            <w:pStyle w:val="Contents4"/>
            <w:tabs>
              <w:tab w:val="clear" w:pos="8176"/>
              <w:tab w:val="right" w:pos="9026" w:leader="dot"/>
            </w:tabs>
            <w:rPr/>
          </w:pPr>
          <w:hyperlink w:anchor="__RefHeading___Toc7070857_73709187">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7070859_73709187">
            <w:r>
              <w:rPr>
                <w:webHidden/>
                <w:rStyle w:val="IndexLink"/>
                <w:rtl w:val="true"/>
              </w:rPr>
              <w:t>الفصل الأوّل</w:t>
            </w:r>
            <w:r>
              <w:rPr>
                <w:rStyle w:val="IndexLink"/>
                <w:rtl w:val="true"/>
              </w:rPr>
              <w:t xml:space="preserve">: </w:t>
            </w:r>
            <w:r>
              <w:rPr>
                <w:rStyle w:val="IndexLink"/>
                <w:rtl w:val="true"/>
              </w:rPr>
              <w:t>المتطرّفون وتكفير رجال العلم في القرون السابقة</w:t>
            </w:r>
            <w:r>
              <w:rPr>
                <w:rStyle w:val="IndexLink"/>
                <w:rtl w:val="true"/>
              </w:rPr>
              <w:tab/>
            </w:r>
            <w:r>
              <w:rPr>
                <w:rStyle w:val="IndexLink"/>
              </w:rPr>
              <w:t>141</w:t>
            </w:r>
          </w:hyperlink>
        </w:p>
        <w:p>
          <w:pPr>
            <w:pStyle w:val="Contents5"/>
            <w:tabs>
              <w:tab w:val="clear" w:pos="7892"/>
              <w:tab w:val="right" w:pos="9026" w:leader="dot"/>
            </w:tabs>
            <w:rPr/>
          </w:pPr>
          <w:hyperlink w:anchor="__RefHeading___Toc7070861_7370918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7070863_73709187">
            <w:r>
              <w:rPr>
                <w:webHidden/>
                <w:rStyle w:val="IndexLink"/>
                <w:rtl w:val="true"/>
              </w:rPr>
              <w:t>جذور التكفير في القرون الأُولى</w:t>
            </w:r>
            <w:r>
              <w:rPr>
                <w:rStyle w:val="IndexLink"/>
                <w:rtl w:val="true"/>
              </w:rPr>
              <w:tab/>
            </w:r>
            <w:r>
              <w:rPr>
                <w:rStyle w:val="IndexLink"/>
              </w:rPr>
              <w:t>141</w:t>
            </w:r>
          </w:hyperlink>
        </w:p>
        <w:p>
          <w:pPr>
            <w:pStyle w:val="Contents6"/>
            <w:tabs>
              <w:tab w:val="clear" w:pos="7609"/>
              <w:tab w:val="right" w:pos="9026" w:leader="dot"/>
            </w:tabs>
            <w:rPr/>
          </w:pPr>
          <w:hyperlink w:anchor="__RefHeading___Toc7070865_73709187">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7070867_73709187">
            <w:r>
              <w:rPr>
                <w:webHidden/>
                <w:rStyle w:val="IndexLink"/>
              </w:rPr>
              <w:t>1</w:t>
            </w:r>
            <w:r>
              <w:rPr>
                <w:rStyle w:val="IndexLink"/>
                <w:rtl w:val="true"/>
              </w:rPr>
              <w:t xml:space="preserve">. </w:t>
            </w:r>
            <w:r>
              <w:rPr>
                <w:rStyle w:val="IndexLink"/>
                <w:rtl w:val="true"/>
              </w:rPr>
              <w:t>أُسامة بن زيد والآية النازلة فيه</w:t>
            </w:r>
            <w:r>
              <w:rPr>
                <w:rStyle w:val="IndexLink"/>
                <w:rtl w:val="true"/>
              </w:rPr>
              <w:tab/>
            </w:r>
            <w:r>
              <w:rPr>
                <w:rStyle w:val="IndexLink"/>
              </w:rPr>
              <w:t>142</w:t>
            </w:r>
          </w:hyperlink>
        </w:p>
        <w:p>
          <w:pPr>
            <w:pStyle w:val="Contents6"/>
            <w:tabs>
              <w:tab w:val="clear" w:pos="7609"/>
              <w:tab w:val="right" w:pos="9026" w:leader="dot"/>
            </w:tabs>
            <w:rPr/>
          </w:pPr>
          <w:hyperlink w:anchor="__RefHeading___Toc7070869_73709187">
            <w:r>
              <w:rPr>
                <w:webHidden/>
                <w:rStyle w:val="IndexLink"/>
              </w:rPr>
              <w:t>2</w:t>
            </w:r>
            <w:r>
              <w:rPr>
                <w:rStyle w:val="IndexLink"/>
                <w:rtl w:val="true"/>
              </w:rPr>
              <w:t xml:space="preserve">. </w:t>
            </w:r>
            <w:r>
              <w:rPr>
                <w:rStyle w:val="IndexLink"/>
                <w:rtl w:val="true"/>
              </w:rPr>
              <w:t>الوليد بن عقبة بن أبي معيط والآية النازلة في حقّه</w:t>
            </w:r>
            <w:r>
              <w:rPr>
                <w:rStyle w:val="IndexLink"/>
                <w:rtl w:val="true"/>
              </w:rPr>
              <w:tab/>
            </w:r>
            <w:r>
              <w:rPr>
                <w:rStyle w:val="IndexLink"/>
              </w:rPr>
              <w:t>143</w:t>
            </w:r>
          </w:hyperlink>
        </w:p>
        <w:p>
          <w:pPr>
            <w:pStyle w:val="Contents6"/>
            <w:tabs>
              <w:tab w:val="clear" w:pos="7609"/>
              <w:tab w:val="right" w:pos="9026" w:leader="dot"/>
            </w:tabs>
            <w:rPr/>
          </w:pPr>
          <w:hyperlink w:anchor="__RefHeading___Toc7070871_73709187">
            <w:r>
              <w:rPr>
                <w:webHidden/>
                <w:rStyle w:val="IndexLink"/>
              </w:rPr>
              <w:t>3</w:t>
            </w:r>
            <w:r>
              <w:rPr>
                <w:rStyle w:val="IndexLink"/>
                <w:rtl w:val="true"/>
              </w:rPr>
              <w:t xml:space="preserve">. </w:t>
            </w:r>
            <w:r>
              <w:rPr>
                <w:rStyle w:val="IndexLink"/>
                <w:rtl w:val="true"/>
              </w:rPr>
              <w:t>ذوالخويصرة التميمي واعتراضه على توزيع الغنائم</w:t>
            </w:r>
            <w:r>
              <w:rPr>
                <w:rStyle w:val="IndexLink"/>
                <w:rtl w:val="true"/>
              </w:rPr>
              <w:tab/>
            </w:r>
            <w:r>
              <w:rPr>
                <w:rStyle w:val="IndexLink"/>
              </w:rPr>
              <w:t>144</w:t>
            </w:r>
          </w:hyperlink>
        </w:p>
        <w:p>
          <w:pPr>
            <w:pStyle w:val="Contents6"/>
            <w:tabs>
              <w:tab w:val="clear" w:pos="7609"/>
              <w:tab w:val="right" w:pos="9026" w:leader="dot"/>
            </w:tabs>
            <w:rPr/>
          </w:pPr>
          <w:hyperlink w:anchor="__RefHeading___Toc7070873_73709187">
            <w:r>
              <w:rPr>
                <w:webHidden/>
                <w:rStyle w:val="IndexLink"/>
              </w:rPr>
              <w:t>4</w:t>
            </w:r>
            <w:r>
              <w:rPr>
                <w:rStyle w:val="IndexLink"/>
                <w:rtl w:val="true"/>
              </w:rPr>
              <w:t xml:space="preserve">. </w:t>
            </w:r>
            <w:r>
              <w:rPr>
                <w:rStyle w:val="IndexLink"/>
                <w:rtl w:val="true"/>
              </w:rPr>
              <w:t>قد صدّق الخُبر الخبر</w:t>
            </w:r>
            <w:r>
              <w:rPr>
                <w:rStyle w:val="IndexLink"/>
                <w:rtl w:val="true"/>
              </w:rPr>
              <w:tab/>
            </w:r>
            <w:r>
              <w:rPr>
                <w:rStyle w:val="IndexLink"/>
              </w:rPr>
              <w:t>144</w:t>
            </w:r>
          </w:hyperlink>
        </w:p>
        <w:p>
          <w:pPr>
            <w:pStyle w:val="Contents6"/>
            <w:tabs>
              <w:tab w:val="clear" w:pos="7609"/>
              <w:tab w:val="right" w:pos="9026" w:leader="dot"/>
            </w:tabs>
            <w:rPr/>
          </w:pPr>
          <w:hyperlink w:anchor="__RefHeading___Toc7070875_73709187">
            <w:r>
              <w:rPr>
                <w:webHidden/>
                <w:rStyle w:val="IndexLink"/>
              </w:rPr>
              <w:t>5</w:t>
            </w:r>
            <w:r>
              <w:rPr>
                <w:rStyle w:val="IndexLink"/>
                <w:rtl w:val="true"/>
              </w:rPr>
              <w:t xml:space="preserve">. </w:t>
            </w:r>
            <w:r>
              <w:rPr>
                <w:rStyle w:val="IndexLink"/>
                <w:rtl w:val="true"/>
              </w:rPr>
              <w:t>مسألة خلق القرآن وتفرّق الأُمّةً‌</w:t>
            </w:r>
            <w:r>
              <w:rPr>
                <w:rStyle w:val="IndexLink"/>
                <w:rtl w:val="true"/>
              </w:rPr>
              <w:tab/>
            </w:r>
            <w:r>
              <w:rPr>
                <w:rStyle w:val="IndexLink"/>
              </w:rPr>
              <w:t>146</w:t>
            </w:r>
          </w:hyperlink>
        </w:p>
        <w:p>
          <w:pPr>
            <w:pStyle w:val="Contents6"/>
            <w:tabs>
              <w:tab w:val="clear" w:pos="7609"/>
              <w:tab w:val="right" w:pos="9026" w:leader="dot"/>
            </w:tabs>
            <w:rPr/>
          </w:pPr>
          <w:hyperlink w:anchor="__RefHeading___Toc7070877_73709187">
            <w:r>
              <w:rPr>
                <w:webHidden/>
                <w:rStyle w:val="IndexLink"/>
              </w:rPr>
              <w:t>6</w:t>
            </w:r>
            <w:r>
              <w:rPr>
                <w:rStyle w:val="IndexLink"/>
                <w:rtl w:val="true"/>
              </w:rPr>
              <w:t xml:space="preserve">. </w:t>
            </w:r>
            <w:r>
              <w:rPr>
                <w:rStyle w:val="IndexLink"/>
                <w:rtl w:val="true"/>
              </w:rPr>
              <w:t>مرتكب الكبيرة</w:t>
            </w:r>
            <w:r>
              <w:rPr>
                <w:rStyle w:val="IndexLink"/>
                <w:rtl w:val="true"/>
              </w:rPr>
              <w:tab/>
            </w:r>
            <w:r>
              <w:rPr>
                <w:rStyle w:val="IndexLink"/>
              </w:rPr>
              <w:t>147</w:t>
            </w:r>
          </w:hyperlink>
        </w:p>
        <w:p>
          <w:pPr>
            <w:pStyle w:val="Contents6"/>
            <w:tabs>
              <w:tab w:val="clear" w:pos="7609"/>
              <w:tab w:val="right" w:pos="9026" w:leader="dot"/>
            </w:tabs>
            <w:rPr/>
          </w:pPr>
          <w:hyperlink w:anchor="__RefHeading___Toc7070879_73709187">
            <w:r>
              <w:rPr>
                <w:webHidden/>
                <w:rStyle w:val="IndexLink"/>
              </w:rPr>
              <w:t>1</w:t>
            </w:r>
            <w:r>
              <w:rPr>
                <w:rStyle w:val="IndexLink"/>
                <w:rtl w:val="true"/>
              </w:rPr>
              <w:t xml:space="preserve">. </w:t>
            </w:r>
            <w:r>
              <w:rPr>
                <w:rStyle w:val="IndexLink"/>
                <w:rtl w:val="true"/>
              </w:rPr>
              <w:t xml:space="preserve">محنة الطبري </w:t>
            </w:r>
            <w:r>
              <w:rPr>
                <w:rStyle w:val="IndexLink"/>
                <w:rtl w:val="true"/>
              </w:rPr>
              <w:t>(</w:t>
            </w:r>
            <w:r>
              <w:rPr>
                <w:rStyle w:val="IndexLink"/>
              </w:rPr>
              <w:t>224</w:t>
            </w:r>
            <w:r>
              <w:rPr>
                <w:rStyle w:val="IndexLink"/>
                <w:rtl w:val="true"/>
              </w:rPr>
              <w:t>-</w:t>
            </w:r>
            <w:r>
              <w:rPr>
                <w:rStyle w:val="IndexLink"/>
              </w:rPr>
              <w:t>310</w:t>
            </w:r>
            <w:r>
              <w:rPr>
                <w:rStyle w:val="IndexLink"/>
                <w:rtl w:val="true"/>
              </w:rPr>
              <w:t xml:space="preserve"> </w:t>
            </w:r>
            <w:r>
              <w:rPr>
                <w:rStyle w:val="IndexLink"/>
                <w:rtl w:val="true"/>
              </w:rPr>
              <w:t>ه‍</w:t>
            </w:r>
            <w:r>
              <w:rPr>
                <w:rStyle w:val="IndexLink"/>
                <w:rtl w:val="true"/>
              </w:rPr>
              <w:t>)</w:t>
              <w:tab/>
            </w:r>
            <w:r>
              <w:rPr>
                <w:rStyle w:val="IndexLink"/>
              </w:rPr>
              <w:t>148</w:t>
            </w:r>
          </w:hyperlink>
        </w:p>
        <w:p>
          <w:pPr>
            <w:pStyle w:val="Contents6"/>
            <w:tabs>
              <w:tab w:val="clear" w:pos="7609"/>
              <w:tab w:val="right" w:pos="9026" w:leader="dot"/>
            </w:tabs>
            <w:rPr/>
          </w:pPr>
          <w:hyperlink w:anchor="__RefHeading___Toc7070881_73709187">
            <w:r>
              <w:rPr>
                <w:webHidden/>
                <w:rStyle w:val="IndexLink"/>
              </w:rPr>
              <w:t>2</w:t>
            </w:r>
            <w:r>
              <w:rPr>
                <w:rStyle w:val="IndexLink"/>
                <w:rtl w:val="true"/>
              </w:rPr>
              <w:t xml:space="preserve">. </w:t>
            </w:r>
            <w:r>
              <w:rPr>
                <w:rStyle w:val="IndexLink"/>
                <w:rtl w:val="true"/>
              </w:rPr>
              <w:t xml:space="preserve">هدم جامع </w:t>
            </w:r>
            <w:r>
              <w:rPr>
                <w:rStyle w:val="IndexLink"/>
                <w:rtl w:val="true"/>
              </w:rPr>
              <w:t>(</w:t>
            </w:r>
            <w:r>
              <w:rPr>
                <w:rStyle w:val="IndexLink"/>
                <w:rtl w:val="true"/>
              </w:rPr>
              <w:t>براثا</w:t>
            </w:r>
            <w:r>
              <w:rPr>
                <w:rStyle w:val="IndexLink"/>
                <w:rtl w:val="true"/>
              </w:rPr>
              <w:t>)</w:t>
              <w:tab/>
            </w:r>
            <w:r>
              <w:rPr>
                <w:rStyle w:val="IndexLink"/>
              </w:rPr>
              <w:t>149</w:t>
            </w:r>
          </w:hyperlink>
        </w:p>
        <w:p>
          <w:pPr>
            <w:pStyle w:val="Contents6"/>
            <w:tabs>
              <w:tab w:val="clear" w:pos="7609"/>
              <w:tab w:val="right" w:pos="9026" w:leader="dot"/>
            </w:tabs>
            <w:rPr/>
          </w:pPr>
          <w:hyperlink w:anchor="__RefHeading___Toc7070883_73709187">
            <w:r>
              <w:rPr>
                <w:webHidden/>
                <w:rStyle w:val="IndexLink"/>
              </w:rPr>
              <w:t>3</w:t>
            </w:r>
            <w:r>
              <w:rPr>
                <w:rStyle w:val="IndexLink"/>
                <w:rtl w:val="true"/>
              </w:rPr>
              <w:t xml:space="preserve">. </w:t>
            </w:r>
            <w:r>
              <w:rPr>
                <w:rStyle w:val="IndexLink"/>
                <w:rtl w:val="true"/>
              </w:rPr>
              <w:t>التطرّف في تفسير الصفات الخبرية</w:t>
            </w:r>
            <w:r>
              <w:rPr>
                <w:rStyle w:val="IndexLink"/>
                <w:rtl w:val="true"/>
              </w:rPr>
              <w:tab/>
            </w:r>
            <w:r>
              <w:rPr>
                <w:rStyle w:val="IndexLink"/>
              </w:rPr>
              <w:t>150</w:t>
            </w:r>
          </w:hyperlink>
        </w:p>
        <w:p>
          <w:pPr>
            <w:pStyle w:val="Contents6"/>
            <w:tabs>
              <w:tab w:val="clear" w:pos="7609"/>
              <w:tab w:val="right" w:pos="9026" w:leader="dot"/>
            </w:tabs>
            <w:rPr/>
          </w:pPr>
          <w:hyperlink w:anchor="__RefHeading___Toc7070885_73709187">
            <w:r>
              <w:rPr>
                <w:webHidden/>
                <w:rStyle w:val="IndexLink"/>
              </w:rPr>
              <w:t>4</w:t>
            </w:r>
            <w:r>
              <w:rPr>
                <w:rStyle w:val="IndexLink"/>
                <w:rtl w:val="true"/>
              </w:rPr>
              <w:t xml:space="preserve">. </w:t>
            </w:r>
            <w:r>
              <w:rPr>
                <w:rStyle w:val="IndexLink"/>
                <w:rtl w:val="true"/>
              </w:rPr>
              <w:t>فتنة الجهر بالبسملة</w:t>
            </w:r>
            <w:r>
              <w:rPr>
                <w:rStyle w:val="IndexLink"/>
                <w:rtl w:val="true"/>
              </w:rPr>
              <w:tab/>
            </w:r>
            <w:r>
              <w:rPr>
                <w:rStyle w:val="IndexLink"/>
              </w:rPr>
              <w:t>151</w:t>
            </w:r>
          </w:hyperlink>
        </w:p>
        <w:p>
          <w:pPr>
            <w:pStyle w:val="Contents6"/>
            <w:tabs>
              <w:tab w:val="clear" w:pos="7609"/>
              <w:tab w:val="right" w:pos="9026" w:leader="dot"/>
            </w:tabs>
            <w:rPr/>
          </w:pPr>
          <w:hyperlink w:anchor="__RefHeading___Toc7070887_73709187">
            <w:r>
              <w:rPr>
                <w:webHidden/>
                <w:rStyle w:val="IndexLink"/>
              </w:rPr>
              <w:t>5</w:t>
            </w:r>
            <w:r>
              <w:rPr>
                <w:rStyle w:val="IndexLink"/>
                <w:rtl w:val="true"/>
              </w:rPr>
              <w:t xml:space="preserve">. </w:t>
            </w:r>
            <w:r>
              <w:rPr>
                <w:rStyle w:val="IndexLink"/>
                <w:rtl w:val="true"/>
              </w:rPr>
              <w:t>إحراق مسجد الشوافع</w:t>
            </w:r>
            <w:r>
              <w:rPr>
                <w:rStyle w:val="IndexLink"/>
                <w:rtl w:val="true"/>
              </w:rPr>
              <w:tab/>
            </w:r>
            <w:r>
              <w:rPr>
                <w:rStyle w:val="IndexLink"/>
              </w:rPr>
              <w:t>151</w:t>
            </w:r>
          </w:hyperlink>
        </w:p>
        <w:p>
          <w:pPr>
            <w:pStyle w:val="Contents6"/>
            <w:tabs>
              <w:tab w:val="clear" w:pos="7609"/>
              <w:tab w:val="right" w:pos="9026" w:leader="dot"/>
            </w:tabs>
            <w:rPr/>
          </w:pPr>
          <w:hyperlink w:anchor="__RefHeading___Toc7070889_73709187">
            <w:r>
              <w:rPr>
                <w:webHidden/>
                <w:rStyle w:val="IndexLink"/>
              </w:rPr>
              <w:t>6</w:t>
            </w:r>
            <w:r>
              <w:rPr>
                <w:rStyle w:val="IndexLink"/>
                <w:rtl w:val="true"/>
              </w:rPr>
              <w:t xml:space="preserve">. </w:t>
            </w:r>
            <w:r>
              <w:rPr>
                <w:rStyle w:val="IndexLink"/>
                <w:rtl w:val="true"/>
              </w:rPr>
              <w:t>التشكيك في شيخ الأشاعرة</w:t>
            </w:r>
            <w:r>
              <w:rPr>
                <w:rStyle w:val="IndexLink"/>
                <w:rtl w:val="true"/>
              </w:rPr>
              <w:tab/>
            </w:r>
            <w:r>
              <w:rPr>
                <w:rStyle w:val="IndexLink"/>
              </w:rPr>
              <w:t>151</w:t>
            </w:r>
          </w:hyperlink>
        </w:p>
        <w:p>
          <w:pPr>
            <w:pStyle w:val="Contents6"/>
            <w:tabs>
              <w:tab w:val="clear" w:pos="7609"/>
              <w:tab w:val="right" w:pos="9026" w:leader="dot"/>
            </w:tabs>
            <w:rPr/>
          </w:pPr>
          <w:hyperlink w:anchor="__RefHeading___Toc7070891_73709187">
            <w:r>
              <w:rPr>
                <w:webHidden/>
                <w:rStyle w:val="IndexLink"/>
              </w:rPr>
              <w:t>7</w:t>
            </w:r>
            <w:r>
              <w:rPr>
                <w:rStyle w:val="IndexLink"/>
                <w:rtl w:val="true"/>
              </w:rPr>
              <w:t xml:space="preserve">. </w:t>
            </w:r>
            <w:r>
              <w:rPr>
                <w:rStyle w:val="IndexLink"/>
                <w:rtl w:val="true"/>
              </w:rPr>
              <w:t>موت البوريّ بحلواء مسمومة</w:t>
            </w:r>
            <w:r>
              <w:rPr>
                <w:rStyle w:val="IndexLink"/>
                <w:rtl w:val="true"/>
              </w:rPr>
              <w:tab/>
            </w:r>
            <w:r>
              <w:rPr>
                <w:rStyle w:val="IndexLink"/>
              </w:rPr>
              <w:t>152</w:t>
            </w:r>
          </w:hyperlink>
        </w:p>
        <w:p>
          <w:pPr>
            <w:pStyle w:val="Contents6"/>
            <w:tabs>
              <w:tab w:val="clear" w:pos="7609"/>
              <w:tab w:val="right" w:pos="9026" w:leader="dot"/>
            </w:tabs>
            <w:rPr/>
          </w:pPr>
          <w:hyperlink w:anchor="__RefHeading___Toc7070893_73709187">
            <w:r>
              <w:rPr>
                <w:webHidden/>
                <w:rStyle w:val="IndexLink"/>
              </w:rPr>
              <w:t>8</w:t>
            </w:r>
            <w:r>
              <w:rPr>
                <w:rStyle w:val="IndexLink"/>
                <w:rtl w:val="true"/>
              </w:rPr>
              <w:t xml:space="preserve">. </w:t>
            </w:r>
            <w:r>
              <w:rPr>
                <w:rStyle w:val="IndexLink"/>
                <w:rtl w:val="true"/>
              </w:rPr>
              <w:t>قتل الأشاعرة في المدرسة النظامية</w:t>
            </w:r>
            <w:r>
              <w:rPr>
                <w:rStyle w:val="IndexLink"/>
                <w:rtl w:val="true"/>
              </w:rPr>
              <w:tab/>
            </w:r>
            <w:r>
              <w:rPr>
                <w:rStyle w:val="IndexLink"/>
              </w:rPr>
              <w:t>153</w:t>
            </w:r>
          </w:hyperlink>
        </w:p>
        <w:p>
          <w:pPr>
            <w:pStyle w:val="Contents4"/>
            <w:tabs>
              <w:tab w:val="clear" w:pos="8176"/>
              <w:tab w:val="right" w:pos="9026" w:leader="dot"/>
            </w:tabs>
            <w:rPr/>
          </w:pPr>
          <w:hyperlink w:anchor="__RefHeading___Toc7070895_73709187">
            <w:r>
              <w:rPr>
                <w:webHidden/>
                <w:rStyle w:val="IndexLink"/>
                <w:rtl w:val="true"/>
              </w:rPr>
              <w:t>الفصل الثانى</w:t>
            </w:r>
            <w:r>
              <w:rPr>
                <w:rStyle w:val="IndexLink"/>
                <w:rtl w:val="true"/>
              </w:rPr>
              <w:t xml:space="preserve">: </w:t>
            </w:r>
            <w:r>
              <w:rPr>
                <w:rStyle w:val="IndexLink"/>
                <w:rtl w:val="true"/>
              </w:rPr>
              <w:t>إدانة تكفير أهل القبلة على لسان النبي صلى الله عليه و آله و سلم</w:t>
            </w:r>
            <w:r>
              <w:rPr>
                <w:rStyle w:val="IndexLink"/>
                <w:rtl w:val="true"/>
              </w:rPr>
              <w:tab/>
            </w:r>
            <w:r>
              <w:rPr>
                <w:rStyle w:val="IndexLink"/>
              </w:rPr>
              <w:t>154</w:t>
            </w:r>
          </w:hyperlink>
        </w:p>
        <w:p>
          <w:pPr>
            <w:pStyle w:val="Contents4"/>
            <w:tabs>
              <w:tab w:val="clear" w:pos="8176"/>
              <w:tab w:val="right" w:pos="9026" w:leader="dot"/>
            </w:tabs>
            <w:rPr/>
          </w:pPr>
          <w:hyperlink w:anchor="__RefHeading___Toc7070897_73709187">
            <w:r>
              <w:rPr>
                <w:webHidden/>
                <w:rStyle w:val="IndexLink"/>
                <w:rtl w:val="true"/>
              </w:rPr>
              <w:t>الفصل الثالث</w:t>
            </w:r>
            <w:r>
              <w:rPr>
                <w:rStyle w:val="IndexLink"/>
                <w:rtl w:val="true"/>
              </w:rPr>
              <w:t xml:space="preserve">: </w:t>
            </w:r>
            <w:r>
              <w:rPr>
                <w:rStyle w:val="IndexLink"/>
                <w:rtl w:val="true"/>
              </w:rPr>
              <w:t>إدانة علماء المسلمين تكفير أهل القبلة</w:t>
            </w:r>
            <w:r>
              <w:rPr>
                <w:rStyle w:val="IndexLink"/>
                <w:rtl w:val="true"/>
              </w:rPr>
              <w:tab/>
            </w:r>
            <w:r>
              <w:rPr>
                <w:rStyle w:val="IndexLink"/>
              </w:rPr>
              <w:t>156</w:t>
            </w:r>
          </w:hyperlink>
        </w:p>
        <w:p>
          <w:pPr>
            <w:pStyle w:val="Contents5"/>
            <w:tabs>
              <w:tab w:val="clear" w:pos="7892"/>
              <w:tab w:val="right" w:pos="9026" w:leader="dot"/>
            </w:tabs>
            <w:rPr/>
          </w:pPr>
          <w:hyperlink w:anchor="__RefHeading___Toc7070899_73709187">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7070901_73709187">
            <w:r>
              <w:rPr>
                <w:webHidden/>
                <w:rStyle w:val="IndexLink"/>
              </w:rPr>
              <w:t>1</w:t>
            </w:r>
            <w:r>
              <w:rPr>
                <w:rStyle w:val="IndexLink"/>
                <w:rtl w:val="true"/>
              </w:rPr>
              <w:t xml:space="preserve">. </w:t>
            </w:r>
            <w:r>
              <w:rPr>
                <w:rStyle w:val="IndexLink"/>
                <w:rtl w:val="true"/>
              </w:rPr>
              <w:t>كلمة الشيخ الجليل الأقدم الفضل بن شاذان الأزدي</w:t>
            </w:r>
            <w:r>
              <w:rPr>
                <w:rStyle w:val="IndexLink"/>
                <w:rtl w:val="true"/>
              </w:rPr>
              <w:t>:</w:t>
              <w:tab/>
            </w:r>
            <w:r>
              <w:rPr>
                <w:rStyle w:val="IndexLink"/>
              </w:rPr>
              <w:t>157</w:t>
            </w:r>
          </w:hyperlink>
        </w:p>
        <w:p>
          <w:pPr>
            <w:pStyle w:val="Contents5"/>
            <w:tabs>
              <w:tab w:val="clear" w:pos="7892"/>
              <w:tab w:val="right" w:pos="9026" w:leader="dot"/>
            </w:tabs>
            <w:rPr/>
          </w:pPr>
          <w:hyperlink w:anchor="__RefHeading___Toc7070903_73709187">
            <w:r>
              <w:rPr>
                <w:webHidden/>
                <w:rStyle w:val="IndexLink"/>
              </w:rPr>
              <w:t>2</w:t>
            </w:r>
            <w:r>
              <w:rPr>
                <w:rStyle w:val="IndexLink"/>
                <w:rtl w:val="true"/>
              </w:rPr>
              <w:t xml:space="preserve">. </w:t>
            </w:r>
            <w:r>
              <w:rPr>
                <w:rStyle w:val="IndexLink"/>
                <w:rtl w:val="true"/>
              </w:rPr>
              <w:t>كلمة الإمام الأشعري</w:t>
            </w:r>
            <w:r>
              <w:rPr>
                <w:rStyle w:val="IndexLink"/>
                <w:rtl w:val="true"/>
              </w:rPr>
              <w:t>:</w:t>
              <w:tab/>
            </w:r>
            <w:r>
              <w:rPr>
                <w:rStyle w:val="IndexLink"/>
              </w:rPr>
              <w:t>157</w:t>
            </w:r>
          </w:hyperlink>
        </w:p>
        <w:p>
          <w:pPr>
            <w:pStyle w:val="Contents5"/>
            <w:tabs>
              <w:tab w:val="clear" w:pos="7892"/>
              <w:tab w:val="right" w:pos="9026" w:leader="dot"/>
            </w:tabs>
            <w:rPr/>
          </w:pPr>
          <w:hyperlink w:anchor="__RefHeading___Toc7070905_73709187">
            <w:r>
              <w:rPr>
                <w:webHidden/>
                <w:rStyle w:val="IndexLink"/>
              </w:rPr>
              <w:t>3</w:t>
            </w:r>
            <w:r>
              <w:rPr>
                <w:rStyle w:val="IndexLink"/>
                <w:rtl w:val="true"/>
              </w:rPr>
              <w:t xml:space="preserve">. </w:t>
            </w:r>
            <w:r>
              <w:rPr>
                <w:rStyle w:val="IndexLink"/>
                <w:rtl w:val="true"/>
              </w:rPr>
              <w:t>كلمة ابن حزم في المقام</w:t>
            </w:r>
            <w:r>
              <w:rPr>
                <w:rStyle w:val="IndexLink"/>
                <w:rtl w:val="true"/>
              </w:rPr>
              <w:tab/>
            </w:r>
            <w:r>
              <w:rPr>
                <w:rStyle w:val="IndexLink"/>
              </w:rPr>
              <w:t>157</w:t>
            </w:r>
          </w:hyperlink>
        </w:p>
        <w:p>
          <w:pPr>
            <w:pStyle w:val="Contents5"/>
            <w:tabs>
              <w:tab w:val="clear" w:pos="7892"/>
              <w:tab w:val="right" w:pos="9026" w:leader="dot"/>
            </w:tabs>
            <w:rPr/>
          </w:pPr>
          <w:hyperlink w:anchor="__RefHeading___Toc7070907_73709187">
            <w:r>
              <w:rPr>
                <w:webHidden/>
                <w:rStyle w:val="IndexLink"/>
              </w:rPr>
              <w:t>4</w:t>
            </w:r>
            <w:r>
              <w:rPr>
                <w:rStyle w:val="IndexLink"/>
                <w:rtl w:val="true"/>
              </w:rPr>
              <w:t xml:space="preserve">. </w:t>
            </w:r>
            <w:r>
              <w:rPr>
                <w:rStyle w:val="IndexLink"/>
                <w:rtl w:val="true"/>
              </w:rPr>
              <w:t>كلمة القاضي الإيجي</w:t>
            </w:r>
            <w:r>
              <w:rPr>
                <w:rStyle w:val="IndexLink"/>
                <w:rtl w:val="true"/>
              </w:rPr>
              <w:tab/>
            </w:r>
            <w:r>
              <w:rPr>
                <w:rStyle w:val="IndexLink"/>
              </w:rPr>
              <w:t>158</w:t>
            </w:r>
          </w:hyperlink>
        </w:p>
        <w:p>
          <w:pPr>
            <w:pStyle w:val="Contents5"/>
            <w:tabs>
              <w:tab w:val="clear" w:pos="7892"/>
              <w:tab w:val="right" w:pos="9026" w:leader="dot"/>
            </w:tabs>
            <w:rPr/>
          </w:pPr>
          <w:hyperlink w:anchor="__RefHeading___Toc7070909_73709187">
            <w:r>
              <w:rPr>
                <w:webHidden/>
                <w:rStyle w:val="IndexLink"/>
              </w:rPr>
              <w:t>5</w:t>
            </w:r>
            <w:r>
              <w:rPr>
                <w:rStyle w:val="IndexLink"/>
                <w:rtl w:val="true"/>
              </w:rPr>
              <w:t xml:space="preserve">. </w:t>
            </w:r>
            <w:r>
              <w:rPr>
                <w:rStyle w:val="IndexLink"/>
                <w:rtl w:val="true"/>
              </w:rPr>
              <w:t>كلمة تقي الدين السبكي</w:t>
            </w:r>
            <w:r>
              <w:rPr>
                <w:rStyle w:val="IndexLink"/>
                <w:rtl w:val="true"/>
              </w:rPr>
              <w:tab/>
            </w:r>
            <w:r>
              <w:rPr>
                <w:rStyle w:val="IndexLink"/>
              </w:rPr>
              <w:t>158</w:t>
            </w:r>
          </w:hyperlink>
        </w:p>
        <w:p>
          <w:pPr>
            <w:pStyle w:val="Contents5"/>
            <w:tabs>
              <w:tab w:val="clear" w:pos="7892"/>
              <w:tab w:val="right" w:pos="9026" w:leader="dot"/>
            </w:tabs>
            <w:rPr/>
          </w:pPr>
          <w:hyperlink w:anchor="__RefHeading___Toc7070911_73709187">
            <w:r>
              <w:rPr>
                <w:webHidden/>
                <w:rStyle w:val="IndexLink"/>
              </w:rPr>
              <w:t>6</w:t>
            </w:r>
            <w:r>
              <w:rPr>
                <w:rStyle w:val="IndexLink"/>
                <w:rtl w:val="true"/>
              </w:rPr>
              <w:t xml:space="preserve">. </w:t>
            </w:r>
            <w:r>
              <w:rPr>
                <w:rStyle w:val="IndexLink"/>
                <w:rtl w:val="true"/>
              </w:rPr>
              <w:t>كلمة التفتازاني</w:t>
            </w:r>
            <w:r>
              <w:rPr>
                <w:rStyle w:val="IndexLink"/>
                <w:rtl w:val="true"/>
              </w:rPr>
              <w:tab/>
            </w:r>
            <w:r>
              <w:rPr>
                <w:rStyle w:val="IndexLink"/>
              </w:rPr>
              <w:t>158</w:t>
            </w:r>
          </w:hyperlink>
        </w:p>
        <w:p>
          <w:pPr>
            <w:pStyle w:val="Contents4"/>
            <w:tabs>
              <w:tab w:val="clear" w:pos="8176"/>
              <w:tab w:val="right" w:pos="9026" w:leader="dot"/>
            </w:tabs>
            <w:rPr/>
          </w:pPr>
          <w:hyperlink w:anchor="__RefHeading___Toc7070913_73709187">
            <w:r>
              <w:rPr>
                <w:webHidden/>
                <w:rStyle w:val="IndexLink"/>
                <w:rtl w:val="true"/>
              </w:rPr>
              <w:t>الفصل الرابع</w:t>
            </w:r>
            <w:r>
              <w:rPr>
                <w:rStyle w:val="IndexLink"/>
                <w:rtl w:val="true"/>
              </w:rPr>
              <w:t xml:space="preserve">: </w:t>
            </w:r>
            <w:r>
              <w:rPr>
                <w:rStyle w:val="IndexLink"/>
                <w:rtl w:val="true"/>
              </w:rPr>
              <w:t>أسباب نشوء ظاهرة التكفير</w:t>
            </w:r>
            <w:r>
              <w:rPr>
                <w:rStyle w:val="IndexLink"/>
                <w:rtl w:val="true"/>
              </w:rPr>
              <w:tab/>
            </w:r>
            <w:r>
              <w:rPr>
                <w:rStyle w:val="IndexLink"/>
              </w:rPr>
              <w:t>163</w:t>
            </w:r>
          </w:hyperlink>
        </w:p>
        <w:p>
          <w:pPr>
            <w:pStyle w:val="Contents5"/>
            <w:tabs>
              <w:tab w:val="clear" w:pos="7892"/>
              <w:tab w:val="right" w:pos="9026" w:leader="dot"/>
            </w:tabs>
            <w:rPr/>
          </w:pPr>
          <w:hyperlink w:anchor="__RefHeading___Toc7070915_7370918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7070917_73709187">
            <w:r>
              <w:rPr>
                <w:webHidden/>
                <w:rStyle w:val="IndexLink"/>
              </w:rPr>
              <w:t>1</w:t>
            </w:r>
            <w:r>
              <w:rPr>
                <w:rStyle w:val="IndexLink"/>
                <w:rtl w:val="true"/>
              </w:rPr>
              <w:t xml:space="preserve">. </w:t>
            </w:r>
            <w:r>
              <w:rPr>
                <w:rStyle w:val="IndexLink"/>
                <w:rtl w:val="true"/>
              </w:rPr>
              <w:t>اختلاق خيانة الأمين</w:t>
            </w:r>
            <w:r>
              <w:rPr>
                <w:rStyle w:val="IndexLink"/>
                <w:rtl w:val="true"/>
              </w:rPr>
              <w:tab/>
            </w:r>
            <w:r>
              <w:rPr>
                <w:rStyle w:val="IndexLink"/>
              </w:rPr>
              <w:t>163</w:t>
            </w:r>
          </w:hyperlink>
        </w:p>
        <w:p>
          <w:pPr>
            <w:pStyle w:val="Contents5"/>
            <w:tabs>
              <w:tab w:val="clear" w:pos="7892"/>
              <w:tab w:val="right" w:pos="9026" w:leader="dot"/>
            </w:tabs>
            <w:rPr/>
          </w:pPr>
          <w:hyperlink w:anchor="__RefHeading___Toc7070919_73709187">
            <w:r>
              <w:rPr>
                <w:webHidden/>
                <w:rStyle w:val="IndexLink"/>
              </w:rPr>
              <w:t>2</w:t>
            </w:r>
            <w:r>
              <w:rPr>
                <w:rStyle w:val="IndexLink"/>
                <w:rtl w:val="true"/>
              </w:rPr>
              <w:t xml:space="preserve">. </w:t>
            </w:r>
            <w:r>
              <w:rPr>
                <w:rStyle w:val="IndexLink"/>
                <w:rtl w:val="true"/>
              </w:rPr>
              <w:t>نسخ الشريعة عن طريق البداء</w:t>
            </w:r>
            <w:r>
              <w:rPr>
                <w:rStyle w:val="IndexLink"/>
                <w:rtl w:val="true"/>
              </w:rPr>
              <w:tab/>
            </w:r>
            <w:r>
              <w:rPr>
                <w:rStyle w:val="IndexLink"/>
              </w:rPr>
              <w:t>166</w:t>
            </w:r>
          </w:hyperlink>
        </w:p>
        <w:p>
          <w:pPr>
            <w:pStyle w:val="Contents5"/>
            <w:tabs>
              <w:tab w:val="clear" w:pos="7892"/>
              <w:tab w:val="right" w:pos="9026" w:leader="dot"/>
            </w:tabs>
            <w:rPr/>
          </w:pPr>
          <w:hyperlink w:anchor="__RefHeading___Toc7070921_73709187">
            <w:r>
              <w:rPr>
                <w:webHidden/>
                <w:rStyle w:val="IndexLink"/>
              </w:rPr>
              <w:t>3</w:t>
            </w:r>
            <w:r>
              <w:rPr>
                <w:rStyle w:val="IndexLink"/>
                <w:rtl w:val="true"/>
              </w:rPr>
              <w:t xml:space="preserve">. </w:t>
            </w:r>
            <w:r>
              <w:rPr>
                <w:rStyle w:val="IndexLink"/>
                <w:rtl w:val="true"/>
              </w:rPr>
              <w:t>رمي الشيعة بتهم زائفة</w:t>
            </w:r>
            <w:r>
              <w:rPr>
                <w:rStyle w:val="IndexLink"/>
                <w:rtl w:val="true"/>
              </w:rPr>
              <w:tab/>
            </w:r>
            <w:r>
              <w:rPr>
                <w:rStyle w:val="IndexLink"/>
              </w:rPr>
              <w:t>168</w:t>
            </w:r>
          </w:hyperlink>
        </w:p>
        <w:p>
          <w:pPr>
            <w:pStyle w:val="Contents4"/>
            <w:tabs>
              <w:tab w:val="clear" w:pos="8176"/>
              <w:tab w:val="right" w:pos="9026" w:leader="dot"/>
            </w:tabs>
            <w:rPr/>
          </w:pPr>
          <w:hyperlink w:anchor="__RefHeading___Toc7070923_73709187">
            <w:r>
              <w:rPr>
                <w:webHidden/>
                <w:rStyle w:val="IndexLink"/>
                <w:rtl w:val="true"/>
              </w:rPr>
              <w:t>الفصل الخامس</w:t>
            </w:r>
            <w:r>
              <w:rPr>
                <w:rStyle w:val="IndexLink"/>
                <w:rtl w:val="true"/>
              </w:rPr>
              <w:t xml:space="preserve">: </w:t>
            </w:r>
            <w:r>
              <w:rPr>
                <w:rStyle w:val="IndexLink"/>
                <w:rtl w:val="true"/>
              </w:rPr>
              <w:t>الجهل بالمفاهيم الإسلاميّة</w:t>
            </w:r>
            <w:r>
              <w:rPr>
                <w:rStyle w:val="IndexLink"/>
                <w:rtl w:val="true"/>
              </w:rPr>
              <w:tab/>
            </w:r>
            <w:r>
              <w:rPr>
                <w:rStyle w:val="IndexLink"/>
              </w:rPr>
              <w:t>168</w:t>
            </w:r>
          </w:hyperlink>
        </w:p>
        <w:p>
          <w:pPr>
            <w:pStyle w:val="Contents5"/>
            <w:tabs>
              <w:tab w:val="clear" w:pos="7892"/>
              <w:tab w:val="right" w:pos="9026" w:leader="dot"/>
            </w:tabs>
            <w:rPr/>
          </w:pPr>
          <w:hyperlink w:anchor="__RefHeading___Toc7070925_73709187">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7070927_73709187">
            <w:r>
              <w:rPr>
                <w:webHidden/>
                <w:rStyle w:val="IndexLink"/>
                <w:rtl w:val="true"/>
              </w:rPr>
              <w:t>كلمات اللغويين</w:t>
            </w:r>
            <w:r>
              <w:rPr>
                <w:rStyle w:val="IndexLink"/>
                <w:rtl w:val="true"/>
              </w:rPr>
              <w:tab/>
            </w:r>
            <w:r>
              <w:rPr>
                <w:rStyle w:val="IndexLink"/>
              </w:rPr>
              <w:t>170</w:t>
            </w:r>
          </w:hyperlink>
        </w:p>
        <w:p>
          <w:pPr>
            <w:pStyle w:val="Contents5"/>
            <w:tabs>
              <w:tab w:val="clear" w:pos="7892"/>
              <w:tab w:val="right" w:pos="9026" w:leader="dot"/>
            </w:tabs>
            <w:rPr/>
          </w:pPr>
          <w:hyperlink w:anchor="__RefHeading___Toc7070929_73709187">
            <w:r>
              <w:rPr>
                <w:webHidden/>
                <w:rStyle w:val="IndexLink"/>
                <w:rtl w:val="true"/>
              </w:rPr>
              <w:t>كلمات المفسّرين</w:t>
            </w:r>
            <w:r>
              <w:rPr>
                <w:rStyle w:val="IndexLink"/>
                <w:rtl w:val="true"/>
              </w:rPr>
              <w:tab/>
            </w:r>
            <w:r>
              <w:rPr>
                <w:rStyle w:val="IndexLink"/>
              </w:rPr>
              <w:t>170</w:t>
            </w:r>
          </w:hyperlink>
        </w:p>
        <w:p>
          <w:pPr>
            <w:pStyle w:val="Contents5"/>
            <w:tabs>
              <w:tab w:val="clear" w:pos="7892"/>
              <w:tab w:val="right" w:pos="9026" w:leader="dot"/>
            </w:tabs>
            <w:rPr/>
          </w:pPr>
          <w:hyperlink w:anchor="__RefHeading___Toc7070931_73709187">
            <w:r>
              <w:rPr>
                <w:webHidden/>
                <w:rStyle w:val="IndexLink"/>
                <w:rtl w:val="true"/>
              </w:rPr>
              <w:t>التعريف الصحيح للعبادة</w:t>
            </w:r>
            <w:r>
              <w:rPr>
                <w:rStyle w:val="IndexLink"/>
                <w:rtl w:val="true"/>
              </w:rPr>
              <w:tab/>
            </w:r>
            <w:r>
              <w:rPr>
                <w:rStyle w:val="IndexLink"/>
              </w:rPr>
              <w:t>171</w:t>
            </w:r>
          </w:hyperlink>
        </w:p>
        <w:p>
          <w:pPr>
            <w:pStyle w:val="Contents6"/>
            <w:tabs>
              <w:tab w:val="clear" w:pos="7609"/>
              <w:tab w:val="right" w:pos="9026" w:leader="dot"/>
            </w:tabs>
            <w:rPr/>
          </w:pPr>
          <w:hyperlink w:anchor="__RefHeading___Toc7070933_73709187">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7070935_73709187">
            <w:r>
              <w:rPr>
                <w:webHidden/>
                <w:rStyle w:val="IndexLink"/>
              </w:rPr>
              <w:t>1</w:t>
            </w:r>
            <w:r>
              <w:rPr>
                <w:rStyle w:val="IndexLink"/>
                <w:rtl w:val="true"/>
              </w:rPr>
              <w:t xml:space="preserve">. </w:t>
            </w:r>
            <w:r>
              <w:rPr>
                <w:rStyle w:val="IndexLink"/>
                <w:rtl w:val="true"/>
              </w:rPr>
              <w:t>العبادة هي الخضوع الناشئ عن الاعتقاد بأُلوهية المعبود</w:t>
            </w:r>
            <w:r>
              <w:rPr>
                <w:rStyle w:val="IndexLink"/>
                <w:rtl w:val="true"/>
              </w:rPr>
              <w:tab/>
            </w:r>
            <w:r>
              <w:rPr>
                <w:rStyle w:val="IndexLink"/>
              </w:rPr>
              <w:t>172</w:t>
            </w:r>
          </w:hyperlink>
        </w:p>
        <w:p>
          <w:pPr>
            <w:pStyle w:val="Contents6"/>
            <w:tabs>
              <w:tab w:val="clear" w:pos="7609"/>
              <w:tab w:val="right" w:pos="9026" w:leader="dot"/>
            </w:tabs>
            <w:rPr/>
          </w:pPr>
          <w:hyperlink w:anchor="__RefHeading___Toc7070937_73709187">
            <w:r>
              <w:rPr>
                <w:webHidden/>
                <w:rStyle w:val="IndexLink"/>
              </w:rPr>
              <w:t>2</w:t>
            </w:r>
            <w:r>
              <w:rPr>
                <w:rStyle w:val="IndexLink"/>
                <w:rtl w:val="true"/>
              </w:rPr>
              <w:t xml:space="preserve">. </w:t>
            </w:r>
            <w:r>
              <w:rPr>
                <w:rStyle w:val="IndexLink"/>
                <w:rtl w:val="true"/>
              </w:rPr>
              <w:t>العبادة</w:t>
            </w:r>
            <w:r>
              <w:rPr>
                <w:rStyle w:val="IndexLink"/>
                <w:rtl w:val="true"/>
              </w:rPr>
              <w:t xml:space="preserve">: </w:t>
            </w:r>
            <w:r>
              <w:rPr>
                <w:rStyle w:val="IndexLink"/>
                <w:rtl w:val="true"/>
              </w:rPr>
              <w:t>هي الخضوع لشيء على أنّه ربّ‌</w:t>
            </w:r>
            <w:r>
              <w:rPr>
                <w:rStyle w:val="IndexLink"/>
                <w:rtl w:val="true"/>
              </w:rPr>
              <w:tab/>
            </w:r>
            <w:r>
              <w:rPr>
                <w:rStyle w:val="IndexLink"/>
              </w:rPr>
              <w:t>172</w:t>
            </w:r>
          </w:hyperlink>
        </w:p>
        <w:p>
          <w:pPr>
            <w:pStyle w:val="Contents6"/>
            <w:tabs>
              <w:tab w:val="clear" w:pos="7609"/>
              <w:tab w:val="right" w:pos="9026" w:leader="dot"/>
            </w:tabs>
            <w:rPr/>
          </w:pPr>
          <w:hyperlink w:anchor="__RefHeading___Toc7070939_73709187">
            <w:r>
              <w:rPr>
                <w:webHidden/>
                <w:rStyle w:val="IndexLink"/>
              </w:rPr>
              <w:t>3</w:t>
            </w:r>
            <w:r>
              <w:rPr>
                <w:rStyle w:val="IndexLink"/>
                <w:rtl w:val="true"/>
              </w:rPr>
              <w:t xml:space="preserve">. </w:t>
            </w:r>
            <w:r>
              <w:rPr>
                <w:rStyle w:val="IndexLink"/>
                <w:rtl w:val="true"/>
              </w:rPr>
              <w:t>العبادة</w:t>
            </w:r>
            <w:r>
              <w:rPr>
                <w:rStyle w:val="IndexLink"/>
                <w:rtl w:val="true"/>
              </w:rPr>
              <w:t xml:space="preserve">: </w:t>
            </w:r>
            <w:r>
              <w:rPr>
                <w:rStyle w:val="IndexLink"/>
                <w:rtl w:val="true"/>
              </w:rPr>
              <w:t>هي الخضوع أمام من يعتقد بأنّه يملك شأناً من شؤون وجوده</w:t>
            </w:r>
            <w:r>
              <w:rPr>
                <w:rStyle w:val="IndexLink"/>
                <w:rtl w:val="true"/>
              </w:rPr>
              <w:tab/>
            </w:r>
            <w:r>
              <w:rPr>
                <w:rStyle w:val="IndexLink"/>
              </w:rPr>
              <w:t>173</w:t>
            </w:r>
          </w:hyperlink>
        </w:p>
        <w:p>
          <w:pPr>
            <w:pStyle w:val="Contents6"/>
            <w:tabs>
              <w:tab w:val="clear" w:pos="7609"/>
              <w:tab w:val="right" w:pos="9026" w:leader="dot"/>
            </w:tabs>
            <w:rPr/>
          </w:pPr>
          <w:hyperlink w:anchor="__RefHeading___Toc7070941_73709187">
            <w:r>
              <w:rPr>
                <w:webHidden/>
                <w:rStyle w:val="IndexLink"/>
              </w:rPr>
              <w:t>4</w:t>
            </w:r>
            <w:r>
              <w:rPr>
                <w:rStyle w:val="IndexLink"/>
                <w:rtl w:val="true"/>
              </w:rPr>
              <w:t xml:space="preserve">. </w:t>
            </w:r>
            <w:r>
              <w:rPr>
                <w:rStyle w:val="IndexLink"/>
                <w:rtl w:val="true"/>
              </w:rPr>
              <w:t>العبادة على رأي ابن عاشور</w:t>
            </w:r>
            <w:r>
              <w:rPr>
                <w:rStyle w:val="IndexLink"/>
                <w:rtl w:val="true"/>
              </w:rPr>
              <w:tab/>
            </w:r>
            <w:r>
              <w:rPr>
                <w:rStyle w:val="IndexLink"/>
              </w:rPr>
              <w:t>173</w:t>
            </w:r>
          </w:hyperlink>
        </w:p>
        <w:p>
          <w:pPr>
            <w:pStyle w:val="Contents5"/>
            <w:tabs>
              <w:tab w:val="clear" w:pos="7892"/>
              <w:tab w:val="right" w:pos="9026" w:leader="dot"/>
            </w:tabs>
            <w:rPr/>
          </w:pPr>
          <w:hyperlink w:anchor="__RefHeading___Toc7070943_73709187">
            <w:r>
              <w:rPr>
                <w:webHidden/>
                <w:rStyle w:val="IndexLink"/>
                <w:rtl w:val="true"/>
              </w:rPr>
              <w:t>دعاء الصالحين ليس عبادة لهم</w:t>
            </w:r>
            <w:r>
              <w:rPr>
                <w:rStyle w:val="IndexLink"/>
                <w:rtl w:val="true"/>
              </w:rPr>
              <w:tab/>
            </w:r>
            <w:r>
              <w:rPr>
                <w:rStyle w:val="IndexLink"/>
              </w:rPr>
              <w:t>173</w:t>
            </w:r>
          </w:hyperlink>
        </w:p>
        <w:p>
          <w:pPr>
            <w:pStyle w:val="Contents5"/>
            <w:tabs>
              <w:tab w:val="clear" w:pos="7892"/>
              <w:tab w:val="right" w:pos="9026" w:leader="dot"/>
            </w:tabs>
            <w:rPr/>
          </w:pPr>
          <w:hyperlink w:anchor="__RefHeading___Toc7070945_73709187">
            <w:r>
              <w:rPr>
                <w:webHidden/>
                <w:rStyle w:val="IndexLink"/>
                <w:rtl w:val="true"/>
              </w:rPr>
              <w:t>دعاء الصالحين في حديث النبي الأكرم صلى الله عليه و آله و سلم</w:t>
            </w:r>
            <w:r>
              <w:rPr>
                <w:rStyle w:val="IndexLink"/>
                <w:rtl w:val="true"/>
              </w:rPr>
              <w:tab/>
            </w:r>
            <w:r>
              <w:rPr>
                <w:rStyle w:val="IndexLink"/>
              </w:rPr>
              <w:t>175</w:t>
            </w:r>
          </w:hyperlink>
        </w:p>
        <w:p>
          <w:pPr>
            <w:pStyle w:val="Contents5"/>
            <w:tabs>
              <w:tab w:val="clear" w:pos="7892"/>
              <w:tab w:val="right" w:pos="9026" w:leader="dot"/>
            </w:tabs>
            <w:rPr/>
          </w:pPr>
          <w:hyperlink w:anchor="__RefHeading___Toc7070947_73709187">
            <w:r>
              <w:rPr>
                <w:webHidden/>
                <w:rStyle w:val="IndexLink"/>
                <w:rtl w:val="true"/>
              </w:rPr>
              <w:t>مفاد قولهم</w:t>
            </w:r>
            <w:r>
              <w:rPr>
                <w:rStyle w:val="IndexLink"/>
                <w:rtl w:val="true"/>
              </w:rPr>
              <w:t xml:space="preserve">: </w:t>
            </w:r>
            <w:r>
              <w:rPr>
                <w:rStyle w:val="IndexLink"/>
                <w:rtl w:val="true"/>
              </w:rPr>
              <w:t>الدعاء مُخّ العبادة</w:t>
            </w:r>
            <w:r>
              <w:rPr>
                <w:rStyle w:val="IndexLink"/>
                <w:rtl w:val="true"/>
              </w:rPr>
              <w:tab/>
            </w:r>
            <w:r>
              <w:rPr>
                <w:rStyle w:val="IndexLink"/>
              </w:rPr>
              <w:t>177</w:t>
            </w:r>
          </w:hyperlink>
        </w:p>
        <w:p>
          <w:pPr>
            <w:pStyle w:val="Contents5"/>
            <w:tabs>
              <w:tab w:val="clear" w:pos="7892"/>
              <w:tab w:val="right" w:pos="9026" w:leader="dot"/>
            </w:tabs>
            <w:rPr/>
          </w:pPr>
          <w:hyperlink w:anchor="__RefHeading___Toc7070949_73709187">
            <w:r>
              <w:rPr>
                <w:webHidden/>
                <w:rStyle w:val="IndexLink"/>
                <w:rtl w:val="true"/>
              </w:rPr>
              <w:t>البدعة مفهومها وحدّها</w:t>
            </w:r>
            <w:r>
              <w:rPr>
                <w:rStyle w:val="IndexLink"/>
                <w:rtl w:val="true"/>
              </w:rPr>
              <w:tab/>
            </w:r>
            <w:r>
              <w:rPr>
                <w:rStyle w:val="IndexLink"/>
              </w:rPr>
              <w:t>178</w:t>
            </w:r>
          </w:hyperlink>
        </w:p>
        <w:p>
          <w:pPr>
            <w:pStyle w:val="Contents6"/>
            <w:tabs>
              <w:tab w:val="clear" w:pos="7609"/>
              <w:tab w:val="right" w:pos="9026" w:leader="dot"/>
            </w:tabs>
            <w:rPr/>
          </w:pPr>
          <w:hyperlink w:anchor="__RefHeading___Toc7070951_73709187">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7070953_73709187">
            <w:r>
              <w:rPr>
                <w:webHidden/>
                <w:rStyle w:val="IndexLink"/>
                <w:rtl w:val="true"/>
              </w:rPr>
              <w:t>تعريف البدعة</w:t>
            </w:r>
            <w:r>
              <w:rPr>
                <w:rStyle w:val="IndexLink"/>
                <w:rtl w:val="true"/>
              </w:rPr>
              <w:tab/>
            </w:r>
            <w:r>
              <w:rPr>
                <w:rStyle w:val="IndexLink"/>
              </w:rPr>
              <w:t>178</w:t>
            </w:r>
          </w:hyperlink>
        </w:p>
        <w:p>
          <w:pPr>
            <w:pStyle w:val="Contents6"/>
            <w:tabs>
              <w:tab w:val="clear" w:pos="7609"/>
              <w:tab w:val="right" w:pos="9026" w:leader="dot"/>
            </w:tabs>
            <w:rPr/>
          </w:pPr>
          <w:hyperlink w:anchor="__RefHeading___Toc7070955_73709187">
            <w:r>
              <w:rPr>
                <w:webHidden/>
                <w:rStyle w:val="IndexLink"/>
                <w:rtl w:val="true"/>
              </w:rPr>
              <w:t>الإشاعة ودعوة الآخرين إلى ما أُحدث</w:t>
            </w:r>
            <w:r>
              <w:rPr>
                <w:rStyle w:val="IndexLink"/>
                <w:rtl w:val="true"/>
              </w:rPr>
              <w:tab/>
            </w:r>
            <w:r>
              <w:rPr>
                <w:rStyle w:val="IndexLink"/>
              </w:rPr>
              <w:t>182</w:t>
            </w:r>
          </w:hyperlink>
        </w:p>
        <w:p>
          <w:pPr>
            <w:pStyle w:val="Contents6"/>
            <w:tabs>
              <w:tab w:val="clear" w:pos="7609"/>
              <w:tab w:val="right" w:pos="9026" w:leader="dot"/>
            </w:tabs>
            <w:rPr/>
          </w:pPr>
          <w:hyperlink w:anchor="__RefHeading___Toc7070957_73709187">
            <w:r>
              <w:rPr>
                <w:webHidden/>
                <w:rStyle w:val="IndexLink"/>
                <w:rtl w:val="true"/>
              </w:rPr>
              <w:t>عدم وجود أصل لها في الكتاب والسنّة</w:t>
            </w:r>
            <w:r>
              <w:rPr>
                <w:rStyle w:val="IndexLink"/>
                <w:rtl w:val="true"/>
              </w:rPr>
              <w:tab/>
            </w:r>
            <w:r>
              <w:rPr>
                <w:rStyle w:val="IndexLink"/>
              </w:rPr>
              <w:t>183</w:t>
            </w:r>
          </w:hyperlink>
        </w:p>
        <w:p>
          <w:pPr>
            <w:pStyle w:val="Contents6"/>
            <w:tabs>
              <w:tab w:val="clear" w:pos="7609"/>
              <w:tab w:val="right" w:pos="9026" w:leader="dot"/>
            </w:tabs>
            <w:rPr/>
          </w:pPr>
          <w:hyperlink w:anchor="__RefHeading___Toc7070959_73709187">
            <w:r>
              <w:rPr>
                <w:webHidden/>
                <w:rStyle w:val="IndexLink"/>
              </w:rPr>
              <w:t>4</w:t>
            </w:r>
            <w:r>
              <w:rPr>
                <w:rStyle w:val="IndexLink"/>
                <w:rtl w:val="true"/>
              </w:rPr>
              <w:t xml:space="preserve">. </w:t>
            </w:r>
            <w:r>
              <w:rPr>
                <w:rStyle w:val="IndexLink"/>
                <w:rtl w:val="true"/>
              </w:rPr>
              <w:t>شدّ الرحال لزيارة قبر النبي صلى الله عليه و آله و سلم</w:t>
            </w:r>
            <w:r>
              <w:rPr>
                <w:rStyle w:val="IndexLink"/>
                <w:rtl w:val="true"/>
              </w:rPr>
              <w:tab/>
            </w:r>
            <w:r>
              <w:rPr>
                <w:rStyle w:val="IndexLink"/>
              </w:rPr>
              <w:t>186</w:t>
            </w:r>
          </w:hyperlink>
        </w:p>
        <w:p>
          <w:pPr>
            <w:pStyle w:val="Contents6"/>
            <w:tabs>
              <w:tab w:val="clear" w:pos="7609"/>
              <w:tab w:val="right" w:pos="9026" w:leader="dot"/>
            </w:tabs>
            <w:rPr/>
          </w:pPr>
          <w:hyperlink w:anchor="__RefHeading___Toc7070961_73709187">
            <w:r>
              <w:rPr>
                <w:webHidden/>
                <w:rStyle w:val="IndexLink"/>
              </w:rPr>
              <w:t>5</w:t>
            </w:r>
            <w:r>
              <w:rPr>
                <w:rStyle w:val="IndexLink"/>
                <w:rtl w:val="true"/>
              </w:rPr>
              <w:t xml:space="preserve">. </w:t>
            </w:r>
            <w:r>
              <w:rPr>
                <w:rStyle w:val="IndexLink"/>
                <w:rtl w:val="true"/>
              </w:rPr>
              <w:t>قبض اليد اليمنى باليسرى في الصلاة</w:t>
            </w:r>
            <w:r>
              <w:rPr>
                <w:rStyle w:val="IndexLink"/>
                <w:rtl w:val="true"/>
              </w:rPr>
              <w:tab/>
            </w:r>
            <w:r>
              <w:rPr>
                <w:rStyle w:val="IndexLink"/>
              </w:rPr>
              <w:t>188</w:t>
            </w:r>
          </w:hyperlink>
        </w:p>
        <w:p>
          <w:pPr>
            <w:pStyle w:val="Contents4"/>
            <w:tabs>
              <w:tab w:val="clear" w:pos="8176"/>
              <w:tab w:val="right" w:pos="9026" w:leader="dot"/>
            </w:tabs>
            <w:rPr/>
          </w:pPr>
          <w:hyperlink w:anchor="__RefHeading___Toc7070963_73709187">
            <w:r>
              <w:rPr>
                <w:webHidden/>
                <w:rStyle w:val="IndexLink"/>
                <w:rtl w:val="true"/>
              </w:rPr>
              <w:t>الفصل السادس</w:t>
            </w:r>
            <w:r>
              <w:rPr>
                <w:rStyle w:val="IndexLink"/>
                <w:rtl w:val="true"/>
              </w:rPr>
              <w:t xml:space="preserve">: </w:t>
            </w:r>
            <w:r>
              <w:rPr>
                <w:rStyle w:val="IndexLink"/>
                <w:rtl w:val="true"/>
              </w:rPr>
              <w:t>ما هو ملاك الكفر والإيمان‌؟</w:t>
            </w:r>
            <w:r>
              <w:rPr>
                <w:rStyle w:val="IndexLink"/>
                <w:rtl w:val="true"/>
              </w:rPr>
              <w:tab/>
            </w:r>
            <w:r>
              <w:rPr>
                <w:rStyle w:val="IndexLink"/>
              </w:rPr>
              <w:t>189</w:t>
            </w:r>
          </w:hyperlink>
        </w:p>
        <w:p>
          <w:pPr>
            <w:pStyle w:val="Contents5"/>
            <w:tabs>
              <w:tab w:val="clear" w:pos="7892"/>
              <w:tab w:val="right" w:pos="9026" w:leader="dot"/>
            </w:tabs>
            <w:rPr/>
          </w:pPr>
          <w:hyperlink w:anchor="__RefHeading___Toc7070965_73709187">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7070967_73709187">
            <w:r>
              <w:rPr>
                <w:webHidden/>
                <w:rStyle w:val="IndexLink"/>
                <w:rtl w:val="true"/>
              </w:rPr>
              <w:t>ما يجب الإيمان به تفصيلاً</w:t>
            </w:r>
            <w:r>
              <w:rPr>
                <w:rStyle w:val="IndexLink"/>
                <w:rtl w:val="true"/>
              </w:rPr>
              <w:tab/>
            </w:r>
            <w:r>
              <w:rPr>
                <w:rStyle w:val="IndexLink"/>
              </w:rPr>
              <w:t>190</w:t>
            </w:r>
          </w:hyperlink>
        </w:p>
        <w:p>
          <w:pPr>
            <w:pStyle w:val="Contents5"/>
            <w:tabs>
              <w:tab w:val="clear" w:pos="7892"/>
              <w:tab w:val="right" w:pos="9026" w:leader="dot"/>
            </w:tabs>
            <w:rPr/>
          </w:pPr>
          <w:hyperlink w:anchor="__RefHeading___Toc7070969_73709187">
            <w:r>
              <w:rPr>
                <w:webHidden/>
                <w:rStyle w:val="IndexLink"/>
                <w:rtl w:val="true"/>
              </w:rPr>
              <w:t>المرونة في قبول الإسلام</w:t>
            </w:r>
            <w:r>
              <w:rPr>
                <w:rStyle w:val="IndexLink"/>
                <w:rtl w:val="true"/>
              </w:rPr>
              <w:tab/>
            </w:r>
            <w:r>
              <w:rPr>
                <w:rStyle w:val="IndexLink"/>
              </w:rPr>
              <w:t>195</w:t>
            </w:r>
          </w:hyperlink>
        </w:p>
        <w:p>
          <w:pPr>
            <w:pStyle w:val="Contents6"/>
            <w:tabs>
              <w:tab w:val="clear" w:pos="7609"/>
              <w:tab w:val="right" w:pos="9026" w:leader="dot"/>
            </w:tabs>
            <w:rPr/>
          </w:pPr>
          <w:hyperlink w:anchor="__RefHeading___Toc7070971_73709187">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7070973_73709187">
            <w:r>
              <w:rPr>
                <w:webHidden/>
                <w:rStyle w:val="IndexLink"/>
              </w:rPr>
              <w:t>1</w:t>
            </w:r>
            <w:r>
              <w:rPr>
                <w:rStyle w:val="IndexLink"/>
                <w:rtl w:val="true"/>
              </w:rPr>
              <w:t xml:space="preserve">. </w:t>
            </w:r>
            <w:r>
              <w:rPr>
                <w:rStyle w:val="IndexLink"/>
                <w:rtl w:val="true"/>
              </w:rPr>
              <w:t>الإيمان بخلافة الخلفاء</w:t>
            </w:r>
            <w:r>
              <w:rPr>
                <w:rStyle w:val="IndexLink"/>
                <w:rtl w:val="true"/>
              </w:rPr>
              <w:tab/>
            </w:r>
            <w:r>
              <w:rPr>
                <w:rStyle w:val="IndexLink"/>
              </w:rPr>
              <w:t>197</w:t>
            </w:r>
          </w:hyperlink>
        </w:p>
        <w:p>
          <w:pPr>
            <w:pStyle w:val="Contents6"/>
            <w:tabs>
              <w:tab w:val="clear" w:pos="7609"/>
              <w:tab w:val="right" w:pos="9026" w:leader="dot"/>
            </w:tabs>
            <w:rPr/>
          </w:pPr>
          <w:hyperlink w:anchor="__RefHeading___Toc7070975_73709187">
            <w:r>
              <w:rPr>
                <w:webHidden/>
                <w:rStyle w:val="IndexLink"/>
              </w:rPr>
              <w:t>2</w:t>
            </w:r>
            <w:r>
              <w:rPr>
                <w:rStyle w:val="IndexLink"/>
                <w:rtl w:val="true"/>
              </w:rPr>
              <w:t xml:space="preserve">. </w:t>
            </w:r>
            <w:r>
              <w:rPr>
                <w:rStyle w:val="IndexLink"/>
                <w:rtl w:val="true"/>
              </w:rPr>
              <w:t>علم الأئمة عليهم السلام بالغيب</w:t>
            </w:r>
            <w:r>
              <w:rPr>
                <w:rStyle w:val="IndexLink"/>
                <w:rtl w:val="true"/>
              </w:rPr>
              <w:tab/>
            </w:r>
            <w:r>
              <w:rPr>
                <w:rStyle w:val="IndexLink"/>
              </w:rPr>
              <w:t>198</w:t>
            </w:r>
          </w:hyperlink>
        </w:p>
        <w:p>
          <w:pPr>
            <w:pStyle w:val="Contents6"/>
            <w:tabs>
              <w:tab w:val="clear" w:pos="7609"/>
              <w:tab w:val="right" w:pos="9026" w:leader="dot"/>
            </w:tabs>
            <w:rPr/>
          </w:pPr>
          <w:hyperlink w:anchor="__RefHeading___Toc7070977_73709187">
            <w:r>
              <w:rPr>
                <w:webHidden/>
                <w:rStyle w:val="IndexLink"/>
              </w:rPr>
              <w:t>3</w:t>
            </w:r>
            <w:r>
              <w:rPr>
                <w:rStyle w:val="IndexLink"/>
                <w:rtl w:val="true"/>
              </w:rPr>
              <w:t xml:space="preserve">. </w:t>
            </w:r>
            <w:r>
              <w:rPr>
                <w:rStyle w:val="IndexLink"/>
                <w:rtl w:val="true"/>
              </w:rPr>
              <w:t>التقيّة من المسلم</w:t>
            </w:r>
            <w:r>
              <w:rPr>
                <w:rStyle w:val="IndexLink"/>
                <w:rtl w:val="true"/>
              </w:rPr>
              <w:tab/>
            </w:r>
            <w:r>
              <w:rPr>
                <w:rStyle w:val="IndexLink"/>
              </w:rPr>
              <w:t>198</w:t>
            </w:r>
          </w:hyperlink>
        </w:p>
        <w:p>
          <w:pPr>
            <w:pStyle w:val="Contents6"/>
            <w:tabs>
              <w:tab w:val="clear" w:pos="7609"/>
              <w:tab w:val="right" w:pos="9026" w:leader="dot"/>
            </w:tabs>
            <w:rPr/>
          </w:pPr>
          <w:hyperlink w:anchor="__RefHeading___Toc7070979_73709187">
            <w:r>
              <w:rPr>
                <w:webHidden/>
                <w:rStyle w:val="IndexLink"/>
              </w:rPr>
              <w:t>4</w:t>
            </w:r>
            <w:r>
              <w:rPr>
                <w:rStyle w:val="IndexLink"/>
                <w:rtl w:val="true"/>
              </w:rPr>
              <w:t xml:space="preserve">. </w:t>
            </w:r>
            <w:r>
              <w:rPr>
                <w:rStyle w:val="IndexLink"/>
                <w:rtl w:val="true"/>
              </w:rPr>
              <w:t>تكفير الصحابة</w:t>
            </w:r>
            <w:r>
              <w:rPr>
                <w:rStyle w:val="IndexLink"/>
                <w:rtl w:val="true"/>
              </w:rPr>
              <w:tab/>
            </w:r>
            <w:r>
              <w:rPr>
                <w:rStyle w:val="IndexLink"/>
              </w:rPr>
              <w:t>200</w:t>
            </w:r>
          </w:hyperlink>
        </w:p>
        <w:p>
          <w:pPr>
            <w:pStyle w:val="Contents5"/>
            <w:tabs>
              <w:tab w:val="clear" w:pos="7892"/>
              <w:tab w:val="right" w:pos="9026" w:leader="dot"/>
            </w:tabs>
            <w:rPr/>
          </w:pPr>
          <w:hyperlink w:anchor="__RefHeading___Toc7070981_73709187">
            <w:r>
              <w:rPr>
                <w:webHidden/>
                <w:rStyle w:val="IndexLink"/>
                <w:rtl w:val="true"/>
              </w:rPr>
              <w:t>بيان واقتراح</w:t>
            </w:r>
            <w:r>
              <w:rPr>
                <w:rStyle w:val="IndexLink"/>
                <w:rtl w:val="true"/>
              </w:rPr>
              <w:tab/>
            </w:r>
            <w:r>
              <w:rPr>
                <w:rStyle w:val="IndexLink"/>
              </w:rPr>
              <w:t>202</w:t>
            </w:r>
          </w:hyperlink>
        </w:p>
        <w:p>
          <w:pPr>
            <w:pStyle w:val="Contents3"/>
            <w:tabs>
              <w:tab w:val="clear" w:pos="8459"/>
              <w:tab w:val="right" w:pos="9026" w:leader="dot"/>
            </w:tabs>
            <w:rPr/>
          </w:pPr>
          <w:hyperlink w:anchor="__RefHeading___Toc7070983_73709187">
            <w:r>
              <w:rPr>
                <w:webHidden/>
                <w:rStyle w:val="IndexLink"/>
              </w:rPr>
              <w:t>11</w:t>
            </w:r>
            <w:r>
              <w:rPr>
                <w:rStyle w:val="IndexLink"/>
                <w:rtl w:val="true"/>
              </w:rPr>
              <w:t xml:space="preserve">. </w:t>
            </w:r>
            <w:r>
              <w:rPr>
                <w:rStyle w:val="IndexLink"/>
                <w:rtl w:val="true"/>
              </w:rPr>
              <w:t>البهائية وتحريف الآية الخامسة من سورة السجدة</w:t>
            </w:r>
            <w:r>
              <w:rPr>
                <w:rStyle w:val="IndexLink"/>
                <w:rtl w:val="true"/>
              </w:rPr>
              <w:tab/>
            </w:r>
            <w:r>
              <w:rPr>
                <w:rStyle w:val="IndexLink"/>
              </w:rPr>
              <w:t>205</w:t>
            </w:r>
          </w:hyperlink>
        </w:p>
        <w:p>
          <w:pPr>
            <w:pStyle w:val="Contents4"/>
            <w:tabs>
              <w:tab w:val="clear" w:pos="8176"/>
              <w:tab w:val="right" w:pos="9026" w:leader="dot"/>
            </w:tabs>
            <w:rPr/>
          </w:pPr>
          <w:hyperlink w:anchor="__RefHeading___Toc7070985_73709187">
            <w:r>
              <w:rPr>
                <w:webHidden/>
                <w:rStyle w:val="IndexLink"/>
                <w:rtl w:val="true"/>
              </w:rPr>
              <w:t>تحريف مفاد الآية</w:t>
            </w:r>
            <w:r>
              <w:rPr>
                <w:rStyle w:val="IndexLink"/>
                <w:rtl w:val="true"/>
              </w:rPr>
              <w:tab/>
            </w:r>
            <w:r>
              <w:rPr>
                <w:rStyle w:val="IndexLink"/>
              </w:rPr>
              <w:t>205</w:t>
            </w:r>
          </w:hyperlink>
        </w:p>
        <w:p>
          <w:pPr>
            <w:pStyle w:val="Contents2"/>
            <w:tabs>
              <w:tab w:val="clear" w:pos="8743"/>
              <w:tab w:val="right" w:pos="9026" w:leader="dot"/>
            </w:tabs>
            <w:rPr/>
          </w:pPr>
          <w:hyperlink w:anchor="__RefHeading___Toc7070987_73709187">
            <w:r>
              <w:rPr>
                <w:webHidden/>
                <w:rStyle w:val="IndexLink"/>
                <w:rtl w:val="true"/>
              </w:rPr>
              <w:t>الفصل الثاني مقالات في الأُصول والفقه والرجال</w:t>
            </w:r>
            <w:r>
              <w:rPr>
                <w:rStyle w:val="IndexLink"/>
                <w:rtl w:val="true"/>
              </w:rPr>
              <w:tab/>
            </w:r>
            <w:r>
              <w:rPr>
                <w:rStyle w:val="IndexLink"/>
              </w:rPr>
              <w:t>209</w:t>
            </w:r>
          </w:hyperlink>
        </w:p>
        <w:p>
          <w:pPr>
            <w:pStyle w:val="Contents3"/>
            <w:tabs>
              <w:tab w:val="clear" w:pos="8459"/>
              <w:tab w:val="right" w:pos="9026" w:leader="dot"/>
            </w:tabs>
            <w:rPr/>
          </w:pPr>
          <w:hyperlink w:anchor="__RefHeading___Toc7070989_73709187">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7070991_73709187">
            <w:r>
              <w:rPr>
                <w:webHidden/>
                <w:rStyle w:val="IndexLink"/>
              </w:rPr>
              <w:t>1</w:t>
            </w:r>
            <w:r>
              <w:rPr>
                <w:rStyle w:val="IndexLink"/>
                <w:rtl w:val="true"/>
              </w:rPr>
              <w:t xml:space="preserve">. </w:t>
            </w:r>
            <w:r>
              <w:rPr>
                <w:rStyle w:val="IndexLink"/>
                <w:rtl w:val="true"/>
              </w:rPr>
              <w:t>فلسفة أُصول الفقه</w:t>
            </w:r>
            <w:r>
              <w:rPr>
                <w:rStyle w:val="IndexLink"/>
                <w:rtl w:val="true"/>
              </w:rPr>
              <w:tab/>
            </w:r>
            <w:r>
              <w:rPr>
                <w:rStyle w:val="IndexLink"/>
              </w:rPr>
              <w:t>210</w:t>
            </w:r>
          </w:hyperlink>
        </w:p>
        <w:p>
          <w:pPr>
            <w:pStyle w:val="Contents4"/>
            <w:tabs>
              <w:tab w:val="clear" w:pos="8176"/>
              <w:tab w:val="right" w:pos="9026" w:leader="dot"/>
            </w:tabs>
            <w:rPr/>
          </w:pPr>
          <w:hyperlink w:anchor="__RefHeading___Toc7070993_73709187">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7070995_73709187">
            <w:r>
              <w:rPr>
                <w:webHidden/>
                <w:rStyle w:val="IndexLink"/>
                <w:rtl w:val="true"/>
              </w:rPr>
              <w:t>الأوّل</w:t>
            </w:r>
            <w:r>
              <w:rPr>
                <w:rStyle w:val="IndexLink"/>
                <w:rtl w:val="true"/>
              </w:rPr>
              <w:t xml:space="preserve">: </w:t>
            </w:r>
            <w:r>
              <w:rPr>
                <w:rStyle w:val="IndexLink"/>
                <w:rtl w:val="true"/>
              </w:rPr>
              <w:t>ما هي الغاية من تأسيس علم أُصول الفقه‌؟</w:t>
            </w:r>
            <w:r>
              <w:rPr>
                <w:rStyle w:val="IndexLink"/>
                <w:rtl w:val="true"/>
              </w:rPr>
              <w:tab/>
            </w:r>
            <w:r>
              <w:rPr>
                <w:rStyle w:val="IndexLink"/>
              </w:rPr>
              <w:t>212</w:t>
            </w:r>
          </w:hyperlink>
        </w:p>
        <w:p>
          <w:pPr>
            <w:pStyle w:val="Contents4"/>
            <w:tabs>
              <w:tab w:val="clear" w:pos="8176"/>
              <w:tab w:val="right" w:pos="9026" w:leader="dot"/>
            </w:tabs>
            <w:rPr/>
          </w:pPr>
          <w:hyperlink w:anchor="__RefHeading___Toc7070997_73709187">
            <w:r>
              <w:rPr>
                <w:webHidden/>
                <w:rStyle w:val="IndexLink"/>
                <w:rtl w:val="true"/>
              </w:rPr>
              <w:t>الثاني</w:t>
            </w:r>
            <w:r>
              <w:rPr>
                <w:rStyle w:val="IndexLink"/>
                <w:rtl w:val="true"/>
              </w:rPr>
              <w:t xml:space="preserve">: </w:t>
            </w:r>
            <w:r>
              <w:rPr>
                <w:rStyle w:val="IndexLink"/>
                <w:rtl w:val="true"/>
              </w:rPr>
              <w:t>الأُسس الّتي بُني عليها علم أُصول الفقه</w:t>
            </w:r>
            <w:r>
              <w:rPr>
                <w:rStyle w:val="IndexLink"/>
                <w:rtl w:val="true"/>
              </w:rPr>
              <w:tab/>
            </w:r>
            <w:r>
              <w:rPr>
                <w:rStyle w:val="IndexLink"/>
              </w:rPr>
              <w:t>213</w:t>
            </w:r>
          </w:hyperlink>
        </w:p>
        <w:p>
          <w:pPr>
            <w:pStyle w:val="Contents5"/>
            <w:tabs>
              <w:tab w:val="clear" w:pos="7892"/>
              <w:tab w:val="right" w:pos="9026" w:leader="dot"/>
            </w:tabs>
            <w:rPr/>
          </w:pPr>
          <w:hyperlink w:anchor="__RefHeading___Toc7070999_73709187">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7071001_73709187">
            <w:r>
              <w:rPr>
                <w:webHidden/>
                <w:rStyle w:val="IndexLink"/>
                <w:rtl w:val="true"/>
              </w:rPr>
              <w:t>أ</w:t>
            </w:r>
            <w:r>
              <w:rPr>
                <w:rStyle w:val="IndexLink"/>
                <w:rtl w:val="true"/>
              </w:rPr>
              <w:t xml:space="preserve">. </w:t>
            </w:r>
            <w:r>
              <w:rPr>
                <w:rStyle w:val="IndexLink"/>
                <w:rtl w:val="true"/>
              </w:rPr>
              <w:t>المداليل اللغوية</w:t>
            </w:r>
            <w:r>
              <w:rPr>
                <w:rStyle w:val="IndexLink"/>
                <w:rtl w:val="true"/>
              </w:rPr>
              <w:tab/>
            </w:r>
            <w:r>
              <w:rPr>
                <w:rStyle w:val="IndexLink"/>
              </w:rPr>
              <w:t>213</w:t>
            </w:r>
          </w:hyperlink>
        </w:p>
        <w:p>
          <w:pPr>
            <w:pStyle w:val="Contents5"/>
            <w:tabs>
              <w:tab w:val="clear" w:pos="7892"/>
              <w:tab w:val="right" w:pos="9026" w:leader="dot"/>
            </w:tabs>
            <w:rPr/>
          </w:pPr>
          <w:hyperlink w:anchor="__RefHeading___Toc7071003_73709187">
            <w:r>
              <w:rPr>
                <w:webHidden/>
                <w:rStyle w:val="IndexLink"/>
                <w:rtl w:val="true"/>
              </w:rPr>
              <w:t>ب</w:t>
            </w:r>
            <w:r>
              <w:rPr>
                <w:rStyle w:val="IndexLink"/>
                <w:rtl w:val="true"/>
              </w:rPr>
              <w:t xml:space="preserve">. </w:t>
            </w:r>
            <w:r>
              <w:rPr>
                <w:rStyle w:val="IndexLink"/>
                <w:rtl w:val="true"/>
              </w:rPr>
              <w:t>حكم العقل النظري في باب الملازمات</w:t>
            </w:r>
            <w:r>
              <w:rPr>
                <w:rStyle w:val="IndexLink"/>
                <w:rtl w:val="true"/>
              </w:rPr>
              <w:tab/>
            </w:r>
            <w:r>
              <w:rPr>
                <w:rStyle w:val="IndexLink"/>
              </w:rPr>
              <w:t>213</w:t>
            </w:r>
          </w:hyperlink>
        </w:p>
        <w:p>
          <w:pPr>
            <w:pStyle w:val="Contents5"/>
            <w:tabs>
              <w:tab w:val="clear" w:pos="7892"/>
              <w:tab w:val="right" w:pos="9026" w:leader="dot"/>
            </w:tabs>
            <w:rPr/>
          </w:pPr>
          <w:hyperlink w:anchor="__RefHeading___Toc7071005_73709187">
            <w:r>
              <w:rPr>
                <w:webHidden/>
                <w:rStyle w:val="IndexLink"/>
                <w:rtl w:val="true"/>
              </w:rPr>
              <w:t>ج</w:t>
            </w:r>
            <w:r>
              <w:rPr>
                <w:rStyle w:val="IndexLink"/>
                <w:rtl w:val="true"/>
              </w:rPr>
              <w:t xml:space="preserve">. </w:t>
            </w:r>
            <w:r>
              <w:rPr>
                <w:rStyle w:val="IndexLink"/>
                <w:rtl w:val="true"/>
              </w:rPr>
              <w:t>الأحكام البديهيّة للعقل النظري</w:t>
            </w:r>
            <w:r>
              <w:rPr>
                <w:rStyle w:val="IndexLink"/>
                <w:rtl w:val="true"/>
              </w:rPr>
              <w:tab/>
            </w:r>
            <w:r>
              <w:rPr>
                <w:rStyle w:val="IndexLink"/>
              </w:rPr>
              <w:t>214</w:t>
            </w:r>
          </w:hyperlink>
        </w:p>
        <w:p>
          <w:pPr>
            <w:pStyle w:val="Contents5"/>
            <w:tabs>
              <w:tab w:val="clear" w:pos="7892"/>
              <w:tab w:val="right" w:pos="9026" w:leader="dot"/>
            </w:tabs>
            <w:rPr/>
          </w:pPr>
          <w:hyperlink w:anchor="__RefHeading___Toc7071007_73709187">
            <w:r>
              <w:rPr>
                <w:webHidden/>
                <w:rStyle w:val="IndexLink"/>
                <w:rtl w:val="true"/>
              </w:rPr>
              <w:t>د</w:t>
            </w:r>
            <w:r>
              <w:rPr>
                <w:rStyle w:val="IndexLink"/>
                <w:rtl w:val="true"/>
              </w:rPr>
              <w:t xml:space="preserve">. </w:t>
            </w:r>
            <w:r>
              <w:rPr>
                <w:rStyle w:val="IndexLink"/>
                <w:rtl w:val="true"/>
              </w:rPr>
              <w:t>حكم العقل العملي في باب التحسين والتقبيح</w:t>
            </w:r>
            <w:r>
              <w:rPr>
                <w:rStyle w:val="IndexLink"/>
                <w:rtl w:val="true"/>
              </w:rPr>
              <w:tab/>
            </w:r>
            <w:r>
              <w:rPr>
                <w:rStyle w:val="IndexLink"/>
              </w:rPr>
              <w:t>214</w:t>
            </w:r>
          </w:hyperlink>
        </w:p>
        <w:p>
          <w:pPr>
            <w:pStyle w:val="Contents5"/>
            <w:tabs>
              <w:tab w:val="clear" w:pos="7892"/>
              <w:tab w:val="right" w:pos="9026" w:leader="dot"/>
            </w:tabs>
            <w:rPr/>
          </w:pPr>
          <w:hyperlink w:anchor="__RefHeading___Toc7071009_73709187">
            <w:r>
              <w:rPr>
                <w:webHidden/>
                <w:rStyle w:val="IndexLink"/>
                <w:rtl w:val="true"/>
              </w:rPr>
              <w:t>ه‍</w:t>
            </w:r>
            <w:r>
              <w:rPr>
                <w:rStyle w:val="IndexLink"/>
                <w:rtl w:val="true"/>
              </w:rPr>
              <w:t xml:space="preserve">. </w:t>
            </w:r>
            <w:r>
              <w:rPr>
                <w:rStyle w:val="IndexLink"/>
                <w:rtl w:val="true"/>
              </w:rPr>
              <w:t>سيرة العقلاء</w:t>
            </w:r>
            <w:r>
              <w:rPr>
                <w:rStyle w:val="IndexLink"/>
                <w:rtl w:val="true"/>
              </w:rPr>
              <w:tab/>
            </w:r>
            <w:r>
              <w:rPr>
                <w:rStyle w:val="IndexLink"/>
              </w:rPr>
              <w:t>214</w:t>
            </w:r>
          </w:hyperlink>
        </w:p>
        <w:p>
          <w:pPr>
            <w:pStyle w:val="Contents5"/>
            <w:tabs>
              <w:tab w:val="clear" w:pos="7892"/>
              <w:tab w:val="right" w:pos="9026" w:leader="dot"/>
            </w:tabs>
            <w:rPr/>
          </w:pPr>
          <w:hyperlink w:anchor="__RefHeading___Toc7071011_73709187">
            <w:r>
              <w:rPr>
                <w:webHidden/>
                <w:rStyle w:val="IndexLink"/>
                <w:rtl w:val="true"/>
              </w:rPr>
              <w:t>و</w:t>
            </w:r>
            <w:r>
              <w:rPr>
                <w:rStyle w:val="IndexLink"/>
                <w:rtl w:val="true"/>
              </w:rPr>
              <w:t xml:space="preserve">. </w:t>
            </w:r>
            <w:r>
              <w:rPr>
                <w:rStyle w:val="IndexLink"/>
                <w:rtl w:val="true"/>
              </w:rPr>
              <w:t>كتاب اللّه العزيز</w:t>
            </w:r>
            <w:r>
              <w:rPr>
                <w:rStyle w:val="IndexLink"/>
                <w:rtl w:val="true"/>
              </w:rPr>
              <w:tab/>
            </w:r>
            <w:r>
              <w:rPr>
                <w:rStyle w:val="IndexLink"/>
              </w:rPr>
              <w:t>215</w:t>
            </w:r>
          </w:hyperlink>
        </w:p>
        <w:p>
          <w:pPr>
            <w:pStyle w:val="Contents5"/>
            <w:tabs>
              <w:tab w:val="clear" w:pos="7892"/>
              <w:tab w:val="right" w:pos="9026" w:leader="dot"/>
            </w:tabs>
            <w:rPr/>
          </w:pPr>
          <w:hyperlink w:anchor="__RefHeading___Toc7071013_73709187">
            <w:r>
              <w:rPr>
                <w:webHidden/>
                <w:rStyle w:val="IndexLink"/>
                <w:rtl w:val="true"/>
              </w:rPr>
              <w:t>ز</w:t>
            </w:r>
            <w:r>
              <w:rPr>
                <w:rStyle w:val="IndexLink"/>
                <w:rtl w:val="true"/>
              </w:rPr>
              <w:t xml:space="preserve">. </w:t>
            </w:r>
            <w:r>
              <w:rPr>
                <w:rStyle w:val="IndexLink"/>
                <w:rtl w:val="true"/>
              </w:rPr>
              <w:t>السنّة الشريفة</w:t>
            </w:r>
            <w:r>
              <w:rPr>
                <w:rStyle w:val="IndexLink"/>
                <w:rtl w:val="true"/>
              </w:rPr>
              <w:tab/>
            </w:r>
            <w:r>
              <w:rPr>
                <w:rStyle w:val="IndexLink"/>
              </w:rPr>
              <w:t>215</w:t>
            </w:r>
          </w:hyperlink>
        </w:p>
        <w:p>
          <w:pPr>
            <w:pStyle w:val="Contents6"/>
            <w:tabs>
              <w:tab w:val="clear" w:pos="7609"/>
              <w:tab w:val="right" w:pos="9026" w:leader="dot"/>
            </w:tabs>
            <w:rPr/>
          </w:pPr>
          <w:hyperlink w:anchor="__RefHeading___Toc7071015_73709187">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7071017_73709187">
            <w:r>
              <w:rPr>
                <w:webHidden/>
                <w:rStyle w:val="IndexLink"/>
              </w:rPr>
              <w:t>1</w:t>
            </w:r>
            <w:r>
              <w:rPr>
                <w:rStyle w:val="IndexLink"/>
                <w:rtl w:val="true"/>
              </w:rPr>
              <w:t xml:space="preserve">. </w:t>
            </w:r>
            <w:r>
              <w:rPr>
                <w:rStyle w:val="IndexLink"/>
                <w:rtl w:val="true"/>
              </w:rPr>
              <w:t>الاستصحاب</w:t>
            </w:r>
            <w:r>
              <w:rPr>
                <w:rStyle w:val="IndexLink"/>
                <w:rtl w:val="true"/>
              </w:rPr>
              <w:tab/>
            </w:r>
            <w:r>
              <w:rPr>
                <w:rStyle w:val="IndexLink"/>
              </w:rPr>
              <w:t>215</w:t>
            </w:r>
          </w:hyperlink>
        </w:p>
        <w:p>
          <w:pPr>
            <w:pStyle w:val="Contents6"/>
            <w:tabs>
              <w:tab w:val="clear" w:pos="7609"/>
              <w:tab w:val="right" w:pos="9026" w:leader="dot"/>
            </w:tabs>
            <w:rPr/>
          </w:pPr>
          <w:hyperlink w:anchor="__RefHeading___Toc7071019_73709187">
            <w:r>
              <w:rPr>
                <w:webHidden/>
                <w:rStyle w:val="IndexLink"/>
              </w:rPr>
              <w:t>2</w:t>
            </w:r>
            <w:r>
              <w:rPr>
                <w:rStyle w:val="IndexLink"/>
                <w:rtl w:val="true"/>
              </w:rPr>
              <w:t xml:space="preserve">. </w:t>
            </w:r>
            <w:r>
              <w:rPr>
                <w:rStyle w:val="IndexLink"/>
                <w:rtl w:val="true"/>
              </w:rPr>
              <w:t>مرجّحات باب التعارض</w:t>
            </w:r>
            <w:r>
              <w:rPr>
                <w:rStyle w:val="IndexLink"/>
                <w:rtl w:val="true"/>
              </w:rPr>
              <w:tab/>
            </w:r>
            <w:r>
              <w:rPr>
                <w:rStyle w:val="IndexLink"/>
              </w:rPr>
              <w:t>215</w:t>
            </w:r>
          </w:hyperlink>
        </w:p>
        <w:p>
          <w:pPr>
            <w:pStyle w:val="Contents4"/>
            <w:tabs>
              <w:tab w:val="clear" w:pos="8176"/>
              <w:tab w:val="right" w:pos="9026" w:leader="dot"/>
            </w:tabs>
            <w:rPr/>
          </w:pPr>
          <w:hyperlink w:anchor="__RefHeading___Toc7071021_73709187">
            <w:r>
              <w:rPr>
                <w:webHidden/>
                <w:rStyle w:val="IndexLink"/>
                <w:rtl w:val="true"/>
              </w:rPr>
              <w:t>الثالث</w:t>
            </w:r>
            <w:r>
              <w:rPr>
                <w:rStyle w:val="IndexLink"/>
                <w:rtl w:val="true"/>
              </w:rPr>
              <w:t xml:space="preserve">: </w:t>
            </w:r>
            <w:r>
              <w:rPr>
                <w:rStyle w:val="IndexLink"/>
                <w:rtl w:val="true"/>
              </w:rPr>
              <w:t>تاريخ علم أُصول الفقه</w:t>
            </w:r>
            <w:r>
              <w:rPr>
                <w:rStyle w:val="IndexLink"/>
                <w:rtl w:val="true"/>
              </w:rPr>
              <w:tab/>
            </w:r>
            <w:r>
              <w:rPr>
                <w:rStyle w:val="IndexLink"/>
              </w:rPr>
              <w:t>216</w:t>
            </w:r>
          </w:hyperlink>
        </w:p>
        <w:p>
          <w:pPr>
            <w:pStyle w:val="Contents4"/>
            <w:tabs>
              <w:tab w:val="clear" w:pos="8176"/>
              <w:tab w:val="right" w:pos="9026" w:leader="dot"/>
            </w:tabs>
            <w:rPr/>
          </w:pPr>
          <w:hyperlink w:anchor="__RefHeading___Toc7071023_73709187">
            <w:r>
              <w:rPr>
                <w:webHidden/>
                <w:rStyle w:val="IndexLink"/>
                <w:rtl w:val="true"/>
              </w:rPr>
              <w:t>الرابع</w:t>
            </w:r>
            <w:r>
              <w:rPr>
                <w:rStyle w:val="IndexLink"/>
                <w:rtl w:val="true"/>
              </w:rPr>
              <w:t xml:space="preserve">: </w:t>
            </w:r>
            <w:r>
              <w:rPr>
                <w:rStyle w:val="IndexLink"/>
                <w:rtl w:val="true"/>
              </w:rPr>
              <w:t>الطرق المختلفة في تدوين أُصول الفقه</w:t>
            </w:r>
            <w:r>
              <w:rPr>
                <w:rStyle w:val="IndexLink"/>
                <w:rtl w:val="true"/>
              </w:rPr>
              <w:tab/>
            </w:r>
            <w:r>
              <w:rPr>
                <w:rStyle w:val="IndexLink"/>
              </w:rPr>
              <w:t>216</w:t>
            </w:r>
          </w:hyperlink>
        </w:p>
        <w:p>
          <w:pPr>
            <w:pStyle w:val="Contents5"/>
            <w:tabs>
              <w:tab w:val="clear" w:pos="7892"/>
              <w:tab w:val="right" w:pos="9026" w:leader="dot"/>
            </w:tabs>
            <w:rPr/>
          </w:pPr>
          <w:hyperlink w:anchor="__RefHeading___Toc7071025_7370918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7071027_73709187">
            <w:r>
              <w:rPr>
                <w:webHidden/>
                <w:rStyle w:val="IndexLink"/>
                <w:rtl w:val="true"/>
              </w:rPr>
              <w:t>القواعد الأُصولية المنتزعة من الفروع الفقهية</w:t>
            </w:r>
            <w:r>
              <w:rPr>
                <w:rStyle w:val="IndexLink"/>
                <w:rtl w:val="true"/>
              </w:rPr>
              <w:tab/>
            </w:r>
            <w:r>
              <w:rPr>
                <w:rStyle w:val="IndexLink"/>
              </w:rPr>
              <w:t>218</w:t>
            </w:r>
          </w:hyperlink>
        </w:p>
        <w:p>
          <w:pPr>
            <w:pStyle w:val="Contents5"/>
            <w:tabs>
              <w:tab w:val="clear" w:pos="7892"/>
              <w:tab w:val="right" w:pos="9026" w:leader="dot"/>
            </w:tabs>
            <w:rPr/>
          </w:pPr>
          <w:hyperlink w:anchor="__RefHeading___Toc7071029_73709187">
            <w:r>
              <w:rPr>
                <w:webHidden/>
                <w:rStyle w:val="IndexLink"/>
                <w:rtl w:val="true"/>
              </w:rPr>
              <w:t>الجمع بين الطريقتين</w:t>
            </w:r>
            <w:r>
              <w:rPr>
                <w:rStyle w:val="IndexLink"/>
                <w:rtl w:val="true"/>
              </w:rPr>
              <w:tab/>
            </w:r>
            <w:r>
              <w:rPr>
                <w:rStyle w:val="IndexLink"/>
              </w:rPr>
              <w:t>219</w:t>
            </w:r>
          </w:hyperlink>
        </w:p>
        <w:p>
          <w:pPr>
            <w:pStyle w:val="Contents5"/>
            <w:tabs>
              <w:tab w:val="clear" w:pos="7892"/>
              <w:tab w:val="right" w:pos="9026" w:leader="dot"/>
            </w:tabs>
            <w:rPr/>
          </w:pPr>
          <w:hyperlink w:anchor="__RefHeading___Toc7071031_73709187">
            <w:r>
              <w:rPr>
                <w:webHidden/>
                <w:rStyle w:val="IndexLink"/>
                <w:rtl w:val="true"/>
              </w:rPr>
              <w:t>طريقة التأليف عند فقهاء الشيعة</w:t>
            </w:r>
            <w:r>
              <w:rPr>
                <w:rStyle w:val="IndexLink"/>
                <w:rtl w:val="true"/>
              </w:rPr>
              <w:tab/>
            </w:r>
            <w:r>
              <w:rPr>
                <w:rStyle w:val="IndexLink"/>
              </w:rPr>
              <w:t>219</w:t>
            </w:r>
          </w:hyperlink>
        </w:p>
        <w:p>
          <w:pPr>
            <w:pStyle w:val="Contents4"/>
            <w:tabs>
              <w:tab w:val="clear" w:pos="8176"/>
              <w:tab w:val="right" w:pos="9026" w:leader="dot"/>
            </w:tabs>
            <w:rPr/>
          </w:pPr>
          <w:hyperlink w:anchor="__RefHeading___Toc7071033_73709187">
            <w:r>
              <w:rPr>
                <w:webHidden/>
                <w:rStyle w:val="IndexLink"/>
                <w:rtl w:val="true"/>
              </w:rPr>
              <w:t>الخامس</w:t>
            </w:r>
            <w:r>
              <w:rPr>
                <w:rStyle w:val="IndexLink"/>
                <w:rtl w:val="true"/>
              </w:rPr>
              <w:t xml:space="preserve">: </w:t>
            </w:r>
            <w:r>
              <w:rPr>
                <w:rStyle w:val="IndexLink"/>
                <w:rtl w:val="true"/>
              </w:rPr>
              <w:t>موضوع علم الأُصول</w:t>
            </w:r>
            <w:r>
              <w:rPr>
                <w:rStyle w:val="IndexLink"/>
                <w:rtl w:val="true"/>
              </w:rPr>
              <w:tab/>
            </w:r>
            <w:r>
              <w:rPr>
                <w:rStyle w:val="IndexLink"/>
              </w:rPr>
              <w:t>220</w:t>
            </w:r>
          </w:hyperlink>
        </w:p>
        <w:p>
          <w:pPr>
            <w:pStyle w:val="Contents4"/>
            <w:tabs>
              <w:tab w:val="clear" w:pos="8176"/>
              <w:tab w:val="right" w:pos="9026" w:leader="dot"/>
            </w:tabs>
            <w:rPr/>
          </w:pPr>
          <w:hyperlink w:anchor="__RefHeading___Toc7071035_73709187">
            <w:r>
              <w:rPr>
                <w:webHidden/>
                <w:rStyle w:val="IndexLink"/>
                <w:rtl w:val="true"/>
              </w:rPr>
              <w:t>السادس</w:t>
            </w:r>
            <w:r>
              <w:rPr>
                <w:rStyle w:val="IndexLink"/>
                <w:rtl w:val="true"/>
              </w:rPr>
              <w:t xml:space="preserve">: </w:t>
            </w:r>
            <w:r>
              <w:rPr>
                <w:rStyle w:val="IndexLink"/>
                <w:rtl w:val="true"/>
              </w:rPr>
              <w:t>ماهية علم الأُصول ومكانته</w:t>
            </w:r>
            <w:r>
              <w:rPr>
                <w:rStyle w:val="IndexLink"/>
                <w:rtl w:val="true"/>
              </w:rPr>
              <w:tab/>
            </w:r>
            <w:r>
              <w:rPr>
                <w:rStyle w:val="IndexLink"/>
              </w:rPr>
              <w:t>221</w:t>
            </w:r>
          </w:hyperlink>
        </w:p>
        <w:p>
          <w:pPr>
            <w:pStyle w:val="Contents4"/>
            <w:tabs>
              <w:tab w:val="clear" w:pos="8176"/>
              <w:tab w:val="right" w:pos="9026" w:leader="dot"/>
            </w:tabs>
            <w:rPr/>
          </w:pPr>
          <w:hyperlink w:anchor="__RefHeading___Toc7071037_73709187">
            <w:r>
              <w:rPr>
                <w:webHidden/>
                <w:rStyle w:val="IndexLink"/>
                <w:rtl w:val="true"/>
              </w:rPr>
              <w:t>السابع</w:t>
            </w:r>
            <w:r>
              <w:rPr>
                <w:rStyle w:val="IndexLink"/>
                <w:rtl w:val="true"/>
              </w:rPr>
              <w:t xml:space="preserve">: </w:t>
            </w:r>
            <w:r>
              <w:rPr>
                <w:rStyle w:val="IndexLink"/>
                <w:rtl w:val="true"/>
              </w:rPr>
              <w:t>تعريف علم الأُصول تعريفاً جامعاً ومانعاً</w:t>
            </w:r>
            <w:r>
              <w:rPr>
                <w:rStyle w:val="IndexLink"/>
                <w:rtl w:val="true"/>
              </w:rPr>
              <w:tab/>
            </w:r>
            <w:r>
              <w:rPr>
                <w:rStyle w:val="IndexLink"/>
              </w:rPr>
              <w:t>223</w:t>
            </w:r>
          </w:hyperlink>
        </w:p>
        <w:p>
          <w:pPr>
            <w:pStyle w:val="Contents4"/>
            <w:tabs>
              <w:tab w:val="clear" w:pos="8176"/>
              <w:tab w:val="right" w:pos="9026" w:leader="dot"/>
            </w:tabs>
            <w:rPr/>
          </w:pPr>
          <w:hyperlink w:anchor="__RefHeading___Toc7071039_73709187">
            <w:r>
              <w:rPr>
                <w:webHidden/>
                <w:rStyle w:val="IndexLink"/>
                <w:rtl w:val="true"/>
              </w:rPr>
              <w:t>الثامن</w:t>
            </w:r>
            <w:r>
              <w:rPr>
                <w:rStyle w:val="IndexLink"/>
                <w:rtl w:val="true"/>
              </w:rPr>
              <w:t xml:space="preserve">: </w:t>
            </w:r>
            <w:r>
              <w:rPr>
                <w:rStyle w:val="IndexLink"/>
                <w:rtl w:val="true"/>
              </w:rPr>
              <w:t>الأدوار التي مرّ بها علم أُصول الفقه</w:t>
            </w:r>
            <w:r>
              <w:rPr>
                <w:rStyle w:val="IndexLink"/>
                <w:rtl w:val="true"/>
              </w:rPr>
              <w:tab/>
            </w:r>
            <w:r>
              <w:rPr>
                <w:rStyle w:val="IndexLink"/>
              </w:rPr>
              <w:t>224</w:t>
            </w:r>
          </w:hyperlink>
        </w:p>
        <w:p>
          <w:pPr>
            <w:pStyle w:val="Contents5"/>
            <w:tabs>
              <w:tab w:val="clear" w:pos="7892"/>
              <w:tab w:val="right" w:pos="9026" w:leader="dot"/>
            </w:tabs>
            <w:rPr/>
          </w:pPr>
          <w:hyperlink w:anchor="__RefHeading___Toc7071041_7370918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7071043_73709187">
            <w:r>
              <w:rPr>
                <w:webHidden/>
                <w:rStyle w:val="IndexLink"/>
                <w:rtl w:val="true"/>
              </w:rPr>
              <w:t>أ</w:t>
            </w:r>
            <w:r>
              <w:rPr>
                <w:rStyle w:val="IndexLink"/>
                <w:rtl w:val="true"/>
              </w:rPr>
              <w:t xml:space="preserve">. </w:t>
            </w:r>
            <w:r>
              <w:rPr>
                <w:rStyle w:val="IndexLink"/>
                <w:rtl w:val="true"/>
              </w:rPr>
              <w:t>مرحلة النشأة</w:t>
            </w:r>
            <w:r>
              <w:rPr>
                <w:rStyle w:val="IndexLink"/>
                <w:rtl w:val="true"/>
              </w:rPr>
              <w:tab/>
            </w:r>
            <w:r>
              <w:rPr>
                <w:rStyle w:val="IndexLink"/>
              </w:rPr>
              <w:t>224</w:t>
            </w:r>
          </w:hyperlink>
        </w:p>
        <w:p>
          <w:pPr>
            <w:pStyle w:val="Contents5"/>
            <w:tabs>
              <w:tab w:val="clear" w:pos="7892"/>
              <w:tab w:val="right" w:pos="9026" w:leader="dot"/>
            </w:tabs>
            <w:rPr/>
          </w:pPr>
          <w:hyperlink w:anchor="__RefHeading___Toc7071045_73709187">
            <w:r>
              <w:rPr>
                <w:webHidden/>
                <w:rStyle w:val="IndexLink"/>
                <w:rtl w:val="true"/>
              </w:rPr>
              <w:t>ب</w:t>
            </w:r>
            <w:r>
              <w:rPr>
                <w:rStyle w:val="IndexLink"/>
                <w:rtl w:val="true"/>
              </w:rPr>
              <w:t xml:space="preserve">. </w:t>
            </w:r>
            <w:r>
              <w:rPr>
                <w:rStyle w:val="IndexLink"/>
                <w:rtl w:val="true"/>
              </w:rPr>
              <w:t>مرحلة التبلور والتفتح</w:t>
            </w:r>
            <w:r>
              <w:rPr>
                <w:rStyle w:val="IndexLink"/>
                <w:rtl w:val="true"/>
              </w:rPr>
              <w:tab/>
            </w:r>
            <w:r>
              <w:rPr>
                <w:rStyle w:val="IndexLink"/>
              </w:rPr>
              <w:t>224</w:t>
            </w:r>
          </w:hyperlink>
        </w:p>
        <w:p>
          <w:pPr>
            <w:pStyle w:val="Contents5"/>
            <w:tabs>
              <w:tab w:val="clear" w:pos="7892"/>
              <w:tab w:val="right" w:pos="9026" w:leader="dot"/>
            </w:tabs>
            <w:rPr/>
          </w:pPr>
          <w:hyperlink w:anchor="__RefHeading___Toc7071047_73709187">
            <w:r>
              <w:rPr>
                <w:webHidden/>
                <w:rStyle w:val="IndexLink"/>
                <w:rtl w:val="true"/>
              </w:rPr>
              <w:t>ج</w:t>
            </w:r>
            <w:r>
              <w:rPr>
                <w:rStyle w:val="IndexLink"/>
                <w:rtl w:val="true"/>
              </w:rPr>
              <w:t xml:space="preserve">. </w:t>
            </w:r>
            <w:r>
              <w:rPr>
                <w:rStyle w:val="IndexLink"/>
                <w:rtl w:val="true"/>
              </w:rPr>
              <w:t>مرحلة الإبداع والابتكار</w:t>
            </w:r>
            <w:r>
              <w:rPr>
                <w:rStyle w:val="IndexLink"/>
                <w:rtl w:val="true"/>
              </w:rPr>
              <w:tab/>
            </w:r>
            <w:r>
              <w:rPr>
                <w:rStyle w:val="IndexLink"/>
              </w:rPr>
              <w:t>226</w:t>
            </w:r>
          </w:hyperlink>
        </w:p>
        <w:p>
          <w:pPr>
            <w:pStyle w:val="Contents5"/>
            <w:tabs>
              <w:tab w:val="clear" w:pos="7892"/>
              <w:tab w:val="right" w:pos="9026" w:leader="dot"/>
            </w:tabs>
            <w:rPr/>
          </w:pPr>
          <w:hyperlink w:anchor="__RefHeading___Toc7071049_73709187">
            <w:r>
              <w:rPr>
                <w:webHidden/>
                <w:rStyle w:val="IndexLink"/>
                <w:rtl w:val="true"/>
              </w:rPr>
              <w:t>د</w:t>
            </w:r>
            <w:r>
              <w:rPr>
                <w:rStyle w:val="IndexLink"/>
                <w:rtl w:val="true"/>
              </w:rPr>
              <w:t xml:space="preserve">. </w:t>
            </w:r>
            <w:r>
              <w:rPr>
                <w:rStyle w:val="IndexLink"/>
                <w:rtl w:val="true"/>
              </w:rPr>
              <w:t>مرحلة التكامل</w:t>
            </w:r>
            <w:r>
              <w:rPr>
                <w:rStyle w:val="IndexLink"/>
                <w:rtl w:val="true"/>
              </w:rPr>
              <w:tab/>
            </w:r>
            <w:r>
              <w:rPr>
                <w:rStyle w:val="IndexLink"/>
              </w:rPr>
              <w:t>227</w:t>
            </w:r>
          </w:hyperlink>
        </w:p>
        <w:p>
          <w:pPr>
            <w:pStyle w:val="Contents5"/>
            <w:tabs>
              <w:tab w:val="clear" w:pos="7892"/>
              <w:tab w:val="right" w:pos="9026" w:leader="dot"/>
            </w:tabs>
            <w:rPr/>
          </w:pPr>
          <w:hyperlink w:anchor="__RefHeading___Toc7071051_73709187">
            <w:r>
              <w:rPr>
                <w:webHidden/>
                <w:rStyle w:val="IndexLink"/>
                <w:rtl w:val="true"/>
              </w:rPr>
              <w:t>ه‍</w:t>
            </w:r>
            <w:r>
              <w:rPr>
                <w:rStyle w:val="IndexLink"/>
                <w:rtl w:val="true"/>
              </w:rPr>
              <w:t xml:space="preserve">. </w:t>
            </w:r>
            <w:r>
              <w:rPr>
                <w:rStyle w:val="IndexLink"/>
                <w:rtl w:val="true"/>
              </w:rPr>
              <w:t>مرحلة قمّة التكامل</w:t>
            </w:r>
            <w:r>
              <w:rPr>
                <w:rStyle w:val="IndexLink"/>
                <w:rtl w:val="true"/>
              </w:rPr>
              <w:tab/>
            </w:r>
            <w:r>
              <w:rPr>
                <w:rStyle w:val="IndexLink"/>
              </w:rPr>
              <w:t>227</w:t>
            </w:r>
          </w:hyperlink>
        </w:p>
        <w:p>
          <w:pPr>
            <w:pStyle w:val="Contents4"/>
            <w:tabs>
              <w:tab w:val="clear" w:pos="8176"/>
              <w:tab w:val="right" w:pos="9026" w:leader="dot"/>
            </w:tabs>
            <w:rPr/>
          </w:pPr>
          <w:hyperlink w:anchor="__RefHeading___Toc7071053_73709187">
            <w:r>
              <w:rPr>
                <w:webHidden/>
                <w:rStyle w:val="IndexLink"/>
                <w:rtl w:val="true"/>
              </w:rPr>
              <w:t>المنهج الأُصولي للمحقّق الإصفهاني</w:t>
            </w:r>
            <w:r>
              <w:rPr>
                <w:rStyle w:val="IndexLink"/>
                <w:rtl w:val="true"/>
              </w:rPr>
              <w:tab/>
            </w:r>
            <w:r>
              <w:rPr>
                <w:rStyle w:val="IndexLink"/>
              </w:rPr>
              <w:t>228</w:t>
            </w:r>
          </w:hyperlink>
        </w:p>
        <w:p>
          <w:pPr>
            <w:pStyle w:val="Contents5"/>
            <w:tabs>
              <w:tab w:val="clear" w:pos="7892"/>
              <w:tab w:val="right" w:pos="9026" w:leader="dot"/>
            </w:tabs>
            <w:rPr/>
          </w:pPr>
          <w:hyperlink w:anchor="__RefHeading___Toc7071055_73709187">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7071057_73709187">
            <w:r>
              <w:rPr>
                <w:webHidden/>
                <w:rStyle w:val="IndexLink"/>
              </w:rPr>
              <w:t>1</w:t>
            </w:r>
            <w:r>
              <w:rPr>
                <w:rStyle w:val="IndexLink"/>
                <w:rtl w:val="true"/>
              </w:rPr>
              <w:t xml:space="preserve">. </w:t>
            </w:r>
            <w:r>
              <w:rPr>
                <w:rStyle w:val="IndexLink"/>
                <w:rtl w:val="true"/>
              </w:rPr>
              <w:t>أداة الشرط تقع موقع الفرض</w:t>
            </w:r>
            <w:r>
              <w:rPr>
                <w:rStyle w:val="IndexLink"/>
                <w:rtl w:val="true"/>
              </w:rPr>
              <w:tab/>
            </w:r>
            <w:r>
              <w:rPr>
                <w:rStyle w:val="IndexLink"/>
              </w:rPr>
              <w:t>229</w:t>
            </w:r>
          </w:hyperlink>
        </w:p>
        <w:p>
          <w:pPr>
            <w:pStyle w:val="Contents5"/>
            <w:tabs>
              <w:tab w:val="clear" w:pos="7892"/>
              <w:tab w:val="right" w:pos="9026" w:leader="dot"/>
            </w:tabs>
            <w:rPr/>
          </w:pPr>
          <w:hyperlink w:anchor="__RefHeading___Toc7071059_73709187">
            <w:r>
              <w:rPr>
                <w:webHidden/>
                <w:rStyle w:val="IndexLink"/>
              </w:rPr>
              <w:t>2</w:t>
            </w:r>
            <w:r>
              <w:rPr>
                <w:rStyle w:val="IndexLink"/>
                <w:rtl w:val="true"/>
              </w:rPr>
              <w:t xml:space="preserve">. </w:t>
            </w:r>
            <w:r>
              <w:rPr>
                <w:rStyle w:val="IndexLink"/>
                <w:rtl w:val="true"/>
              </w:rPr>
              <w:t>عدم وجوب المقدّمة</w:t>
            </w:r>
            <w:r>
              <w:rPr>
                <w:rStyle w:val="IndexLink"/>
                <w:rtl w:val="true"/>
              </w:rPr>
              <w:tab/>
            </w:r>
            <w:r>
              <w:rPr>
                <w:rStyle w:val="IndexLink"/>
              </w:rPr>
              <w:t>229</w:t>
            </w:r>
          </w:hyperlink>
        </w:p>
        <w:p>
          <w:pPr>
            <w:pStyle w:val="Contents5"/>
            <w:tabs>
              <w:tab w:val="clear" w:pos="7892"/>
              <w:tab w:val="right" w:pos="9026" w:leader="dot"/>
            </w:tabs>
            <w:rPr/>
          </w:pPr>
          <w:hyperlink w:anchor="__RefHeading___Toc7071061_73709187">
            <w:r>
              <w:rPr>
                <w:webHidden/>
                <w:rStyle w:val="IndexLink"/>
              </w:rPr>
              <w:t>3</w:t>
            </w:r>
            <w:r>
              <w:rPr>
                <w:rStyle w:val="IndexLink"/>
                <w:rtl w:val="true"/>
              </w:rPr>
              <w:t xml:space="preserve">. </w:t>
            </w:r>
            <w:r>
              <w:rPr>
                <w:rStyle w:val="IndexLink"/>
                <w:rtl w:val="true"/>
              </w:rPr>
              <w:t>الحروف موضوعة لبيان الوجود الرابط</w:t>
            </w:r>
            <w:r>
              <w:rPr>
                <w:rStyle w:val="IndexLink"/>
                <w:rtl w:val="true"/>
              </w:rPr>
              <w:tab/>
            </w:r>
            <w:r>
              <w:rPr>
                <w:rStyle w:val="IndexLink"/>
              </w:rPr>
              <w:t>230</w:t>
            </w:r>
          </w:hyperlink>
        </w:p>
        <w:p>
          <w:pPr>
            <w:pStyle w:val="Contents5"/>
            <w:tabs>
              <w:tab w:val="clear" w:pos="7892"/>
              <w:tab w:val="right" w:pos="9026" w:leader="dot"/>
            </w:tabs>
            <w:rPr/>
          </w:pPr>
          <w:hyperlink w:anchor="__RefHeading___Toc7071063_73709187">
            <w:r>
              <w:rPr>
                <w:webHidden/>
                <w:rStyle w:val="IndexLink"/>
              </w:rPr>
              <w:t>4</w:t>
            </w:r>
            <w:r>
              <w:rPr>
                <w:rStyle w:val="IndexLink"/>
                <w:rtl w:val="true"/>
              </w:rPr>
              <w:t xml:space="preserve">. </w:t>
            </w:r>
            <w:r>
              <w:rPr>
                <w:rStyle w:val="IndexLink"/>
                <w:rtl w:val="true"/>
              </w:rPr>
              <w:t>جريان البراءة قبل الفحص</w:t>
            </w:r>
            <w:r>
              <w:rPr>
                <w:rStyle w:val="IndexLink"/>
                <w:rtl w:val="true"/>
              </w:rPr>
              <w:tab/>
            </w:r>
            <w:r>
              <w:rPr>
                <w:rStyle w:val="IndexLink"/>
              </w:rPr>
              <w:t>230</w:t>
            </w:r>
          </w:hyperlink>
        </w:p>
        <w:p>
          <w:pPr>
            <w:pStyle w:val="Contents5"/>
            <w:tabs>
              <w:tab w:val="clear" w:pos="7892"/>
              <w:tab w:val="right" w:pos="9026" w:leader="dot"/>
            </w:tabs>
            <w:rPr/>
          </w:pPr>
          <w:hyperlink w:anchor="__RefHeading___Toc7071065_73709187">
            <w:r>
              <w:rPr>
                <w:webHidden/>
                <w:rStyle w:val="IndexLink"/>
              </w:rPr>
              <w:t>5</w:t>
            </w:r>
            <w:r>
              <w:rPr>
                <w:rStyle w:val="IndexLink"/>
                <w:rtl w:val="true"/>
              </w:rPr>
              <w:t xml:space="preserve">. </w:t>
            </w:r>
            <w:r>
              <w:rPr>
                <w:rStyle w:val="IndexLink"/>
                <w:rtl w:val="true"/>
              </w:rPr>
              <w:t>الصحّة في المعاملات ليست مجعولة</w:t>
            </w:r>
            <w:r>
              <w:rPr>
                <w:rStyle w:val="IndexLink"/>
                <w:rtl w:val="true"/>
              </w:rPr>
              <w:tab/>
            </w:r>
            <w:r>
              <w:rPr>
                <w:rStyle w:val="IndexLink"/>
              </w:rPr>
              <w:t>230</w:t>
            </w:r>
          </w:hyperlink>
        </w:p>
        <w:p>
          <w:pPr>
            <w:pStyle w:val="Contents5"/>
            <w:tabs>
              <w:tab w:val="clear" w:pos="7892"/>
              <w:tab w:val="right" w:pos="9026" w:leader="dot"/>
            </w:tabs>
            <w:rPr/>
          </w:pPr>
          <w:hyperlink w:anchor="__RefHeading___Toc7071067_73709187">
            <w:r>
              <w:rPr>
                <w:webHidden/>
                <w:rStyle w:val="IndexLink"/>
              </w:rPr>
              <w:t>6</w:t>
            </w:r>
            <w:r>
              <w:rPr>
                <w:rStyle w:val="IndexLink"/>
                <w:rtl w:val="true"/>
              </w:rPr>
              <w:t xml:space="preserve">. </w:t>
            </w:r>
            <w:r>
              <w:rPr>
                <w:rStyle w:val="IndexLink"/>
                <w:rtl w:val="true"/>
              </w:rPr>
              <w:t>العدلان في الواجب التخييري، واجبان معاً</w:t>
            </w:r>
            <w:r>
              <w:rPr>
                <w:rStyle w:val="IndexLink"/>
                <w:rtl w:val="true"/>
              </w:rPr>
              <w:tab/>
            </w:r>
            <w:r>
              <w:rPr>
                <w:rStyle w:val="IndexLink"/>
              </w:rPr>
              <w:t>230</w:t>
            </w:r>
          </w:hyperlink>
        </w:p>
        <w:p>
          <w:pPr>
            <w:pStyle w:val="Contents5"/>
            <w:tabs>
              <w:tab w:val="clear" w:pos="7892"/>
              <w:tab w:val="right" w:pos="9026" w:leader="dot"/>
            </w:tabs>
            <w:rPr/>
          </w:pPr>
          <w:hyperlink w:anchor="__RefHeading___Toc7071069_73709187">
            <w:r>
              <w:rPr>
                <w:webHidden/>
                <w:rStyle w:val="IndexLink"/>
              </w:rPr>
              <w:t>7</w:t>
            </w:r>
            <w:r>
              <w:rPr>
                <w:rStyle w:val="IndexLink"/>
                <w:rtl w:val="true"/>
              </w:rPr>
              <w:t xml:space="preserve">. </w:t>
            </w:r>
            <w:r>
              <w:rPr>
                <w:rStyle w:val="IndexLink"/>
                <w:rtl w:val="true"/>
              </w:rPr>
              <w:t>العلم الإجمالي عند الإصفهاني علّة تامّة للامتثال القطعي</w:t>
            </w:r>
            <w:r>
              <w:rPr>
                <w:rStyle w:val="IndexLink"/>
                <w:rtl w:val="true"/>
              </w:rPr>
              <w:tab/>
            </w:r>
            <w:r>
              <w:rPr>
                <w:rStyle w:val="IndexLink"/>
              </w:rPr>
              <w:t>231</w:t>
            </w:r>
          </w:hyperlink>
        </w:p>
        <w:p>
          <w:pPr>
            <w:pStyle w:val="Contents5"/>
            <w:tabs>
              <w:tab w:val="clear" w:pos="7892"/>
              <w:tab w:val="right" w:pos="9026" w:leader="dot"/>
            </w:tabs>
            <w:rPr/>
          </w:pPr>
          <w:hyperlink w:anchor="__RefHeading___Toc7071071_73709187">
            <w:r>
              <w:rPr>
                <w:webHidden/>
                <w:rStyle w:val="IndexLink"/>
              </w:rPr>
              <w:t>8</w:t>
            </w:r>
            <w:r>
              <w:rPr>
                <w:rStyle w:val="IndexLink"/>
                <w:rtl w:val="true"/>
              </w:rPr>
              <w:t xml:space="preserve">. </w:t>
            </w:r>
            <w:r>
              <w:rPr>
                <w:rStyle w:val="IndexLink"/>
                <w:rtl w:val="true"/>
              </w:rPr>
              <w:t>العرض الذاتي هو المأخوذ في تحديد المحمول</w:t>
            </w:r>
            <w:r>
              <w:rPr>
                <w:rStyle w:val="IndexLink"/>
                <w:rtl w:val="true"/>
              </w:rPr>
              <w:tab/>
            </w:r>
            <w:r>
              <w:rPr>
                <w:rStyle w:val="IndexLink"/>
              </w:rPr>
              <w:t>231</w:t>
            </w:r>
          </w:hyperlink>
        </w:p>
        <w:p>
          <w:pPr>
            <w:pStyle w:val="Contents5"/>
            <w:tabs>
              <w:tab w:val="clear" w:pos="7892"/>
              <w:tab w:val="right" w:pos="9026" w:leader="dot"/>
            </w:tabs>
            <w:rPr/>
          </w:pPr>
          <w:hyperlink w:anchor="__RefHeading___Toc7071073_73709187">
            <w:r>
              <w:rPr>
                <w:webHidden/>
                <w:rStyle w:val="IndexLink"/>
              </w:rPr>
              <w:t>9</w:t>
            </w:r>
            <w:r>
              <w:rPr>
                <w:rStyle w:val="IndexLink"/>
                <w:rtl w:val="true"/>
              </w:rPr>
              <w:t xml:space="preserve">. </w:t>
            </w:r>
            <w:r>
              <w:rPr>
                <w:rStyle w:val="IndexLink"/>
                <w:rtl w:val="true"/>
              </w:rPr>
              <w:t>أنّ المصدر ليس مادة المشتقّات</w:t>
            </w:r>
            <w:r>
              <w:rPr>
                <w:rStyle w:val="IndexLink"/>
                <w:rtl w:val="true"/>
              </w:rPr>
              <w:tab/>
            </w:r>
            <w:r>
              <w:rPr>
                <w:rStyle w:val="IndexLink"/>
              </w:rPr>
              <w:t>231</w:t>
            </w:r>
          </w:hyperlink>
        </w:p>
        <w:p>
          <w:pPr>
            <w:pStyle w:val="Contents5"/>
            <w:tabs>
              <w:tab w:val="clear" w:pos="7892"/>
              <w:tab w:val="right" w:pos="9026" w:leader="dot"/>
            </w:tabs>
            <w:rPr/>
          </w:pPr>
          <w:hyperlink w:anchor="__RefHeading___Toc7071075_73709187">
            <w:r>
              <w:rPr>
                <w:webHidden/>
                <w:rStyle w:val="IndexLink"/>
              </w:rPr>
              <w:t>10</w:t>
            </w:r>
            <w:r>
              <w:rPr>
                <w:rStyle w:val="IndexLink"/>
                <w:rtl w:val="true"/>
              </w:rPr>
              <w:t xml:space="preserve">. </w:t>
            </w:r>
            <w:r>
              <w:rPr>
                <w:rStyle w:val="IndexLink"/>
                <w:rtl w:val="true"/>
              </w:rPr>
              <w:t>أعدام الملكات نظير الاستعدادات، له حظ من الوجود</w:t>
            </w:r>
            <w:r>
              <w:rPr>
                <w:rStyle w:val="IndexLink"/>
                <w:rtl w:val="true"/>
              </w:rPr>
              <w:tab/>
            </w:r>
            <w:r>
              <w:rPr>
                <w:rStyle w:val="IndexLink"/>
              </w:rPr>
              <w:t>232</w:t>
            </w:r>
          </w:hyperlink>
        </w:p>
        <w:p>
          <w:pPr>
            <w:pStyle w:val="Contents3"/>
            <w:tabs>
              <w:tab w:val="clear" w:pos="8459"/>
              <w:tab w:val="right" w:pos="9026" w:leader="dot"/>
            </w:tabs>
            <w:rPr/>
          </w:pPr>
          <w:hyperlink w:anchor="__RefHeading___Toc7071077_73709187">
            <w:r>
              <w:rPr>
                <w:webHidden/>
                <w:rStyle w:val="IndexLink"/>
              </w:rPr>
              <w:t>2</w:t>
            </w:r>
            <w:r>
              <w:rPr>
                <w:rStyle w:val="IndexLink"/>
                <w:rtl w:val="true"/>
              </w:rPr>
              <w:t xml:space="preserve">. </w:t>
            </w:r>
            <w:r>
              <w:rPr>
                <w:rStyle w:val="IndexLink"/>
                <w:rtl w:val="true"/>
              </w:rPr>
              <w:t>الخطابات القانونية ودورها</w:t>
            </w:r>
            <w:r>
              <w:rPr>
                <w:rStyle w:val="IndexLink"/>
                <w:rtl w:val="true"/>
              </w:rPr>
              <w:tab/>
            </w:r>
            <w:r>
              <w:rPr>
                <w:rStyle w:val="IndexLink"/>
              </w:rPr>
              <w:t>233</w:t>
            </w:r>
          </w:hyperlink>
        </w:p>
        <w:p>
          <w:pPr>
            <w:pStyle w:val="Contents4"/>
            <w:tabs>
              <w:tab w:val="clear" w:pos="8176"/>
              <w:tab w:val="right" w:pos="9026" w:leader="dot"/>
            </w:tabs>
            <w:rPr/>
          </w:pPr>
          <w:hyperlink w:anchor="__RefHeading___Toc7071079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7071081_73709187">
            <w:r>
              <w:rPr>
                <w:webHidden/>
                <w:rStyle w:val="IndexLink"/>
              </w:rPr>
              <w:t>1</w:t>
            </w:r>
            <w:r>
              <w:rPr>
                <w:rStyle w:val="IndexLink"/>
                <w:rtl w:val="true"/>
              </w:rPr>
              <w:t xml:space="preserve">. </w:t>
            </w:r>
            <w:r>
              <w:rPr>
                <w:rStyle w:val="IndexLink"/>
                <w:rtl w:val="true"/>
              </w:rPr>
              <w:t>تقسيم الحكم المشترك إلى إنشائي وفعليّ‌</w:t>
            </w:r>
            <w:r>
              <w:rPr>
                <w:rStyle w:val="IndexLink"/>
                <w:rtl w:val="true"/>
              </w:rPr>
              <w:tab/>
            </w:r>
            <w:r>
              <w:rPr>
                <w:rStyle w:val="IndexLink"/>
              </w:rPr>
              <w:t>234</w:t>
            </w:r>
          </w:hyperlink>
        </w:p>
        <w:p>
          <w:pPr>
            <w:pStyle w:val="Contents4"/>
            <w:tabs>
              <w:tab w:val="clear" w:pos="8176"/>
              <w:tab w:val="right" w:pos="9026" w:leader="dot"/>
            </w:tabs>
            <w:rPr/>
          </w:pPr>
          <w:hyperlink w:anchor="__RefHeading___Toc7071083_73709187">
            <w:r>
              <w:rPr>
                <w:webHidden/>
                <w:rStyle w:val="IndexLink"/>
              </w:rPr>
              <w:t>2</w:t>
            </w:r>
            <w:r>
              <w:rPr>
                <w:rStyle w:val="IndexLink"/>
                <w:rtl w:val="true"/>
              </w:rPr>
              <w:t xml:space="preserve">. </w:t>
            </w:r>
            <w:r>
              <w:rPr>
                <w:rStyle w:val="IndexLink"/>
                <w:rtl w:val="true"/>
              </w:rPr>
              <w:t>شرطية الابتلاء في صحّة التكليف</w:t>
            </w:r>
            <w:r>
              <w:rPr>
                <w:rStyle w:val="IndexLink"/>
                <w:rtl w:val="true"/>
              </w:rPr>
              <w:tab/>
            </w:r>
            <w:r>
              <w:rPr>
                <w:rStyle w:val="IndexLink"/>
              </w:rPr>
              <w:t>234</w:t>
            </w:r>
          </w:hyperlink>
        </w:p>
        <w:p>
          <w:pPr>
            <w:pStyle w:val="Contents4"/>
            <w:tabs>
              <w:tab w:val="clear" w:pos="8176"/>
              <w:tab w:val="right" w:pos="9026" w:leader="dot"/>
            </w:tabs>
            <w:rPr/>
          </w:pPr>
          <w:hyperlink w:anchor="__RefHeading___Toc7071085_73709187">
            <w:r>
              <w:rPr>
                <w:webHidden/>
                <w:rStyle w:val="IndexLink"/>
              </w:rPr>
              <w:t>3</w:t>
            </w:r>
            <w:r>
              <w:rPr>
                <w:rStyle w:val="IndexLink"/>
                <w:rtl w:val="true"/>
              </w:rPr>
              <w:t xml:space="preserve">. </w:t>
            </w:r>
            <w:r>
              <w:rPr>
                <w:rStyle w:val="IndexLink"/>
                <w:rtl w:val="true"/>
              </w:rPr>
              <w:t>عدم وجوب الاجتناب عن الطرف الآخر في العلم الإجمالي</w:t>
            </w:r>
            <w:r>
              <w:rPr>
                <w:rStyle w:val="IndexLink"/>
                <w:rtl w:val="true"/>
              </w:rPr>
              <w:tab/>
            </w:r>
            <w:r>
              <w:rPr>
                <w:rStyle w:val="IndexLink"/>
              </w:rPr>
              <w:t>235</w:t>
            </w:r>
          </w:hyperlink>
        </w:p>
        <w:p>
          <w:pPr>
            <w:pStyle w:val="Contents4"/>
            <w:tabs>
              <w:tab w:val="clear" w:pos="8176"/>
              <w:tab w:val="right" w:pos="9026" w:leader="dot"/>
            </w:tabs>
            <w:rPr/>
          </w:pPr>
          <w:hyperlink w:anchor="__RefHeading___Toc7071087_73709187">
            <w:r>
              <w:rPr>
                <w:webHidden/>
                <w:rStyle w:val="IndexLink"/>
              </w:rPr>
              <w:t>4</w:t>
            </w:r>
            <w:r>
              <w:rPr>
                <w:rStyle w:val="IndexLink"/>
                <w:rtl w:val="true"/>
              </w:rPr>
              <w:t xml:space="preserve">. </w:t>
            </w:r>
            <w:r>
              <w:rPr>
                <w:rStyle w:val="IndexLink"/>
                <w:rtl w:val="true"/>
              </w:rPr>
              <w:t>القدرة شرط التكليف لكلّ مكلّف</w:t>
            </w:r>
            <w:r>
              <w:rPr>
                <w:rStyle w:val="IndexLink"/>
                <w:rtl w:val="true"/>
              </w:rPr>
              <w:tab/>
            </w:r>
            <w:r>
              <w:rPr>
                <w:rStyle w:val="IndexLink"/>
              </w:rPr>
              <w:t>235</w:t>
            </w:r>
          </w:hyperlink>
        </w:p>
        <w:p>
          <w:pPr>
            <w:pStyle w:val="Contents4"/>
            <w:tabs>
              <w:tab w:val="clear" w:pos="8176"/>
              <w:tab w:val="right" w:pos="9026" w:leader="dot"/>
            </w:tabs>
            <w:rPr/>
          </w:pPr>
          <w:hyperlink w:anchor="__RefHeading___Toc7071089_73709187">
            <w:r>
              <w:rPr>
                <w:webHidden/>
                <w:rStyle w:val="IndexLink"/>
                <w:rtl w:val="true"/>
              </w:rPr>
              <w:t>الخطاب القانوني مكان الخطاب الشخصي</w:t>
            </w:r>
            <w:r>
              <w:rPr>
                <w:rStyle w:val="IndexLink"/>
                <w:rtl w:val="true"/>
              </w:rPr>
              <w:tab/>
            </w:r>
            <w:r>
              <w:rPr>
                <w:rStyle w:val="IndexLink"/>
              </w:rPr>
              <w:t>235</w:t>
            </w:r>
          </w:hyperlink>
        </w:p>
        <w:p>
          <w:pPr>
            <w:pStyle w:val="Contents5"/>
            <w:tabs>
              <w:tab w:val="clear" w:pos="7892"/>
              <w:tab w:val="right" w:pos="9026" w:leader="dot"/>
            </w:tabs>
            <w:rPr/>
          </w:pPr>
          <w:hyperlink w:anchor="__RefHeading___Toc7071091_73709187">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7071093_73709187">
            <w:r>
              <w:rPr>
                <w:webHidden/>
                <w:rStyle w:val="IndexLink"/>
                <w:rtl w:val="true"/>
              </w:rPr>
              <w:t>ألف</w:t>
            </w:r>
            <w:r>
              <w:rPr>
                <w:rStyle w:val="IndexLink"/>
                <w:rtl w:val="true"/>
              </w:rPr>
              <w:t xml:space="preserve">. </w:t>
            </w:r>
            <w:r>
              <w:rPr>
                <w:rStyle w:val="IndexLink"/>
                <w:rtl w:val="true"/>
              </w:rPr>
              <w:t>تفسير الحكم الإنشائي والفعلي</w:t>
            </w:r>
            <w:r>
              <w:rPr>
                <w:rStyle w:val="IndexLink"/>
                <w:rtl w:val="true"/>
              </w:rPr>
              <w:tab/>
            </w:r>
            <w:r>
              <w:rPr>
                <w:rStyle w:val="IndexLink"/>
              </w:rPr>
              <w:t>236</w:t>
            </w:r>
          </w:hyperlink>
        </w:p>
        <w:p>
          <w:pPr>
            <w:pStyle w:val="Contents5"/>
            <w:tabs>
              <w:tab w:val="clear" w:pos="7892"/>
              <w:tab w:val="right" w:pos="9026" w:leader="dot"/>
            </w:tabs>
            <w:rPr/>
          </w:pPr>
          <w:hyperlink w:anchor="__RefHeading___Toc7071095_73709187">
            <w:r>
              <w:rPr>
                <w:webHidden/>
                <w:rStyle w:val="IndexLink"/>
                <w:rtl w:val="true"/>
              </w:rPr>
              <w:t>ب</w:t>
            </w:r>
            <w:r>
              <w:rPr>
                <w:rStyle w:val="IndexLink"/>
                <w:rtl w:val="true"/>
              </w:rPr>
              <w:t xml:space="preserve">. </w:t>
            </w:r>
            <w:r>
              <w:rPr>
                <w:rStyle w:val="IndexLink"/>
                <w:rtl w:val="true"/>
              </w:rPr>
              <w:t>عدم شرطية الابتلاء في التكليف</w:t>
            </w:r>
            <w:r>
              <w:rPr>
                <w:rStyle w:val="IndexLink"/>
                <w:rtl w:val="true"/>
              </w:rPr>
              <w:tab/>
            </w:r>
            <w:r>
              <w:rPr>
                <w:rStyle w:val="IndexLink"/>
              </w:rPr>
              <w:t>237</w:t>
            </w:r>
          </w:hyperlink>
        </w:p>
        <w:p>
          <w:pPr>
            <w:pStyle w:val="Contents5"/>
            <w:tabs>
              <w:tab w:val="clear" w:pos="7892"/>
              <w:tab w:val="right" w:pos="9026" w:leader="dot"/>
            </w:tabs>
            <w:rPr/>
          </w:pPr>
          <w:hyperlink w:anchor="__RefHeading___Toc7071097_73709187">
            <w:r>
              <w:rPr>
                <w:webHidden/>
                <w:rStyle w:val="IndexLink"/>
                <w:rtl w:val="true"/>
              </w:rPr>
              <w:t>ج</w:t>
            </w:r>
            <w:r>
              <w:rPr>
                <w:rStyle w:val="IndexLink"/>
                <w:rtl w:val="true"/>
              </w:rPr>
              <w:t xml:space="preserve">. </w:t>
            </w:r>
            <w:r>
              <w:rPr>
                <w:rStyle w:val="IndexLink"/>
                <w:rtl w:val="true"/>
              </w:rPr>
              <w:t>وجوب الاجتناب عن الطرف الآخر</w:t>
            </w:r>
            <w:r>
              <w:rPr>
                <w:rStyle w:val="IndexLink"/>
                <w:rtl w:val="true"/>
              </w:rPr>
              <w:tab/>
            </w:r>
            <w:r>
              <w:rPr>
                <w:rStyle w:val="IndexLink"/>
              </w:rPr>
              <w:t>237</w:t>
            </w:r>
          </w:hyperlink>
        </w:p>
        <w:p>
          <w:pPr>
            <w:pStyle w:val="Contents5"/>
            <w:tabs>
              <w:tab w:val="clear" w:pos="7892"/>
              <w:tab w:val="right" w:pos="9026" w:leader="dot"/>
            </w:tabs>
            <w:rPr/>
          </w:pPr>
          <w:hyperlink w:anchor="__RefHeading___Toc7071099_73709187">
            <w:r>
              <w:rPr>
                <w:webHidden/>
                <w:rStyle w:val="IndexLink"/>
                <w:rtl w:val="true"/>
              </w:rPr>
              <w:t>د</w:t>
            </w:r>
            <w:r>
              <w:rPr>
                <w:rStyle w:val="IndexLink"/>
                <w:rtl w:val="true"/>
              </w:rPr>
              <w:t xml:space="preserve">. </w:t>
            </w:r>
            <w:r>
              <w:rPr>
                <w:rStyle w:val="IndexLink"/>
                <w:rtl w:val="true"/>
              </w:rPr>
              <w:t>كفاية وجود الشرائط في جمع من المكلّفين</w:t>
            </w:r>
            <w:r>
              <w:rPr>
                <w:rStyle w:val="IndexLink"/>
                <w:rtl w:val="true"/>
              </w:rPr>
              <w:tab/>
            </w:r>
            <w:r>
              <w:rPr>
                <w:rStyle w:val="IndexLink"/>
              </w:rPr>
              <w:t>238</w:t>
            </w:r>
          </w:hyperlink>
        </w:p>
        <w:p>
          <w:pPr>
            <w:pStyle w:val="Contents4"/>
            <w:tabs>
              <w:tab w:val="clear" w:pos="8176"/>
              <w:tab w:val="right" w:pos="9026" w:leader="dot"/>
            </w:tabs>
            <w:rPr/>
          </w:pPr>
          <w:hyperlink w:anchor="__RefHeading___Toc7071101_73709187">
            <w:r>
              <w:rPr>
                <w:webHidden/>
                <w:rStyle w:val="IndexLink"/>
                <w:rtl w:val="true"/>
              </w:rPr>
              <w:t>تصحيح الترتّب بخطابين عرضيّين</w:t>
            </w:r>
            <w:r>
              <w:rPr>
                <w:rStyle w:val="IndexLink"/>
                <w:rtl w:val="true"/>
              </w:rPr>
              <w:tab/>
            </w:r>
            <w:r>
              <w:rPr>
                <w:rStyle w:val="IndexLink"/>
              </w:rPr>
              <w:t>238</w:t>
            </w:r>
          </w:hyperlink>
        </w:p>
        <w:p>
          <w:pPr>
            <w:pStyle w:val="Contents3"/>
            <w:tabs>
              <w:tab w:val="clear" w:pos="8459"/>
              <w:tab w:val="right" w:pos="9026" w:leader="dot"/>
            </w:tabs>
            <w:rPr/>
          </w:pPr>
          <w:hyperlink w:anchor="__RefHeading___Toc7071103_73709187">
            <w:r>
              <w:rPr>
                <w:webHidden/>
                <w:rStyle w:val="IndexLink"/>
              </w:rPr>
              <w:t>3</w:t>
            </w:r>
            <w:r>
              <w:rPr>
                <w:rStyle w:val="IndexLink"/>
                <w:rtl w:val="true"/>
              </w:rPr>
              <w:t xml:space="preserve">. </w:t>
            </w:r>
            <w:r>
              <w:rPr>
                <w:rStyle w:val="IndexLink"/>
                <w:rtl w:val="true"/>
              </w:rPr>
              <w:t>أُسس آراء المحقّق النائيني</w:t>
            </w:r>
            <w:r>
              <w:rPr>
                <w:rStyle w:val="IndexLink"/>
                <w:rtl w:val="true"/>
              </w:rPr>
              <w:tab/>
            </w:r>
            <w:r>
              <w:rPr>
                <w:rStyle w:val="IndexLink"/>
              </w:rPr>
              <w:t>242</w:t>
            </w:r>
          </w:hyperlink>
        </w:p>
        <w:p>
          <w:pPr>
            <w:pStyle w:val="Contents4"/>
            <w:tabs>
              <w:tab w:val="clear" w:pos="8176"/>
              <w:tab w:val="right" w:pos="9026" w:leader="dot"/>
            </w:tabs>
            <w:rPr/>
          </w:pPr>
          <w:hyperlink w:anchor="__RefHeading___Toc7071105_7370918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7071107_73709187">
            <w:r>
              <w:rPr>
                <w:webHidden/>
                <w:rStyle w:val="IndexLink"/>
              </w:rPr>
              <w:t>1</w:t>
            </w:r>
            <w:r>
              <w:rPr>
                <w:rStyle w:val="IndexLink"/>
                <w:rtl w:val="true"/>
              </w:rPr>
              <w:t xml:space="preserve">. </w:t>
            </w:r>
            <w:r>
              <w:rPr>
                <w:rStyle w:val="IndexLink"/>
                <w:rtl w:val="true"/>
              </w:rPr>
              <w:t>حلّ المشاكل عن طريق القضايا الحقيقية والخارجية</w:t>
            </w:r>
            <w:r>
              <w:rPr>
                <w:rStyle w:val="IndexLink"/>
                <w:rtl w:val="true"/>
              </w:rPr>
              <w:tab/>
            </w:r>
            <w:r>
              <w:rPr>
                <w:rStyle w:val="IndexLink"/>
              </w:rPr>
              <w:t>242</w:t>
            </w:r>
          </w:hyperlink>
        </w:p>
        <w:p>
          <w:pPr>
            <w:pStyle w:val="Contents4"/>
            <w:tabs>
              <w:tab w:val="clear" w:pos="8176"/>
              <w:tab w:val="right" w:pos="9026" w:leader="dot"/>
            </w:tabs>
            <w:rPr/>
          </w:pPr>
          <w:hyperlink w:anchor="__RefHeading___Toc7071109_73709187">
            <w:r>
              <w:rPr>
                <w:webHidden/>
                <w:rStyle w:val="IndexLink"/>
              </w:rPr>
              <w:t>2</w:t>
            </w:r>
            <w:r>
              <w:rPr>
                <w:rStyle w:val="IndexLink"/>
                <w:rtl w:val="true"/>
              </w:rPr>
              <w:t xml:space="preserve">. </w:t>
            </w:r>
            <w:r>
              <w:rPr>
                <w:rStyle w:val="IndexLink"/>
                <w:rtl w:val="true"/>
              </w:rPr>
              <w:t>إرجاع الشروط إلى الموضوع</w:t>
            </w:r>
            <w:r>
              <w:rPr>
                <w:rStyle w:val="IndexLink"/>
                <w:rtl w:val="true"/>
              </w:rPr>
              <w:tab/>
            </w:r>
            <w:r>
              <w:rPr>
                <w:rStyle w:val="IndexLink"/>
              </w:rPr>
              <w:t>243</w:t>
            </w:r>
          </w:hyperlink>
        </w:p>
        <w:p>
          <w:pPr>
            <w:pStyle w:val="Contents4"/>
            <w:tabs>
              <w:tab w:val="clear" w:pos="8176"/>
              <w:tab w:val="right" w:pos="9026" w:leader="dot"/>
            </w:tabs>
            <w:rPr/>
          </w:pPr>
          <w:hyperlink w:anchor="__RefHeading___Toc7071111_73709187">
            <w:r>
              <w:rPr>
                <w:webHidden/>
                <w:rStyle w:val="IndexLink"/>
              </w:rPr>
              <w:t>3</w:t>
            </w:r>
            <w:r>
              <w:rPr>
                <w:rStyle w:val="IndexLink"/>
                <w:rtl w:val="true"/>
              </w:rPr>
              <w:t xml:space="preserve">. </w:t>
            </w:r>
            <w:r>
              <w:rPr>
                <w:rStyle w:val="IndexLink"/>
                <w:rtl w:val="true"/>
              </w:rPr>
              <w:t>نتيجة الإطلاق والتقييد</w:t>
            </w:r>
            <w:r>
              <w:rPr>
                <w:rStyle w:val="IndexLink"/>
                <w:rtl w:val="true"/>
              </w:rPr>
              <w:tab/>
            </w:r>
            <w:r>
              <w:rPr>
                <w:rStyle w:val="IndexLink"/>
              </w:rPr>
              <w:t>243</w:t>
            </w:r>
          </w:hyperlink>
        </w:p>
        <w:p>
          <w:pPr>
            <w:pStyle w:val="Contents4"/>
            <w:tabs>
              <w:tab w:val="clear" w:pos="8176"/>
              <w:tab w:val="right" w:pos="9026" w:leader="dot"/>
            </w:tabs>
            <w:rPr/>
          </w:pPr>
          <w:hyperlink w:anchor="__RefHeading___Toc7071113_73709187">
            <w:r>
              <w:rPr>
                <w:webHidden/>
                <w:rStyle w:val="IndexLink"/>
              </w:rPr>
              <w:t>4</w:t>
            </w:r>
            <w:r>
              <w:rPr>
                <w:rStyle w:val="IndexLink"/>
                <w:rtl w:val="true"/>
              </w:rPr>
              <w:t xml:space="preserve">. </w:t>
            </w:r>
            <w:r>
              <w:rPr>
                <w:rStyle w:val="IndexLink"/>
                <w:rtl w:val="true"/>
              </w:rPr>
              <w:t>اختصاص الأمر بالحصّة المقدورة</w:t>
            </w:r>
            <w:r>
              <w:rPr>
                <w:rStyle w:val="IndexLink"/>
                <w:rtl w:val="true"/>
              </w:rPr>
              <w:tab/>
            </w:r>
            <w:r>
              <w:rPr>
                <w:rStyle w:val="IndexLink"/>
              </w:rPr>
              <w:t>244</w:t>
            </w:r>
          </w:hyperlink>
        </w:p>
        <w:p>
          <w:pPr>
            <w:pStyle w:val="Contents4"/>
            <w:tabs>
              <w:tab w:val="clear" w:pos="8176"/>
              <w:tab w:val="right" w:pos="9026" w:leader="dot"/>
            </w:tabs>
            <w:rPr/>
          </w:pPr>
          <w:hyperlink w:anchor="__RefHeading___Toc7071115_73709187">
            <w:r>
              <w:rPr>
                <w:webHidden/>
                <w:rStyle w:val="IndexLink"/>
              </w:rPr>
              <w:t>5</w:t>
            </w:r>
            <w:r>
              <w:rPr>
                <w:rStyle w:val="IndexLink"/>
                <w:rtl w:val="true"/>
              </w:rPr>
              <w:t xml:space="preserve">. </w:t>
            </w:r>
            <w:r>
              <w:rPr>
                <w:rStyle w:val="IndexLink"/>
                <w:rtl w:val="true"/>
              </w:rPr>
              <w:t>تفسير الحجّية في الأمارات بجعل الطريقية</w:t>
            </w:r>
            <w:r>
              <w:rPr>
                <w:rStyle w:val="IndexLink"/>
                <w:rtl w:val="true"/>
              </w:rPr>
              <w:tab/>
            </w:r>
            <w:r>
              <w:rPr>
                <w:rStyle w:val="IndexLink"/>
              </w:rPr>
              <w:t>244</w:t>
            </w:r>
          </w:hyperlink>
        </w:p>
        <w:p>
          <w:pPr>
            <w:pStyle w:val="Contents4"/>
            <w:tabs>
              <w:tab w:val="clear" w:pos="8176"/>
              <w:tab w:val="right" w:pos="9026" w:leader="dot"/>
            </w:tabs>
            <w:rPr/>
          </w:pPr>
          <w:hyperlink w:anchor="__RefHeading___Toc7071117_73709187">
            <w:r>
              <w:rPr>
                <w:webHidden/>
                <w:rStyle w:val="IndexLink"/>
              </w:rPr>
              <w:t>6</w:t>
            </w:r>
            <w:r>
              <w:rPr>
                <w:rStyle w:val="IndexLink"/>
                <w:rtl w:val="true"/>
              </w:rPr>
              <w:t xml:space="preserve">. </w:t>
            </w:r>
            <w:r>
              <w:rPr>
                <w:rStyle w:val="IndexLink"/>
                <w:rtl w:val="true"/>
              </w:rPr>
              <w:t>عدم تبعية الدلالة الالتزامية للمطابقية في الحجّية</w:t>
            </w:r>
            <w:r>
              <w:rPr>
                <w:rStyle w:val="IndexLink"/>
                <w:rtl w:val="true"/>
              </w:rPr>
              <w:tab/>
            </w:r>
            <w:r>
              <w:rPr>
                <w:rStyle w:val="IndexLink"/>
              </w:rPr>
              <w:t>245</w:t>
            </w:r>
          </w:hyperlink>
        </w:p>
        <w:p>
          <w:pPr>
            <w:pStyle w:val="Contents4"/>
            <w:tabs>
              <w:tab w:val="clear" w:pos="8176"/>
              <w:tab w:val="right" w:pos="9026" w:leader="dot"/>
            </w:tabs>
            <w:rPr/>
          </w:pPr>
          <w:hyperlink w:anchor="__RefHeading___Toc7071119_73709187">
            <w:r>
              <w:rPr>
                <w:webHidden/>
                <w:rStyle w:val="IndexLink"/>
              </w:rPr>
              <w:t>7</w:t>
            </w:r>
            <w:r>
              <w:rPr>
                <w:rStyle w:val="IndexLink"/>
                <w:rtl w:val="true"/>
              </w:rPr>
              <w:t xml:space="preserve">. </w:t>
            </w:r>
            <w:r>
              <w:rPr>
                <w:rStyle w:val="IndexLink"/>
                <w:rtl w:val="true"/>
              </w:rPr>
              <w:t>الموضوع غير المتعلّق</w:t>
            </w:r>
            <w:r>
              <w:rPr>
                <w:rStyle w:val="IndexLink"/>
                <w:rtl w:val="true"/>
              </w:rPr>
              <w:tab/>
            </w:r>
            <w:r>
              <w:rPr>
                <w:rStyle w:val="IndexLink"/>
              </w:rPr>
              <w:t>245</w:t>
            </w:r>
          </w:hyperlink>
        </w:p>
        <w:p>
          <w:pPr>
            <w:pStyle w:val="Contents4"/>
            <w:tabs>
              <w:tab w:val="clear" w:pos="8176"/>
              <w:tab w:val="right" w:pos="9026" w:leader="dot"/>
            </w:tabs>
            <w:rPr/>
          </w:pPr>
          <w:hyperlink w:anchor="__RefHeading___Toc7071121_73709187">
            <w:r>
              <w:rPr>
                <w:webHidden/>
                <w:rStyle w:val="IndexLink"/>
              </w:rPr>
              <w:t>8</w:t>
            </w:r>
            <w:r>
              <w:rPr>
                <w:rStyle w:val="IndexLink"/>
                <w:rtl w:val="true"/>
              </w:rPr>
              <w:t xml:space="preserve">. </w:t>
            </w:r>
            <w:r>
              <w:rPr>
                <w:rStyle w:val="IndexLink"/>
                <w:rtl w:val="true"/>
              </w:rPr>
              <w:t>تقسيم العقود إلى أقسام</w:t>
            </w:r>
            <w:r>
              <w:rPr>
                <w:rStyle w:val="IndexLink"/>
                <w:rtl w:val="true"/>
              </w:rPr>
              <w:tab/>
            </w:r>
            <w:r>
              <w:rPr>
                <w:rStyle w:val="IndexLink"/>
              </w:rPr>
              <w:t>245</w:t>
            </w:r>
          </w:hyperlink>
        </w:p>
        <w:p>
          <w:pPr>
            <w:pStyle w:val="Contents4"/>
            <w:tabs>
              <w:tab w:val="clear" w:pos="8176"/>
              <w:tab w:val="right" w:pos="9026" w:leader="dot"/>
            </w:tabs>
            <w:rPr/>
          </w:pPr>
          <w:hyperlink w:anchor="__RefHeading___Toc7071123_73709187">
            <w:r>
              <w:rPr>
                <w:webHidden/>
                <w:rStyle w:val="IndexLink"/>
              </w:rPr>
              <w:t>9</w:t>
            </w:r>
            <w:r>
              <w:rPr>
                <w:rStyle w:val="IndexLink"/>
                <w:rtl w:val="true"/>
              </w:rPr>
              <w:t xml:space="preserve">. </w:t>
            </w:r>
            <w:r>
              <w:rPr>
                <w:rStyle w:val="IndexLink"/>
                <w:rtl w:val="true"/>
              </w:rPr>
              <w:t>ابتناء القول بالإشاعة على القول ببطلان قول الجزء لا يتجزّأ</w:t>
            </w:r>
            <w:r>
              <w:rPr>
                <w:rStyle w:val="IndexLink"/>
                <w:rtl w:val="true"/>
              </w:rPr>
              <w:tab/>
            </w:r>
            <w:r>
              <w:rPr>
                <w:rStyle w:val="IndexLink"/>
              </w:rPr>
              <w:t>245</w:t>
            </w:r>
          </w:hyperlink>
        </w:p>
        <w:p>
          <w:pPr>
            <w:pStyle w:val="Contents4"/>
            <w:tabs>
              <w:tab w:val="clear" w:pos="8176"/>
              <w:tab w:val="right" w:pos="9026" w:leader="dot"/>
            </w:tabs>
            <w:rPr/>
          </w:pPr>
          <w:hyperlink w:anchor="__RefHeading___Toc7071125_73709187">
            <w:r>
              <w:rPr>
                <w:webHidden/>
                <w:rStyle w:val="IndexLink"/>
              </w:rPr>
              <w:t>10</w:t>
            </w:r>
            <w:r>
              <w:rPr>
                <w:rStyle w:val="IndexLink"/>
                <w:rtl w:val="true"/>
              </w:rPr>
              <w:t xml:space="preserve">. </w:t>
            </w:r>
            <w:r>
              <w:rPr>
                <w:rStyle w:val="IndexLink"/>
                <w:rtl w:val="true"/>
              </w:rPr>
              <w:t>جواز الاجتماع وكيفية تركيب المادّة والصورة</w:t>
            </w:r>
            <w:r>
              <w:rPr>
                <w:rStyle w:val="IndexLink"/>
                <w:rtl w:val="true"/>
              </w:rPr>
              <w:tab/>
            </w:r>
            <w:r>
              <w:rPr>
                <w:rStyle w:val="IndexLink"/>
              </w:rPr>
              <w:t>246</w:t>
            </w:r>
          </w:hyperlink>
        </w:p>
        <w:p>
          <w:pPr>
            <w:pStyle w:val="Contents4"/>
            <w:tabs>
              <w:tab w:val="clear" w:pos="8176"/>
              <w:tab w:val="right" w:pos="9026" w:leader="dot"/>
            </w:tabs>
            <w:rPr/>
          </w:pPr>
          <w:hyperlink w:anchor="__RefHeading___Toc7071127_73709187">
            <w:r>
              <w:rPr>
                <w:webHidden/>
                <w:rStyle w:val="IndexLink"/>
              </w:rPr>
              <w:t>1</w:t>
            </w:r>
            <w:r>
              <w:rPr>
                <w:rStyle w:val="IndexLink"/>
                <w:rtl w:val="true"/>
              </w:rPr>
              <w:t xml:space="preserve">. </w:t>
            </w:r>
            <w:r>
              <w:rPr>
                <w:rStyle w:val="IndexLink"/>
                <w:rtl w:val="true"/>
              </w:rPr>
              <w:t>بطلان قاعدة الشيء ما لم يجب لم يوجد</w:t>
            </w:r>
            <w:r>
              <w:rPr>
                <w:rStyle w:val="IndexLink"/>
                <w:rtl w:val="true"/>
              </w:rPr>
              <w:tab/>
            </w:r>
            <w:r>
              <w:rPr>
                <w:rStyle w:val="IndexLink"/>
              </w:rPr>
              <w:t>246</w:t>
            </w:r>
          </w:hyperlink>
        </w:p>
        <w:p>
          <w:pPr>
            <w:pStyle w:val="Contents4"/>
            <w:tabs>
              <w:tab w:val="clear" w:pos="8176"/>
              <w:tab w:val="right" w:pos="9026" w:leader="dot"/>
            </w:tabs>
            <w:rPr/>
          </w:pPr>
          <w:hyperlink w:anchor="__RefHeading___Toc7071129_73709187">
            <w:r>
              <w:rPr>
                <w:webHidden/>
                <w:rStyle w:val="IndexLink"/>
              </w:rPr>
              <w:t>2</w:t>
            </w:r>
            <w:r>
              <w:rPr>
                <w:rStyle w:val="IndexLink"/>
                <w:rtl w:val="true"/>
              </w:rPr>
              <w:t xml:space="preserve">. </w:t>
            </w:r>
            <w:r>
              <w:rPr>
                <w:rStyle w:val="IndexLink"/>
                <w:rtl w:val="true"/>
              </w:rPr>
              <w:t>تفسير الإرادة بوجه خاص</w:t>
            </w:r>
            <w:r>
              <w:rPr>
                <w:rStyle w:val="IndexLink"/>
                <w:rtl w:val="true"/>
              </w:rPr>
              <w:tab/>
            </w:r>
            <w:r>
              <w:rPr>
                <w:rStyle w:val="IndexLink"/>
              </w:rPr>
              <w:t>246</w:t>
            </w:r>
          </w:hyperlink>
        </w:p>
        <w:p>
          <w:pPr>
            <w:pStyle w:val="Contents3"/>
            <w:tabs>
              <w:tab w:val="clear" w:pos="8459"/>
              <w:tab w:val="right" w:pos="9026" w:leader="dot"/>
            </w:tabs>
            <w:rPr/>
          </w:pPr>
          <w:hyperlink w:anchor="__RefHeading___Toc7071131_73709187">
            <w:r>
              <w:rPr>
                <w:webHidden/>
                <w:rStyle w:val="IndexLink"/>
              </w:rPr>
              <w:t>4</w:t>
            </w:r>
            <w:r>
              <w:rPr>
                <w:rStyle w:val="IndexLink"/>
                <w:rtl w:val="true"/>
              </w:rPr>
              <w:t xml:space="preserve">. </w:t>
            </w:r>
            <w:r>
              <w:rPr>
                <w:rStyle w:val="IndexLink"/>
                <w:rtl w:val="true"/>
              </w:rPr>
              <w:t>مسند ابن أبي عمير</w:t>
            </w:r>
            <w:r>
              <w:rPr>
                <w:rStyle w:val="IndexLink"/>
                <w:rtl w:val="true"/>
              </w:rPr>
              <w:tab/>
            </w:r>
            <w:r>
              <w:rPr>
                <w:rStyle w:val="IndexLink"/>
              </w:rPr>
              <w:t>247</w:t>
            </w:r>
          </w:hyperlink>
        </w:p>
        <w:p>
          <w:pPr>
            <w:pStyle w:val="Contents4"/>
            <w:tabs>
              <w:tab w:val="clear" w:pos="8176"/>
              <w:tab w:val="right" w:pos="9026" w:leader="dot"/>
            </w:tabs>
            <w:rPr/>
          </w:pPr>
          <w:hyperlink w:anchor="__RefHeading___Toc7071133_73709187">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7071135_73709187">
            <w:r>
              <w:rPr>
                <w:webHidden/>
                <w:rStyle w:val="IndexLink"/>
                <w:rtl w:val="true"/>
              </w:rPr>
              <w:t>المسانيد في عصر الأئمّة عليهم السلام</w:t>
            </w:r>
            <w:r>
              <w:rPr>
                <w:rStyle w:val="IndexLink"/>
                <w:rtl w:val="true"/>
              </w:rPr>
              <w:tab/>
            </w:r>
            <w:r>
              <w:rPr>
                <w:rStyle w:val="IndexLink"/>
              </w:rPr>
              <w:t>247</w:t>
            </w:r>
          </w:hyperlink>
        </w:p>
        <w:p>
          <w:pPr>
            <w:pStyle w:val="Contents4"/>
            <w:tabs>
              <w:tab w:val="clear" w:pos="8176"/>
              <w:tab w:val="right" w:pos="9026" w:leader="dot"/>
            </w:tabs>
            <w:rPr/>
          </w:pPr>
          <w:hyperlink w:anchor="__RefHeading___Toc7071137_73709187">
            <w:r>
              <w:rPr>
                <w:webHidden/>
                <w:rStyle w:val="IndexLink"/>
                <w:rtl w:val="true"/>
              </w:rPr>
              <w:t>ابن أبي عمير حياته، ومكانته العلمية والاجتماعية</w:t>
            </w:r>
            <w:r>
              <w:rPr>
                <w:rStyle w:val="IndexLink"/>
                <w:rtl w:val="true"/>
              </w:rPr>
              <w:tab/>
            </w:r>
            <w:r>
              <w:rPr>
                <w:rStyle w:val="IndexLink"/>
              </w:rPr>
              <w:t>251</w:t>
            </w:r>
          </w:hyperlink>
        </w:p>
        <w:p>
          <w:pPr>
            <w:pStyle w:val="Contents5"/>
            <w:tabs>
              <w:tab w:val="clear" w:pos="7892"/>
              <w:tab w:val="right" w:pos="9026" w:leader="dot"/>
            </w:tabs>
            <w:rPr/>
          </w:pPr>
          <w:hyperlink w:anchor="__RefHeading___Toc7071139_7370918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7071141_73709187">
            <w:r>
              <w:rPr>
                <w:webHidden/>
                <w:rStyle w:val="IndexLink"/>
                <w:rtl w:val="true"/>
              </w:rPr>
              <w:t>اسمه ونسبه</w:t>
            </w:r>
            <w:r>
              <w:rPr>
                <w:rStyle w:val="IndexLink"/>
                <w:rtl w:val="true"/>
              </w:rPr>
              <w:t>:</w:t>
              <w:tab/>
            </w:r>
            <w:r>
              <w:rPr>
                <w:rStyle w:val="IndexLink"/>
              </w:rPr>
              <w:t>251</w:t>
            </w:r>
          </w:hyperlink>
        </w:p>
        <w:p>
          <w:pPr>
            <w:pStyle w:val="Contents5"/>
            <w:tabs>
              <w:tab w:val="clear" w:pos="7892"/>
              <w:tab w:val="right" w:pos="9026" w:leader="dot"/>
            </w:tabs>
            <w:rPr/>
          </w:pPr>
          <w:hyperlink w:anchor="__RefHeading___Toc7071143_73709187">
            <w:r>
              <w:rPr>
                <w:webHidden/>
                <w:rStyle w:val="IndexLink"/>
                <w:rtl w:val="true"/>
              </w:rPr>
              <w:t>موطنه</w:t>
            </w:r>
            <w:r>
              <w:rPr>
                <w:rStyle w:val="IndexLink"/>
                <w:rtl w:val="true"/>
              </w:rPr>
              <w:t>:</w:t>
              <w:tab/>
            </w:r>
            <w:r>
              <w:rPr>
                <w:rStyle w:val="IndexLink"/>
              </w:rPr>
              <w:t>252</w:t>
            </w:r>
          </w:hyperlink>
        </w:p>
        <w:p>
          <w:pPr>
            <w:pStyle w:val="Contents6"/>
            <w:tabs>
              <w:tab w:val="clear" w:pos="7609"/>
              <w:tab w:val="right" w:pos="9026" w:leader="dot"/>
            </w:tabs>
            <w:rPr/>
          </w:pPr>
          <w:hyperlink w:anchor="__RefHeading___Toc7071145_73709187">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7071147_73709187">
            <w:r>
              <w:rPr>
                <w:webHidden/>
                <w:rStyle w:val="IndexLink"/>
                <w:rtl w:val="true"/>
              </w:rPr>
              <w:t>كلمات الثناء في حقّه</w:t>
            </w:r>
            <w:r>
              <w:rPr>
                <w:rStyle w:val="IndexLink"/>
                <w:rtl w:val="true"/>
              </w:rPr>
              <w:tab/>
            </w:r>
            <w:r>
              <w:rPr>
                <w:rStyle w:val="IndexLink"/>
              </w:rPr>
              <w:t>252</w:t>
            </w:r>
          </w:hyperlink>
        </w:p>
        <w:p>
          <w:pPr>
            <w:pStyle w:val="Contents6"/>
            <w:tabs>
              <w:tab w:val="clear" w:pos="7609"/>
              <w:tab w:val="right" w:pos="9026" w:leader="dot"/>
            </w:tabs>
            <w:rPr/>
          </w:pPr>
          <w:hyperlink w:anchor="__RefHeading___Toc7071149_73709187">
            <w:r>
              <w:rPr>
                <w:webHidden/>
                <w:rStyle w:val="IndexLink"/>
                <w:rtl w:val="true"/>
              </w:rPr>
              <w:t>ثباته على المبدأ، والتزامه بالشريعة</w:t>
            </w:r>
            <w:r>
              <w:rPr>
                <w:rStyle w:val="IndexLink"/>
                <w:rtl w:val="true"/>
              </w:rPr>
              <w:tab/>
            </w:r>
            <w:r>
              <w:rPr>
                <w:rStyle w:val="IndexLink"/>
              </w:rPr>
              <w:t>254</w:t>
            </w:r>
          </w:hyperlink>
        </w:p>
        <w:p>
          <w:pPr>
            <w:pStyle w:val="Contents6"/>
            <w:tabs>
              <w:tab w:val="clear" w:pos="7609"/>
              <w:tab w:val="right" w:pos="9026" w:leader="dot"/>
            </w:tabs>
            <w:rPr/>
          </w:pPr>
          <w:hyperlink w:anchor="__RefHeading___Toc7071151_73709187">
            <w:r>
              <w:rPr>
                <w:webHidden/>
                <w:rStyle w:val="IndexLink"/>
                <w:rtl w:val="true"/>
              </w:rPr>
              <w:t>مكانته العلمية والاجتماعية</w:t>
            </w:r>
            <w:r>
              <w:rPr>
                <w:rStyle w:val="IndexLink"/>
                <w:rtl w:val="true"/>
              </w:rPr>
              <w:tab/>
            </w:r>
            <w:r>
              <w:rPr>
                <w:rStyle w:val="IndexLink"/>
              </w:rPr>
              <w:t>256</w:t>
            </w:r>
          </w:hyperlink>
        </w:p>
        <w:p>
          <w:pPr>
            <w:pStyle w:val="Contents6"/>
            <w:tabs>
              <w:tab w:val="clear" w:pos="7609"/>
              <w:tab w:val="right" w:pos="9026" w:leader="dot"/>
            </w:tabs>
            <w:rPr/>
          </w:pPr>
          <w:hyperlink w:anchor="__RefHeading___Toc7071153_73709187">
            <w:r>
              <w:rPr>
                <w:webHidden/>
                <w:rStyle w:val="IndexLink"/>
                <w:rtl w:val="true"/>
              </w:rPr>
              <w:t>أ</w:t>
            </w:r>
            <w:r>
              <w:rPr>
                <w:rStyle w:val="IndexLink"/>
                <w:rtl w:val="true"/>
              </w:rPr>
              <w:t xml:space="preserve">. </w:t>
            </w:r>
            <w:r>
              <w:rPr>
                <w:rStyle w:val="IndexLink"/>
                <w:rtl w:val="true"/>
              </w:rPr>
              <w:t>كثرة تآليفه</w:t>
            </w:r>
            <w:r>
              <w:rPr>
                <w:rStyle w:val="IndexLink"/>
                <w:rtl w:val="true"/>
              </w:rPr>
              <w:tab/>
            </w:r>
            <w:r>
              <w:rPr>
                <w:rStyle w:val="IndexLink"/>
              </w:rPr>
              <w:t>257</w:t>
            </w:r>
          </w:hyperlink>
        </w:p>
        <w:p>
          <w:pPr>
            <w:pStyle w:val="Contents6"/>
            <w:tabs>
              <w:tab w:val="clear" w:pos="7609"/>
              <w:tab w:val="right" w:pos="9026" w:leader="dot"/>
            </w:tabs>
            <w:rPr/>
          </w:pPr>
          <w:hyperlink w:anchor="__RefHeading___Toc7071155_73709187">
            <w:r>
              <w:rPr>
                <w:webHidden/>
                <w:rStyle w:val="IndexLink"/>
                <w:rtl w:val="true"/>
              </w:rPr>
              <w:t>ب</w:t>
            </w:r>
            <w:r>
              <w:rPr>
                <w:rStyle w:val="IndexLink"/>
                <w:rtl w:val="true"/>
              </w:rPr>
              <w:t xml:space="preserve">. </w:t>
            </w:r>
            <w:r>
              <w:rPr>
                <w:rStyle w:val="IndexLink"/>
                <w:rtl w:val="true"/>
              </w:rPr>
              <w:t>قوّة حافظته</w:t>
            </w:r>
            <w:r>
              <w:rPr>
                <w:rStyle w:val="IndexLink"/>
                <w:rtl w:val="true"/>
              </w:rPr>
              <w:tab/>
            </w:r>
            <w:r>
              <w:rPr>
                <w:rStyle w:val="IndexLink"/>
              </w:rPr>
              <w:t>258</w:t>
            </w:r>
          </w:hyperlink>
        </w:p>
        <w:p>
          <w:pPr>
            <w:pStyle w:val="Contents6"/>
            <w:tabs>
              <w:tab w:val="clear" w:pos="7609"/>
              <w:tab w:val="right" w:pos="9026" w:leader="dot"/>
            </w:tabs>
            <w:rPr/>
          </w:pPr>
          <w:hyperlink w:anchor="__RefHeading___Toc7071157_73709187">
            <w:r>
              <w:rPr>
                <w:webHidden/>
                <w:rStyle w:val="IndexLink"/>
                <w:rtl w:val="true"/>
              </w:rPr>
              <w:t>ج</w:t>
            </w:r>
            <w:r>
              <w:rPr>
                <w:rStyle w:val="IndexLink"/>
                <w:rtl w:val="true"/>
              </w:rPr>
              <w:t xml:space="preserve">. </w:t>
            </w:r>
            <w:r>
              <w:rPr>
                <w:rStyle w:val="IndexLink"/>
                <w:rtl w:val="true"/>
              </w:rPr>
              <w:t>غزارة رواياته عن أئمّة أهل البيت عليهم السلام مشافهة أو بالواسطة</w:t>
            </w:r>
            <w:r>
              <w:rPr>
                <w:rStyle w:val="IndexLink"/>
                <w:rtl w:val="true"/>
              </w:rPr>
              <w:tab/>
            </w:r>
            <w:r>
              <w:rPr>
                <w:rStyle w:val="IndexLink"/>
              </w:rPr>
              <w:t>259</w:t>
            </w:r>
          </w:hyperlink>
        </w:p>
        <w:p>
          <w:pPr>
            <w:pStyle w:val="Contents5"/>
            <w:tabs>
              <w:tab w:val="clear" w:pos="7892"/>
              <w:tab w:val="right" w:pos="9026" w:leader="dot"/>
            </w:tabs>
            <w:rPr/>
          </w:pPr>
          <w:hyperlink w:anchor="__RefHeading___Toc7071159_73709187">
            <w:r>
              <w:rPr>
                <w:webHidden/>
                <w:rStyle w:val="IndexLink"/>
                <w:rtl w:val="true"/>
              </w:rPr>
              <w:t>تحقيق موجز حول مشايخه</w:t>
            </w:r>
            <w:r>
              <w:rPr>
                <w:rStyle w:val="IndexLink"/>
                <w:rtl w:val="true"/>
              </w:rPr>
              <w:tab/>
            </w:r>
            <w:r>
              <w:rPr>
                <w:rStyle w:val="IndexLink"/>
              </w:rPr>
              <w:t>259</w:t>
            </w:r>
          </w:hyperlink>
        </w:p>
        <w:p>
          <w:pPr>
            <w:pStyle w:val="Contents3"/>
            <w:tabs>
              <w:tab w:val="clear" w:pos="8459"/>
              <w:tab w:val="right" w:pos="9026" w:leader="dot"/>
            </w:tabs>
            <w:rPr/>
          </w:pPr>
          <w:hyperlink w:anchor="__RefHeading___Toc7071161_73709187">
            <w:r>
              <w:rPr>
                <w:webHidden/>
                <w:rStyle w:val="IndexLink"/>
              </w:rPr>
              <w:t>5</w:t>
            </w:r>
            <w:r>
              <w:rPr>
                <w:rStyle w:val="IndexLink"/>
                <w:rtl w:val="true"/>
              </w:rPr>
              <w:t xml:space="preserve">. </w:t>
            </w:r>
            <w:r>
              <w:rPr>
                <w:rStyle w:val="IndexLink"/>
                <w:rtl w:val="true"/>
              </w:rPr>
              <w:t>الوزير المغربي تفسيره ومذهبه</w:t>
            </w:r>
            <w:r>
              <w:rPr>
                <w:rStyle w:val="IndexLink"/>
                <w:rtl w:val="true"/>
              </w:rPr>
              <w:tab/>
            </w:r>
            <w:r>
              <w:rPr>
                <w:rStyle w:val="IndexLink"/>
              </w:rPr>
              <w:t>266</w:t>
            </w:r>
          </w:hyperlink>
        </w:p>
        <w:p>
          <w:pPr>
            <w:pStyle w:val="Contents4"/>
            <w:tabs>
              <w:tab w:val="clear" w:pos="8176"/>
              <w:tab w:val="right" w:pos="9026" w:leader="dot"/>
            </w:tabs>
            <w:rPr/>
          </w:pPr>
          <w:hyperlink w:anchor="__RefHeading___Toc7071163_7370918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7071165_73709187">
            <w:r>
              <w:rPr>
                <w:webHidden/>
                <w:rStyle w:val="IndexLink"/>
                <w:rtl w:val="true"/>
              </w:rPr>
              <w:t>الوزير المغربي في مصادر الشيعة</w:t>
            </w:r>
            <w:r>
              <w:rPr>
                <w:rStyle w:val="IndexLink"/>
                <w:rtl w:val="true"/>
              </w:rPr>
              <w:tab/>
            </w:r>
            <w:r>
              <w:rPr>
                <w:rStyle w:val="IndexLink"/>
              </w:rPr>
              <w:t>268</w:t>
            </w:r>
          </w:hyperlink>
        </w:p>
        <w:p>
          <w:pPr>
            <w:pStyle w:val="Contents4"/>
            <w:tabs>
              <w:tab w:val="clear" w:pos="8176"/>
              <w:tab w:val="right" w:pos="9026" w:leader="dot"/>
            </w:tabs>
            <w:rPr/>
          </w:pPr>
          <w:hyperlink w:anchor="__RefHeading___Toc7071167_73709187">
            <w:r>
              <w:rPr>
                <w:webHidden/>
                <w:rStyle w:val="IndexLink"/>
                <w:rtl w:val="true"/>
              </w:rPr>
              <w:t>القرائن الخارجية الدالّة على تشيّعه</w:t>
            </w:r>
            <w:r>
              <w:rPr>
                <w:rStyle w:val="IndexLink"/>
                <w:rtl w:val="true"/>
              </w:rPr>
              <w:tab/>
            </w:r>
            <w:r>
              <w:rPr>
                <w:rStyle w:val="IndexLink"/>
              </w:rPr>
              <w:t>271</w:t>
            </w:r>
          </w:hyperlink>
        </w:p>
        <w:p>
          <w:pPr>
            <w:pStyle w:val="Contents4"/>
            <w:tabs>
              <w:tab w:val="clear" w:pos="8176"/>
              <w:tab w:val="right" w:pos="9026" w:leader="dot"/>
            </w:tabs>
            <w:rPr/>
          </w:pPr>
          <w:hyperlink w:anchor="__RefHeading___Toc7071169_73709187">
            <w:r>
              <w:rPr>
                <w:webHidden/>
                <w:rStyle w:val="IndexLink"/>
                <w:rtl w:val="true"/>
              </w:rPr>
              <w:t>القرائن الداخلية الدالّة على تشيّعه</w:t>
            </w:r>
            <w:r>
              <w:rPr>
                <w:rStyle w:val="IndexLink"/>
                <w:rtl w:val="true"/>
              </w:rPr>
              <w:tab/>
            </w:r>
            <w:r>
              <w:rPr>
                <w:rStyle w:val="IndexLink"/>
              </w:rPr>
              <w:t>274</w:t>
            </w:r>
          </w:hyperlink>
        </w:p>
        <w:p>
          <w:pPr>
            <w:pStyle w:val="Contents5"/>
            <w:tabs>
              <w:tab w:val="clear" w:pos="7892"/>
              <w:tab w:val="right" w:pos="9026" w:leader="dot"/>
            </w:tabs>
            <w:rPr/>
          </w:pPr>
          <w:hyperlink w:anchor="__RefHeading___Toc7071171_73709187">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7071173_73709187">
            <w:r>
              <w:rPr>
                <w:webHidden/>
                <w:rStyle w:val="IndexLink"/>
              </w:rPr>
              <w:t>1</w:t>
            </w:r>
            <w:r>
              <w:rPr>
                <w:rStyle w:val="IndexLink"/>
                <w:rtl w:val="true"/>
              </w:rPr>
              <w:t xml:space="preserve">. </w:t>
            </w:r>
            <w:r>
              <w:rPr>
                <w:rStyle w:val="IndexLink"/>
                <w:rtl w:val="true"/>
              </w:rPr>
              <w:t>كيفية الصلاة على النبي صلى الله عليه و آله</w:t>
            </w:r>
            <w:r>
              <w:rPr>
                <w:rStyle w:val="IndexLink"/>
                <w:rtl w:val="true"/>
              </w:rPr>
              <w:tab/>
            </w:r>
            <w:r>
              <w:rPr>
                <w:rStyle w:val="IndexLink"/>
              </w:rPr>
              <w:t>274</w:t>
            </w:r>
          </w:hyperlink>
        </w:p>
        <w:p>
          <w:pPr>
            <w:pStyle w:val="Contents5"/>
            <w:tabs>
              <w:tab w:val="clear" w:pos="7892"/>
              <w:tab w:val="right" w:pos="9026" w:leader="dot"/>
            </w:tabs>
            <w:rPr/>
          </w:pPr>
          <w:hyperlink w:anchor="__RefHeading___Toc7071175_73709187">
            <w:r>
              <w:rPr>
                <w:webHidden/>
                <w:rStyle w:val="IndexLink"/>
              </w:rPr>
              <w:t>2</w:t>
            </w:r>
            <w:r>
              <w:rPr>
                <w:rStyle w:val="IndexLink"/>
                <w:rtl w:val="true"/>
              </w:rPr>
              <w:t xml:space="preserve">. </w:t>
            </w:r>
            <w:r>
              <w:rPr>
                <w:rStyle w:val="IndexLink"/>
                <w:rtl w:val="true"/>
              </w:rPr>
              <w:t>كلامه في بسملة كلّ سورة</w:t>
            </w:r>
            <w:r>
              <w:rPr>
                <w:rStyle w:val="IndexLink"/>
                <w:rtl w:val="true"/>
              </w:rPr>
              <w:tab/>
            </w:r>
            <w:r>
              <w:rPr>
                <w:rStyle w:val="IndexLink"/>
              </w:rPr>
              <w:t>275</w:t>
            </w:r>
          </w:hyperlink>
        </w:p>
        <w:p>
          <w:pPr>
            <w:pStyle w:val="Contents5"/>
            <w:tabs>
              <w:tab w:val="clear" w:pos="7892"/>
              <w:tab w:val="right" w:pos="9026" w:leader="dot"/>
            </w:tabs>
            <w:rPr/>
          </w:pPr>
          <w:hyperlink w:anchor="__RefHeading___Toc7071177_73709187">
            <w:r>
              <w:rPr>
                <w:webHidden/>
                <w:rStyle w:val="IndexLink"/>
              </w:rPr>
              <w:t>3</w:t>
            </w:r>
            <w:r>
              <w:rPr>
                <w:rStyle w:val="IndexLink"/>
                <w:rtl w:val="true"/>
              </w:rPr>
              <w:t xml:space="preserve">. </w:t>
            </w:r>
            <w:r>
              <w:rPr>
                <w:rStyle w:val="IndexLink"/>
                <w:rtl w:val="true"/>
              </w:rPr>
              <w:t>الجمع بين الحجّة والعمرة</w:t>
            </w:r>
            <w:r>
              <w:rPr>
                <w:rStyle w:val="IndexLink"/>
                <w:rtl w:val="true"/>
              </w:rPr>
              <w:tab/>
            </w:r>
            <w:r>
              <w:rPr>
                <w:rStyle w:val="IndexLink"/>
              </w:rPr>
              <w:t>275</w:t>
            </w:r>
          </w:hyperlink>
        </w:p>
        <w:p>
          <w:pPr>
            <w:pStyle w:val="Contents5"/>
            <w:tabs>
              <w:tab w:val="clear" w:pos="7892"/>
              <w:tab w:val="right" w:pos="9026" w:leader="dot"/>
            </w:tabs>
            <w:rPr/>
          </w:pPr>
          <w:hyperlink w:anchor="__RefHeading___Toc7071179_73709187">
            <w:r>
              <w:rPr>
                <w:webHidden/>
                <w:rStyle w:val="IndexLink"/>
              </w:rPr>
              <w:t>4</w:t>
            </w:r>
            <w:r>
              <w:rPr>
                <w:rStyle w:val="IndexLink"/>
                <w:rtl w:val="true"/>
              </w:rPr>
              <w:t xml:space="preserve">. </w:t>
            </w:r>
            <w:r>
              <w:rPr>
                <w:rStyle w:val="IndexLink"/>
                <w:rtl w:val="true"/>
              </w:rPr>
              <w:t>كلامه في ليلة المبيت</w:t>
            </w:r>
            <w:r>
              <w:rPr>
                <w:rStyle w:val="IndexLink"/>
                <w:rtl w:val="true"/>
              </w:rPr>
              <w:tab/>
            </w:r>
            <w:r>
              <w:rPr>
                <w:rStyle w:val="IndexLink"/>
              </w:rPr>
              <w:t>276</w:t>
            </w:r>
          </w:hyperlink>
        </w:p>
        <w:p>
          <w:pPr>
            <w:pStyle w:val="Contents5"/>
            <w:tabs>
              <w:tab w:val="clear" w:pos="7892"/>
              <w:tab w:val="right" w:pos="9026" w:leader="dot"/>
            </w:tabs>
            <w:rPr/>
          </w:pPr>
          <w:hyperlink w:anchor="__RefHeading___Toc7071181_73709187">
            <w:r>
              <w:rPr>
                <w:webHidden/>
                <w:rStyle w:val="IndexLink"/>
              </w:rPr>
              <w:t>5</w:t>
            </w:r>
            <w:r>
              <w:rPr>
                <w:rStyle w:val="IndexLink"/>
                <w:rtl w:val="true"/>
              </w:rPr>
              <w:t xml:space="preserve">. </w:t>
            </w:r>
            <w:r>
              <w:rPr>
                <w:rStyle w:val="IndexLink"/>
                <w:rtl w:val="true"/>
              </w:rPr>
              <w:t>كلامه في المباهلة</w:t>
            </w:r>
            <w:r>
              <w:rPr>
                <w:rStyle w:val="IndexLink"/>
                <w:rtl w:val="true"/>
              </w:rPr>
              <w:tab/>
            </w:r>
            <w:r>
              <w:rPr>
                <w:rStyle w:val="IndexLink"/>
              </w:rPr>
              <w:t>276</w:t>
            </w:r>
          </w:hyperlink>
        </w:p>
        <w:p>
          <w:pPr>
            <w:pStyle w:val="Contents5"/>
            <w:tabs>
              <w:tab w:val="clear" w:pos="7892"/>
              <w:tab w:val="right" w:pos="9026" w:leader="dot"/>
            </w:tabs>
            <w:rPr/>
          </w:pPr>
          <w:hyperlink w:anchor="__RefHeading___Toc7071183_73709187">
            <w:r>
              <w:rPr>
                <w:webHidden/>
                <w:rStyle w:val="IndexLink"/>
              </w:rPr>
              <w:t>6</w:t>
            </w:r>
            <w:r>
              <w:rPr>
                <w:rStyle w:val="IndexLink"/>
                <w:rtl w:val="true"/>
              </w:rPr>
              <w:t xml:space="preserve">. </w:t>
            </w:r>
            <w:r>
              <w:rPr>
                <w:rStyle w:val="IndexLink"/>
                <w:rtl w:val="true"/>
              </w:rPr>
              <w:t>كلامه في متعة النساء</w:t>
            </w:r>
            <w:r>
              <w:rPr>
                <w:rStyle w:val="IndexLink"/>
                <w:rtl w:val="true"/>
              </w:rPr>
              <w:tab/>
            </w:r>
            <w:r>
              <w:rPr>
                <w:rStyle w:val="IndexLink"/>
              </w:rPr>
              <w:t>277</w:t>
            </w:r>
          </w:hyperlink>
        </w:p>
        <w:p>
          <w:pPr>
            <w:pStyle w:val="Contents5"/>
            <w:tabs>
              <w:tab w:val="clear" w:pos="7892"/>
              <w:tab w:val="right" w:pos="9026" w:leader="dot"/>
            </w:tabs>
            <w:rPr/>
          </w:pPr>
          <w:hyperlink w:anchor="__RefHeading___Toc7071185_73709187">
            <w:r>
              <w:rPr>
                <w:webHidden/>
                <w:rStyle w:val="IndexLink"/>
              </w:rPr>
              <w:t>7</w:t>
            </w:r>
            <w:r>
              <w:rPr>
                <w:rStyle w:val="IndexLink"/>
                <w:rtl w:val="true"/>
              </w:rPr>
              <w:t xml:space="preserve">. </w:t>
            </w:r>
            <w:r>
              <w:rPr>
                <w:rStyle w:val="IndexLink"/>
                <w:rtl w:val="true"/>
              </w:rPr>
              <w:t>كلامه في آية الوضوء</w:t>
            </w:r>
            <w:r>
              <w:rPr>
                <w:rStyle w:val="IndexLink"/>
                <w:rtl w:val="true"/>
              </w:rPr>
              <w:tab/>
            </w:r>
            <w:r>
              <w:rPr>
                <w:rStyle w:val="IndexLink"/>
              </w:rPr>
              <w:t>277</w:t>
            </w:r>
          </w:hyperlink>
        </w:p>
        <w:p>
          <w:pPr>
            <w:pStyle w:val="Contents5"/>
            <w:tabs>
              <w:tab w:val="clear" w:pos="7892"/>
              <w:tab w:val="right" w:pos="9026" w:leader="dot"/>
            </w:tabs>
            <w:rPr/>
          </w:pPr>
          <w:hyperlink w:anchor="__RefHeading___Toc7071187_73709187">
            <w:r>
              <w:rPr>
                <w:webHidden/>
                <w:rStyle w:val="IndexLink"/>
              </w:rPr>
              <w:t>8</w:t>
            </w:r>
            <w:r>
              <w:rPr>
                <w:rStyle w:val="IndexLink"/>
                <w:rtl w:val="true"/>
              </w:rPr>
              <w:t xml:space="preserve">. </w:t>
            </w:r>
            <w:r>
              <w:rPr>
                <w:rStyle w:val="IndexLink"/>
                <w:rtl w:val="true"/>
              </w:rPr>
              <w:t>كلامه في الغنائم</w:t>
            </w:r>
            <w:r>
              <w:rPr>
                <w:rStyle w:val="IndexLink"/>
                <w:rtl w:val="true"/>
              </w:rPr>
              <w:tab/>
            </w:r>
            <w:r>
              <w:rPr>
                <w:rStyle w:val="IndexLink"/>
              </w:rPr>
              <w:t>278</w:t>
            </w:r>
          </w:hyperlink>
        </w:p>
        <w:p>
          <w:pPr>
            <w:pStyle w:val="Contents5"/>
            <w:tabs>
              <w:tab w:val="clear" w:pos="7892"/>
              <w:tab w:val="right" w:pos="9026" w:leader="dot"/>
            </w:tabs>
            <w:rPr/>
          </w:pPr>
          <w:hyperlink w:anchor="__RefHeading___Toc7071189_73709187">
            <w:r>
              <w:rPr>
                <w:webHidden/>
                <w:rStyle w:val="IndexLink"/>
              </w:rPr>
              <w:t>9</w:t>
            </w:r>
            <w:r>
              <w:rPr>
                <w:rStyle w:val="IndexLink"/>
                <w:rtl w:val="true"/>
              </w:rPr>
              <w:t xml:space="preserve">. </w:t>
            </w:r>
            <w:r>
              <w:rPr>
                <w:rStyle w:val="IndexLink"/>
                <w:rtl w:val="true"/>
              </w:rPr>
              <w:t>كلامه في تفسير قوله تعالى</w:t>
            </w:r>
            <w:r>
              <w:rPr>
                <w:rStyle w:val="IndexLink"/>
                <w:rtl w:val="true"/>
              </w:rPr>
              <w:t>: (</w:t>
            </w:r>
            <w:r>
              <w:rPr>
                <w:rStyle w:val="IndexLink"/>
                <w:rtl w:val="true"/>
              </w:rPr>
              <w:t>وَ كُونُوا مَعَ الصّادِقِينَ‌</w:t>
            </w:r>
            <w:r>
              <w:rPr>
                <w:rStyle w:val="IndexLink"/>
                <w:rtl w:val="true"/>
              </w:rPr>
              <w:t>)</w:t>
              <w:tab/>
            </w:r>
            <w:r>
              <w:rPr>
                <w:rStyle w:val="IndexLink"/>
              </w:rPr>
              <w:t>279</w:t>
            </w:r>
          </w:hyperlink>
        </w:p>
        <w:p>
          <w:pPr>
            <w:pStyle w:val="Contents5"/>
            <w:tabs>
              <w:tab w:val="clear" w:pos="7892"/>
              <w:tab w:val="right" w:pos="9026" w:leader="dot"/>
            </w:tabs>
            <w:rPr/>
          </w:pPr>
          <w:hyperlink w:anchor="__RefHeading___Toc7071191_73709187">
            <w:r>
              <w:rPr>
                <w:webHidden/>
                <w:rStyle w:val="IndexLink"/>
              </w:rPr>
              <w:t>10</w:t>
            </w:r>
            <w:r>
              <w:rPr>
                <w:rStyle w:val="IndexLink"/>
                <w:rtl w:val="true"/>
              </w:rPr>
              <w:t xml:space="preserve">. </w:t>
            </w:r>
            <w:r>
              <w:rPr>
                <w:rStyle w:val="IndexLink"/>
                <w:rtl w:val="true"/>
              </w:rPr>
              <w:t>كلامه في تفسير قوله</w:t>
            </w:r>
            <w:r>
              <w:rPr>
                <w:rStyle w:val="IndexLink"/>
                <w:rtl w:val="true"/>
              </w:rPr>
              <w:t>: (</w:t>
            </w:r>
            <w:r>
              <w:rPr>
                <w:rStyle w:val="IndexLink"/>
                <w:rtl w:val="true"/>
              </w:rPr>
              <w:t>لِكُلِّ قَوْمٍ هادٍ</w:t>
            </w:r>
            <w:r>
              <w:rPr>
                <w:rStyle w:val="IndexLink"/>
                <w:rtl w:val="true"/>
              </w:rPr>
              <w:t>)</w:t>
              <w:tab/>
            </w:r>
            <w:r>
              <w:rPr>
                <w:rStyle w:val="IndexLink"/>
              </w:rPr>
              <w:t>279</w:t>
            </w:r>
          </w:hyperlink>
        </w:p>
        <w:p>
          <w:pPr>
            <w:pStyle w:val="Contents5"/>
            <w:tabs>
              <w:tab w:val="clear" w:pos="7892"/>
              <w:tab w:val="right" w:pos="9026" w:leader="dot"/>
            </w:tabs>
            <w:rPr/>
          </w:pPr>
          <w:hyperlink w:anchor="__RefHeading___Toc7071193_73709187">
            <w:r>
              <w:rPr>
                <w:webHidden/>
                <w:rStyle w:val="IndexLink"/>
              </w:rPr>
              <w:t>11</w:t>
            </w:r>
            <w:r>
              <w:rPr>
                <w:rStyle w:val="IndexLink"/>
                <w:rtl w:val="true"/>
              </w:rPr>
              <w:t xml:space="preserve">. </w:t>
            </w:r>
            <w:r>
              <w:rPr>
                <w:rStyle w:val="IndexLink"/>
                <w:rtl w:val="true"/>
              </w:rPr>
              <w:t>كلامه في تفسير قوله</w:t>
            </w:r>
            <w:r>
              <w:rPr>
                <w:rStyle w:val="IndexLink"/>
                <w:rtl w:val="true"/>
              </w:rPr>
              <w:t>: (</w:t>
            </w:r>
            <w:r>
              <w:rPr>
                <w:rStyle w:val="IndexLink"/>
                <w:rtl w:val="true"/>
              </w:rPr>
              <w:t>ذَوِي الْقُرْبى‌</w:t>
            </w:r>
            <w:r>
              <w:rPr>
                <w:rStyle w:val="IndexLink"/>
                <w:rtl w:val="true"/>
              </w:rPr>
              <w:t>)</w:t>
              <w:tab/>
            </w:r>
            <w:r>
              <w:rPr>
                <w:rStyle w:val="IndexLink"/>
              </w:rPr>
              <w:t>280</w:t>
            </w:r>
          </w:hyperlink>
        </w:p>
        <w:p>
          <w:pPr>
            <w:pStyle w:val="Contents4"/>
            <w:tabs>
              <w:tab w:val="clear" w:pos="8176"/>
              <w:tab w:val="right" w:pos="9026" w:leader="dot"/>
            </w:tabs>
            <w:rPr/>
          </w:pPr>
          <w:hyperlink w:anchor="__RefHeading___Toc7071195_73709187">
            <w:r>
              <w:rPr>
                <w:webHidden/>
                <w:rStyle w:val="IndexLink"/>
                <w:rtl w:val="true"/>
              </w:rPr>
              <w:t>مآخذ أو محاسن‌؟</w:t>
            </w:r>
            <w:r>
              <w:rPr>
                <w:rStyle w:val="IndexLink"/>
                <w:rtl w:val="true"/>
              </w:rPr>
              <w:tab/>
            </w:r>
            <w:r>
              <w:rPr>
                <w:rStyle w:val="IndexLink"/>
              </w:rPr>
              <w:t>280</w:t>
            </w:r>
          </w:hyperlink>
        </w:p>
        <w:p>
          <w:pPr>
            <w:pStyle w:val="Contents3"/>
            <w:tabs>
              <w:tab w:val="clear" w:pos="8459"/>
              <w:tab w:val="right" w:pos="9026" w:leader="dot"/>
            </w:tabs>
            <w:rPr/>
          </w:pPr>
          <w:hyperlink w:anchor="__RefHeading___Toc7071197_73709187">
            <w:r>
              <w:rPr>
                <w:webHidden/>
                <w:rStyle w:val="IndexLink"/>
              </w:rPr>
              <w:t>6</w:t>
            </w:r>
            <w:r>
              <w:rPr>
                <w:rStyle w:val="IndexLink"/>
                <w:rtl w:val="true"/>
              </w:rPr>
              <w:t xml:space="preserve">. </w:t>
            </w:r>
            <w:r>
              <w:rPr>
                <w:rStyle w:val="IndexLink"/>
                <w:rtl w:val="true"/>
              </w:rPr>
              <w:t>رسالة في الكرّ مساحةً ووزناً</w:t>
            </w:r>
            <w:r>
              <w:rPr>
                <w:rStyle w:val="IndexLink"/>
                <w:rtl w:val="true"/>
              </w:rPr>
              <w:tab/>
            </w:r>
            <w:r>
              <w:rPr>
                <w:rStyle w:val="IndexLink"/>
              </w:rPr>
              <w:t>282</w:t>
            </w:r>
          </w:hyperlink>
        </w:p>
        <w:p>
          <w:pPr>
            <w:pStyle w:val="Contents4"/>
            <w:tabs>
              <w:tab w:val="clear" w:pos="8176"/>
              <w:tab w:val="right" w:pos="9026" w:leader="dot"/>
            </w:tabs>
            <w:rPr/>
          </w:pPr>
          <w:hyperlink w:anchor="__RefHeading___Toc7071199_73709187">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7071201_73709187">
            <w:r>
              <w:rPr>
                <w:webHidden/>
                <w:rStyle w:val="IndexLink"/>
                <w:rtl w:val="true"/>
              </w:rPr>
              <w:t>الكُرّ لغةً واصطلاحاً</w:t>
            </w:r>
            <w:r>
              <w:rPr>
                <w:rStyle w:val="IndexLink"/>
                <w:rtl w:val="true"/>
              </w:rPr>
              <w:tab/>
            </w:r>
            <w:r>
              <w:rPr>
                <w:rStyle w:val="IndexLink"/>
              </w:rPr>
              <w:t>282</w:t>
            </w:r>
          </w:hyperlink>
        </w:p>
        <w:p>
          <w:pPr>
            <w:pStyle w:val="Contents4"/>
            <w:tabs>
              <w:tab w:val="clear" w:pos="8176"/>
              <w:tab w:val="right" w:pos="9026" w:leader="dot"/>
            </w:tabs>
            <w:rPr/>
          </w:pPr>
          <w:hyperlink w:anchor="__RefHeading___Toc7071203_73709187">
            <w:r>
              <w:rPr>
                <w:webHidden/>
                <w:rStyle w:val="IndexLink"/>
                <w:rtl w:val="true"/>
              </w:rPr>
              <w:t>المقام الأوّل</w:t>
            </w:r>
            <w:r>
              <w:rPr>
                <w:rStyle w:val="IndexLink"/>
                <w:rtl w:val="true"/>
              </w:rPr>
              <w:t xml:space="preserve">: </w:t>
            </w:r>
            <w:r>
              <w:rPr>
                <w:rStyle w:val="IndexLink"/>
                <w:rtl w:val="true"/>
              </w:rPr>
              <w:t>في دراسة أقوال أصحابنا</w:t>
            </w:r>
            <w:r>
              <w:rPr>
                <w:rStyle w:val="IndexLink"/>
                <w:rtl w:val="true"/>
              </w:rPr>
              <w:tab/>
            </w:r>
            <w:r>
              <w:rPr>
                <w:rStyle w:val="IndexLink"/>
              </w:rPr>
              <w:t>284</w:t>
            </w:r>
          </w:hyperlink>
        </w:p>
        <w:p>
          <w:pPr>
            <w:pStyle w:val="Contents4"/>
            <w:tabs>
              <w:tab w:val="clear" w:pos="8176"/>
              <w:tab w:val="right" w:pos="9026" w:leader="dot"/>
            </w:tabs>
            <w:rPr/>
          </w:pPr>
          <w:hyperlink w:anchor="__RefHeading___Toc7071205_73709187">
            <w:r>
              <w:rPr>
                <w:webHidden/>
                <w:rStyle w:val="IndexLink"/>
                <w:rtl w:val="true"/>
              </w:rPr>
              <w:t>المقام الثاني</w:t>
            </w:r>
            <w:r>
              <w:rPr>
                <w:rStyle w:val="IndexLink"/>
                <w:rtl w:val="true"/>
              </w:rPr>
              <w:t xml:space="preserve">: </w:t>
            </w:r>
            <w:r>
              <w:rPr>
                <w:rStyle w:val="IndexLink"/>
                <w:rtl w:val="true"/>
              </w:rPr>
              <w:t>دراسة ما ورد في الروايات</w:t>
            </w:r>
            <w:r>
              <w:rPr>
                <w:rStyle w:val="IndexLink"/>
                <w:rtl w:val="true"/>
              </w:rPr>
              <w:tab/>
            </w:r>
            <w:r>
              <w:rPr>
                <w:rStyle w:val="IndexLink"/>
              </w:rPr>
              <w:t>286</w:t>
            </w:r>
          </w:hyperlink>
        </w:p>
        <w:p>
          <w:pPr>
            <w:pStyle w:val="Contents5"/>
            <w:tabs>
              <w:tab w:val="clear" w:pos="7892"/>
              <w:tab w:val="right" w:pos="9026" w:leader="dot"/>
            </w:tabs>
            <w:rPr/>
          </w:pPr>
          <w:hyperlink w:anchor="__RefHeading___Toc7071207_7370918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7071209_73709187">
            <w:r>
              <w:rPr>
                <w:webHidden/>
                <w:rStyle w:val="IndexLink"/>
                <w:rtl w:val="true"/>
              </w:rPr>
              <w:t>الركيّ‌</w:t>
            </w:r>
            <w:r>
              <w:rPr>
                <w:rStyle w:val="IndexLink"/>
                <w:rtl w:val="true"/>
              </w:rPr>
              <w:t xml:space="preserve">: </w:t>
            </w:r>
            <w:r>
              <w:rPr>
                <w:rStyle w:val="IndexLink"/>
                <w:rtl w:val="true"/>
              </w:rPr>
              <w:t>بئر مستدير ليس له عرض وطول</w:t>
            </w:r>
            <w:r>
              <w:rPr>
                <w:rStyle w:val="IndexLink"/>
                <w:rtl w:val="true"/>
              </w:rPr>
              <w:tab/>
            </w:r>
            <w:r>
              <w:rPr>
                <w:rStyle w:val="IndexLink"/>
              </w:rPr>
              <w:t>294</w:t>
            </w:r>
          </w:hyperlink>
        </w:p>
        <w:p>
          <w:pPr>
            <w:pStyle w:val="Contents4"/>
            <w:tabs>
              <w:tab w:val="clear" w:pos="8176"/>
              <w:tab w:val="right" w:pos="9026" w:leader="dot"/>
            </w:tabs>
            <w:rPr/>
          </w:pPr>
          <w:hyperlink w:anchor="__RefHeading___Toc7071211_73709187">
            <w:r>
              <w:rPr>
                <w:webHidden/>
                <w:rStyle w:val="IndexLink"/>
                <w:rtl w:val="true"/>
              </w:rPr>
              <w:t>تقدير الكرّ بالوزن</w:t>
            </w:r>
            <w:r>
              <w:rPr>
                <w:rStyle w:val="IndexLink"/>
                <w:rtl w:val="true"/>
              </w:rPr>
              <w:tab/>
            </w:r>
            <w:r>
              <w:rPr>
                <w:rStyle w:val="IndexLink"/>
              </w:rPr>
              <w:t>304</w:t>
            </w:r>
          </w:hyperlink>
        </w:p>
        <w:p>
          <w:pPr>
            <w:pStyle w:val="Contents4"/>
            <w:tabs>
              <w:tab w:val="clear" w:pos="8176"/>
              <w:tab w:val="right" w:pos="9026" w:leader="dot"/>
            </w:tabs>
            <w:rPr/>
          </w:pPr>
          <w:hyperlink w:anchor="__RefHeading___Toc7071213_73709187">
            <w:r>
              <w:rPr>
                <w:webHidden/>
                <w:rStyle w:val="IndexLink"/>
                <w:rtl w:val="true"/>
              </w:rPr>
              <w:t>تنبيه</w:t>
            </w:r>
            <w:r>
              <w:rPr>
                <w:rStyle w:val="IndexLink"/>
                <w:rtl w:val="true"/>
              </w:rPr>
              <w:tab/>
            </w:r>
            <w:r>
              <w:rPr>
                <w:rStyle w:val="IndexLink"/>
              </w:rPr>
              <w:t>311</w:t>
            </w:r>
          </w:hyperlink>
        </w:p>
        <w:p>
          <w:pPr>
            <w:pStyle w:val="Contents4"/>
            <w:tabs>
              <w:tab w:val="clear" w:pos="8176"/>
              <w:tab w:val="right" w:pos="9026" w:leader="dot"/>
            </w:tabs>
            <w:rPr/>
          </w:pPr>
          <w:hyperlink w:anchor="__RefHeading___Toc7071215_73709187">
            <w:r>
              <w:rPr>
                <w:webHidden/>
                <w:rStyle w:val="IndexLink"/>
                <w:rtl w:val="true"/>
              </w:rPr>
              <w:t>مشكلة الاختلاف بين التقديرين</w:t>
            </w:r>
            <w:r>
              <w:rPr>
                <w:rStyle w:val="IndexLink"/>
                <w:rtl w:val="true"/>
              </w:rPr>
              <w:tab/>
            </w:r>
            <w:r>
              <w:rPr>
                <w:rStyle w:val="IndexLink"/>
              </w:rPr>
              <w:t>312</w:t>
            </w:r>
          </w:hyperlink>
        </w:p>
        <w:p>
          <w:pPr>
            <w:pStyle w:val="Contents3"/>
            <w:tabs>
              <w:tab w:val="clear" w:pos="8459"/>
              <w:tab w:val="right" w:pos="9026" w:leader="dot"/>
            </w:tabs>
            <w:rPr/>
          </w:pPr>
          <w:hyperlink w:anchor="__RefHeading___Toc7071217_73709187">
            <w:r>
              <w:rPr>
                <w:webHidden/>
                <w:rStyle w:val="IndexLink"/>
              </w:rPr>
              <w:t>7</w:t>
            </w:r>
            <w:r>
              <w:rPr>
                <w:rStyle w:val="IndexLink"/>
                <w:rtl w:val="true"/>
              </w:rPr>
              <w:t xml:space="preserve">. </w:t>
            </w:r>
            <w:r>
              <w:rPr>
                <w:rStyle w:val="IndexLink"/>
                <w:rtl w:val="true"/>
              </w:rPr>
              <w:t>حكم الصلاة في مساجد الشيعة</w:t>
            </w:r>
            <w:r>
              <w:rPr>
                <w:rStyle w:val="IndexLink"/>
                <w:rtl w:val="true"/>
              </w:rPr>
              <w:tab/>
            </w:r>
            <w:r>
              <w:rPr>
                <w:rStyle w:val="IndexLink"/>
              </w:rPr>
              <w:t>314</w:t>
            </w:r>
          </w:hyperlink>
        </w:p>
        <w:p>
          <w:pPr>
            <w:pStyle w:val="Contents4"/>
            <w:tabs>
              <w:tab w:val="clear" w:pos="8176"/>
              <w:tab w:val="right" w:pos="9026" w:leader="dot"/>
            </w:tabs>
            <w:rPr/>
          </w:pPr>
          <w:hyperlink w:anchor="__RefHeading___Toc7071219_73709187">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7071221_73709187">
            <w:r>
              <w:rPr>
                <w:webHidden/>
                <w:rStyle w:val="IndexLink"/>
                <w:rtl w:val="true"/>
              </w:rPr>
              <w:t>حكم بناء المساجد على قبور الأولياء</w:t>
            </w:r>
            <w:r>
              <w:rPr>
                <w:rStyle w:val="IndexLink"/>
                <w:rtl w:val="true"/>
              </w:rPr>
              <w:tab/>
            </w:r>
            <w:r>
              <w:rPr>
                <w:rStyle w:val="IndexLink"/>
              </w:rPr>
              <w:t>315</w:t>
            </w:r>
          </w:hyperlink>
        </w:p>
        <w:p>
          <w:pPr>
            <w:pStyle w:val="Contents4"/>
            <w:tabs>
              <w:tab w:val="clear" w:pos="8176"/>
              <w:tab w:val="right" w:pos="9026" w:leader="dot"/>
            </w:tabs>
            <w:rPr/>
          </w:pPr>
          <w:hyperlink w:anchor="__RefHeading___Toc7071223_73709187">
            <w:r>
              <w:rPr>
                <w:webHidden/>
                <w:rStyle w:val="IndexLink"/>
                <w:rtl w:val="true"/>
              </w:rPr>
              <w:t>كيفية الاستدلال</w:t>
            </w:r>
            <w:r>
              <w:rPr>
                <w:rStyle w:val="IndexLink"/>
                <w:rtl w:val="true"/>
              </w:rPr>
              <w:tab/>
            </w:r>
            <w:r>
              <w:rPr>
                <w:rStyle w:val="IndexLink"/>
              </w:rPr>
              <w:t>317</w:t>
            </w:r>
          </w:hyperlink>
        </w:p>
        <w:p>
          <w:pPr>
            <w:pStyle w:val="Contents4"/>
            <w:tabs>
              <w:tab w:val="clear" w:pos="8176"/>
              <w:tab w:val="right" w:pos="9026" w:leader="dot"/>
            </w:tabs>
            <w:rPr/>
          </w:pPr>
          <w:hyperlink w:anchor="__RefHeading___Toc7071225_73709187">
            <w:r>
              <w:rPr>
                <w:webHidden/>
                <w:rStyle w:val="IndexLink"/>
                <w:rtl w:val="true"/>
              </w:rPr>
              <w:t>زلة لا تستقال</w:t>
            </w:r>
            <w:r>
              <w:rPr>
                <w:rStyle w:val="IndexLink"/>
                <w:rtl w:val="true"/>
              </w:rPr>
              <w:tab/>
            </w:r>
            <w:r>
              <w:rPr>
                <w:rStyle w:val="IndexLink"/>
              </w:rPr>
              <w:t>318</w:t>
            </w:r>
          </w:hyperlink>
        </w:p>
        <w:p>
          <w:pPr>
            <w:pStyle w:val="Contents4"/>
            <w:tabs>
              <w:tab w:val="clear" w:pos="8176"/>
              <w:tab w:val="right" w:pos="9026" w:leader="dot"/>
            </w:tabs>
            <w:rPr/>
          </w:pPr>
          <w:hyperlink w:anchor="__RefHeading___Toc7071227_73709187">
            <w:r>
              <w:rPr>
                <w:webHidden/>
                <w:rStyle w:val="IndexLink"/>
                <w:rtl w:val="true"/>
              </w:rPr>
              <w:t>تأويل مردود للألباني</w:t>
            </w:r>
            <w:r>
              <w:rPr>
                <w:rStyle w:val="IndexLink"/>
                <w:rtl w:val="true"/>
              </w:rPr>
              <w:tab/>
            </w:r>
            <w:r>
              <w:rPr>
                <w:rStyle w:val="IndexLink"/>
              </w:rPr>
              <w:t>320</w:t>
            </w:r>
          </w:hyperlink>
        </w:p>
        <w:p>
          <w:pPr>
            <w:pStyle w:val="Contents4"/>
            <w:tabs>
              <w:tab w:val="clear" w:pos="8176"/>
              <w:tab w:val="right" w:pos="9026" w:leader="dot"/>
            </w:tabs>
            <w:rPr/>
          </w:pPr>
          <w:hyperlink w:anchor="__RefHeading___Toc7071229_73709187">
            <w:r>
              <w:rPr>
                <w:webHidden/>
                <w:rStyle w:val="IndexLink"/>
                <w:rtl w:val="true"/>
              </w:rPr>
              <w:t>عود إلى كلام عثمان الخميس</w:t>
            </w:r>
            <w:r>
              <w:rPr>
                <w:rStyle w:val="IndexLink"/>
                <w:rtl w:val="true"/>
              </w:rPr>
              <w:tab/>
            </w:r>
            <w:r>
              <w:rPr>
                <w:rStyle w:val="IndexLink"/>
              </w:rPr>
              <w:t>321</w:t>
            </w:r>
          </w:hyperlink>
        </w:p>
        <w:p>
          <w:pPr>
            <w:pStyle w:val="Contents4"/>
            <w:tabs>
              <w:tab w:val="clear" w:pos="8176"/>
              <w:tab w:val="right" w:pos="9026" w:leader="dot"/>
            </w:tabs>
            <w:rPr/>
          </w:pPr>
          <w:hyperlink w:anchor="__RefHeading___Toc7071231_73709187">
            <w:r>
              <w:rPr>
                <w:webHidden/>
                <w:rStyle w:val="IndexLink"/>
                <w:rtl w:val="true"/>
              </w:rPr>
              <w:t>الإهانة لأهل البيت عليهم السلام والتابعين</w:t>
            </w:r>
            <w:r>
              <w:rPr>
                <w:rStyle w:val="IndexLink"/>
                <w:rtl w:val="true"/>
              </w:rPr>
              <w:tab/>
            </w:r>
            <w:r>
              <w:rPr>
                <w:rStyle w:val="IndexLink"/>
              </w:rPr>
              <w:t>322</w:t>
            </w:r>
          </w:hyperlink>
        </w:p>
        <w:p>
          <w:pPr>
            <w:pStyle w:val="Contents4"/>
            <w:tabs>
              <w:tab w:val="clear" w:pos="8176"/>
              <w:tab w:val="right" w:pos="9026" w:leader="dot"/>
            </w:tabs>
            <w:rPr/>
          </w:pPr>
          <w:hyperlink w:anchor="__RefHeading___Toc7071233_73709187">
            <w:r>
              <w:rPr>
                <w:webHidden/>
                <w:rStyle w:val="IndexLink"/>
                <w:rtl w:val="true"/>
              </w:rPr>
              <w:t>دراسة أدلّة المانعين</w:t>
            </w:r>
            <w:r>
              <w:rPr>
                <w:rStyle w:val="IndexLink"/>
                <w:rtl w:val="true"/>
              </w:rPr>
              <w:tab/>
            </w:r>
            <w:r>
              <w:rPr>
                <w:rStyle w:val="IndexLink"/>
              </w:rPr>
              <w:t>325</w:t>
            </w:r>
          </w:hyperlink>
        </w:p>
        <w:p>
          <w:pPr>
            <w:pStyle w:val="Contents4"/>
            <w:tabs>
              <w:tab w:val="clear" w:pos="8176"/>
              <w:tab w:val="right" w:pos="9026" w:leader="dot"/>
            </w:tabs>
            <w:rPr/>
          </w:pPr>
          <w:hyperlink w:anchor="__RefHeading___Toc7071235_73709187">
            <w:r>
              <w:rPr>
                <w:webHidden/>
                <w:rStyle w:val="IndexLink"/>
                <w:rtl w:val="true"/>
              </w:rPr>
              <w:t>وجود المساجد في المشاهد المشرّفة لا صلة له بهذه الأحاديث</w:t>
            </w:r>
            <w:r>
              <w:rPr>
                <w:rStyle w:val="IndexLink"/>
                <w:rtl w:val="true"/>
              </w:rPr>
              <w:tab/>
            </w:r>
            <w:r>
              <w:rPr>
                <w:rStyle w:val="IndexLink"/>
              </w:rPr>
              <w:t>331</w:t>
            </w:r>
          </w:hyperlink>
        </w:p>
        <w:p>
          <w:pPr>
            <w:pStyle w:val="Contents4"/>
            <w:tabs>
              <w:tab w:val="clear" w:pos="8176"/>
              <w:tab w:val="right" w:pos="9026" w:leader="dot"/>
            </w:tabs>
            <w:rPr/>
          </w:pPr>
          <w:hyperlink w:anchor="__RefHeading___Toc7071237_73709187">
            <w:r>
              <w:rPr>
                <w:webHidden/>
                <w:rStyle w:val="IndexLink"/>
                <w:rtl w:val="true"/>
              </w:rPr>
              <w:t>دراسة مقاطع ثلاث في كلام عثمان الخميس</w:t>
            </w:r>
            <w:r>
              <w:rPr>
                <w:rStyle w:val="IndexLink"/>
                <w:rtl w:val="true"/>
              </w:rPr>
              <w:tab/>
            </w:r>
            <w:r>
              <w:rPr>
                <w:rStyle w:val="IndexLink"/>
              </w:rPr>
              <w:t>332</w:t>
            </w:r>
          </w:hyperlink>
        </w:p>
        <w:p>
          <w:pPr>
            <w:pStyle w:val="Contents5"/>
            <w:tabs>
              <w:tab w:val="clear" w:pos="7892"/>
              <w:tab w:val="right" w:pos="9026" w:leader="dot"/>
            </w:tabs>
            <w:rPr/>
          </w:pPr>
          <w:hyperlink w:anchor="__RefHeading___Toc7071239_7370918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7071241_73709187">
            <w:r>
              <w:rPr>
                <w:webHidden/>
                <w:rStyle w:val="IndexLink"/>
                <w:rtl w:val="true"/>
              </w:rPr>
              <w:t>المقطع الأوّل</w:t>
            </w:r>
            <w:r>
              <w:rPr>
                <w:rStyle w:val="IndexLink"/>
                <w:rtl w:val="true"/>
              </w:rPr>
              <w:tab/>
            </w:r>
            <w:r>
              <w:rPr>
                <w:rStyle w:val="IndexLink"/>
              </w:rPr>
              <w:t>332</w:t>
            </w:r>
          </w:hyperlink>
        </w:p>
        <w:p>
          <w:pPr>
            <w:pStyle w:val="Contents5"/>
            <w:tabs>
              <w:tab w:val="clear" w:pos="7892"/>
              <w:tab w:val="right" w:pos="9026" w:leader="dot"/>
            </w:tabs>
            <w:rPr/>
          </w:pPr>
          <w:hyperlink w:anchor="__RefHeading___Toc7071243_73709187">
            <w:r>
              <w:rPr>
                <w:webHidden/>
                <w:rStyle w:val="IndexLink"/>
                <w:rtl w:val="true"/>
              </w:rPr>
              <w:t>دراسة المقطع الثاني من كلامه</w:t>
            </w:r>
            <w:r>
              <w:rPr>
                <w:rStyle w:val="IndexLink"/>
                <w:rtl w:val="true"/>
              </w:rPr>
              <w:tab/>
            </w:r>
            <w:r>
              <w:rPr>
                <w:rStyle w:val="IndexLink"/>
              </w:rPr>
              <w:t>334</w:t>
            </w:r>
          </w:hyperlink>
        </w:p>
        <w:p>
          <w:pPr>
            <w:pStyle w:val="Contents6"/>
            <w:tabs>
              <w:tab w:val="clear" w:pos="7609"/>
              <w:tab w:val="right" w:pos="9026" w:leader="dot"/>
            </w:tabs>
            <w:rPr/>
          </w:pPr>
          <w:hyperlink w:anchor="__RefHeading___Toc7071245_73709187">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7071247_73709187">
            <w:r>
              <w:rPr>
                <w:webHidden/>
                <w:rStyle w:val="IndexLink"/>
                <w:rtl w:val="true"/>
              </w:rPr>
              <w:t>الأوّل</w:t>
            </w:r>
            <w:r>
              <w:rPr>
                <w:rStyle w:val="IndexLink"/>
                <w:rtl w:val="true"/>
              </w:rPr>
              <w:t xml:space="preserve">: </w:t>
            </w:r>
            <w:r>
              <w:rPr>
                <w:rStyle w:val="IndexLink"/>
                <w:rtl w:val="true"/>
              </w:rPr>
              <w:t>يذكرون غير اللّه،</w:t>
            </w:r>
            <w:r>
              <w:rPr>
                <w:rStyle w:val="IndexLink"/>
                <w:rtl w:val="true"/>
              </w:rPr>
              <w:tab/>
            </w:r>
            <w:r>
              <w:rPr>
                <w:rStyle w:val="IndexLink"/>
              </w:rPr>
              <w:t>334</w:t>
            </w:r>
          </w:hyperlink>
        </w:p>
        <w:p>
          <w:pPr>
            <w:pStyle w:val="Contents6"/>
            <w:tabs>
              <w:tab w:val="clear" w:pos="7609"/>
              <w:tab w:val="right" w:pos="9026" w:leader="dot"/>
            </w:tabs>
            <w:rPr/>
          </w:pPr>
          <w:hyperlink w:anchor="__RefHeading___Toc7071249_73709187">
            <w:r>
              <w:rPr>
                <w:webHidden/>
                <w:rStyle w:val="IndexLink"/>
                <w:rtl w:val="true"/>
              </w:rPr>
              <w:t>الثاني</w:t>
            </w:r>
            <w:r>
              <w:rPr>
                <w:rStyle w:val="IndexLink"/>
                <w:rtl w:val="true"/>
              </w:rPr>
              <w:t xml:space="preserve">: </w:t>
            </w:r>
            <w:r>
              <w:rPr>
                <w:rStyle w:val="IndexLink"/>
                <w:rtl w:val="true"/>
              </w:rPr>
              <w:t>ويستغاث بغير اللّه،</w:t>
            </w:r>
            <w:r>
              <w:rPr>
                <w:rStyle w:val="IndexLink"/>
                <w:rtl w:val="true"/>
              </w:rPr>
              <w:tab/>
            </w:r>
            <w:r>
              <w:rPr>
                <w:rStyle w:val="IndexLink"/>
              </w:rPr>
              <w:t>334</w:t>
            </w:r>
          </w:hyperlink>
        </w:p>
        <w:p>
          <w:pPr>
            <w:pStyle w:val="Contents6"/>
            <w:tabs>
              <w:tab w:val="clear" w:pos="7609"/>
              <w:tab w:val="right" w:pos="9026" w:leader="dot"/>
            </w:tabs>
            <w:rPr/>
          </w:pPr>
          <w:hyperlink w:anchor="__RefHeading___Toc7071251_73709187">
            <w:r>
              <w:rPr>
                <w:webHidden/>
                <w:rStyle w:val="IndexLink"/>
                <w:rtl w:val="true"/>
              </w:rPr>
              <w:t>الثالث</w:t>
            </w:r>
            <w:r>
              <w:rPr>
                <w:rStyle w:val="IndexLink"/>
                <w:rtl w:val="true"/>
              </w:rPr>
              <w:t xml:space="preserve">: </w:t>
            </w:r>
            <w:r>
              <w:rPr>
                <w:rStyle w:val="IndexLink"/>
                <w:rtl w:val="true"/>
              </w:rPr>
              <w:t>ويدعون غير اللّه</w:t>
            </w:r>
            <w:r>
              <w:rPr>
                <w:rStyle w:val="IndexLink"/>
                <w:rtl w:val="true"/>
              </w:rPr>
              <w:tab/>
            </w:r>
            <w:r>
              <w:rPr>
                <w:rStyle w:val="IndexLink"/>
              </w:rPr>
              <w:t>335</w:t>
            </w:r>
          </w:hyperlink>
        </w:p>
        <w:p>
          <w:pPr>
            <w:pStyle w:val="Contents6"/>
            <w:tabs>
              <w:tab w:val="clear" w:pos="7609"/>
              <w:tab w:val="right" w:pos="9026" w:leader="dot"/>
            </w:tabs>
            <w:rPr/>
          </w:pPr>
          <w:hyperlink w:anchor="__RefHeading___Toc7071253_73709187">
            <w:r>
              <w:rPr>
                <w:webHidden/>
                <w:rStyle w:val="IndexLink"/>
                <w:rtl w:val="true"/>
              </w:rPr>
              <w:t>الرابع</w:t>
            </w:r>
            <w:r>
              <w:rPr>
                <w:rStyle w:val="IndexLink"/>
                <w:rtl w:val="true"/>
              </w:rPr>
              <w:t xml:space="preserve">: </w:t>
            </w:r>
            <w:r>
              <w:rPr>
                <w:rStyle w:val="IndexLink"/>
                <w:rtl w:val="true"/>
              </w:rPr>
              <w:t>سبّ الأولياء من الصحابة والخلفاء</w:t>
            </w:r>
            <w:r>
              <w:rPr>
                <w:rStyle w:val="IndexLink"/>
                <w:rtl w:val="true"/>
              </w:rPr>
              <w:tab/>
            </w:r>
            <w:r>
              <w:rPr>
                <w:rStyle w:val="IndexLink"/>
              </w:rPr>
              <w:t>337</w:t>
            </w:r>
          </w:hyperlink>
        </w:p>
        <w:p>
          <w:pPr>
            <w:pStyle w:val="Contents6"/>
            <w:tabs>
              <w:tab w:val="clear" w:pos="7609"/>
              <w:tab w:val="right" w:pos="9026" w:leader="dot"/>
            </w:tabs>
            <w:rPr/>
          </w:pPr>
          <w:hyperlink w:anchor="__RefHeading___Toc7071255_73709187">
            <w:r>
              <w:rPr>
                <w:webHidden/>
                <w:rStyle w:val="IndexLink"/>
                <w:rtl w:val="true"/>
              </w:rPr>
              <w:t>النقد والتقييم غير السبّ‌</w:t>
            </w:r>
            <w:r>
              <w:rPr>
                <w:rStyle w:val="IndexLink"/>
                <w:rtl w:val="true"/>
              </w:rPr>
              <w:tab/>
            </w:r>
            <w:r>
              <w:rPr>
                <w:rStyle w:val="IndexLink"/>
              </w:rPr>
              <w:t>338</w:t>
            </w:r>
          </w:hyperlink>
        </w:p>
        <w:p>
          <w:pPr>
            <w:pStyle w:val="Contents5"/>
            <w:tabs>
              <w:tab w:val="clear" w:pos="7892"/>
              <w:tab w:val="right" w:pos="9026" w:leader="dot"/>
            </w:tabs>
            <w:rPr/>
          </w:pPr>
          <w:hyperlink w:anchor="__RefHeading___Toc7071257_73709187">
            <w:r>
              <w:rPr>
                <w:webHidden/>
                <w:rStyle w:val="IndexLink"/>
                <w:rtl w:val="true"/>
              </w:rPr>
              <w:t>دراسة المقطع الثالث</w:t>
            </w:r>
            <w:r>
              <w:rPr>
                <w:rStyle w:val="IndexLink"/>
                <w:rtl w:val="true"/>
              </w:rPr>
              <w:tab/>
            </w:r>
            <w:r>
              <w:rPr>
                <w:rStyle w:val="IndexLink"/>
              </w:rPr>
              <w:t>339</w:t>
            </w:r>
          </w:hyperlink>
        </w:p>
        <w:p>
          <w:pPr>
            <w:pStyle w:val="Contents3"/>
            <w:tabs>
              <w:tab w:val="clear" w:pos="8459"/>
              <w:tab w:val="right" w:pos="9026" w:leader="dot"/>
            </w:tabs>
            <w:rPr/>
          </w:pPr>
          <w:hyperlink w:anchor="__RefHeading___Toc7071259_73709187">
            <w:r>
              <w:rPr>
                <w:webHidden/>
                <w:rStyle w:val="IndexLink"/>
              </w:rPr>
              <w:t>8</w:t>
            </w:r>
            <w:r>
              <w:rPr>
                <w:rStyle w:val="IndexLink"/>
                <w:rtl w:val="true"/>
              </w:rPr>
              <w:t xml:space="preserve">. </w:t>
            </w:r>
            <w:r>
              <w:rPr>
                <w:rStyle w:val="IndexLink"/>
                <w:rtl w:val="true"/>
              </w:rPr>
              <w:t>رسالة في صوم مَن به داء العطش ومَن أصابه العطش</w:t>
            </w:r>
            <w:r>
              <w:rPr>
                <w:rStyle w:val="IndexLink"/>
                <w:rtl w:val="true"/>
              </w:rPr>
              <w:tab/>
            </w:r>
            <w:r>
              <w:rPr>
                <w:rStyle w:val="IndexLink"/>
              </w:rPr>
              <w:t>341</w:t>
            </w:r>
          </w:hyperlink>
        </w:p>
        <w:p>
          <w:pPr>
            <w:pStyle w:val="Contents4"/>
            <w:tabs>
              <w:tab w:val="clear" w:pos="8176"/>
              <w:tab w:val="right" w:pos="9026" w:leader="dot"/>
            </w:tabs>
            <w:rPr/>
          </w:pPr>
          <w:hyperlink w:anchor="__RefHeading___Toc7071261_73709187">
            <w:r>
              <w:rPr>
                <w:webHidden/>
                <w:rStyle w:val="IndexLink"/>
                <w:rtl w:val="true"/>
              </w:rPr>
              <w:t>وفيها مسألتان</w:t>
            </w:r>
            <w:r>
              <w:rPr>
                <w:rStyle w:val="IndexLink"/>
                <w:rtl w:val="true"/>
              </w:rPr>
              <w:t>:</w:t>
              <w:tab/>
            </w:r>
            <w:r>
              <w:rPr>
                <w:rStyle w:val="IndexLink"/>
              </w:rPr>
              <w:t>341</w:t>
            </w:r>
          </w:hyperlink>
        </w:p>
        <w:p>
          <w:pPr>
            <w:pStyle w:val="Contents4"/>
            <w:tabs>
              <w:tab w:val="clear" w:pos="8176"/>
              <w:tab w:val="right" w:pos="9026" w:leader="dot"/>
            </w:tabs>
            <w:rPr/>
          </w:pPr>
          <w:hyperlink w:anchor="__RefHeading___Toc7071263_73709187">
            <w:r>
              <w:rPr>
                <w:webHidden/>
                <w:rStyle w:val="IndexLink"/>
                <w:rtl w:val="true"/>
              </w:rPr>
              <w:t>المسألة الأُولى</w:t>
            </w:r>
            <w:r>
              <w:rPr>
                <w:rStyle w:val="IndexLink"/>
                <w:rtl w:val="true"/>
              </w:rPr>
              <w:t xml:space="preserve">: </w:t>
            </w:r>
            <w:r>
              <w:rPr>
                <w:rStyle w:val="IndexLink"/>
                <w:rtl w:val="true"/>
              </w:rPr>
              <w:t>مَن به داء العطش</w:t>
            </w:r>
            <w:r>
              <w:rPr>
                <w:rStyle w:val="IndexLink"/>
                <w:rtl w:val="true"/>
              </w:rPr>
              <w:tab/>
            </w:r>
            <w:r>
              <w:rPr>
                <w:rStyle w:val="IndexLink"/>
              </w:rPr>
              <w:t>341</w:t>
            </w:r>
          </w:hyperlink>
        </w:p>
        <w:p>
          <w:pPr>
            <w:pStyle w:val="Contents3"/>
            <w:tabs>
              <w:tab w:val="clear" w:pos="8459"/>
              <w:tab w:val="right" w:pos="9026" w:leader="dot"/>
            </w:tabs>
            <w:rPr/>
          </w:pPr>
          <w:hyperlink w:anchor="__RefHeading___Toc7071265_73709187">
            <w:r>
              <w:rPr>
                <w:webHidden/>
                <w:rStyle w:val="IndexLink"/>
              </w:rPr>
              <w:t>9</w:t>
            </w:r>
            <w:r>
              <w:rPr>
                <w:rStyle w:val="IndexLink"/>
                <w:rtl w:val="true"/>
              </w:rPr>
              <w:t>. «</w:t>
            </w:r>
            <w:r>
              <w:rPr>
                <w:rStyle w:val="IndexLink"/>
                <w:rtl w:val="true"/>
              </w:rPr>
              <w:t>منى‌، التاريخ والتشريع</w:t>
            </w:r>
            <w:r>
              <w:rPr>
                <w:rStyle w:val="IndexLink"/>
                <w:rtl w:val="true"/>
              </w:rPr>
              <w:t>»</w:t>
              <w:tab/>
            </w:r>
            <w:r>
              <w:rPr>
                <w:rStyle w:val="IndexLink"/>
              </w:rPr>
              <w:t>349</w:t>
            </w:r>
          </w:hyperlink>
        </w:p>
        <w:p>
          <w:pPr>
            <w:pStyle w:val="Contents4"/>
            <w:tabs>
              <w:tab w:val="clear" w:pos="8176"/>
              <w:tab w:val="right" w:pos="9026" w:leader="dot"/>
            </w:tabs>
            <w:rPr/>
          </w:pPr>
          <w:hyperlink w:anchor="__RefHeading___Toc7071267_7370918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7071269_73709187">
            <w:r>
              <w:rPr>
                <w:webHidden/>
                <w:rStyle w:val="IndexLink"/>
                <w:rtl w:val="true"/>
              </w:rPr>
              <w:t>أمّا التمهيد</w:t>
            </w:r>
            <w:r>
              <w:rPr>
                <w:rStyle w:val="IndexLink"/>
                <w:rtl w:val="true"/>
              </w:rPr>
              <w:tab/>
            </w:r>
            <w:r>
              <w:rPr>
                <w:rStyle w:val="IndexLink"/>
              </w:rPr>
              <w:t>350</w:t>
            </w:r>
          </w:hyperlink>
        </w:p>
        <w:p>
          <w:pPr>
            <w:pStyle w:val="Contents5"/>
            <w:tabs>
              <w:tab w:val="clear" w:pos="7892"/>
              <w:tab w:val="right" w:pos="9026" w:leader="dot"/>
            </w:tabs>
            <w:rPr/>
          </w:pPr>
          <w:hyperlink w:anchor="__RefHeading___Toc7071271_7370918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7071273_73709187">
            <w:r>
              <w:rPr>
                <w:webHidden/>
                <w:rStyle w:val="IndexLink"/>
              </w:rPr>
              <w:t>1</w:t>
            </w:r>
            <w:r>
              <w:rPr>
                <w:rStyle w:val="IndexLink"/>
                <w:rtl w:val="true"/>
              </w:rPr>
              <w:t xml:space="preserve">. </w:t>
            </w:r>
            <w:r>
              <w:rPr>
                <w:rStyle w:val="IndexLink"/>
                <w:rtl w:val="true"/>
              </w:rPr>
              <w:t>منى العَلَم على المكان</w:t>
            </w:r>
            <w:r>
              <w:rPr>
                <w:rStyle w:val="IndexLink"/>
                <w:rtl w:val="true"/>
              </w:rPr>
              <w:tab/>
            </w:r>
            <w:r>
              <w:rPr>
                <w:rStyle w:val="IndexLink"/>
              </w:rPr>
              <w:t>350</w:t>
            </w:r>
          </w:hyperlink>
        </w:p>
        <w:p>
          <w:pPr>
            <w:pStyle w:val="Contents5"/>
            <w:tabs>
              <w:tab w:val="clear" w:pos="7892"/>
              <w:tab w:val="right" w:pos="9026" w:leader="dot"/>
            </w:tabs>
            <w:rPr/>
          </w:pPr>
          <w:hyperlink w:anchor="__RefHeading___Toc7071275_73709187">
            <w:r>
              <w:rPr>
                <w:webHidden/>
                <w:rStyle w:val="IndexLink"/>
              </w:rPr>
              <w:t>2</w:t>
            </w:r>
            <w:r>
              <w:rPr>
                <w:rStyle w:val="IndexLink"/>
                <w:rtl w:val="true"/>
              </w:rPr>
              <w:t xml:space="preserve">. </w:t>
            </w:r>
            <w:r>
              <w:rPr>
                <w:rStyle w:val="IndexLink"/>
                <w:rtl w:val="true"/>
              </w:rPr>
              <w:t>شوارع منى الرئيسية</w:t>
            </w:r>
            <w:r>
              <w:rPr>
                <w:rStyle w:val="IndexLink"/>
                <w:rtl w:val="true"/>
              </w:rPr>
              <w:tab/>
            </w:r>
            <w:r>
              <w:rPr>
                <w:rStyle w:val="IndexLink"/>
              </w:rPr>
              <w:t>350</w:t>
            </w:r>
          </w:hyperlink>
        </w:p>
        <w:p>
          <w:pPr>
            <w:pStyle w:val="Contents5"/>
            <w:tabs>
              <w:tab w:val="clear" w:pos="7892"/>
              <w:tab w:val="right" w:pos="9026" w:leader="dot"/>
            </w:tabs>
            <w:rPr/>
          </w:pPr>
          <w:hyperlink w:anchor="__RefHeading___Toc7071277_73709187">
            <w:r>
              <w:rPr>
                <w:webHidden/>
                <w:rStyle w:val="IndexLink"/>
              </w:rPr>
              <w:t>3</w:t>
            </w:r>
            <w:r>
              <w:rPr>
                <w:rStyle w:val="IndexLink"/>
                <w:rtl w:val="true"/>
              </w:rPr>
              <w:t xml:space="preserve">. </w:t>
            </w:r>
            <w:r>
              <w:rPr>
                <w:rStyle w:val="IndexLink"/>
                <w:rtl w:val="true"/>
              </w:rPr>
              <w:t>سبب تسميتها منى‌</w:t>
            </w:r>
            <w:r>
              <w:rPr>
                <w:rStyle w:val="IndexLink"/>
                <w:rtl w:val="true"/>
              </w:rPr>
              <w:tab/>
            </w:r>
            <w:r>
              <w:rPr>
                <w:rStyle w:val="IndexLink"/>
              </w:rPr>
              <w:t>350</w:t>
            </w:r>
          </w:hyperlink>
        </w:p>
        <w:p>
          <w:pPr>
            <w:pStyle w:val="Contents5"/>
            <w:tabs>
              <w:tab w:val="clear" w:pos="7892"/>
              <w:tab w:val="right" w:pos="9026" w:leader="dot"/>
            </w:tabs>
            <w:rPr/>
          </w:pPr>
          <w:hyperlink w:anchor="__RefHeading___Toc7071279_73709187">
            <w:r>
              <w:rPr>
                <w:webHidden/>
                <w:rStyle w:val="IndexLink"/>
              </w:rPr>
              <w:t>4</w:t>
            </w:r>
            <w:r>
              <w:rPr>
                <w:rStyle w:val="IndexLink"/>
                <w:rtl w:val="true"/>
              </w:rPr>
              <w:t xml:space="preserve">. </w:t>
            </w:r>
            <w:r>
              <w:rPr>
                <w:rStyle w:val="IndexLink"/>
                <w:rtl w:val="true"/>
              </w:rPr>
              <w:t>أيام منى، أسماؤها وخصائصها</w:t>
            </w:r>
            <w:r>
              <w:rPr>
                <w:rStyle w:val="IndexLink"/>
                <w:rtl w:val="true"/>
              </w:rPr>
              <w:tab/>
            </w:r>
            <w:r>
              <w:rPr>
                <w:rStyle w:val="IndexLink"/>
              </w:rPr>
              <w:t>351</w:t>
            </w:r>
          </w:hyperlink>
        </w:p>
        <w:p>
          <w:pPr>
            <w:pStyle w:val="Contents5"/>
            <w:tabs>
              <w:tab w:val="clear" w:pos="7892"/>
              <w:tab w:val="right" w:pos="9026" w:leader="dot"/>
            </w:tabs>
            <w:rPr/>
          </w:pPr>
          <w:hyperlink w:anchor="__RefHeading___Toc7071281_73709187">
            <w:r>
              <w:rPr>
                <w:webHidden/>
                <w:rStyle w:val="IndexLink"/>
              </w:rPr>
              <w:t>5</w:t>
            </w:r>
            <w:r>
              <w:rPr>
                <w:rStyle w:val="IndexLink"/>
                <w:rtl w:val="true"/>
              </w:rPr>
              <w:t xml:space="preserve">. </w:t>
            </w:r>
            <w:r>
              <w:rPr>
                <w:rStyle w:val="IndexLink"/>
                <w:rtl w:val="true"/>
              </w:rPr>
              <w:t>حدود منى الشرعية</w:t>
            </w:r>
            <w:r>
              <w:rPr>
                <w:rStyle w:val="IndexLink"/>
                <w:rtl w:val="true"/>
              </w:rPr>
              <w:tab/>
            </w:r>
            <w:r>
              <w:rPr>
                <w:rStyle w:val="IndexLink"/>
              </w:rPr>
              <w:t>352</w:t>
            </w:r>
          </w:hyperlink>
        </w:p>
        <w:p>
          <w:pPr>
            <w:pStyle w:val="Contents5"/>
            <w:tabs>
              <w:tab w:val="clear" w:pos="7892"/>
              <w:tab w:val="right" w:pos="9026" w:leader="dot"/>
            </w:tabs>
            <w:rPr/>
          </w:pPr>
          <w:hyperlink w:anchor="__RefHeading___Toc7071283_73709187">
            <w:r>
              <w:rPr>
                <w:webHidden/>
                <w:rStyle w:val="IndexLink"/>
              </w:rPr>
              <w:t>6</w:t>
            </w:r>
            <w:r>
              <w:rPr>
                <w:rStyle w:val="IndexLink"/>
                <w:rtl w:val="true"/>
              </w:rPr>
              <w:t xml:space="preserve">. </w:t>
            </w:r>
            <w:r>
              <w:rPr>
                <w:rStyle w:val="IndexLink"/>
                <w:rtl w:val="true"/>
              </w:rPr>
              <w:t>فضائل منى</w:t>
            </w:r>
            <w:r>
              <w:rPr>
                <w:rStyle w:val="IndexLink"/>
                <w:rtl w:val="true"/>
              </w:rPr>
              <w:tab/>
            </w:r>
            <w:r>
              <w:rPr>
                <w:rStyle w:val="IndexLink"/>
              </w:rPr>
              <w:t>352</w:t>
            </w:r>
          </w:hyperlink>
        </w:p>
        <w:p>
          <w:pPr>
            <w:pStyle w:val="Contents4"/>
            <w:tabs>
              <w:tab w:val="clear" w:pos="8176"/>
              <w:tab w:val="right" w:pos="9026" w:leader="dot"/>
            </w:tabs>
            <w:rPr/>
          </w:pPr>
          <w:hyperlink w:anchor="__RefHeading___Toc7071285_73709187">
            <w:r>
              <w:rPr>
                <w:webHidden/>
                <w:rStyle w:val="IndexLink"/>
                <w:rtl w:val="true"/>
              </w:rPr>
              <w:t>القسم الأوّل</w:t>
            </w:r>
            <w:r>
              <w:rPr>
                <w:rStyle w:val="IndexLink"/>
                <w:rtl w:val="true"/>
              </w:rPr>
              <w:t xml:space="preserve">: </w:t>
            </w:r>
            <w:r>
              <w:rPr>
                <w:rStyle w:val="IndexLink"/>
                <w:rtl w:val="true"/>
              </w:rPr>
              <w:t>منى في ذاكرة التاريخ الإسلامي</w:t>
            </w:r>
            <w:r>
              <w:rPr>
                <w:rStyle w:val="IndexLink"/>
                <w:rtl w:val="true"/>
              </w:rPr>
              <w:tab/>
            </w:r>
            <w:r>
              <w:rPr>
                <w:rStyle w:val="IndexLink"/>
              </w:rPr>
              <w:t>352</w:t>
            </w:r>
          </w:hyperlink>
        </w:p>
        <w:p>
          <w:pPr>
            <w:pStyle w:val="Contents5"/>
            <w:tabs>
              <w:tab w:val="clear" w:pos="7892"/>
              <w:tab w:val="right" w:pos="9026" w:leader="dot"/>
            </w:tabs>
            <w:rPr/>
          </w:pPr>
          <w:hyperlink w:anchor="__RefHeading___Toc7071287_7370918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7071289_73709187">
            <w:r>
              <w:rPr>
                <w:webHidden/>
                <w:rStyle w:val="IndexLink"/>
                <w:rtl w:val="true"/>
              </w:rPr>
              <w:t>الأماكن المأثورة الثابتة تاريخياً</w:t>
            </w:r>
            <w:r>
              <w:rPr>
                <w:rStyle w:val="IndexLink"/>
                <w:rtl w:val="true"/>
              </w:rPr>
              <w:tab/>
            </w:r>
            <w:r>
              <w:rPr>
                <w:rStyle w:val="IndexLink"/>
              </w:rPr>
              <w:t>353</w:t>
            </w:r>
          </w:hyperlink>
        </w:p>
        <w:p>
          <w:pPr>
            <w:pStyle w:val="Contents4"/>
            <w:tabs>
              <w:tab w:val="clear" w:pos="8176"/>
              <w:tab w:val="right" w:pos="9026" w:leader="dot"/>
            </w:tabs>
            <w:rPr/>
          </w:pPr>
          <w:hyperlink w:anchor="__RefHeading___Toc7071291_73709187">
            <w:r>
              <w:rPr>
                <w:webHidden/>
                <w:rStyle w:val="IndexLink"/>
                <w:rtl w:val="true"/>
              </w:rPr>
              <w:t>القسم الثاني</w:t>
            </w:r>
            <w:r>
              <w:rPr>
                <w:rStyle w:val="IndexLink"/>
                <w:rtl w:val="true"/>
              </w:rPr>
              <w:t xml:space="preserve">: </w:t>
            </w:r>
            <w:r>
              <w:rPr>
                <w:rStyle w:val="IndexLink"/>
                <w:rtl w:val="true"/>
              </w:rPr>
              <w:t>منى التشريع</w:t>
            </w:r>
            <w:r>
              <w:rPr>
                <w:rStyle w:val="IndexLink"/>
                <w:rtl w:val="true"/>
              </w:rPr>
              <w:tab/>
            </w:r>
            <w:r>
              <w:rPr>
                <w:rStyle w:val="IndexLink"/>
              </w:rPr>
              <w:t>355</w:t>
            </w:r>
          </w:hyperlink>
        </w:p>
        <w:p>
          <w:pPr>
            <w:pStyle w:val="Contents4"/>
            <w:tabs>
              <w:tab w:val="clear" w:pos="8176"/>
              <w:tab w:val="right" w:pos="9026" w:leader="dot"/>
            </w:tabs>
            <w:rPr/>
          </w:pPr>
          <w:hyperlink w:anchor="__RefHeading___Toc7071293_73709187">
            <w:r>
              <w:rPr>
                <w:webHidden/>
                <w:rStyle w:val="IndexLink"/>
                <w:rtl w:val="true"/>
              </w:rPr>
              <w:t>القرآن الكريم وحفظ الآثار</w:t>
            </w:r>
            <w:r>
              <w:rPr>
                <w:rStyle w:val="IndexLink"/>
                <w:rtl w:val="true"/>
              </w:rPr>
              <w:tab/>
            </w:r>
            <w:r>
              <w:rPr>
                <w:rStyle w:val="IndexLink"/>
              </w:rPr>
              <w:t>364</w:t>
            </w:r>
          </w:hyperlink>
        </w:p>
        <w:p>
          <w:pPr>
            <w:pStyle w:val="Contents3"/>
            <w:tabs>
              <w:tab w:val="clear" w:pos="8459"/>
              <w:tab w:val="right" w:pos="9026" w:leader="dot"/>
            </w:tabs>
            <w:rPr/>
          </w:pPr>
          <w:hyperlink w:anchor="__RefHeading___Toc7071295_73709187">
            <w:r>
              <w:rPr>
                <w:webHidden/>
                <w:rStyle w:val="IndexLink"/>
              </w:rPr>
              <w:t>10</w:t>
            </w:r>
            <w:r>
              <w:rPr>
                <w:rStyle w:val="IndexLink"/>
                <w:rtl w:val="true"/>
              </w:rPr>
              <w:t xml:space="preserve">. </w:t>
            </w:r>
            <w:r>
              <w:rPr>
                <w:rStyle w:val="IndexLink"/>
                <w:rtl w:val="true"/>
              </w:rPr>
              <w:t>اختلاف الزوجين في دوام العقد وانقطاعه</w:t>
            </w:r>
            <w:r>
              <w:rPr>
                <w:rStyle w:val="IndexLink"/>
                <w:rtl w:val="true"/>
              </w:rPr>
              <w:tab/>
            </w:r>
            <w:r>
              <w:rPr>
                <w:rStyle w:val="IndexLink"/>
              </w:rPr>
              <w:t>366</w:t>
            </w:r>
          </w:hyperlink>
        </w:p>
        <w:p>
          <w:pPr>
            <w:pStyle w:val="Contents4"/>
            <w:tabs>
              <w:tab w:val="clear" w:pos="8176"/>
              <w:tab w:val="right" w:pos="9026" w:leader="dot"/>
            </w:tabs>
            <w:rPr/>
          </w:pPr>
          <w:hyperlink w:anchor="__RefHeading___Toc7071297_73709187">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7071299_73709187">
            <w:r>
              <w:rPr>
                <w:webHidden/>
                <w:rStyle w:val="IndexLink"/>
                <w:rtl w:val="true"/>
              </w:rPr>
              <w:t>لزوم الأخذ بطبع العقد</w:t>
            </w:r>
            <w:r>
              <w:rPr>
                <w:rStyle w:val="IndexLink"/>
                <w:rtl w:val="true"/>
              </w:rPr>
              <w:tab/>
            </w:r>
            <w:r>
              <w:rPr>
                <w:rStyle w:val="IndexLink"/>
              </w:rPr>
              <w:t>370</w:t>
            </w:r>
          </w:hyperlink>
        </w:p>
        <w:p>
          <w:pPr>
            <w:pStyle w:val="Contents2"/>
            <w:tabs>
              <w:tab w:val="clear" w:pos="8743"/>
              <w:tab w:val="right" w:pos="9026" w:leader="dot"/>
            </w:tabs>
            <w:rPr/>
          </w:pPr>
          <w:hyperlink w:anchor="__RefHeading___Toc7071301_73709187">
            <w:r>
              <w:rPr>
                <w:webHidden/>
                <w:rStyle w:val="IndexLink"/>
                <w:rtl w:val="true"/>
              </w:rPr>
              <w:t>الفصل الثالث الرسائل المتبادلة</w:t>
            </w:r>
            <w:r>
              <w:rPr>
                <w:rStyle w:val="IndexLink"/>
                <w:rtl w:val="true"/>
              </w:rPr>
              <w:tab/>
            </w:r>
            <w:r>
              <w:rPr>
                <w:rStyle w:val="IndexLink"/>
              </w:rPr>
              <w:t>372</w:t>
            </w:r>
          </w:hyperlink>
        </w:p>
        <w:p>
          <w:pPr>
            <w:pStyle w:val="Contents3"/>
            <w:tabs>
              <w:tab w:val="clear" w:pos="8459"/>
              <w:tab w:val="right" w:pos="9026" w:leader="dot"/>
            </w:tabs>
            <w:rPr/>
          </w:pPr>
          <w:hyperlink w:anchor="__RefHeading___Toc7071303_73709187">
            <w:r>
              <w:rPr>
                <w:webHidden/>
                <w:rStyle w:val="IndexLink"/>
                <w:rtl w:val="true"/>
              </w:rPr>
              <w:t>اشارة</w:t>
            </w:r>
            <w:r>
              <w:rPr>
                <w:rStyle w:val="IndexLink"/>
                <w:rtl w:val="true"/>
              </w:rPr>
              <w:tab/>
            </w:r>
            <w:r>
              <w:rPr>
                <w:rStyle w:val="IndexLink"/>
              </w:rPr>
              <w:t>372</w:t>
            </w:r>
          </w:hyperlink>
        </w:p>
        <w:p>
          <w:pPr>
            <w:pStyle w:val="Contents3"/>
            <w:tabs>
              <w:tab w:val="clear" w:pos="8459"/>
              <w:tab w:val="right" w:pos="9026" w:leader="dot"/>
            </w:tabs>
            <w:rPr/>
          </w:pPr>
          <w:hyperlink w:anchor="__RefHeading___Toc7071305_73709187">
            <w:r>
              <w:rPr>
                <w:webHidden/>
                <w:rStyle w:val="IndexLink"/>
              </w:rPr>
              <w:t>1</w:t>
            </w:r>
            <w:r>
              <w:rPr>
                <w:rStyle w:val="IndexLink"/>
                <w:rtl w:val="true"/>
              </w:rPr>
              <w:t xml:space="preserve"> </w:t>
            </w:r>
            <w:r>
              <w:rPr>
                <w:rStyle w:val="IndexLink"/>
                <w:rtl w:val="true"/>
              </w:rPr>
              <w:t>مراسلاتنا مع الدكتور وهبة الزحيلي</w:t>
            </w:r>
            <w:r>
              <w:rPr>
                <w:rStyle w:val="IndexLink"/>
                <w:rtl w:val="true"/>
              </w:rPr>
              <w:tab/>
            </w:r>
            <w:r>
              <w:rPr>
                <w:rStyle w:val="IndexLink"/>
              </w:rPr>
              <w:t>373</w:t>
            </w:r>
          </w:hyperlink>
        </w:p>
        <w:p>
          <w:pPr>
            <w:pStyle w:val="Contents3"/>
            <w:tabs>
              <w:tab w:val="clear" w:pos="8459"/>
              <w:tab w:val="right" w:pos="9026" w:leader="dot"/>
            </w:tabs>
            <w:rPr/>
          </w:pPr>
          <w:hyperlink w:anchor="__RefHeading___Toc7071307_73709187">
            <w:r>
              <w:rPr>
                <w:webHidden/>
                <w:rStyle w:val="IndexLink"/>
              </w:rPr>
              <w:t>2</w:t>
            </w:r>
            <w:r>
              <w:rPr>
                <w:rStyle w:val="IndexLink"/>
                <w:rtl w:val="true"/>
              </w:rPr>
              <w:t xml:space="preserve"> </w:t>
            </w:r>
            <w:r>
              <w:rPr>
                <w:rStyle w:val="IndexLink"/>
                <w:rtl w:val="true"/>
              </w:rPr>
              <w:t>مراسلاتنا مع الدكتور عبد الوهاب إبراهيم أبو سليمان</w:t>
            </w:r>
            <w:r>
              <w:rPr>
                <w:rStyle w:val="IndexLink"/>
                <w:rtl w:val="true"/>
              </w:rPr>
              <w:tab/>
            </w:r>
            <w:r>
              <w:rPr>
                <w:rStyle w:val="IndexLink"/>
              </w:rPr>
              <w:t>390</w:t>
            </w:r>
          </w:hyperlink>
        </w:p>
        <w:p>
          <w:pPr>
            <w:pStyle w:val="Contents4"/>
            <w:tabs>
              <w:tab w:val="clear" w:pos="8176"/>
              <w:tab w:val="right" w:pos="9026" w:leader="dot"/>
            </w:tabs>
            <w:rPr/>
          </w:pPr>
          <w:hyperlink w:anchor="__RefHeading___Toc7071309_73709187">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7071311_73709187">
            <w:r>
              <w:rPr>
                <w:webHidden/>
                <w:rStyle w:val="IndexLink"/>
                <w:rtl w:val="true"/>
              </w:rPr>
              <w:t>المناقشة الأُولى حول الأوقات الشرعية في المناطق القطبية</w:t>
            </w:r>
            <w:r>
              <w:rPr>
                <w:rStyle w:val="IndexLink"/>
                <w:rtl w:val="true"/>
              </w:rPr>
              <w:tab/>
            </w:r>
            <w:r>
              <w:rPr>
                <w:rStyle w:val="IndexLink"/>
              </w:rPr>
              <w:t>390</w:t>
            </w:r>
          </w:hyperlink>
        </w:p>
        <w:p>
          <w:pPr>
            <w:pStyle w:val="Contents5"/>
            <w:tabs>
              <w:tab w:val="clear" w:pos="7892"/>
              <w:tab w:val="right" w:pos="9026" w:leader="dot"/>
            </w:tabs>
            <w:rPr/>
          </w:pPr>
          <w:hyperlink w:anchor="__RefHeading___Toc7071313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7071315_73709187">
            <w:r>
              <w:rPr>
                <w:webHidden/>
                <w:rStyle w:val="IndexLink"/>
                <w:rtl w:val="true"/>
              </w:rPr>
              <w:t>ملاحظاتنا على هذه المحاور</w:t>
            </w:r>
            <w:r>
              <w:rPr>
                <w:rStyle w:val="IndexLink"/>
                <w:rtl w:val="true"/>
              </w:rPr>
              <w:t>:</w:t>
              <w:tab/>
            </w:r>
            <w:r>
              <w:rPr>
                <w:rStyle w:val="IndexLink"/>
              </w:rPr>
              <w:t>391</w:t>
            </w:r>
          </w:hyperlink>
        </w:p>
        <w:p>
          <w:pPr>
            <w:pStyle w:val="Contents5"/>
            <w:tabs>
              <w:tab w:val="clear" w:pos="7892"/>
              <w:tab w:val="right" w:pos="9026" w:leader="dot"/>
            </w:tabs>
            <w:rPr/>
          </w:pPr>
          <w:hyperlink w:anchor="__RefHeading___Toc7071317_73709187">
            <w:r>
              <w:rPr>
                <w:webHidden/>
                <w:rStyle w:val="IndexLink"/>
                <w:rtl w:val="true"/>
              </w:rPr>
              <w:t>ما هو المختار عندنا في تحديد أوقات الصلاة والصوم‌؟</w:t>
            </w:r>
            <w:r>
              <w:rPr>
                <w:rStyle w:val="IndexLink"/>
                <w:rtl w:val="true"/>
              </w:rPr>
              <w:tab/>
            </w:r>
            <w:r>
              <w:rPr>
                <w:rStyle w:val="IndexLink"/>
              </w:rPr>
              <w:t>392</w:t>
            </w:r>
          </w:hyperlink>
        </w:p>
        <w:p>
          <w:pPr>
            <w:pStyle w:val="Contents4"/>
            <w:tabs>
              <w:tab w:val="clear" w:pos="8176"/>
              <w:tab w:val="right" w:pos="9026" w:leader="dot"/>
            </w:tabs>
            <w:rPr/>
          </w:pPr>
          <w:hyperlink w:anchor="__RefHeading___Toc7071319_73709187">
            <w:r>
              <w:rPr>
                <w:webHidden/>
                <w:rStyle w:val="IndexLink"/>
                <w:rtl w:val="true"/>
              </w:rPr>
              <w:t>المناقشة الثانية حول السعي فوق سقف المسعى‌</w:t>
            </w:r>
            <w:r>
              <w:rPr>
                <w:rStyle w:val="IndexLink"/>
                <w:rtl w:val="true"/>
              </w:rPr>
              <w:tab/>
            </w:r>
            <w:r>
              <w:rPr>
                <w:rStyle w:val="IndexLink"/>
              </w:rPr>
              <w:t>394</w:t>
            </w:r>
          </w:hyperlink>
        </w:p>
        <w:p>
          <w:pPr>
            <w:pStyle w:val="Contents5"/>
            <w:tabs>
              <w:tab w:val="clear" w:pos="7892"/>
              <w:tab w:val="right" w:pos="9026" w:leader="dot"/>
            </w:tabs>
            <w:rPr/>
          </w:pPr>
          <w:hyperlink w:anchor="__RefHeading___Toc7071321_7370918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7071323_73709187">
            <w:r>
              <w:rPr>
                <w:webHidden/>
                <w:rStyle w:val="IndexLink"/>
              </w:rPr>
              <w:t>1</w:t>
            </w:r>
            <w:r>
              <w:rPr>
                <w:rStyle w:val="IndexLink"/>
                <w:rtl w:val="true"/>
              </w:rPr>
              <w:t xml:space="preserve">. </w:t>
            </w:r>
            <w:r>
              <w:rPr>
                <w:rStyle w:val="IndexLink"/>
                <w:rtl w:val="true"/>
              </w:rPr>
              <w:t>حكم السعي فوق سقف المسعى حكمه على الأرض</w:t>
            </w:r>
            <w:r>
              <w:rPr>
                <w:rStyle w:val="IndexLink"/>
                <w:rtl w:val="true"/>
              </w:rPr>
              <w:tab/>
            </w:r>
            <w:r>
              <w:rPr>
                <w:rStyle w:val="IndexLink"/>
              </w:rPr>
              <w:t>395</w:t>
            </w:r>
          </w:hyperlink>
        </w:p>
        <w:p>
          <w:pPr>
            <w:pStyle w:val="Contents5"/>
            <w:tabs>
              <w:tab w:val="clear" w:pos="7892"/>
              <w:tab w:val="right" w:pos="9026" w:leader="dot"/>
            </w:tabs>
            <w:rPr/>
          </w:pPr>
          <w:hyperlink w:anchor="__RefHeading___Toc7071325_73709187">
            <w:r>
              <w:rPr>
                <w:webHidden/>
                <w:rStyle w:val="IndexLink"/>
              </w:rPr>
              <w:t>2</w:t>
            </w:r>
            <w:r>
              <w:rPr>
                <w:rStyle w:val="IndexLink"/>
                <w:rtl w:val="true"/>
              </w:rPr>
              <w:t xml:space="preserve">. </w:t>
            </w:r>
            <w:r>
              <w:rPr>
                <w:rStyle w:val="IndexLink"/>
                <w:rtl w:val="true"/>
              </w:rPr>
              <w:t>جواز السعي راجلاً وراكباً</w:t>
            </w:r>
            <w:r>
              <w:rPr>
                <w:rStyle w:val="IndexLink"/>
                <w:rtl w:val="true"/>
              </w:rPr>
              <w:tab/>
            </w:r>
            <w:r>
              <w:rPr>
                <w:rStyle w:val="IndexLink"/>
              </w:rPr>
              <w:t>396</w:t>
            </w:r>
          </w:hyperlink>
        </w:p>
        <w:p>
          <w:pPr>
            <w:pStyle w:val="Contents5"/>
            <w:tabs>
              <w:tab w:val="clear" w:pos="7892"/>
              <w:tab w:val="right" w:pos="9026" w:leader="dot"/>
            </w:tabs>
            <w:rPr/>
          </w:pPr>
          <w:hyperlink w:anchor="__RefHeading___Toc7071327_73709187">
            <w:r>
              <w:rPr>
                <w:webHidden/>
                <w:rStyle w:val="IndexLink"/>
              </w:rPr>
              <w:t>3</w:t>
            </w:r>
            <w:r>
              <w:rPr>
                <w:rStyle w:val="IndexLink"/>
                <w:rtl w:val="true"/>
              </w:rPr>
              <w:t xml:space="preserve">. </w:t>
            </w:r>
            <w:r>
              <w:rPr>
                <w:rStyle w:val="IndexLink"/>
                <w:rtl w:val="true"/>
              </w:rPr>
              <w:t>قياس السعي باستقبال ما فوق الكعبة</w:t>
            </w:r>
            <w:r>
              <w:rPr>
                <w:rStyle w:val="IndexLink"/>
                <w:rtl w:val="true"/>
              </w:rPr>
              <w:tab/>
            </w:r>
            <w:r>
              <w:rPr>
                <w:rStyle w:val="IndexLink"/>
              </w:rPr>
              <w:t>396</w:t>
            </w:r>
          </w:hyperlink>
        </w:p>
        <w:p>
          <w:pPr>
            <w:pStyle w:val="Contents5"/>
            <w:tabs>
              <w:tab w:val="clear" w:pos="7892"/>
              <w:tab w:val="right" w:pos="9026" w:leader="dot"/>
            </w:tabs>
            <w:rPr/>
          </w:pPr>
          <w:hyperlink w:anchor="__RefHeading___Toc7071329_73709187">
            <w:r>
              <w:rPr>
                <w:webHidden/>
                <w:rStyle w:val="IndexLink"/>
              </w:rPr>
              <w:t>4</w:t>
            </w:r>
            <w:r>
              <w:rPr>
                <w:rStyle w:val="IndexLink"/>
                <w:rtl w:val="true"/>
              </w:rPr>
              <w:t xml:space="preserve">. </w:t>
            </w:r>
            <w:r>
              <w:rPr>
                <w:rStyle w:val="IndexLink"/>
                <w:rtl w:val="true"/>
              </w:rPr>
              <w:t>قياس السعي بالرمي راكباً</w:t>
            </w:r>
            <w:r>
              <w:rPr>
                <w:rStyle w:val="IndexLink"/>
                <w:rtl w:val="true"/>
              </w:rPr>
              <w:tab/>
            </w:r>
            <w:r>
              <w:rPr>
                <w:rStyle w:val="IndexLink"/>
              </w:rPr>
              <w:t>397</w:t>
            </w:r>
          </w:hyperlink>
        </w:p>
        <w:p>
          <w:pPr>
            <w:pStyle w:val="Contents5"/>
            <w:tabs>
              <w:tab w:val="clear" w:pos="7892"/>
              <w:tab w:val="right" w:pos="9026" w:leader="dot"/>
            </w:tabs>
            <w:rPr/>
          </w:pPr>
          <w:hyperlink w:anchor="__RefHeading___Toc7071331_73709187">
            <w:r>
              <w:rPr>
                <w:webHidden/>
                <w:rStyle w:val="IndexLink"/>
              </w:rPr>
              <w:t>5</w:t>
            </w:r>
            <w:r>
              <w:rPr>
                <w:rStyle w:val="IndexLink"/>
                <w:rtl w:val="true"/>
              </w:rPr>
              <w:t xml:space="preserve">. </w:t>
            </w:r>
            <w:r>
              <w:rPr>
                <w:rStyle w:val="IndexLink"/>
                <w:rtl w:val="true"/>
              </w:rPr>
              <w:t>السعي فوق سقف المسعى لا يخرج عن مسمّى السعي بين الصفا والمروة</w:t>
            </w:r>
            <w:r>
              <w:rPr>
                <w:rStyle w:val="IndexLink"/>
                <w:rtl w:val="true"/>
              </w:rPr>
              <w:tab/>
            </w:r>
            <w:r>
              <w:rPr>
                <w:rStyle w:val="IndexLink"/>
              </w:rPr>
              <w:t>398</w:t>
            </w:r>
          </w:hyperlink>
        </w:p>
        <w:p>
          <w:pPr>
            <w:pStyle w:val="Contents4"/>
            <w:tabs>
              <w:tab w:val="clear" w:pos="8176"/>
              <w:tab w:val="right" w:pos="9026" w:leader="dot"/>
            </w:tabs>
            <w:rPr/>
          </w:pPr>
          <w:hyperlink w:anchor="__RefHeading___Toc7071333_73709187">
            <w:r>
              <w:rPr>
                <w:webHidden/>
                <w:rStyle w:val="IndexLink"/>
                <w:rtl w:val="true"/>
              </w:rPr>
              <w:t>ما هو مقتضى القاعدة‌؟</w:t>
            </w:r>
            <w:r>
              <w:rPr>
                <w:rStyle w:val="IndexLink"/>
                <w:rtl w:val="true"/>
              </w:rPr>
              <w:tab/>
            </w:r>
            <w:r>
              <w:rPr>
                <w:rStyle w:val="IndexLink"/>
              </w:rPr>
              <w:t>398</w:t>
            </w:r>
          </w:hyperlink>
        </w:p>
        <w:p>
          <w:pPr>
            <w:pStyle w:val="Contents4"/>
            <w:tabs>
              <w:tab w:val="clear" w:pos="8176"/>
              <w:tab w:val="right" w:pos="9026" w:leader="dot"/>
            </w:tabs>
            <w:rPr/>
          </w:pPr>
          <w:hyperlink w:anchor="__RefHeading___Toc7071335_73709187">
            <w:r>
              <w:rPr>
                <w:webHidden/>
                <w:rStyle w:val="IndexLink"/>
                <w:rtl w:val="true"/>
              </w:rPr>
              <w:t>سماحة الشيخ جعفر السبحاني</w:t>
            </w:r>
            <w:r>
              <w:rPr>
                <w:rStyle w:val="IndexLink"/>
                <w:rtl w:val="true"/>
              </w:rPr>
              <w:tab/>
            </w:r>
            <w:r>
              <w:rPr>
                <w:rStyle w:val="IndexLink"/>
              </w:rPr>
              <w:t>399</w:t>
            </w:r>
          </w:hyperlink>
        </w:p>
        <w:p>
          <w:pPr>
            <w:pStyle w:val="Contents4"/>
            <w:tabs>
              <w:tab w:val="clear" w:pos="8176"/>
              <w:tab w:val="right" w:pos="9026" w:leader="dot"/>
            </w:tabs>
            <w:rPr/>
          </w:pPr>
          <w:hyperlink w:anchor="__RefHeading___Toc7071337_73709187">
            <w:r>
              <w:rPr>
                <w:webHidden/>
                <w:rStyle w:val="IndexLink"/>
                <w:rtl w:val="true"/>
              </w:rPr>
              <w:t>سماحة العلامة الشيخ جعفر السبحاني</w:t>
            </w:r>
            <w:r>
              <w:rPr>
                <w:rStyle w:val="IndexLink"/>
                <w:rtl w:val="true"/>
              </w:rPr>
              <w:tab/>
            </w:r>
            <w:r>
              <w:rPr>
                <w:rStyle w:val="IndexLink"/>
              </w:rPr>
              <w:t>402</w:t>
            </w:r>
          </w:hyperlink>
        </w:p>
        <w:p>
          <w:pPr>
            <w:pStyle w:val="Contents4"/>
            <w:tabs>
              <w:tab w:val="clear" w:pos="8176"/>
              <w:tab w:val="right" w:pos="9026" w:leader="dot"/>
            </w:tabs>
            <w:rPr/>
          </w:pPr>
          <w:hyperlink w:anchor="__RefHeading___Toc7071339_73709187">
            <w:r>
              <w:rPr>
                <w:webHidden/>
                <w:rStyle w:val="IndexLink"/>
                <w:rtl w:val="true"/>
              </w:rPr>
              <w:t>الأُستاذ الفاضل الدكتور عبد الوهاب إبراهيم أبو سليمان دام عزّه</w:t>
            </w:r>
            <w:r>
              <w:rPr>
                <w:rStyle w:val="IndexLink"/>
                <w:rtl w:val="true"/>
              </w:rPr>
              <w:tab/>
            </w:r>
            <w:r>
              <w:rPr>
                <w:rStyle w:val="IndexLink"/>
              </w:rPr>
              <w:t>404</w:t>
            </w:r>
          </w:hyperlink>
        </w:p>
        <w:p>
          <w:pPr>
            <w:pStyle w:val="Contents4"/>
            <w:tabs>
              <w:tab w:val="clear" w:pos="8176"/>
              <w:tab w:val="right" w:pos="9026" w:leader="dot"/>
            </w:tabs>
            <w:rPr/>
          </w:pPr>
          <w:hyperlink w:anchor="__RefHeading___Toc7071341_73709187">
            <w:r>
              <w:rPr>
                <w:webHidden/>
                <w:rStyle w:val="IndexLink"/>
                <w:rtl w:val="true"/>
              </w:rPr>
              <w:t>صاحب السماحة العلّامة الشيخ جعفر السبحاني</w:t>
            </w:r>
            <w:r>
              <w:rPr>
                <w:rStyle w:val="IndexLink"/>
                <w:rtl w:val="true"/>
              </w:rPr>
              <w:tab/>
            </w:r>
            <w:r>
              <w:rPr>
                <w:rStyle w:val="IndexLink"/>
              </w:rPr>
              <w:t>407</w:t>
            </w:r>
          </w:hyperlink>
        </w:p>
        <w:p>
          <w:pPr>
            <w:pStyle w:val="Contents4"/>
            <w:tabs>
              <w:tab w:val="clear" w:pos="8176"/>
              <w:tab w:val="right" w:pos="9026" w:leader="dot"/>
            </w:tabs>
            <w:rPr/>
          </w:pPr>
          <w:hyperlink w:anchor="__RefHeading___Toc7071343_73709187">
            <w:r>
              <w:rPr>
                <w:webHidden/>
                <w:rStyle w:val="IndexLink"/>
                <w:rtl w:val="true"/>
              </w:rPr>
              <w:t>سماحة العلّامة الحجّة الدكتور عبد الوهاب إبراهيم أبو سليمان</w:t>
            </w:r>
            <w:r>
              <w:rPr>
                <w:rStyle w:val="IndexLink"/>
                <w:rtl w:val="true"/>
              </w:rPr>
              <w:tab/>
            </w:r>
            <w:r>
              <w:rPr>
                <w:rStyle w:val="IndexLink"/>
              </w:rPr>
              <w:t>410</w:t>
            </w:r>
          </w:hyperlink>
        </w:p>
        <w:p>
          <w:pPr>
            <w:pStyle w:val="Contents4"/>
            <w:tabs>
              <w:tab w:val="clear" w:pos="8176"/>
              <w:tab w:val="right" w:pos="9026" w:leader="dot"/>
            </w:tabs>
            <w:rPr/>
          </w:pPr>
          <w:hyperlink w:anchor="__RefHeading___Toc7071345_73709187">
            <w:r>
              <w:rPr>
                <w:webHidden/>
                <w:rStyle w:val="IndexLink"/>
                <w:rtl w:val="true"/>
              </w:rPr>
              <w:t>سماحة العلّامة الحجّة الدكتور عبد الوهاب إبراهيم أبو سليمان</w:t>
            </w:r>
            <w:r>
              <w:rPr>
                <w:rStyle w:val="IndexLink"/>
                <w:rtl w:val="true"/>
              </w:rPr>
              <w:tab/>
            </w:r>
            <w:r>
              <w:rPr>
                <w:rStyle w:val="IndexLink"/>
              </w:rPr>
              <w:t>413</w:t>
            </w:r>
          </w:hyperlink>
        </w:p>
        <w:p>
          <w:pPr>
            <w:pStyle w:val="Contents5"/>
            <w:tabs>
              <w:tab w:val="clear" w:pos="7892"/>
              <w:tab w:val="right" w:pos="9026" w:leader="dot"/>
            </w:tabs>
            <w:rPr/>
          </w:pPr>
          <w:hyperlink w:anchor="__RefHeading___Toc7071347_7370918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7071349_73709187">
            <w:r>
              <w:rPr>
                <w:webHidden/>
                <w:rStyle w:val="IndexLink"/>
                <w:rtl w:val="true"/>
              </w:rPr>
              <w:t>الأوّل</w:t>
            </w:r>
            <w:r>
              <w:rPr>
                <w:rStyle w:val="IndexLink"/>
                <w:rtl w:val="true"/>
              </w:rPr>
              <w:t xml:space="preserve">: </w:t>
            </w:r>
            <w:r>
              <w:rPr>
                <w:rStyle w:val="IndexLink"/>
                <w:rtl w:val="true"/>
              </w:rPr>
              <w:t>تاريخ التشريع الإسلامي</w:t>
            </w:r>
            <w:r>
              <w:rPr>
                <w:rStyle w:val="IndexLink"/>
                <w:rtl w:val="true"/>
              </w:rPr>
              <w:tab/>
            </w:r>
            <w:r>
              <w:rPr>
                <w:rStyle w:val="IndexLink"/>
              </w:rPr>
              <w:t>413</w:t>
            </w:r>
          </w:hyperlink>
        </w:p>
        <w:p>
          <w:pPr>
            <w:pStyle w:val="Contents5"/>
            <w:tabs>
              <w:tab w:val="clear" w:pos="7892"/>
              <w:tab w:val="right" w:pos="9026" w:leader="dot"/>
            </w:tabs>
            <w:rPr/>
          </w:pPr>
          <w:hyperlink w:anchor="__RefHeading___Toc7071351_73709187">
            <w:r>
              <w:rPr>
                <w:webHidden/>
                <w:rStyle w:val="IndexLink"/>
                <w:rtl w:val="true"/>
              </w:rPr>
              <w:t>الثاني</w:t>
            </w:r>
            <w:r>
              <w:rPr>
                <w:rStyle w:val="IndexLink"/>
                <w:rtl w:val="true"/>
              </w:rPr>
              <w:t xml:space="preserve">: </w:t>
            </w:r>
            <w:r>
              <w:rPr>
                <w:rStyle w:val="IndexLink"/>
                <w:rtl w:val="true"/>
              </w:rPr>
              <w:t>التمييز بين ثابتات الأحكام ومتغيّراتها</w:t>
            </w:r>
            <w:r>
              <w:rPr>
                <w:rStyle w:val="IndexLink"/>
                <w:rtl w:val="true"/>
              </w:rPr>
              <w:tab/>
            </w:r>
            <w:r>
              <w:rPr>
                <w:rStyle w:val="IndexLink"/>
              </w:rPr>
              <w:t>414</w:t>
            </w:r>
          </w:hyperlink>
        </w:p>
        <w:p>
          <w:pPr>
            <w:pStyle w:val="Contents5"/>
            <w:tabs>
              <w:tab w:val="clear" w:pos="7892"/>
              <w:tab w:val="right" w:pos="9026" w:leader="dot"/>
            </w:tabs>
            <w:rPr/>
          </w:pPr>
          <w:hyperlink w:anchor="__RefHeading___Toc7071353_73709187">
            <w:r>
              <w:rPr>
                <w:webHidden/>
                <w:rStyle w:val="IndexLink"/>
                <w:rtl w:val="true"/>
              </w:rPr>
              <w:t>الثالث</w:t>
            </w:r>
            <w:r>
              <w:rPr>
                <w:rStyle w:val="IndexLink"/>
                <w:rtl w:val="true"/>
              </w:rPr>
              <w:t xml:space="preserve">: </w:t>
            </w:r>
            <w:r>
              <w:rPr>
                <w:rStyle w:val="IndexLink"/>
                <w:rtl w:val="true"/>
              </w:rPr>
              <w:t>التركيز على الاجتهاد المطلق</w:t>
            </w:r>
            <w:r>
              <w:rPr>
                <w:rStyle w:val="IndexLink"/>
                <w:rtl w:val="true"/>
              </w:rPr>
              <w:tab/>
            </w:r>
            <w:r>
              <w:rPr>
                <w:rStyle w:val="IndexLink"/>
              </w:rPr>
              <w:t>414</w:t>
            </w:r>
          </w:hyperlink>
        </w:p>
        <w:p>
          <w:pPr>
            <w:pStyle w:val="Contents4"/>
            <w:tabs>
              <w:tab w:val="clear" w:pos="8176"/>
              <w:tab w:val="right" w:pos="9026" w:leader="dot"/>
            </w:tabs>
            <w:rPr/>
          </w:pPr>
          <w:hyperlink w:anchor="__RefHeading___Toc7071355_73709187">
            <w:r>
              <w:rPr>
                <w:webHidden/>
                <w:rStyle w:val="IndexLink"/>
                <w:rtl w:val="true"/>
              </w:rPr>
              <w:t>العلّامة الجليل فضيلة الشيخ جعفر السبحاني</w:t>
            </w:r>
            <w:r>
              <w:rPr>
                <w:rStyle w:val="IndexLink"/>
                <w:rtl w:val="true"/>
              </w:rPr>
              <w:tab/>
            </w:r>
            <w:r>
              <w:rPr>
                <w:rStyle w:val="IndexLink"/>
              </w:rPr>
              <w:t>416</w:t>
            </w:r>
          </w:hyperlink>
        </w:p>
        <w:p>
          <w:pPr>
            <w:pStyle w:val="Contents4"/>
            <w:tabs>
              <w:tab w:val="clear" w:pos="8176"/>
              <w:tab w:val="right" w:pos="9026" w:leader="dot"/>
            </w:tabs>
            <w:rPr/>
          </w:pPr>
          <w:hyperlink w:anchor="__RefHeading___Toc7071357_73709187">
            <w:r>
              <w:rPr>
                <w:webHidden/>
                <w:rStyle w:val="IndexLink"/>
                <w:rtl w:val="true"/>
              </w:rPr>
              <w:t>سماحة العلّامة الدكتور عبد الوهاب إبراهيم أبو سليمان</w:t>
            </w:r>
            <w:r>
              <w:rPr>
                <w:rStyle w:val="IndexLink"/>
                <w:rtl w:val="true"/>
              </w:rPr>
              <w:tab/>
            </w:r>
            <w:r>
              <w:rPr>
                <w:rStyle w:val="IndexLink"/>
              </w:rPr>
              <w:t>418</w:t>
            </w:r>
          </w:hyperlink>
        </w:p>
        <w:p>
          <w:pPr>
            <w:pStyle w:val="Contents4"/>
            <w:tabs>
              <w:tab w:val="clear" w:pos="8176"/>
              <w:tab w:val="right" w:pos="9026" w:leader="dot"/>
            </w:tabs>
            <w:rPr/>
          </w:pPr>
          <w:hyperlink w:anchor="__RefHeading___Toc7071359_73709187">
            <w:r>
              <w:rPr>
                <w:webHidden/>
                <w:rStyle w:val="IndexLink"/>
                <w:rtl w:val="true"/>
              </w:rPr>
              <w:t>ملحق الأحكام الشرعية بين الثوابت والمتغيّرات</w:t>
            </w:r>
            <w:r>
              <w:rPr>
                <w:rStyle w:val="IndexLink"/>
                <w:rtl w:val="true"/>
              </w:rPr>
              <w:tab/>
            </w:r>
            <w:r>
              <w:rPr>
                <w:rStyle w:val="IndexLink"/>
              </w:rPr>
              <w:t>419</w:t>
            </w:r>
          </w:hyperlink>
        </w:p>
        <w:p>
          <w:pPr>
            <w:pStyle w:val="Contents5"/>
            <w:tabs>
              <w:tab w:val="clear" w:pos="7892"/>
              <w:tab w:val="right" w:pos="9026" w:leader="dot"/>
            </w:tabs>
            <w:rPr/>
          </w:pPr>
          <w:hyperlink w:anchor="__RefHeading___Toc7071361_73709187">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7071363_73709187">
            <w:r>
              <w:rPr>
                <w:webHidden/>
                <w:rStyle w:val="IndexLink"/>
                <w:rtl w:val="true"/>
              </w:rPr>
              <w:t>المقررات المتطوّرة في الإسلام</w:t>
            </w:r>
            <w:r>
              <w:rPr>
                <w:rStyle w:val="IndexLink"/>
                <w:rtl w:val="true"/>
              </w:rPr>
              <w:tab/>
            </w:r>
            <w:r>
              <w:rPr>
                <w:rStyle w:val="IndexLink"/>
              </w:rPr>
              <w:t>422</w:t>
            </w:r>
          </w:hyperlink>
        </w:p>
        <w:p>
          <w:pPr>
            <w:pStyle w:val="Contents5"/>
            <w:tabs>
              <w:tab w:val="clear" w:pos="7892"/>
              <w:tab w:val="right" w:pos="9026" w:leader="dot"/>
            </w:tabs>
            <w:rPr/>
          </w:pPr>
          <w:hyperlink w:anchor="__RefHeading___Toc7071365_73709187">
            <w:r>
              <w:rPr>
                <w:webHidden/>
                <w:rStyle w:val="IndexLink"/>
                <w:rtl w:val="true"/>
              </w:rPr>
              <w:t>سماحة العلّامة الشيخ جعفر السبحاني</w:t>
            </w:r>
            <w:r>
              <w:rPr>
                <w:rStyle w:val="IndexLink"/>
                <w:rtl w:val="true"/>
              </w:rPr>
              <w:tab/>
            </w:r>
            <w:r>
              <w:rPr>
                <w:rStyle w:val="IndexLink"/>
              </w:rPr>
              <w:t>430</w:t>
            </w:r>
          </w:hyperlink>
        </w:p>
        <w:p>
          <w:pPr>
            <w:pStyle w:val="Contents4"/>
            <w:tabs>
              <w:tab w:val="clear" w:pos="8176"/>
              <w:tab w:val="right" w:pos="9026" w:leader="dot"/>
            </w:tabs>
            <w:rPr/>
          </w:pPr>
          <w:hyperlink w:anchor="__RefHeading___Toc7071367_73709187">
            <w:r>
              <w:rPr>
                <w:webHidden/>
                <w:rStyle w:val="IndexLink"/>
                <w:rtl w:val="true"/>
              </w:rPr>
              <w:t>ملحق أوّل من ادار الصفوف حول الكعبة</w:t>
            </w:r>
            <w:r>
              <w:rPr>
                <w:rStyle w:val="IndexLink"/>
                <w:rtl w:val="true"/>
              </w:rPr>
              <w:tab/>
            </w:r>
            <w:r>
              <w:rPr>
                <w:rStyle w:val="IndexLink"/>
              </w:rPr>
              <w:t>431</w:t>
            </w:r>
          </w:hyperlink>
        </w:p>
        <w:p>
          <w:pPr>
            <w:pStyle w:val="Contents4"/>
            <w:tabs>
              <w:tab w:val="clear" w:pos="8176"/>
              <w:tab w:val="right" w:pos="9026" w:leader="dot"/>
            </w:tabs>
            <w:rPr/>
          </w:pPr>
          <w:hyperlink w:anchor="__RefHeading___Toc7071369_73709187">
            <w:r>
              <w:rPr>
                <w:webHidden/>
                <w:rStyle w:val="IndexLink"/>
              </w:rPr>
              <w:t>2</w:t>
            </w:r>
            <w:r>
              <w:rPr>
                <w:rStyle w:val="IndexLink"/>
                <w:rtl w:val="true"/>
              </w:rPr>
              <w:t xml:space="preserve">. </w:t>
            </w:r>
            <w:r>
              <w:rPr>
                <w:rStyle w:val="IndexLink"/>
                <w:rtl w:val="true"/>
              </w:rPr>
              <w:t>سماحة الأُستاذ الفاضل عبد الوهاب إبراهيم أبوسليمان</w:t>
            </w:r>
            <w:r>
              <w:rPr>
                <w:rStyle w:val="IndexLink"/>
                <w:rtl w:val="true"/>
              </w:rPr>
              <w:tab/>
            </w:r>
            <w:r>
              <w:rPr>
                <w:rStyle w:val="IndexLink"/>
              </w:rPr>
              <w:t>433</w:t>
            </w:r>
          </w:hyperlink>
        </w:p>
        <w:p>
          <w:pPr>
            <w:pStyle w:val="Contents4"/>
            <w:tabs>
              <w:tab w:val="clear" w:pos="8176"/>
              <w:tab w:val="right" w:pos="9026" w:leader="dot"/>
            </w:tabs>
            <w:rPr/>
          </w:pPr>
          <w:hyperlink w:anchor="__RefHeading___Toc7071371_73709187">
            <w:r>
              <w:rPr>
                <w:webHidden/>
                <w:rStyle w:val="IndexLink"/>
                <w:rtl w:val="true"/>
              </w:rPr>
              <w:t>سماحة العلّامة الشيخ جعفر السبحاني</w:t>
            </w:r>
            <w:r>
              <w:rPr>
                <w:rStyle w:val="IndexLink"/>
                <w:rtl w:val="true"/>
              </w:rPr>
              <w:tab/>
            </w:r>
            <w:r>
              <w:rPr>
                <w:rStyle w:val="IndexLink"/>
              </w:rPr>
              <w:t>434</w:t>
            </w:r>
          </w:hyperlink>
        </w:p>
        <w:p>
          <w:pPr>
            <w:pStyle w:val="Contents4"/>
            <w:tabs>
              <w:tab w:val="clear" w:pos="8176"/>
              <w:tab w:val="right" w:pos="9026" w:leader="dot"/>
            </w:tabs>
            <w:rPr/>
          </w:pPr>
          <w:hyperlink w:anchor="__RefHeading___Toc7071373_73709187">
            <w:r>
              <w:rPr>
                <w:webHidden/>
                <w:rStyle w:val="IndexLink"/>
                <w:rtl w:val="true"/>
              </w:rPr>
              <w:t>سماحة العلّامة الفقيه الشيخ جعفرالسبحاني</w:t>
            </w:r>
            <w:r>
              <w:rPr>
                <w:rStyle w:val="IndexLink"/>
                <w:rtl w:val="true"/>
              </w:rPr>
              <w:tab/>
            </w:r>
            <w:r>
              <w:rPr>
                <w:rStyle w:val="IndexLink"/>
              </w:rPr>
              <w:t>435</w:t>
            </w:r>
          </w:hyperlink>
        </w:p>
        <w:p>
          <w:pPr>
            <w:pStyle w:val="Contents3"/>
            <w:tabs>
              <w:tab w:val="clear" w:pos="8459"/>
              <w:tab w:val="right" w:pos="9026" w:leader="dot"/>
            </w:tabs>
            <w:rPr/>
          </w:pPr>
          <w:hyperlink w:anchor="__RefHeading___Toc7071375_73709187">
            <w:r>
              <w:rPr>
                <w:webHidden/>
                <w:rStyle w:val="IndexLink"/>
              </w:rPr>
              <w:t>3</w:t>
            </w:r>
            <w:r>
              <w:rPr>
                <w:rStyle w:val="IndexLink"/>
                <w:rtl w:val="true"/>
              </w:rPr>
              <w:t xml:space="preserve"> </w:t>
            </w:r>
            <w:r>
              <w:rPr>
                <w:rStyle w:val="IndexLink"/>
                <w:rtl w:val="true"/>
              </w:rPr>
              <w:t>مراسلة مع الدكتور الشيخ علي محيي الدين القره داغي</w:t>
            </w:r>
            <w:r>
              <w:rPr>
                <w:rStyle w:val="IndexLink"/>
                <w:rtl w:val="true"/>
              </w:rPr>
              <w:tab/>
            </w:r>
            <w:r>
              <w:rPr>
                <w:rStyle w:val="IndexLink"/>
              </w:rPr>
              <w:t>437</w:t>
            </w:r>
          </w:hyperlink>
        </w:p>
        <w:p>
          <w:pPr>
            <w:pStyle w:val="Contents4"/>
            <w:tabs>
              <w:tab w:val="clear" w:pos="8176"/>
              <w:tab w:val="right" w:pos="9026" w:leader="dot"/>
            </w:tabs>
            <w:rPr/>
          </w:pPr>
          <w:hyperlink w:anchor="__RefHeading___Toc7071377_73709187">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7071379_73709187">
            <w:r>
              <w:rPr>
                <w:webHidden/>
                <w:rStyle w:val="IndexLink"/>
                <w:rtl w:val="true"/>
              </w:rPr>
              <w:t>فضيلة الدكتور الشيخ علي محيي الدين القره داغي</w:t>
            </w:r>
            <w:r>
              <w:rPr>
                <w:rStyle w:val="IndexLink"/>
                <w:rtl w:val="true"/>
              </w:rPr>
              <w:tab/>
            </w:r>
            <w:r>
              <w:rPr>
                <w:rStyle w:val="IndexLink"/>
              </w:rPr>
              <w:t>437</w:t>
            </w:r>
          </w:hyperlink>
        </w:p>
        <w:p>
          <w:pPr>
            <w:pStyle w:val="Contents4"/>
            <w:tabs>
              <w:tab w:val="clear" w:pos="8176"/>
              <w:tab w:val="right" w:pos="9026" w:leader="dot"/>
            </w:tabs>
            <w:rPr/>
          </w:pPr>
          <w:hyperlink w:anchor="__RefHeading___Toc7071381_73709187">
            <w:r>
              <w:rPr>
                <w:webHidden/>
                <w:rStyle w:val="IndexLink"/>
                <w:rtl w:val="true"/>
              </w:rPr>
              <w:t>سماحة آية اللّه الشيخ جعفر السبحاني المحترم</w:t>
            </w:r>
            <w:r>
              <w:rPr>
                <w:rStyle w:val="IndexLink"/>
                <w:rtl w:val="true"/>
              </w:rPr>
              <w:tab/>
            </w:r>
            <w:r>
              <w:rPr>
                <w:rStyle w:val="IndexLink"/>
              </w:rPr>
              <w:t>438</w:t>
            </w:r>
          </w:hyperlink>
        </w:p>
        <w:p>
          <w:pPr>
            <w:pStyle w:val="Contents3"/>
            <w:tabs>
              <w:tab w:val="clear" w:pos="8459"/>
              <w:tab w:val="right" w:pos="9026" w:leader="dot"/>
            </w:tabs>
            <w:rPr/>
          </w:pPr>
          <w:hyperlink w:anchor="__RefHeading___Toc7071383_73709187">
            <w:r>
              <w:rPr>
                <w:webHidden/>
                <w:rStyle w:val="IndexLink"/>
              </w:rPr>
              <w:t>4</w:t>
            </w:r>
            <w:r>
              <w:rPr>
                <w:rStyle w:val="IndexLink"/>
                <w:rtl w:val="true"/>
              </w:rPr>
              <w:t xml:space="preserve"> </w:t>
            </w:r>
            <w:r>
              <w:rPr>
                <w:rStyle w:val="IndexLink"/>
                <w:rtl w:val="true"/>
              </w:rPr>
              <w:t>مراسلة مع الشيخ أنس الكتبي الحسني</w:t>
            </w:r>
            <w:r>
              <w:rPr>
                <w:rStyle w:val="IndexLink"/>
                <w:rtl w:val="true"/>
              </w:rPr>
              <w:tab/>
            </w:r>
            <w:r>
              <w:rPr>
                <w:rStyle w:val="IndexLink"/>
              </w:rPr>
              <w:t>439</w:t>
            </w:r>
          </w:hyperlink>
        </w:p>
        <w:p>
          <w:pPr>
            <w:pStyle w:val="Contents4"/>
            <w:tabs>
              <w:tab w:val="clear" w:pos="8176"/>
              <w:tab w:val="right" w:pos="9026" w:leader="dot"/>
            </w:tabs>
            <w:rPr/>
          </w:pPr>
          <w:hyperlink w:anchor="__RefHeading___Toc7071385_73709187">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7071387_73709187">
            <w:r>
              <w:rPr>
                <w:webHidden/>
                <w:rStyle w:val="IndexLink"/>
                <w:rtl w:val="true"/>
              </w:rPr>
              <w:t>سماحة العلّامة الشيخ جعفر السبحاني دام ظله</w:t>
            </w:r>
            <w:r>
              <w:rPr>
                <w:rStyle w:val="IndexLink"/>
                <w:rtl w:val="true"/>
              </w:rPr>
              <w:tab/>
            </w:r>
            <w:r>
              <w:rPr>
                <w:rStyle w:val="IndexLink"/>
              </w:rPr>
              <w:t>439</w:t>
            </w:r>
          </w:hyperlink>
        </w:p>
        <w:p>
          <w:pPr>
            <w:pStyle w:val="Contents4"/>
            <w:tabs>
              <w:tab w:val="clear" w:pos="8176"/>
              <w:tab w:val="right" w:pos="9026" w:leader="dot"/>
            </w:tabs>
            <w:rPr/>
          </w:pPr>
          <w:hyperlink w:anchor="__RefHeading___Toc7071389_73709187">
            <w:r>
              <w:rPr>
                <w:webHidden/>
                <w:rStyle w:val="IndexLink"/>
                <w:rtl w:val="true"/>
              </w:rPr>
              <w:t xml:space="preserve">خطة العمل في كتاب </w:t>
            </w:r>
            <w:r>
              <w:rPr>
                <w:rStyle w:val="IndexLink"/>
                <w:rtl w:val="true"/>
              </w:rPr>
              <w:t>«</w:t>
            </w:r>
            <w:r>
              <w:rPr>
                <w:rStyle w:val="IndexLink"/>
                <w:rtl w:val="true"/>
              </w:rPr>
              <w:t>فقه الإسلام</w:t>
            </w:r>
            <w:r>
              <w:rPr>
                <w:rStyle w:val="IndexLink"/>
                <w:rtl w:val="true"/>
              </w:rPr>
              <w:t>»</w:t>
              <w:tab/>
            </w:r>
            <w:r>
              <w:rPr>
                <w:rStyle w:val="IndexLink"/>
              </w:rPr>
              <w:t>441</w:t>
            </w:r>
          </w:hyperlink>
        </w:p>
        <w:p>
          <w:pPr>
            <w:pStyle w:val="Contents5"/>
            <w:tabs>
              <w:tab w:val="clear" w:pos="7892"/>
              <w:tab w:val="right" w:pos="9026" w:leader="dot"/>
            </w:tabs>
            <w:rPr/>
          </w:pPr>
          <w:hyperlink w:anchor="__RefHeading___Toc7071391_73709187">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7071393_73709187">
            <w:r>
              <w:rPr>
                <w:webHidden/>
                <w:rStyle w:val="IndexLink"/>
                <w:rtl w:val="true"/>
              </w:rPr>
              <w:t>القسم الأوّل</w:t>
            </w:r>
            <w:r>
              <w:rPr>
                <w:rStyle w:val="IndexLink"/>
                <w:rtl w:val="true"/>
              </w:rPr>
              <w:t xml:space="preserve">: </w:t>
            </w:r>
            <w:r>
              <w:rPr>
                <w:rStyle w:val="IndexLink"/>
                <w:rtl w:val="true"/>
              </w:rPr>
              <w:t>العبادات</w:t>
            </w:r>
            <w:r>
              <w:rPr>
                <w:rStyle w:val="IndexLink"/>
                <w:rtl w:val="true"/>
              </w:rPr>
              <w:tab/>
            </w:r>
            <w:r>
              <w:rPr>
                <w:rStyle w:val="IndexLink"/>
              </w:rPr>
              <w:t>442</w:t>
            </w:r>
          </w:hyperlink>
        </w:p>
        <w:p>
          <w:pPr>
            <w:pStyle w:val="Contents5"/>
            <w:tabs>
              <w:tab w:val="clear" w:pos="7892"/>
              <w:tab w:val="right" w:pos="9026" w:leader="dot"/>
            </w:tabs>
            <w:rPr/>
          </w:pPr>
          <w:hyperlink w:anchor="__RefHeading___Toc7071395_73709187">
            <w:r>
              <w:rPr>
                <w:webHidden/>
                <w:rStyle w:val="IndexLink"/>
                <w:rtl w:val="true"/>
              </w:rPr>
              <w:t>القسم الثاني</w:t>
            </w:r>
            <w:r>
              <w:rPr>
                <w:rStyle w:val="IndexLink"/>
                <w:rtl w:val="true"/>
              </w:rPr>
              <w:t xml:space="preserve">: </w:t>
            </w:r>
            <w:r>
              <w:rPr>
                <w:rStyle w:val="IndexLink"/>
                <w:rtl w:val="true"/>
              </w:rPr>
              <w:t>الأحوال الشخصية</w:t>
            </w:r>
            <w:r>
              <w:rPr>
                <w:rStyle w:val="IndexLink"/>
                <w:rtl w:val="true"/>
              </w:rPr>
              <w:tab/>
            </w:r>
            <w:r>
              <w:rPr>
                <w:rStyle w:val="IndexLink"/>
              </w:rPr>
              <w:t>443</w:t>
            </w:r>
          </w:hyperlink>
        </w:p>
        <w:p>
          <w:pPr>
            <w:pStyle w:val="Contents4"/>
            <w:tabs>
              <w:tab w:val="clear" w:pos="8176"/>
              <w:tab w:val="right" w:pos="9026" w:leader="dot"/>
            </w:tabs>
            <w:rPr/>
          </w:pPr>
          <w:hyperlink w:anchor="__RefHeading___Toc7071397_73709187">
            <w:r>
              <w:rPr>
                <w:webHidden/>
                <w:rStyle w:val="IndexLink"/>
                <w:rtl w:val="true"/>
              </w:rPr>
              <w:t>حضرة الفاضل الشيخ أنس الكتبي الحسني دام موفقاً</w:t>
            </w:r>
            <w:r>
              <w:rPr>
                <w:rStyle w:val="IndexLink"/>
                <w:rtl w:val="true"/>
              </w:rPr>
              <w:tab/>
            </w:r>
            <w:r>
              <w:rPr>
                <w:rStyle w:val="IndexLink"/>
              </w:rPr>
              <w:t>444</w:t>
            </w:r>
          </w:hyperlink>
        </w:p>
        <w:p>
          <w:pPr>
            <w:pStyle w:val="Contents3"/>
            <w:tabs>
              <w:tab w:val="clear" w:pos="8459"/>
              <w:tab w:val="right" w:pos="9026" w:leader="dot"/>
            </w:tabs>
            <w:rPr/>
          </w:pPr>
          <w:hyperlink w:anchor="__RefHeading___Toc7071399_73709187">
            <w:r>
              <w:rPr>
                <w:webHidden/>
                <w:rStyle w:val="IndexLink"/>
              </w:rPr>
              <w:t>5</w:t>
            </w:r>
            <w:r>
              <w:rPr>
                <w:rStyle w:val="IndexLink"/>
                <w:rtl w:val="true"/>
              </w:rPr>
              <w:t xml:space="preserve"> </w:t>
            </w:r>
            <w:r>
              <w:rPr>
                <w:rStyle w:val="IndexLink"/>
                <w:rtl w:val="true"/>
              </w:rPr>
              <w:t>مراسلة مع الشيخ عبد اللّه دشتي</w:t>
            </w:r>
            <w:r>
              <w:rPr>
                <w:rStyle w:val="IndexLink"/>
                <w:rtl w:val="true"/>
              </w:rPr>
              <w:tab/>
            </w:r>
            <w:r>
              <w:rPr>
                <w:rStyle w:val="IndexLink"/>
              </w:rPr>
              <w:t>446</w:t>
            </w:r>
          </w:hyperlink>
        </w:p>
        <w:p>
          <w:pPr>
            <w:pStyle w:val="Contents4"/>
            <w:tabs>
              <w:tab w:val="clear" w:pos="8176"/>
              <w:tab w:val="right" w:pos="9026" w:leader="dot"/>
            </w:tabs>
            <w:rPr/>
          </w:pPr>
          <w:hyperlink w:anchor="__RefHeading___Toc7071401_73709187">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7071403_73709187">
            <w:r>
              <w:rPr>
                <w:webHidden/>
                <w:rStyle w:val="IndexLink"/>
                <w:rtl w:val="true"/>
              </w:rPr>
              <w:t>سماحة العلّامة الحجّة الشيخ عبد اللّه دشتي</w:t>
            </w:r>
            <w:r>
              <w:rPr>
                <w:rStyle w:val="IndexLink"/>
                <w:rtl w:val="true"/>
              </w:rPr>
              <w:tab/>
            </w:r>
            <w:r>
              <w:rPr>
                <w:rStyle w:val="IndexLink"/>
              </w:rPr>
              <w:t>446</w:t>
            </w:r>
          </w:hyperlink>
        </w:p>
        <w:p>
          <w:pPr>
            <w:pStyle w:val="Contents4"/>
            <w:tabs>
              <w:tab w:val="clear" w:pos="8176"/>
              <w:tab w:val="right" w:pos="9026" w:leader="dot"/>
            </w:tabs>
            <w:rPr/>
          </w:pPr>
          <w:hyperlink w:anchor="__RefHeading___Toc7071405_73709187">
            <w:r>
              <w:rPr>
                <w:webHidden/>
                <w:rStyle w:val="IndexLink"/>
                <w:rtl w:val="true"/>
              </w:rPr>
              <w:t>المحضر المبارك للعلّامة الكبير آية اللّه الشيخ جعفر السبحاني</w:t>
            </w:r>
            <w:r>
              <w:rPr>
                <w:rStyle w:val="IndexLink"/>
                <w:rtl w:val="true"/>
              </w:rPr>
              <w:tab/>
            </w:r>
            <w:r>
              <w:rPr>
                <w:rStyle w:val="IndexLink"/>
              </w:rPr>
              <w:t>450</w:t>
            </w:r>
          </w:hyperlink>
        </w:p>
        <w:p>
          <w:pPr>
            <w:pStyle w:val="Contents2"/>
            <w:tabs>
              <w:tab w:val="clear" w:pos="8743"/>
              <w:tab w:val="right" w:pos="9026" w:leader="dot"/>
            </w:tabs>
            <w:rPr/>
          </w:pPr>
          <w:hyperlink w:anchor="__RefHeading___Toc7071407_73709187">
            <w:r>
              <w:rPr>
                <w:webHidden/>
                <w:rStyle w:val="IndexLink"/>
                <w:rtl w:val="true"/>
              </w:rPr>
              <w:t>الفصل الرابع رسائل وتقاريظ</w:t>
            </w:r>
            <w:r>
              <w:rPr>
                <w:rStyle w:val="IndexLink"/>
                <w:rtl w:val="true"/>
              </w:rPr>
              <w:tab/>
            </w:r>
            <w:r>
              <w:rPr>
                <w:rStyle w:val="IndexLink"/>
              </w:rPr>
              <w:t>452</w:t>
            </w:r>
          </w:hyperlink>
        </w:p>
        <w:p>
          <w:pPr>
            <w:pStyle w:val="Contents3"/>
            <w:tabs>
              <w:tab w:val="clear" w:pos="8459"/>
              <w:tab w:val="right" w:pos="9026" w:leader="dot"/>
            </w:tabs>
            <w:rPr/>
          </w:pPr>
          <w:hyperlink w:anchor="__RefHeading___Toc7071409_73709187">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7071411_73709187">
            <w:r>
              <w:rPr>
                <w:webHidden/>
                <w:rStyle w:val="IndexLink"/>
              </w:rPr>
              <w:t>1</w:t>
            </w:r>
            <w:r>
              <w:rPr>
                <w:rStyle w:val="IndexLink"/>
                <w:rtl w:val="true"/>
              </w:rPr>
              <w:t xml:space="preserve"> </w:t>
            </w:r>
            <w:r>
              <w:rPr>
                <w:rStyle w:val="IndexLink"/>
                <w:rtl w:val="true"/>
              </w:rPr>
              <w:t>القرآن الكريم وسعة آفاق مداليله</w:t>
            </w:r>
            <w:r>
              <w:rPr>
                <w:rStyle w:val="IndexLink"/>
                <w:rtl w:val="true"/>
              </w:rPr>
              <w:tab/>
            </w:r>
            <w:r>
              <w:rPr>
                <w:rStyle w:val="IndexLink"/>
              </w:rPr>
              <w:t>453</w:t>
            </w:r>
          </w:hyperlink>
        </w:p>
        <w:p>
          <w:pPr>
            <w:pStyle w:val="Contents3"/>
            <w:tabs>
              <w:tab w:val="clear" w:pos="8459"/>
              <w:tab w:val="right" w:pos="9026" w:leader="dot"/>
            </w:tabs>
            <w:rPr/>
          </w:pPr>
          <w:hyperlink w:anchor="__RefHeading___Toc7071413_73709187">
            <w:r>
              <w:rPr>
                <w:webHidden/>
                <w:rStyle w:val="IndexLink"/>
              </w:rPr>
              <w:t>2</w:t>
            </w:r>
            <w:r>
              <w:rPr>
                <w:rStyle w:val="IndexLink"/>
                <w:rtl w:val="true"/>
              </w:rPr>
              <w:t xml:space="preserve"> </w:t>
            </w:r>
            <w:r>
              <w:rPr>
                <w:rStyle w:val="IndexLink"/>
                <w:rtl w:val="true"/>
              </w:rPr>
              <w:t xml:space="preserve">سماحة حجّة الإسلام والمسلمين الشيخ محسن الأراكي </w:t>
            </w:r>
            <w:r>
              <w:rPr>
                <w:rStyle w:val="IndexLink"/>
                <w:rtl w:val="true"/>
              </w:rPr>
              <w:t>(</w:t>
            </w:r>
            <w:r>
              <w:rPr>
                <w:rStyle w:val="IndexLink"/>
                <w:rtl w:val="true"/>
              </w:rPr>
              <w:t>دامت بركاته</w:t>
            </w:r>
            <w:r>
              <w:rPr>
                <w:rStyle w:val="IndexLink"/>
                <w:rtl w:val="true"/>
              </w:rPr>
              <w:t>)</w:t>
              <w:tab/>
            </w:r>
            <w:r>
              <w:rPr>
                <w:rStyle w:val="IndexLink"/>
              </w:rPr>
              <w:t>457</w:t>
            </w:r>
          </w:hyperlink>
        </w:p>
        <w:p>
          <w:pPr>
            <w:pStyle w:val="Contents3"/>
            <w:tabs>
              <w:tab w:val="clear" w:pos="8459"/>
              <w:tab w:val="right" w:pos="9026" w:leader="dot"/>
            </w:tabs>
            <w:rPr/>
          </w:pPr>
          <w:hyperlink w:anchor="__RefHeading___Toc7071415_73709187">
            <w:r>
              <w:rPr>
                <w:webHidden/>
                <w:rStyle w:val="IndexLink"/>
              </w:rPr>
              <w:t>3</w:t>
            </w:r>
            <w:r>
              <w:rPr>
                <w:rStyle w:val="IndexLink"/>
                <w:rtl w:val="true"/>
              </w:rPr>
              <w:t xml:space="preserve"> </w:t>
            </w:r>
            <w:r>
              <w:rPr>
                <w:rStyle w:val="IndexLink"/>
                <w:rtl w:val="true"/>
              </w:rPr>
              <w:t xml:space="preserve">الأُستاذة الفاضلة عائشة يوسف المناعي </w:t>
            </w:r>
            <w:r>
              <w:rPr>
                <w:rStyle w:val="IndexLink"/>
                <w:rtl w:val="true"/>
              </w:rPr>
              <w:t xml:space="preserve">- </w:t>
            </w:r>
            <w:r>
              <w:rPr>
                <w:rStyle w:val="IndexLink"/>
                <w:rtl w:val="true"/>
              </w:rPr>
              <w:t xml:space="preserve">حفظها اللّه تعالى </w:t>
            </w:r>
            <w:r>
              <w:rPr>
                <w:rStyle w:val="IndexLink"/>
                <w:rtl w:val="true"/>
              </w:rPr>
              <w:t>-</w:t>
              <w:tab/>
            </w:r>
            <w:r>
              <w:rPr>
                <w:rStyle w:val="IndexLink"/>
              </w:rPr>
              <w:t>459</w:t>
            </w:r>
          </w:hyperlink>
        </w:p>
        <w:p>
          <w:pPr>
            <w:pStyle w:val="Contents3"/>
            <w:tabs>
              <w:tab w:val="clear" w:pos="8459"/>
              <w:tab w:val="right" w:pos="9026" w:leader="dot"/>
            </w:tabs>
            <w:rPr/>
          </w:pPr>
          <w:hyperlink w:anchor="__RefHeading___Toc7071417_73709187">
            <w:r>
              <w:rPr>
                <w:webHidden/>
                <w:rStyle w:val="IndexLink"/>
              </w:rPr>
              <w:t>4</w:t>
            </w:r>
            <w:r>
              <w:rPr>
                <w:rStyle w:val="IndexLink"/>
                <w:rtl w:val="true"/>
              </w:rPr>
              <w:t xml:space="preserve"> </w:t>
            </w:r>
            <w:r>
              <w:rPr>
                <w:rStyle w:val="IndexLink"/>
                <w:rtl w:val="true"/>
              </w:rPr>
              <w:t>التقريب ضرورة دينية وحاجة ملحّة</w:t>
            </w:r>
            <w:r>
              <w:rPr>
                <w:rStyle w:val="IndexLink"/>
                <w:rtl w:val="true"/>
              </w:rPr>
              <w:tab/>
            </w:r>
            <w:r>
              <w:rPr>
                <w:rStyle w:val="IndexLink"/>
              </w:rPr>
              <w:t>460</w:t>
            </w:r>
          </w:hyperlink>
        </w:p>
        <w:p>
          <w:pPr>
            <w:pStyle w:val="Contents3"/>
            <w:tabs>
              <w:tab w:val="clear" w:pos="8459"/>
              <w:tab w:val="right" w:pos="9026" w:leader="dot"/>
            </w:tabs>
            <w:rPr/>
          </w:pPr>
          <w:hyperlink w:anchor="__RefHeading___Toc7071419_73709187">
            <w:r>
              <w:rPr>
                <w:webHidden/>
                <w:rStyle w:val="IndexLink"/>
              </w:rPr>
              <w:t>5</w:t>
            </w:r>
            <w:r>
              <w:rPr>
                <w:rStyle w:val="IndexLink"/>
                <w:rtl w:val="true"/>
              </w:rPr>
              <w:t xml:space="preserve"> </w:t>
            </w:r>
            <w:r>
              <w:rPr>
                <w:rStyle w:val="IndexLink"/>
                <w:rtl w:val="true"/>
              </w:rPr>
              <w:t>الدعوة إلى الاعتصام بحبل اللّه ونبذ الخلافات</w:t>
            </w:r>
            <w:r>
              <w:rPr>
                <w:rStyle w:val="IndexLink"/>
                <w:rtl w:val="true"/>
              </w:rPr>
              <w:tab/>
            </w:r>
            <w:r>
              <w:rPr>
                <w:rStyle w:val="IndexLink"/>
              </w:rPr>
              <w:t>463</w:t>
            </w:r>
          </w:hyperlink>
        </w:p>
        <w:p>
          <w:pPr>
            <w:pStyle w:val="Contents3"/>
            <w:tabs>
              <w:tab w:val="clear" w:pos="8459"/>
              <w:tab w:val="right" w:pos="9026" w:leader="dot"/>
            </w:tabs>
            <w:rPr/>
          </w:pPr>
          <w:hyperlink w:anchor="__RefHeading___Toc7071421_73709187">
            <w:r>
              <w:rPr>
                <w:webHidden/>
                <w:rStyle w:val="IndexLink"/>
              </w:rPr>
              <w:t>6</w:t>
            </w:r>
            <w:r>
              <w:rPr>
                <w:rStyle w:val="IndexLink"/>
                <w:rtl w:val="true"/>
              </w:rPr>
              <w:t xml:space="preserve"> </w:t>
            </w:r>
            <w:r>
              <w:rPr>
                <w:rStyle w:val="IndexLink"/>
                <w:rtl w:val="true"/>
              </w:rPr>
              <w:t>الذكريات العطرة</w:t>
            </w:r>
            <w:r>
              <w:rPr>
                <w:rStyle w:val="IndexLink"/>
                <w:rtl w:val="true"/>
              </w:rPr>
              <w:tab/>
            </w:r>
            <w:r>
              <w:rPr>
                <w:rStyle w:val="IndexLink"/>
              </w:rPr>
              <w:t>465</w:t>
            </w:r>
          </w:hyperlink>
        </w:p>
        <w:p>
          <w:pPr>
            <w:pStyle w:val="Contents3"/>
            <w:tabs>
              <w:tab w:val="clear" w:pos="8459"/>
              <w:tab w:val="right" w:pos="9026" w:leader="dot"/>
            </w:tabs>
            <w:rPr/>
          </w:pPr>
          <w:hyperlink w:anchor="__RefHeading___Toc7071423_73709187">
            <w:r>
              <w:rPr>
                <w:webHidden/>
                <w:rStyle w:val="IndexLink"/>
              </w:rPr>
              <w:t>7</w:t>
            </w:r>
            <w:r>
              <w:rPr>
                <w:rStyle w:val="IndexLink"/>
                <w:rtl w:val="true"/>
              </w:rPr>
              <w:t xml:space="preserve"> </w:t>
            </w:r>
            <w:r>
              <w:rPr>
                <w:rStyle w:val="IndexLink"/>
                <w:rtl w:val="true"/>
              </w:rPr>
              <w:t>سماحة الشيخ جعفر السبحاني حفظه اللّه تعالى مرجع مؤسسة الإمام الصادق عليه السلام للتحقيق والتأليف</w:t>
            </w:r>
            <w:r>
              <w:rPr>
                <w:rStyle w:val="IndexLink"/>
                <w:rtl w:val="true"/>
              </w:rPr>
              <w:tab/>
            </w:r>
            <w:r>
              <w:rPr>
                <w:rStyle w:val="IndexLink"/>
              </w:rPr>
              <w:t>468</w:t>
            </w:r>
          </w:hyperlink>
        </w:p>
        <w:p>
          <w:pPr>
            <w:pStyle w:val="Contents3"/>
            <w:tabs>
              <w:tab w:val="clear" w:pos="8459"/>
              <w:tab w:val="right" w:pos="9026" w:leader="dot"/>
            </w:tabs>
            <w:rPr/>
          </w:pPr>
          <w:hyperlink w:anchor="__RefHeading___Toc7071425_73709187">
            <w:r>
              <w:rPr>
                <w:webHidden/>
                <w:rStyle w:val="IndexLink"/>
              </w:rPr>
              <w:t>8</w:t>
            </w:r>
            <w:r>
              <w:rPr>
                <w:rStyle w:val="IndexLink"/>
                <w:rtl w:val="true"/>
              </w:rPr>
              <w:t xml:space="preserve"> </w:t>
            </w:r>
            <w:r>
              <w:rPr>
                <w:rStyle w:val="IndexLink"/>
                <w:rtl w:val="true"/>
              </w:rPr>
              <w:t>فضيلة الدكتور أحمد الطيّب شيخ الجامع الأزهر</w:t>
            </w:r>
            <w:r>
              <w:rPr>
                <w:rStyle w:val="IndexLink"/>
                <w:rtl w:val="true"/>
              </w:rPr>
              <w:tab/>
            </w:r>
            <w:r>
              <w:rPr>
                <w:rStyle w:val="IndexLink"/>
              </w:rPr>
              <w:t>469</w:t>
            </w:r>
          </w:hyperlink>
        </w:p>
        <w:p>
          <w:pPr>
            <w:pStyle w:val="Contents3"/>
            <w:tabs>
              <w:tab w:val="clear" w:pos="8459"/>
              <w:tab w:val="right" w:pos="9026" w:leader="dot"/>
            </w:tabs>
            <w:rPr/>
          </w:pPr>
          <w:hyperlink w:anchor="__RefHeading___Toc7071427_73709187">
            <w:r>
              <w:rPr>
                <w:webHidden/>
                <w:rStyle w:val="IndexLink"/>
              </w:rPr>
              <w:t>9</w:t>
            </w:r>
            <w:r>
              <w:rPr>
                <w:rStyle w:val="IndexLink"/>
                <w:rtl w:val="true"/>
              </w:rPr>
              <w:t xml:space="preserve"> </w:t>
            </w:r>
            <w:r>
              <w:rPr>
                <w:rStyle w:val="IndexLink"/>
                <w:rtl w:val="true"/>
              </w:rPr>
              <w:t>لقاء بين العلّامة المجتهدي والشاعر العراقي خضر عباس الصالحي</w:t>
            </w:r>
            <w:r>
              <w:rPr>
                <w:rStyle w:val="IndexLink"/>
                <w:rtl w:val="true"/>
              </w:rPr>
              <w:tab/>
            </w:r>
            <w:r>
              <w:rPr>
                <w:rStyle w:val="IndexLink"/>
              </w:rPr>
              <w:t>471</w:t>
            </w:r>
          </w:hyperlink>
        </w:p>
        <w:p>
          <w:pPr>
            <w:pStyle w:val="Contents4"/>
            <w:tabs>
              <w:tab w:val="clear" w:pos="8176"/>
              <w:tab w:val="right" w:pos="9026" w:leader="dot"/>
            </w:tabs>
            <w:rPr/>
          </w:pPr>
          <w:hyperlink w:anchor="__RefHeading___Toc7071429_73709187">
            <w:r>
              <w:rPr>
                <w:webHidden/>
                <w:rStyle w:val="IndexLink"/>
                <w:rtl w:val="true"/>
              </w:rPr>
              <w:t>مقدّمة</w:t>
            </w:r>
            <w:r>
              <w:rPr>
                <w:rStyle w:val="IndexLink"/>
                <w:rtl w:val="true"/>
              </w:rPr>
              <w:tab/>
            </w:r>
            <w:r>
              <w:rPr>
                <w:rStyle w:val="IndexLink"/>
              </w:rPr>
              <w:t>471</w:t>
            </w:r>
          </w:hyperlink>
        </w:p>
        <w:p>
          <w:pPr>
            <w:pStyle w:val="Contents4"/>
            <w:tabs>
              <w:tab w:val="clear" w:pos="8176"/>
              <w:tab w:val="right" w:pos="9026" w:leader="dot"/>
            </w:tabs>
            <w:rPr/>
          </w:pPr>
          <w:hyperlink w:anchor="__RefHeading___Toc7071431_73709187">
            <w:r>
              <w:rPr>
                <w:webHidden/>
                <w:rStyle w:val="IndexLink"/>
                <w:rtl w:val="true"/>
              </w:rPr>
              <w:t>لقاء مع الشيخ عبد اللّه مجتهدي علّامة تبريز الكبير</w:t>
            </w:r>
            <w:r>
              <w:rPr>
                <w:rStyle w:val="IndexLink"/>
                <w:rtl w:val="true"/>
              </w:rPr>
              <w:tab/>
            </w:r>
            <w:r>
              <w:rPr>
                <w:rStyle w:val="IndexLink"/>
              </w:rPr>
              <w:t>472</w:t>
            </w:r>
          </w:hyperlink>
        </w:p>
        <w:p>
          <w:pPr>
            <w:pStyle w:val="Contents3"/>
            <w:tabs>
              <w:tab w:val="clear" w:pos="8459"/>
              <w:tab w:val="right" w:pos="9026" w:leader="dot"/>
            </w:tabs>
            <w:rPr/>
          </w:pPr>
          <w:hyperlink w:anchor="__RefHeading___Toc7071433_73709187">
            <w:r>
              <w:rPr>
                <w:webHidden/>
                <w:rStyle w:val="IndexLink"/>
              </w:rPr>
              <w:t>10</w:t>
            </w:r>
            <w:r>
              <w:rPr>
                <w:rStyle w:val="IndexLink"/>
                <w:rtl w:val="true"/>
              </w:rPr>
              <w:t xml:space="preserve"> </w:t>
            </w:r>
            <w:r>
              <w:rPr>
                <w:rStyle w:val="IndexLink"/>
                <w:rtl w:val="true"/>
              </w:rPr>
              <w:t xml:space="preserve">سماحة الأخ الفاضل الدكتور عبد العزيز حسن </w:t>
            </w:r>
            <w:r>
              <w:rPr>
                <w:rStyle w:val="IndexLink"/>
                <w:rtl w:val="true"/>
              </w:rPr>
              <w:t>(</w:t>
            </w:r>
            <w:r>
              <w:rPr>
                <w:rStyle w:val="IndexLink"/>
                <w:rtl w:val="true"/>
              </w:rPr>
              <w:t>دام عزّه</w:t>
            </w:r>
            <w:r>
              <w:rPr>
                <w:rStyle w:val="IndexLink"/>
                <w:rtl w:val="true"/>
              </w:rPr>
              <w:t>)</w:t>
              <w:tab/>
            </w:r>
            <w:r>
              <w:rPr>
                <w:rStyle w:val="IndexLink"/>
              </w:rPr>
              <w:t>477</w:t>
            </w:r>
          </w:hyperlink>
        </w:p>
        <w:p>
          <w:pPr>
            <w:pStyle w:val="Contents2"/>
            <w:tabs>
              <w:tab w:val="clear" w:pos="8743"/>
              <w:tab w:val="right" w:pos="9026" w:leader="dot"/>
            </w:tabs>
            <w:rPr/>
          </w:pPr>
          <w:hyperlink w:anchor="__RefHeading___Toc7071435_73709187">
            <w:r>
              <w:rPr>
                <w:webHidden/>
                <w:rStyle w:val="IndexLink"/>
                <w:rtl w:val="true"/>
              </w:rPr>
              <w:t>الفصل الخامس بيانات وتعازى</w:t>
            </w:r>
            <w:r>
              <w:rPr>
                <w:rStyle w:val="IndexLink"/>
                <w:rtl w:val="true"/>
              </w:rPr>
              <w:tab/>
            </w:r>
            <w:r>
              <w:rPr>
                <w:rStyle w:val="IndexLink"/>
              </w:rPr>
              <w:t>479</w:t>
            </w:r>
          </w:hyperlink>
        </w:p>
        <w:p>
          <w:pPr>
            <w:pStyle w:val="Contents3"/>
            <w:tabs>
              <w:tab w:val="clear" w:pos="8459"/>
              <w:tab w:val="right" w:pos="9026" w:leader="dot"/>
            </w:tabs>
            <w:rPr/>
          </w:pPr>
          <w:hyperlink w:anchor="__RefHeading___Toc7071437_73709187">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7071439_73709187">
            <w:r>
              <w:rPr>
                <w:webHidden/>
                <w:rStyle w:val="IndexLink"/>
              </w:rPr>
              <w:t>1</w:t>
            </w:r>
            <w:r>
              <w:rPr>
                <w:rStyle w:val="IndexLink"/>
                <w:rtl w:val="true"/>
              </w:rPr>
              <w:t xml:space="preserve"> </w:t>
            </w:r>
            <w:r>
              <w:rPr>
                <w:rStyle w:val="IndexLink"/>
                <w:rtl w:val="true"/>
              </w:rPr>
              <w:t>كلمة تأبينية بمناسبة وفاة العلّامة الشيخ محمد علي العمري</w:t>
            </w:r>
            <w:r>
              <w:rPr>
                <w:rStyle w:val="IndexLink"/>
                <w:rtl w:val="true"/>
              </w:rPr>
              <w:tab/>
            </w:r>
            <w:r>
              <w:rPr>
                <w:rStyle w:val="IndexLink"/>
              </w:rPr>
              <w:t>480</w:t>
            </w:r>
          </w:hyperlink>
        </w:p>
        <w:p>
          <w:pPr>
            <w:pStyle w:val="Contents3"/>
            <w:tabs>
              <w:tab w:val="clear" w:pos="8459"/>
              <w:tab w:val="right" w:pos="9026" w:leader="dot"/>
            </w:tabs>
            <w:rPr/>
          </w:pPr>
          <w:hyperlink w:anchor="__RefHeading___Toc7071441_73709187">
            <w:r>
              <w:rPr>
                <w:webHidden/>
                <w:rStyle w:val="IndexLink"/>
              </w:rPr>
              <w:t>2</w:t>
            </w:r>
            <w:r>
              <w:rPr>
                <w:rStyle w:val="IndexLink"/>
                <w:rtl w:val="true"/>
              </w:rPr>
              <w:t xml:space="preserve"> </w:t>
            </w:r>
            <w:r>
              <w:rPr>
                <w:rStyle w:val="IndexLink"/>
                <w:rtl w:val="true"/>
              </w:rPr>
              <w:t>رسالة تعزية بمناسبة وفاة الشيخ محمد علي العمري</w:t>
            </w:r>
            <w:r>
              <w:rPr>
                <w:rStyle w:val="IndexLink"/>
                <w:rtl w:val="true"/>
              </w:rPr>
              <w:tab/>
            </w:r>
            <w:r>
              <w:rPr>
                <w:rStyle w:val="IndexLink"/>
              </w:rPr>
              <w:t>482</w:t>
            </w:r>
          </w:hyperlink>
        </w:p>
        <w:p>
          <w:pPr>
            <w:pStyle w:val="Contents4"/>
            <w:tabs>
              <w:tab w:val="clear" w:pos="8176"/>
              <w:tab w:val="right" w:pos="9026" w:leader="dot"/>
            </w:tabs>
            <w:rPr/>
          </w:pPr>
          <w:hyperlink w:anchor="__RefHeading___Toc7071443_73709187">
            <w:r>
              <w:rPr>
                <w:webHidden/>
                <w:rStyle w:val="IndexLink"/>
                <w:rtl w:val="true"/>
              </w:rPr>
              <w:t xml:space="preserve">سماحة حجة الإسلام الشيخ محمد كاظم العمري </w:t>
            </w:r>
            <w:r>
              <w:rPr>
                <w:rStyle w:val="IndexLink"/>
                <w:rtl w:val="true"/>
              </w:rPr>
              <w:t xml:space="preserve">- </w:t>
            </w:r>
            <w:r>
              <w:rPr>
                <w:rStyle w:val="IndexLink"/>
                <w:rtl w:val="true"/>
              </w:rPr>
              <w:t xml:space="preserve">دامت بركاته </w:t>
            </w:r>
            <w:r>
              <w:rPr>
                <w:rStyle w:val="IndexLink"/>
                <w:rtl w:val="true"/>
              </w:rPr>
              <w:t>-</w:t>
              <w:tab/>
            </w:r>
            <w:r>
              <w:rPr>
                <w:rStyle w:val="IndexLink"/>
              </w:rPr>
              <w:t>482</w:t>
            </w:r>
          </w:hyperlink>
        </w:p>
        <w:p>
          <w:pPr>
            <w:pStyle w:val="Contents3"/>
            <w:tabs>
              <w:tab w:val="clear" w:pos="8459"/>
              <w:tab w:val="right" w:pos="9026" w:leader="dot"/>
            </w:tabs>
            <w:rPr/>
          </w:pPr>
          <w:hyperlink w:anchor="__RefHeading___Toc7071445_73709187">
            <w:r>
              <w:rPr>
                <w:webHidden/>
                <w:rStyle w:val="IndexLink"/>
              </w:rPr>
              <w:t>3</w:t>
            </w:r>
            <w:r>
              <w:rPr>
                <w:rStyle w:val="IndexLink"/>
                <w:rtl w:val="true"/>
              </w:rPr>
              <w:t xml:space="preserve"> </w:t>
            </w:r>
            <w:r>
              <w:rPr>
                <w:rStyle w:val="IndexLink"/>
                <w:rtl w:val="true"/>
              </w:rPr>
              <w:t>بيان تعزية بمناسبة وفاة العالم الكبير الشيخ عبد الهادي الفضلي</w:t>
            </w:r>
            <w:r>
              <w:rPr>
                <w:rStyle w:val="IndexLink"/>
                <w:rtl w:val="true"/>
              </w:rPr>
              <w:tab/>
            </w:r>
            <w:r>
              <w:rPr>
                <w:rStyle w:val="IndexLink"/>
              </w:rPr>
              <w:t>483</w:t>
            </w:r>
          </w:hyperlink>
        </w:p>
        <w:p>
          <w:pPr>
            <w:pStyle w:val="Contents3"/>
            <w:tabs>
              <w:tab w:val="clear" w:pos="8459"/>
              <w:tab w:val="right" w:pos="9026" w:leader="dot"/>
            </w:tabs>
            <w:rPr/>
          </w:pPr>
          <w:hyperlink w:anchor="__RefHeading___Toc7071447_73709187">
            <w:r>
              <w:rPr>
                <w:webHidden/>
                <w:rStyle w:val="IndexLink"/>
              </w:rPr>
              <w:t>4</w:t>
            </w:r>
            <w:r>
              <w:rPr>
                <w:rStyle w:val="IndexLink"/>
                <w:rtl w:val="true"/>
              </w:rPr>
              <w:t xml:space="preserve"> </w:t>
            </w:r>
            <w:r>
              <w:rPr>
                <w:rStyle w:val="IndexLink"/>
                <w:rtl w:val="true"/>
              </w:rPr>
              <w:t>بيان تعزية واستنكار بمناسبة استشهاد الشيخ حسن شحاته</w:t>
            </w:r>
            <w:r>
              <w:rPr>
                <w:rStyle w:val="IndexLink"/>
                <w:rtl w:val="true"/>
              </w:rPr>
              <w:tab/>
            </w:r>
            <w:r>
              <w:rPr>
                <w:rStyle w:val="IndexLink"/>
              </w:rPr>
              <w:t>484</w:t>
            </w:r>
          </w:hyperlink>
        </w:p>
        <w:p>
          <w:pPr>
            <w:pStyle w:val="Contents3"/>
            <w:tabs>
              <w:tab w:val="clear" w:pos="8459"/>
              <w:tab w:val="right" w:pos="9026" w:leader="dot"/>
            </w:tabs>
            <w:rPr/>
          </w:pPr>
          <w:hyperlink w:anchor="__RefHeading___Toc7071449_73709187">
            <w:r>
              <w:rPr>
                <w:webHidden/>
                <w:rStyle w:val="IndexLink"/>
              </w:rPr>
              <w:t>5</w:t>
            </w:r>
            <w:r>
              <w:rPr>
                <w:rStyle w:val="IndexLink"/>
                <w:rtl w:val="true"/>
              </w:rPr>
              <w:t xml:space="preserve"> </w:t>
            </w:r>
            <w:r>
              <w:rPr>
                <w:rStyle w:val="IndexLink"/>
                <w:rtl w:val="true"/>
              </w:rPr>
              <w:t>بيان صادر بمناسبة اعتقال جماعة من العلماء والمؤمنين من قبل السلطات السعودية</w:t>
            </w:r>
            <w:r>
              <w:rPr>
                <w:rStyle w:val="IndexLink"/>
                <w:rtl w:val="true"/>
              </w:rPr>
              <w:tab/>
            </w:r>
            <w:r>
              <w:rPr>
                <w:rStyle w:val="IndexLink"/>
              </w:rPr>
              <w:t>486</w:t>
            </w:r>
          </w:hyperlink>
        </w:p>
        <w:p>
          <w:pPr>
            <w:pStyle w:val="Contents3"/>
            <w:tabs>
              <w:tab w:val="clear" w:pos="8459"/>
              <w:tab w:val="right" w:pos="9026" w:leader="dot"/>
            </w:tabs>
            <w:rPr/>
          </w:pPr>
          <w:hyperlink w:anchor="__RefHeading___Toc7071451_73709187">
            <w:r>
              <w:rPr>
                <w:webHidden/>
                <w:rStyle w:val="IndexLink"/>
              </w:rPr>
              <w:t>6</w:t>
            </w:r>
            <w:r>
              <w:rPr>
                <w:rStyle w:val="IndexLink"/>
                <w:rtl w:val="true"/>
              </w:rPr>
              <w:t xml:space="preserve"> </w:t>
            </w:r>
            <w:r>
              <w:rPr>
                <w:rStyle w:val="IndexLink"/>
                <w:rtl w:val="true"/>
              </w:rPr>
              <w:t>تخريب قبر الصحابي الجليل حجر بن عدي رضى الله عنه</w:t>
            </w:r>
            <w:r>
              <w:rPr>
                <w:rStyle w:val="IndexLink"/>
                <w:rtl w:val="true"/>
              </w:rPr>
              <w:tab/>
            </w:r>
            <w:r>
              <w:rPr>
                <w:rStyle w:val="IndexLink"/>
              </w:rPr>
              <w:t>488</w:t>
            </w:r>
          </w:hyperlink>
        </w:p>
        <w:p>
          <w:pPr>
            <w:pStyle w:val="Contents2"/>
            <w:tabs>
              <w:tab w:val="clear" w:pos="8743"/>
              <w:tab w:val="right" w:pos="9026" w:leader="dot"/>
            </w:tabs>
            <w:rPr/>
          </w:pPr>
          <w:hyperlink w:anchor="__RefHeading___Toc7071453_73709187">
            <w:r>
              <w:rPr>
                <w:webHidden/>
                <w:rStyle w:val="IndexLink"/>
                <w:rtl w:val="true"/>
              </w:rPr>
              <w:t>فهرس المحتويات</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6_178779"/>
      <w:bookmarkStart w:id="1" w:name="pg16776_178779"/>
      <w:bookmarkEnd w:id="1"/>
    </w:p>
    <w:p>
      <w:pPr>
        <w:pStyle w:val="Heading2"/>
        <w:numPr>
          <w:ilvl w:val="1"/>
          <w:numId w:val="1"/>
        </w:numPr>
        <w:rPr/>
      </w:pPr>
      <w:bookmarkStart w:id="2" w:name="pg16776_178779"/>
      <w:bookmarkStart w:id="3" w:name="__RefHeading___Toc7070667_7370918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و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تبحث في مواضيع فقهيه، اصوليه، كلاميه، تراجم، و مكاتبات و حورات مع بعض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السبحاني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نويسي بر اساس جلد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۱۴۲۸</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ر</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۱۰۵۳۰۷۶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0669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رسائل و مقالات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bookmarkStart w:id="7" w:name="pg16776_178783"/>
    </w:p>
    <w:p>
      <w:pPr>
        <w:pStyle w:val="Heading2"/>
        <w:numPr>
          <w:ilvl w:val="1"/>
          <w:numId w:val="1"/>
        </w:numPr>
        <w:rPr/>
      </w:pPr>
      <w:bookmarkStart w:id="8" w:name="__RefHeading___Toc7070671_73709187"/>
      <w:bookmarkStart w:id="9" w:name="_Toc3"/>
      <w:bookmarkEnd w:id="7"/>
      <w:bookmarkEnd w:id="8"/>
      <w:r>
        <w:rPr>
          <w:rtl w:val="true"/>
        </w:rPr>
        <w:t>هويّة الكتاب</w:t>
      </w:r>
      <w:bookmarkEnd w:id="9"/>
    </w:p>
    <w:p>
      <w:pPr>
        <w:pStyle w:val="BookText"/>
        <w:rPr/>
      </w:pPr>
      <w:r>
        <w:rPr>
          <w:rFonts w:ascii="IRNazanin" w:hAnsi="IRNazanin" w:eastAsia="IRNazanin"/>
          <w:color w:val="111111"/>
          <w:sz w:val="28"/>
          <w:sz w:val="28"/>
          <w:szCs w:val="28"/>
          <w:rtl w:val="true"/>
          <w:lang w:bidi="fa-IR"/>
        </w:rPr>
        <w:t>رسائل ومقالات</w:t>
      </w:r>
    </w:p>
    <w:p>
      <w:pPr>
        <w:pStyle w:val="BookText"/>
        <w:rPr/>
      </w:pPr>
      <w:r>
        <w:rPr>
          <w:rFonts w:ascii="Amiri" w:hAnsi="Amiri" w:eastAsia="Amiri" w:cs="Amiri"/>
          <w:color w:val="111111"/>
          <w:sz w:val="28"/>
          <w:sz w:val="28"/>
          <w:szCs w:val="28"/>
          <w:rtl w:val="true"/>
          <w:lang w:bidi="ar-SA"/>
        </w:rPr>
        <w:t>يشتمل هذا الجزء على مقالات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العقائد، الفقه، الأُصول، التراجم، وحوارات مع بعض الأعلام، وفيها إرشادات</w:t>
      </w:r>
    </w:p>
    <w:p>
      <w:pPr>
        <w:pStyle w:val="BookText"/>
        <w:rPr/>
      </w:pPr>
      <w:r>
        <w:rPr>
          <w:rFonts w:ascii="Amiri" w:hAnsi="Amiri" w:eastAsia="Amiri" w:cs="Amiri"/>
          <w:color w:val="111111"/>
          <w:sz w:val="28"/>
          <w:sz w:val="28"/>
          <w:szCs w:val="28"/>
          <w:rtl w:val="true"/>
          <w:lang w:bidi="ar-SA"/>
        </w:rPr>
        <w:t>ودعوة إلى التقريب بين المذاهب</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آية اللّه العظمى الشيخ جعفر السبحاني</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نشر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سبحانى تبريزى،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رسائل ومقالات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تبحث في مسائل كلامية، عقائدية، فقهية، أُصولية، تراجم، وحوارات مع بعض الأعلام، وفيها إرشادات ودعوة إلى التقريب بين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978- 964- 357- 465- 9 (VOL. SET)</w:t>
      </w:r>
    </w:p>
    <w:p>
      <w:pPr>
        <w:pStyle w:val="BookText"/>
        <w:rPr/>
      </w:pPr>
      <w:r>
        <w:rPr>
          <w:rFonts w:eastAsia="Times New Roman" w:cs="Times New Roman" w:ascii="Times New Roman" w:hAnsi="Times New Roman"/>
          <w:color w:val="111111"/>
          <w:sz w:val="28"/>
          <w:szCs w:val="28"/>
          <w:lang w:val="en-US" w:bidi="en-US"/>
        </w:rPr>
        <w:t>ISBN: 978 -964- 357- 543- 4 (VOL.9)</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ها وخطابه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مقاله ها و خطابه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 297/08</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ومقالات</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جعفر السبحاني</w:t>
      </w:r>
    </w:p>
    <w:p>
      <w:pPr>
        <w:pStyle w:val="BookText"/>
        <w:rPr/>
      </w:pP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البطاط</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حقوق الطبعة محفوظة للمؤسسة</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Amiri" w:hAnsi="Amiri" w:eastAsia="Amiri" w:cs="Amiri"/>
          <w:color w:val="111111"/>
          <w:sz w:val="28"/>
          <w:sz w:val="28"/>
          <w:szCs w:val="28"/>
          <w:rtl w:val="true"/>
          <w:lang w:bidi="ar-SA"/>
        </w:rPr>
        <w:t>مكتبة التوحيد</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ساحة الشهداء</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www.shia.ir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http://www.imamsadiq.org</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رسله وخاتم أنبيائه وأفضل بريته محمّد وآله الطاهرين الذين أذهب اللّه عنهم الرجس وطهّرهم تطهيراً، وأحد الثقلين الذين أمرنا رسول اللّه صلى الله عليه و آله و سلم بالتمسّك بهما صوناً لنا عن الضلالة والزلل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فإنّ الجيل الجديد يعيش في عالم يشهد نهضة علمية شاملة خصوصاً في مجال الاتصالات وتبادل المعلومات ساعدت على سرعة انتقال الأفكار والآراء إلى كافة أرجاء العالم خلال مدة قليلة، من غير فرق بين رأي صائب أو رأي خاطئ، فصارت سرعة الاتصالات كسيف ذي حدّين، فالموحّد يتمكّن من إعماله في تبيين عقائده وأفكاره ببيان رصين وبرهان متين، كما أنّ الملحد يتمكّن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يجب على ذوي الهمم العالية من علماء الإسلام ومفكّريه أن يحصّنوا جيلنا الحاضر وأجيالنا القادمة من أفكار الملحدين وشُبه المبطلين ومكر الشياطين، وأن يغتنموا الفرصة ويكونوا بالمرصاد لما ينشر على صفحات المواقع الالكترونية وما تبثّه وسائل الإعلام ليل نهار من أفكار سامّة وقضايا مكذوبة لتشويه سمعة الإسلام والمسلمين بأساليب رخيصة بعيدة كلّ البعد عن الحقّ والحقيقة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وراقم هذه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المسؤوليات الملقاة على عاتقه في الحوزة العلمية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ترصّد بعض هذه الأفكار المغرضة والوسائل الخبيثة</w:t>
      </w:r>
    </w:p>
    <w:p>
      <w:pPr>
        <w:pStyle w:val="BookText"/>
        <w:rPr/>
      </w:pPr>
      <w:r>
        <w:rPr>
          <w:rFonts w:ascii="Amiri" w:hAnsi="Amiri" w:eastAsia="Amiri" w:cs="Amiri"/>
          <w:color w:val="111111"/>
          <w:sz w:val="28"/>
          <w:sz w:val="28"/>
          <w:szCs w:val="28"/>
          <w:rtl w:val="true"/>
          <w:lang w:bidi="ar-SA"/>
        </w:rPr>
        <w:t>فكتب ما استطاع من المقالات دفاعاً عن الإسلام وإبرازاً للحقيقة وتنويراً للأفكار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الجزء التاسع من هذه المجموعة نقدّمه إلى القرّاء الكرام، وهو يحتوي على مقالات متفرّقة في مواضيع مختلفة يجمعها الدفاع عن العقيدة الإسلامية على ضوء الكتاب والسنّة وما أجمع عليه المسلمون بقلم نزيه بعيد عن التعصّب الأعمى، والجهل 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ويشتمل هذا الجزء على خمسة فصول،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في الكلام والعقائد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إحدى عشرة 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في الأُصول والفقه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تسع 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المتبادلة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مراسلاتنا مع عدد من العلماء والمحقّقين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وتقاريظ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مجموعة من الرسائل الداعية إلى الوحدة والتقريب بين المذاهب، والتقريظ لبعض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وتعازي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ويحتوي على بيانات تستنكر اعتقال جماعة من العلماء والمؤمنين وتخريب قبر الصحابي الجليل حجر بن عدي، وكذلك رسائل تعزية بمناسبة وفاة الشيخ العمري والفضلي وحسن شحاتة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أدعو اللّه تبارك وتعالى أن ينفع بهذا الجزء كلّ مَن يجعله مصباحاً منيراً لدربه، إنّه نعم المولى ونعم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المبعث النبوي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 w:name="pg16776_178787"/>
    </w:p>
    <w:p>
      <w:pPr>
        <w:pStyle w:val="Heading2"/>
        <w:numPr>
          <w:ilvl w:val="1"/>
          <w:numId w:val="1"/>
        </w:numPr>
        <w:rPr/>
      </w:pPr>
      <w:bookmarkStart w:id="11" w:name="__RefHeading___Toc7070673_73709187"/>
      <w:bookmarkStart w:id="12" w:name="_Toc4"/>
      <w:bookmarkEnd w:id="10"/>
      <w:bookmarkEnd w:id="11"/>
      <w:r>
        <w:rPr>
          <w:rtl w:val="true"/>
        </w:rPr>
        <w:t>الفصل الأوّل مقالات في الكلام والعقائد</w:t>
      </w:r>
      <w:bookmarkEnd w:id="12"/>
    </w:p>
    <w:p>
      <w:pPr>
        <w:pStyle w:val="Heading3"/>
        <w:numPr>
          <w:ilvl w:val="2"/>
          <w:numId w:val="1"/>
        </w:numPr>
        <w:rPr/>
      </w:pPr>
      <w:bookmarkStart w:id="13" w:name="__RefHeading___Toc7070675_73709187"/>
      <w:bookmarkStart w:id="14" w:name="_Toc5"/>
      <w:bookmarkEnd w:id="13"/>
      <w:r>
        <w:rPr>
          <w:rtl w:val="true"/>
        </w:rPr>
        <w:t>اشارة</w:t>
      </w:r>
      <w:bookmarkEnd w:id="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 في كلمة الإخلاص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اللّه طبقاً للكتاب والسنّة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الخبرية في الكتاب والسنّة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الأنواع أو تطوّرها في الذكر الحكيم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النبي الأكرم صلى الله عليه و آله قبل البعثة حافلة بالكرامات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أئمة أهل البيت عليهم السلام في الكتاب والسنّة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بالقرآن منهج مؤيّد بالقرآن والسنّة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حول البسملة وأجوبتها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الناشئ الجديد والظروف المحدقة به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التكفير على ضوء القرآن والسنّة الشريفة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البهائية وتحريف الآية الخامسة من سورة السجدة</w:t>
      </w:r>
      <w:bookmarkStart w:id="15" w:name="pg16776_178789"/>
    </w:p>
    <w:p>
      <w:pPr>
        <w:pStyle w:val="Heading3"/>
        <w:numPr>
          <w:ilvl w:val="2"/>
          <w:numId w:val="1"/>
        </w:numPr>
        <w:rPr/>
      </w:pPr>
      <w:bookmarkStart w:id="16" w:name="__RefHeading___Toc7070677_73709187"/>
      <w:bookmarkStart w:id="17" w:name="_Toc6"/>
      <w:bookmarkEnd w:id="15"/>
      <w:bookmarkEnd w:id="16"/>
      <w:r>
        <w:rPr/>
        <w:t>1</w:t>
      </w:r>
      <w:r>
        <w:rPr>
          <w:rtl w:val="true"/>
        </w:rPr>
        <w:t xml:space="preserve"> </w:t>
      </w:r>
      <w:r>
        <w:rPr>
          <w:rtl w:val="true"/>
        </w:rPr>
        <w:t>الإله في كلمة الإخلاص</w:t>
      </w:r>
      <w:bookmarkEnd w:id="17"/>
    </w:p>
    <w:p>
      <w:pPr>
        <w:pStyle w:val="Heading4"/>
        <w:numPr>
          <w:ilvl w:val="3"/>
          <w:numId w:val="1"/>
        </w:numPr>
        <w:rPr/>
      </w:pPr>
      <w:bookmarkStart w:id="18" w:name="__RefHeading___Toc7070679_73709187"/>
      <w:bookmarkStart w:id="19" w:name="_Toc7"/>
      <w:bookmarkEnd w:id="18"/>
      <w:r>
        <w:rPr>
          <w:rtl w:val="true"/>
        </w:rPr>
        <w:t>تمهيد</w:t>
      </w:r>
      <w:bookmarkEnd w:id="19"/>
    </w:p>
    <w:p>
      <w:pPr>
        <w:pStyle w:val="BookText"/>
        <w:rPr/>
      </w:pPr>
      <w:r>
        <w:rPr>
          <w:rFonts w:ascii="Amiri" w:hAnsi="Amiri" w:eastAsia="Amiri" w:cs="Amiri"/>
          <w:color w:val="111111"/>
          <w:sz w:val="28"/>
          <w:sz w:val="28"/>
          <w:szCs w:val="28"/>
          <w:rtl w:val="true"/>
          <w:lang w:bidi="ar-SA"/>
        </w:rPr>
        <w:t>إنّ المسلمين في زيارتهم البيت الحرام يذكرون موقفاً خالداً لنبيهم العظيم صلى الله عليه و آله حيث وقف ذات يوم على صخرة في جبل الصفا منادياً بصوت عالٍ‌،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 إن أخبرتكم أنّ العدو مصبحكم أو ممسيكم، أكنتم مصدّقيّ؟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من بين يدي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إلى كلمة التوحيد،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إلّااللّه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لدعوته قليل من الناس ورفض الأكثرون، ولكن دعوته انتشرت بفضل اللّه تعالى في مكّة والقبائل المحيطة بها، إلى أن عمّت غالب أرجاء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أن يعيدوا النظر في فهمهم لمعنى كلمة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المقال يتكفّل بتبيين مفهوم الإله، في هذه الكلمة المباركة</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7070681_73709187"/>
      <w:bookmarkStart w:id="21" w:name="_Toc8"/>
      <w:bookmarkEnd w:id="20"/>
      <w:r>
        <w:rPr>
          <w:rtl w:val="true"/>
        </w:rPr>
        <w:t xml:space="preserve">معنى </w:t>
      </w:r>
      <w:r>
        <w:rPr>
          <w:rtl w:val="true"/>
        </w:rPr>
        <w:t>«</w:t>
      </w:r>
      <w:r>
        <w:rPr>
          <w:rtl w:val="true"/>
        </w:rPr>
        <w:t>الإله</w:t>
      </w:r>
      <w:r>
        <w:rPr>
          <w:rtl w:val="true"/>
        </w:rPr>
        <w:t xml:space="preserve">» </w:t>
      </w:r>
      <w:r>
        <w:rPr>
          <w:rtl w:val="true"/>
        </w:rPr>
        <w:t>في الذكر الحكيم</w:t>
      </w:r>
      <w:bookmarkEnd w:id="2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همزته وأُدخل عليه الألف واللام، فخُصّ بالباري، ولتخصّصه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بَيْنَهُما</w:t>
      </w:r>
    </w:p>
    <w:p>
      <w:pPr>
        <w:pStyle w:val="BookText"/>
        <w:rPr/>
      </w:pPr>
      <w:r>
        <w:rPr>
          <w:rFonts w:ascii="Amiri" w:hAnsi="Amiri" w:eastAsia="Amiri" w:cs="Amiri"/>
          <w:color w:val="111111"/>
          <w:sz w:val="28"/>
          <w:sz w:val="28"/>
          <w:szCs w:val="28"/>
          <w:rtl w:val="true"/>
          <w:lang w:bidi="ar-SA"/>
        </w:rPr>
        <w:t>فَاعْبُدْهُ وَ اصْطَبِرْ لِعِبادَتِهِ هَلْ تَعْلَمُ لَهُ سَمِيًّا</w:t>
      </w:r>
      <w:r>
        <w:rPr>
          <w:rFonts w:eastAsia="Amiri" w:cs="Amiri" w:ascii="Amiri" w:hAnsi="Amiri"/>
          <w:color w:val="111111"/>
          <w:sz w:val="28"/>
          <w:szCs w:val="28"/>
          <w:rtl w:val="true"/>
          <w:lang w:bidi="ar-SA"/>
        </w:rPr>
        <w:t>)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والمهم هنا، هو تفسير لفظ الإله، وتبيين معناه، وقد فُسّر بوجوه سبعة، 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الأُلوهية التي هي العبادة، فإنّ التألّه، هو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متألّه، أي متعبِّد،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 الغانيات المُدّهِ‌</w:t>
      </w:r>
      <w:r>
        <w:rPr>
          <w:rStyle w:val="FootnoteAnchor"/>
          <w:rtl w:val="true"/>
        </w:rPr>
        <w:footnoteReference w:id="3"/>
      </w:r>
      <w:r>
        <w:rPr>
          <w:rFonts w:ascii="Amiri" w:hAnsi="Amiri" w:eastAsia="Amiri" w:cs="Amiri"/>
          <w:color w:val="111111"/>
          <w:sz w:val="28"/>
          <w:sz w:val="28"/>
          <w:szCs w:val="28"/>
          <w:rtl w:val="true"/>
          <w:lang w:bidi="ar-SA"/>
        </w:rPr>
        <w:t>لمّا رأين حليي المُموَّهِ‌</w:t>
      </w:r>
    </w:p>
    <w:p>
      <w:pPr>
        <w:pStyle w:val="BookText"/>
        <w:rPr/>
      </w:pPr>
      <w:r>
        <w:rPr>
          <w:rFonts w:ascii="Amiri" w:hAnsi="Amiri" w:eastAsia="Amiri" w:cs="Amiri"/>
          <w:color w:val="111111"/>
          <w:sz w:val="28"/>
          <w:sz w:val="28"/>
          <w:szCs w:val="28"/>
          <w:rtl w:val="true"/>
          <w:lang w:bidi="ar-SA"/>
        </w:rPr>
        <w:t>سبّحن واسترجعن من تألّهي</w:t>
      </w:r>
    </w:p>
    <w:p>
      <w:pPr>
        <w:pStyle w:val="BookText"/>
        <w:rPr/>
      </w:pPr>
      <w:r>
        <w:rPr>
          <w:rFonts w:ascii="Amiri" w:hAnsi="Amiri" w:eastAsia="Amiri" w:cs="Amiri"/>
          <w:color w:val="111111"/>
          <w:sz w:val="28"/>
          <w:sz w:val="28"/>
          <w:szCs w:val="28"/>
          <w:rtl w:val="true"/>
          <w:lang w:bidi="ar-SA"/>
        </w:rPr>
        <w:t>أي من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اللّه فلانٌ إلاهةً‌،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عبادة</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يحقّ له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الوله وهو التحيّر،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يأله إذا تحيّر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أَلَهْتُ إلى فلان أي فَزِعتُ إليه، لأنّ الخلق يألهون إليه، أي يفزعون إليه في حوائجهم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ألِهتُ إليه أي سكنت إليه، لأنّ الخلق يسكنون إلى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لاه أي احتجب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سبحانه المحتجب بالكيفية عن الأوهام، الظاهر بالدلائل والأعلام</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مشتقّ من ألِه الفصيل إذا ولع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يرجع إلى التفسير الثالث، أي أنّه مشتق من أَلَهَ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ارتفع، واللّه سبحانه وتعالى هو المرتفع عن مشابهة</w:t>
      </w:r>
      <w:bookmarkStart w:id="22" w:name="pg16776_178791"/>
    </w:p>
    <w:p>
      <w:pPr>
        <w:pStyle w:val="BookText"/>
        <w:rPr/>
      </w:pPr>
      <w:bookmarkEnd w:id="22"/>
      <w:r>
        <w:rPr>
          <w:rFonts w:ascii="Amiri" w:hAnsi="Amiri" w:eastAsia="Amiri" w:cs="Amiri"/>
          <w:color w:val="111111"/>
          <w:sz w:val="28"/>
          <w:sz w:val="28"/>
          <w:szCs w:val="28"/>
          <w:rtl w:val="true"/>
          <w:lang w:bidi="ar-SA"/>
        </w:rPr>
        <w:t>الممكنات ومناسبة المحدثات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والحق أنّه لا صلة لهذه المعاني لما وضع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هي من لوازم المعنى، لا نفسه ولا جزءه بل لازماً له لأنّ مَن كان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للعالمين، يُعبد وتتحيّر العقول في درك كنهه، وتسكن إليه النفس، ويُحتجب عن الأوهام وإن كان وجوده ظاهراً بالدلائل والبرهان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7070683_73709187"/>
      <w:bookmarkStart w:id="24" w:name="_Toc9"/>
      <w:bookmarkEnd w:id="23"/>
      <w:r>
        <w:rPr>
          <w:rtl w:val="true"/>
        </w:rPr>
        <w:t>ما هو المختار؟</w:t>
      </w:r>
      <w:bookmarkEnd w:id="24"/>
    </w:p>
    <w:p>
      <w:pPr>
        <w:pStyle w:val="Heading5"/>
        <w:numPr>
          <w:ilvl w:val="4"/>
          <w:numId w:val="1"/>
        </w:numPr>
        <w:rPr/>
      </w:pPr>
      <w:bookmarkStart w:id="25" w:name="__RefHeading___Toc7070685_73709187"/>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إنّ لفظ الجلالة وما يعادله في عامّة اللغات موضوع لما يتبادر في عامّة الأذهان بصورة إجمالية من كونه مصدر الخلق والكون الذي يعبّر عنه في لسان الحكماء والمتكلمين بواجب الوجود، أو الذات الجامعة لصفات الجمال والجلال، إلى غير ذلك من الكلمات التي هي تعبير تفصيلي عمّا هو المتبادر عند عامّة الشعوب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الوثنيين اخترعوا للّه سبحانه أنداداً وأشباهاً على درجات مختلفة من الكمال والجمال، وتفويض الأُمور إليهم، وما هي إلّاأسماء ليس لها من الألوهية شيء سوى الاسم، كما قرّرت ذلك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أَسْماءٌ سَمَّيْتُمُوها أَنْتُمْ وَ آباؤُكُمْ ما أَنْزَلَ اللّهُ بِها مِنْ سُلْطانٍ‌</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فإذا حاول العرب أن يشيروا إلى هذه الآلهة المزعومة مع ما لها من درجات ومراتب مختلفة من القرب والبعد عن اللّه سبحانه يطلقون عليها لفظ الآلهة، وعلى هذا فلفظ الجلالة عَلَمٌ لمصداق كامل لمفهوم الإله، ولكن لفظ الإله موضوع لمعنى كلّي يشمله وسائر الآلهة المزعومة التي ليست على درجة واحدة من الكمال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إلهاً ولا يكون خالقاً ورازقاً، بل يكفي في كونه معزّاً أو ناصراً أو ممطراً أو غافراً للذنوب أو</w:t>
      </w:r>
      <w:bookmarkStart w:id="27" w:name="pg16776_178792"/>
    </w:p>
    <w:p>
      <w:pPr>
        <w:pStyle w:val="BookText"/>
        <w:rPr/>
      </w:pPr>
      <w:bookmarkEnd w:id="27"/>
      <w:r>
        <w:rPr>
          <w:rFonts w:ascii="Amiri" w:hAnsi="Amiri" w:eastAsia="Amiri" w:cs="Amiri"/>
          <w:color w:val="111111"/>
          <w:sz w:val="28"/>
          <w:sz w:val="28"/>
          <w:szCs w:val="28"/>
          <w:rtl w:val="true"/>
          <w:lang w:bidi="ar-SA"/>
        </w:rPr>
        <w:t>مفوّضاً له شيء من أفعاله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من البعيد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ادوناي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مؤلّف قاموس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فالإسم الثاني يدلّ على علاقة اللّه مع بني إسرائيل وهو إله تابوت العهد، وإله الرؤيا، والإعلان، وإله الفداء</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والقرآن الكريم إذا أراد أن يشير إلى الفرد المعيّن من الكلّي يستعمل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أراد أن يشير إلى المعنى الكلّي الشامل لهذا الفرد وغيره، الذي له درجات ومراتب،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ناطقاً عن لسان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ولذلك نرى أنّه في بعض اللغات العالمية يفرّقون بين مفاد لفظ الجلالة، ومفاد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ويعبّرون عن المعنيين بلفظ واحد، فعندما يشيرون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يكتبونها بالشكل التالي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وعند الإشارة إلى المعنى الكلّي لهذا الفرد يكتبونها بالنحو التالي</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المدّعى‌، والدليل عليه بوجوه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7070687_73709187"/>
      <w:bookmarkStart w:id="29" w:name="_Toc11"/>
      <w:bookmarkEnd w:id="28"/>
      <w:r>
        <w:rPr>
          <w:rtl w:val="true"/>
        </w:rPr>
        <w:t>الأوّل</w:t>
      </w:r>
      <w:r>
        <w:rPr>
          <w:rtl w:val="true"/>
        </w:rPr>
        <w:t xml:space="preserve">: </w:t>
      </w:r>
      <w:r>
        <w:rPr>
          <w:rtl w:val="true"/>
        </w:rPr>
        <w:t>مادة اللفظين واحدة</w:t>
      </w:r>
      <w:bookmarkEnd w:id="29"/>
    </w:p>
    <w:p>
      <w:pPr>
        <w:pStyle w:val="BookText"/>
        <w:rPr/>
      </w:pPr>
      <w:r>
        <w:rPr>
          <w:rFonts w:ascii="Amiri" w:hAnsi="Amiri" w:eastAsia="Amiri" w:cs="Amiri"/>
          <w:color w:val="111111"/>
          <w:sz w:val="28"/>
          <w:sz w:val="28"/>
          <w:szCs w:val="28"/>
          <w:rtl w:val="true"/>
          <w:lang w:bidi="ar-SA"/>
        </w:rPr>
        <w:t>إنّ مادة اللفظين واحدة فكيف يفترقان في المعنى‌؟ والدليل على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سيبويه في تفسير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فعال، فحذفت الفاء الّتي هي الهمزة وجعلت الألف واللام عوضاً لازماً عنها، بدلالة استجازتهم قطع هذه الهمزة الداخلة على لام التعريف في خصوص النداء في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غير عوض لم تثبت الهمزة في الوصل كما</w:t>
      </w:r>
      <w:bookmarkStart w:id="30" w:name="pg16776_178793"/>
    </w:p>
    <w:p>
      <w:pPr>
        <w:pStyle w:val="BookText"/>
        <w:rPr/>
      </w:pPr>
      <w:bookmarkEnd w:id="30"/>
      <w:r>
        <w:rPr>
          <w:rFonts w:ascii="Amiri" w:hAnsi="Amiri" w:eastAsia="Amiri" w:cs="Amiri"/>
          <w:color w:val="111111"/>
          <w:sz w:val="28"/>
          <w:sz w:val="28"/>
          <w:szCs w:val="28"/>
          <w:rtl w:val="true"/>
          <w:lang w:bidi="ar-SA"/>
        </w:rPr>
        <w:t>لم تثبت في غير هذا الاسم</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فإذا كانت المادة واحدة فيكون لفظ الجلالة بالمعنى الموجود في مادته علماً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لفظ الجلالة حاك عن الصفات الجلالية والجمالية أو ما أشبه ذلك، فيجب أن تكون مادته حاكية عن هذه المعاني كلّها لا عن معنى المعبود أو غيره من المعاني السبعة فقط</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7070689_73709187"/>
      <w:bookmarkStart w:id="32" w:name="_Toc12"/>
      <w:bookmarkEnd w:id="31"/>
      <w:r>
        <w:rPr>
          <w:rtl w:val="true"/>
        </w:rPr>
        <w:t>الثاني</w:t>
      </w:r>
      <w:r>
        <w:rPr>
          <w:rtl w:val="true"/>
        </w:rPr>
        <w:t xml:space="preserve">: </w:t>
      </w:r>
      <w:r>
        <w:rPr>
          <w:rtl w:val="true"/>
        </w:rPr>
        <w:t>الاحتجاج بعدم وجود إله غير اللّه</w:t>
      </w:r>
      <w:bookmarkEnd w:id="32"/>
    </w:p>
    <w:p>
      <w:pPr>
        <w:pStyle w:val="BookText"/>
        <w:rPr/>
      </w:pPr>
      <w:r>
        <w:rPr>
          <w:rFonts w:ascii="Amiri" w:hAnsi="Amiri" w:eastAsia="Amiri" w:cs="Amiri"/>
          <w:color w:val="111111"/>
          <w:sz w:val="28"/>
          <w:sz w:val="28"/>
          <w:szCs w:val="28"/>
          <w:rtl w:val="true"/>
          <w:lang w:bidi="ar-SA"/>
        </w:rPr>
        <w:t>إنّه سبحانه حينما يستدلّ على التوحيد وأنّه لا إله إلّااللّه فإنّه يستخدم كلمة الإله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رَأَيْتُمْ إِنْ جَعَلَ اللّهُ عَلَيْكُمُ اللَّيْلَ سَرْمَداً إِلى يَوْمِ الْقِيامَةِ مَنْ إِلهٌ غَيْرُ اللّهِ يَأْتِيكُمْ بِضِياءٍ أَ 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جَعَلَ اللّهُ عَلَيْكُمُ النَّهارَ سَرْمَداً إِلى يَوْمِ الْقِيامَةِ مَنْ إِلهٌ غَيْرُ اللّهِ يَأْتِيكُمْ بِلَيْلٍ تَسْكُنُونَ فِيهِ أَ فَلا تُبْصِرُونَ‌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ترى أنّه سبحانه يعدُّ تدبير العالم على نحو يعيش الإنسان فيه عيشاً رغيداً من شؤون الإله،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إِلهٌ غَيْرُ اللّهِ يَأْتِيكُمْ بِضِياءٍ‌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غَيْرُ اللّهِ يَأْتِيكُمْ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تصريح بأنّ التصرّف في الكون من شؤون الإله، ثم يردّ على المشركين بأن التصرّف في الكون وإن كان من شؤون الإله إلّا أنّه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وضعنا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 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يعدّ تفسيراً للمعنى الإجمالي للإله،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لانسجم معنى الفقرة،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ولا بارئ ولا مدبّر غير اللّه، لانسجمت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جعلنا المعبود مكانه، لاختلّت بلاغة الآية، كأن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معبود إلّا</w:t>
      </w:r>
      <w:bookmarkStart w:id="33" w:name="pg16776_178794"/>
    </w:p>
    <w:p>
      <w:pPr>
        <w:pStyle w:val="BookText"/>
        <w:rPr/>
      </w:pPr>
      <w:bookmarkEnd w:id="33"/>
      <w:r>
        <w:rPr>
          <w:rFonts w:ascii="Amiri" w:hAnsi="Amiri" w:eastAsia="Amiri" w:cs="Amiri"/>
          <w:color w:val="111111"/>
          <w:sz w:val="28"/>
          <w:sz w:val="28"/>
          <w:szCs w:val="28"/>
          <w:rtl w:val="true"/>
          <w:lang w:bidi="ar-SA"/>
        </w:rPr>
        <w:t>اللّه يأتيكم بالنهار أو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التصرّف في الكون على النحو البديع من شؤون المعبود، وما أكثر المعبودين ولكنّهم لا ينفعون ولا يضرون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في الكون وتنظيم أسباب الحياة من شؤون مَن بيده الكون ومصير الإنسان، فكأنّه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 النظام بأنْ دام النهار أو دام الليل فأيّ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بيده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بالضياء بعد الليل، أو به بعد النهار، وليس هو إلّااللّه، وأمّا لو قلنا بأنّه بمعنى المعبود يكون المعنى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معبود يأتي بالضياء بعد الليل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التصرّف في الكون ليس من شؤون مطلق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شؤون مَن بيده الكون إيجاداً وتدبيراً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الإله في الآيتين بمعنى المتصرّف في الكون والمدّبر وما يرادفه</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7070691_73709187"/>
      <w:bookmarkStart w:id="35" w:name="_Toc13"/>
      <w:bookmarkEnd w:id="34"/>
      <w:r>
        <w:rPr>
          <w:rtl w:val="true"/>
        </w:rPr>
        <w:t>الثالث</w:t>
      </w:r>
      <w:r>
        <w:rPr>
          <w:rtl w:val="true"/>
        </w:rPr>
        <w:t xml:space="preserve">: </w:t>
      </w:r>
      <w:r>
        <w:rPr>
          <w:rtl w:val="true"/>
        </w:rPr>
        <w:t>الاستدلال على التوحيد بلزوم الفساد عند تعدّد الآلهة</w:t>
      </w:r>
      <w:bookmarkEnd w:id="35"/>
    </w:p>
    <w:p>
      <w:pPr>
        <w:pStyle w:val="BookText"/>
        <w:rPr/>
      </w:pPr>
      <w:r>
        <w:rPr>
          <w:rFonts w:ascii="Amiri" w:hAnsi="Amiri" w:eastAsia="Amiri" w:cs="Amiri"/>
          <w:color w:val="111111"/>
          <w:sz w:val="28"/>
          <w:sz w:val="28"/>
          <w:szCs w:val="28"/>
          <w:rtl w:val="true"/>
          <w:lang w:bidi="ar-SA"/>
        </w:rPr>
        <w:t>استدلّ سبحانه على التوحيد في الربوبية بآيات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البرهان على نفي تعدّد الآلهة لا يتمّ إلّاإذا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بالمتصرّف المدبّر، أو مَن بيده أزمّة الأُمور أو ما يقرب من هذين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الإله بمعنى المعبود لانتقض البرهان، لبداهة تعدّد المعبودات في هذا العالم، مع عدم الفساد في النظام الكوني، وقد كانت الحجاز يوم نزول هذه الآية مزدحمة بالآلهة، ومركزاً لها وكان العالم منتظماً، غير فاسد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وعندئذٍ يجب على مَن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أن يقيّده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فيهما معبودات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لفسدتا، ولمّا كان المعبود بالحقّ مدبِّراً ومتصرّفاً، لزم من تعدّده فساد النظام، وهذا كلّه تكلّف لا مبرّر له، والدليل على ذلك عدم خطوره عند سماعه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ويتمّ هذا البرهان أيضاً إذا فسّرنا الإله بما ذكرنا من أنّه كلّيّ ما يطلق عليه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الخالق، أو المدبّر، المتصرّف، أو مَن يقوم بأفعاله وشؤونه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في هذا المقام هو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تعدّده ما رتّب عليه في الآية من ذهاب كلّ إله بما خلق وعلوّ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جعلناه بمعنى المعبود لانتقض البرهان، لأنّه لا يلزم من تعدّده أي اختلال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 دليل على ذلك هو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العالم آلهة متعدّدة، وقد كان في أطراف الكعبة المشرّفة ثلاثمائة وستون إلهاً ولم يقع أيّ فساد واختلال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على مَن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بالمعبود إعمال التكلّف بما ذكرناه في 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يتصوّر من غلبة استعمال الإله في المعبود بالحقّ فلا حاجة إلى تقديره، مدفوع باستعماله كثيراً في غيره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w:t>
      </w:r>
      <w:r>
        <w:rPr>
          <w:rFonts w:eastAsia="Amiri" w:cs="Amiri" w:ascii="Amiri" w:hAnsi="Amiri"/>
          <w:color w:val="111111"/>
          <w:sz w:val="28"/>
          <w:szCs w:val="28"/>
          <w:rtl w:val="true"/>
          <w:lang w:bidi="ar-SA"/>
        </w:rPr>
        <w:t>)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مَعَهُ آلِهَةٌ كَما يَقُولُونَ إِذاً لاَبْتَغَوْا إِلى ذِي الْعَرْشِ سَبِيلاً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ابتغاء السبيل إلى ذي العرش من لوازم تعدّد الخالق أو المدبّر المتصرّف أو مَن بيده أزمّة أُمور الكون أو غير ذلك ممّا يرسمه في ذهننا معنى</w:t>
      </w:r>
      <w:bookmarkStart w:id="36" w:name="pg16776_178796"/>
    </w:p>
    <w:p>
      <w:pPr>
        <w:pStyle w:val="BookText"/>
        <w:rPr/>
      </w:pPr>
      <w:bookmarkEnd w:id="36"/>
      <w:r>
        <w:rPr>
          <w:rFonts w:ascii="Amiri" w:hAnsi="Amiri" w:eastAsia="Amiri" w:cs="Amiri"/>
          <w:color w:val="111111"/>
          <w:sz w:val="28"/>
          <w:sz w:val="28"/>
          <w:szCs w:val="28"/>
          <w:rtl w:val="true"/>
          <w:lang w:bidi="ar-SA"/>
        </w:rPr>
        <w:t>الأُلوهية، وأمّا تعدّد المعبود، فلا يلزم ذلك إلّابالتكلّف الذي أشرنا إليه فيما سبق</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7070693_73709187"/>
      <w:bookmarkStart w:id="38" w:name="_Toc14"/>
      <w:bookmarkEnd w:id="37"/>
      <w:r>
        <w:rPr>
          <w:rtl w:val="true"/>
        </w:rPr>
        <w:t>الرابع</w:t>
      </w:r>
      <w:r>
        <w:rPr>
          <w:rtl w:val="true"/>
        </w:rPr>
        <w:t xml:space="preserve">: </w:t>
      </w:r>
      <w:r>
        <w:rPr>
          <w:rtl w:val="true"/>
        </w:rPr>
        <w:t>الملازمة بين الإلوهية وعدم ورود النار</w:t>
      </w:r>
      <w:bookmarkEnd w:id="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آلِهَةً ما وَرَدُوها</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والآية تستدلّ بورود الأصنام والأوثان في النار على أنّها ليست آلهة، إذ لو كانوا آلهة ما وردوا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إنّما يتمّ لو فسّرنا الآلهة بما أشرنا إليه فإنّ خالق العالم أو مدبّره والمتصرّف فيه أو مَن فوّض إليه أفعال اللّه، أجلّ من أن يُحكَم عليه بالنار أو أن يكون حصبَ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جعلناه بمعنى المعبود، إذ لا ملازمة بين كونها معبودات وعدم كونها حصب جهنم، وعندئذٍ لا يتمّ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قُيّد المعبود بقيد أو قيود ترفعه إلى حدّ القداسة المطلقة، وهذا تكلّف واضح، ولو أمعنت في الآيات التي ورد فيها لفظ الإله والآلهة لقدرت على استظهار ما اخترناه</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7070695_73709187"/>
      <w:bookmarkStart w:id="40" w:name="_Toc15"/>
      <w:bookmarkEnd w:id="39"/>
      <w:r>
        <w:rPr>
          <w:rtl w:val="true"/>
        </w:rPr>
        <w:t>الخامس</w:t>
      </w:r>
      <w:r>
        <w:rPr>
          <w:rtl w:val="true"/>
        </w:rPr>
        <w:t xml:space="preserve">: </w:t>
      </w:r>
      <w:r>
        <w:rPr>
          <w:rtl w:val="true"/>
        </w:rPr>
        <w:t>لزوم اختلال المعنى لو فسّر بالمعبود</w:t>
      </w:r>
      <w:bookmarkEnd w:id="40"/>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فَإِلهُكُمْ إِلهٌ واحِدٌ فَلَهُ أَسْلِمُوا وَ بَشِّرِ الْمُخْبِتِينَ‌</w:t>
      </w:r>
      <w:r>
        <w:rPr>
          <w:rFonts w:eastAsia="Amiri" w:cs="Amiri" w:ascii="Amiri" w:hAnsi="Amiri"/>
          <w:color w:val="111111"/>
          <w:sz w:val="28"/>
          <w:szCs w:val="28"/>
          <w:rtl w:val="true"/>
          <w:lang w:bidi="ar-SA"/>
        </w:rPr>
        <w:t>)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فسّر الإله في الآية بالمعبود لزم عدم صحّة المعنى‌، إذ المفروض تعدّد المعبود في المجتمع البشري، ولأجل دفع هذا ربما يقيّد الإله هنا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المعبود الحقّ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فسّرناه بالمعنى الإجمالي الذي له آثار في الكون من التدبير والتصرّف، وإيصال النفع، ودفع الضرّ على نحو الاستقلال، لصحّ‌</w:t>
      </w:r>
      <w:bookmarkStart w:id="41" w:name="pg16776_178797"/>
    </w:p>
    <w:p>
      <w:pPr>
        <w:pStyle w:val="BookText"/>
        <w:rPr/>
      </w:pPr>
      <w:bookmarkEnd w:id="41"/>
      <w:r>
        <w:rPr>
          <w:rFonts w:ascii="Amiri" w:hAnsi="Amiri" w:eastAsia="Amiri" w:cs="Amiri"/>
          <w:color w:val="111111"/>
          <w:sz w:val="28"/>
          <w:sz w:val="28"/>
          <w:szCs w:val="28"/>
          <w:rtl w:val="true"/>
          <w:lang w:bidi="ar-SA"/>
        </w:rPr>
        <w:t xml:space="preserve">حصر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بلا حاجة إلى تقدير كلمة بيانية محذوفة، إذ من المعلوم أنّه لا إله في الحياة الإنسانية والمجتمع البشري، يتّصف بهذه الصفات التي ذكرناها إلّااللّه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الخالق المدبّر المحيي المميت الغافر على وجه التفصيل، إذ لا يتبادر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إلّاالمعنى الإجمالي، بل هذه الصفات عناوين تشير إلى المعنى الذي وضع له لفظ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كونَ هذه الصفات عناوين مشيرة إلى ذلك المعنى الإجمالي، غير كونها معنى موضوعاً له اللّفظ المذكور، كما أنّ كونه تعالى ذا سلطة على العالم كلّه أو سلطة مستقلة غير معتمدة على غيره، وصف نشير إليه بالمعنى الإجمالي الذي نتلقّاه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 نفس معناه</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7070697_73709187"/>
      <w:bookmarkStart w:id="43" w:name="_Toc16"/>
      <w:bookmarkEnd w:id="42"/>
      <w:r>
        <w:rPr>
          <w:rtl w:val="true"/>
        </w:rPr>
        <w:t>السادس</w:t>
      </w:r>
      <w:r>
        <w:rPr>
          <w:rtl w:val="true"/>
        </w:rPr>
        <w:t xml:space="preserve">: </w:t>
      </w:r>
      <w:r>
        <w:rPr>
          <w:rtl w:val="true"/>
        </w:rPr>
        <w:t>استعمال لفظ الجلالة مكان الآخر وبالعكس</w:t>
      </w:r>
      <w:bookmarkEnd w:id="43"/>
    </w:p>
    <w:p>
      <w:pPr>
        <w:pStyle w:val="BookText"/>
        <w:rPr/>
      </w:pPr>
      <w:r>
        <w:rPr>
          <w:rFonts w:ascii="Amiri" w:hAnsi="Amiri" w:eastAsia="Amiri" w:cs="Amiri"/>
          <w:color w:val="111111"/>
          <w:sz w:val="28"/>
          <w:sz w:val="28"/>
          <w:szCs w:val="28"/>
          <w:rtl w:val="true"/>
          <w:lang w:bidi="ar-SA"/>
        </w:rPr>
        <w:t>ربّما يستعمل لفظ الجلالة مكان الإله، ويتجرّد عن معنى العلَمية ويبقى فيه معنى الوصفية، فلذلك يصحّ استعماله مكان الإله، وإليك بعض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اللّهُ فِي السَّماواتِ وَ فِي الْأَرْضِ يَعْلَمُ سِرَّكُمْ وَ جَهْرَكُمْ وَ يَعْلَمُ ما تَكْسِبُونَ‌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فالآية تشير إلى أنّ إله السماء هو إله الأرض وليس هناك آلهة بحسب الأنواع والأقوام، 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ولفظ الجلالة خبر، والمعنى هو المتفرّد بالإلهيّة في السماوات، فوزانها وزان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 .</w:t>
      </w: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اللفظين في الآيتين بمعنى واحد، يعني أنّ لفظ الجلالة في الآية الأُولى خرج عن العلَمية وعاد إلى الكلّية والوصفية، ولذلك صحّ جعله مكان</w:t>
      </w:r>
      <w:bookmarkStart w:id="44" w:name="pg16776_178798"/>
    </w:p>
    <w:p>
      <w:pPr>
        <w:pStyle w:val="BookText"/>
        <w:rPr/>
      </w:pPr>
      <w:bookmarkEnd w:id="44"/>
      <w:r>
        <w:rPr>
          <w:rFonts w:ascii="Amiri" w:hAnsi="Amiri" w:eastAsia="Amiri" w:cs="Amiri"/>
          <w:color w:val="111111"/>
          <w:sz w:val="28"/>
          <w:sz w:val="28"/>
          <w:szCs w:val="28"/>
          <w:rtl w:val="true"/>
          <w:lang w:bidi="ar-SA"/>
        </w:rPr>
        <w:t>الإله في الآية الأُولى، وجيء بنفس لفظ الإله في الآية الثانية</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7070699_73709187"/>
      <w:bookmarkStart w:id="46" w:name="_Toc17"/>
      <w:bookmarkEnd w:id="45"/>
      <w:r>
        <w:rPr>
          <w:rtl w:val="true"/>
        </w:rPr>
        <w:t>السابع</w:t>
      </w:r>
      <w:r>
        <w:rPr>
          <w:rtl w:val="true"/>
        </w:rPr>
        <w:t xml:space="preserve">: </w:t>
      </w:r>
      <w:r>
        <w:rPr>
          <w:rtl w:val="true"/>
        </w:rPr>
        <w:t xml:space="preserve">معنى </w:t>
      </w:r>
      <w:r>
        <w:rPr>
          <w:rtl w:val="true"/>
        </w:rPr>
        <w:t>«</w:t>
      </w:r>
      <w:r>
        <w:rPr>
          <w:rtl w:val="true"/>
        </w:rPr>
        <w:t>الإله</w:t>
      </w:r>
      <w:r>
        <w:rPr>
          <w:rtl w:val="true"/>
        </w:rPr>
        <w:t xml:space="preserve">» </w:t>
      </w:r>
      <w:r>
        <w:rPr>
          <w:rtl w:val="true"/>
        </w:rPr>
        <w:t>في تثليث النصارى</w:t>
      </w:r>
      <w:bookmarkEnd w:id="46"/>
    </w:p>
    <w:p>
      <w:pPr>
        <w:pStyle w:val="BookText"/>
        <w:rPr/>
      </w:pPr>
      <w:r>
        <w:rPr>
          <w:rFonts w:ascii="Amiri" w:hAnsi="Amiri" w:eastAsia="Amiri" w:cs="Amiri"/>
          <w:color w:val="111111"/>
          <w:sz w:val="28"/>
          <w:sz w:val="28"/>
          <w:szCs w:val="28"/>
          <w:rtl w:val="true"/>
          <w:lang w:bidi="ar-SA"/>
        </w:rPr>
        <w:t>حكى القرآن الكريم عقيدة النصارى في اللّه سبحانه، وهي ما تُعرف بعقيدة التثليث، وتتلّخص في وجود ثلاثة أقانيم،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والروح القدس، أي أنّ هناك إلهاً أباً وإلهاً ابناً وإلهاً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لا يخلو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كلُّ واحد من هذه الأقانيم الثلاثة جزءاً يشكّلُ وجوده سبحانه، وعندئذٍ تُصبح له شخصية واحدة ذات أجزاء، أو أن يكون كلّ واحد منها ذا شخصية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فالجميع عندهم إله،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ثم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ففي الآية الأُولى يحكي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المسيح ابن مريم، فالمسيح عندهم هو اللّه المتجسّد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عليهم في نفس الآية بأنّه كيف يصحّ ذلك مع أنّ المسيح لا يأمر الناس بعبادته، بل بعبادة غيره،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اعْبُدُوا اللّهَ رَبِّي وَ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الثانية يحكي سبحانه عنهم اعتقادهم بالآلهة الثلاثة، فكلّ من الأب والابن والروح القدس عندهم إله، ويردّ عليهم بأنّه لا إله إلّاإله واحد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كيفية الاستدلال على أنّ الإله في هذه الآيات وما يليها ليس بمعنى</w:t>
      </w:r>
    </w:p>
    <w:p>
      <w:pPr>
        <w:pStyle w:val="BookText"/>
        <w:rPr/>
      </w:pPr>
      <w:r>
        <w:rPr>
          <w:rFonts w:ascii="Amiri" w:hAnsi="Amiri" w:eastAsia="Amiri" w:cs="Amiri"/>
          <w:color w:val="111111"/>
          <w:sz w:val="28"/>
          <w:sz w:val="28"/>
          <w:szCs w:val="28"/>
          <w:rtl w:val="true"/>
          <w:lang w:bidi="ar-SA"/>
        </w:rPr>
        <w:t>المعبود أو غيره من المعاني السبعة، بل أُريد به ما يُراد من لفظ الجلالة بتجريده عن العلَمية، فواضحة لدى التدبّر، بشرط أن نقف على مغزى الاختلاف بين الموحّدين وأهل التثليث، إذ ليس مصبّ الاختلاف بينهم، وحدة المعبود أو تعدّده، وإنّما هو لازم نزاع آخر يرجع إلى وحدة ذات الواجب أو تعدّدها، فإذا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 سُبْحانَهُ أَنْ يَكُونَ لَهُ وَلَدٌ</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فلا يريد أنّه معبود واحد ليس له ولد، وإنّما يُريد بساطة ذات اللّه ووحدتها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قالت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فمرادهم أنّه ثالث الآلهة، وإنّ الواجب جلّ اسمه أو ما يشار إليه بلفظ الجلالة، آلهة ثلاثة لا إله واحد، فإذا ردّ عليهم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إِلهٍ إِلاّ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وحدة الذات وبساطتها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فالإله في كلام كلّ من الطرفين يشير إلى تلك الذات المقدّسة فيكون مرادفاً للفظ الجلالة، لكن بشرط تجريدها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بوحدة المعبود أو كثرته، لزم غضُّ النظر عمّا هو موضع النزاع لبّاً عبر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مفاد الإله في الآية التالية، إذ لا محيص من تفسيره بالمعنى المختار الّذي يعبّر عنه بواجب الوجود، الخالق، البارئ، إلى غير ذلك من الصفات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وذلك أنّ علماء النصارى يتبّنون التثليث وينسبونه إلى عيسى ابن مريم، وأنّه دعا إلى إلهين آخرين من دون اللّه،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وأمُّه</w:t>
      </w:r>
      <w:r>
        <w:rPr>
          <w:rFonts w:eastAsia="Amiri" w:cs="Amiri" w:ascii="Amiri" w:hAnsi="Amiri"/>
          <w:color w:val="111111"/>
          <w:sz w:val="28"/>
          <w:szCs w:val="28"/>
          <w:rtl w:val="true"/>
          <w:lang w:bidi="ar-SA"/>
        </w:rPr>
        <w:t>.</w:t>
      </w:r>
      <w:bookmarkStart w:id="47" w:name="pg16776_178800"/>
    </w:p>
    <w:p>
      <w:pPr>
        <w:pStyle w:val="BookText"/>
        <w:rPr/>
      </w:pPr>
      <w:bookmarkEnd w:id="47"/>
      <w:r>
        <w:rPr>
          <w:rFonts w:ascii="Amiri" w:hAnsi="Amiri" w:eastAsia="Amiri" w:cs="Amiri"/>
          <w:color w:val="111111"/>
          <w:sz w:val="28"/>
          <w:sz w:val="28"/>
          <w:szCs w:val="28"/>
          <w:rtl w:val="true"/>
          <w:lang w:bidi="ar-SA"/>
        </w:rPr>
        <w:t>ومن المعلوم أنّ النفي والإثبات يردان على موضوع واحد وهو ادّعاء النصارى أنّ ثمّة إلهين وراء اللّه سبحانه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وأُمّه، وردّ سبحانه على تلك المزعمة بأنّ الإله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لا يمكن تفسير الإله بمعنى المعبود، إذ الكلام يتعلّق بمقام الذات وأنّه كثير أو واحد لا بمقام المعبودية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ونظيرها الآية التالية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وحصيلة الكلام هو أنّ الاختلاف والنزاع بين أهل التوحيد وأهل الكثرة راجع إلى وحدة ما يشار إليه بلفظ الجلالة أو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هل هو ذات بسيطة واحدة أو هو ذات مركبة أو متعدّدة يعبّر عنها بالإله الأب، والإله الابن، والإله الروح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النزاع عبارة عن دراسة مسألة فلسفية غامضة، وهي أنّ جوهر الذات شيء واحد أو هي أشياء؟ فمن السذاجة أن نعبّر عن واقع النزاع بوحدة المعبود وتعدّده،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الواحد، أو ثالث الآلهة، فلا يُراد عندئذٍ إلّاما يُشار إليه بلفظ الجلالة الّذي تشير إلى الذات المستجمعة لصفات الجمال والجلال ولكن بقيد تجريده عن العلَمية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7070701_73709187"/>
      <w:bookmarkStart w:id="49" w:name="_Toc18"/>
      <w:bookmarkEnd w:id="48"/>
      <w:r>
        <w:rPr>
          <w:rtl w:val="true"/>
        </w:rPr>
        <w:t>الثامن</w:t>
      </w:r>
      <w:r>
        <w:rPr>
          <w:rtl w:val="true"/>
        </w:rPr>
        <w:t xml:space="preserve">: </w:t>
      </w:r>
      <w:r>
        <w:rPr>
          <w:rtl w:val="true"/>
        </w:rPr>
        <w:t>وقوع قوله</w:t>
      </w:r>
      <w:r>
        <w:rPr>
          <w:rtl w:val="true"/>
        </w:rPr>
        <w:t>: (</w:t>
      </w:r>
      <w:r>
        <w:rPr>
          <w:rtl w:val="true"/>
        </w:rPr>
        <w:t>لا إِلهَ إِلاّ هُوَ</w:t>
      </w:r>
      <w:r>
        <w:rPr>
          <w:rtl w:val="true"/>
        </w:rPr>
        <w:t xml:space="preserve">) </w:t>
      </w:r>
      <w:r>
        <w:rPr>
          <w:rtl w:val="true"/>
        </w:rPr>
        <w:t>تعليلاً لحصر الشؤون</w:t>
      </w:r>
      <w:bookmarkEnd w:id="4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التالية تعليلاً لحصر الرازقية،</w:t>
      </w:r>
    </w:p>
    <w:p>
      <w:pPr>
        <w:pStyle w:val="BookText"/>
        <w:rPr/>
      </w:pPr>
      <w:r>
        <w:rPr>
          <w:rFonts w:ascii="Amiri" w:hAnsi="Amiri" w:eastAsia="Amiri" w:cs="Amiri"/>
          <w:color w:val="111111"/>
          <w:sz w:val="28"/>
          <w:sz w:val="28"/>
          <w:szCs w:val="28"/>
          <w:rtl w:val="true"/>
          <w:lang w:bidi="ar-SA"/>
        </w:rPr>
        <w:t>وربوبية المشرق والمغرب، ومالكية السماوات والأرض في اللّه سبحانه، ولا يصحّ كونه علّة للحصر المذكور إلّاإذ أُريد به المعنى الإجمالي الملازم للخالقية والرازقية والربوبية والمالكية، فعندئذٍ يصلح أن يقع تعليلاً، لما تقدّمه من حصر الأُمور المذكورة في اللّه، والآيات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 يَرْزُقُكُمْ مِنَ السَّماءِ وَ الْأَرْضِ لا إِلهَ إِلاّ هُوَ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فصدر الآية ينفي أيَّ خالق غير اللّه يرزق الناس، وذيلها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له ولا يصحّ تعليلاً إلّاإذا أُريد به ذلك المعنى السامي الملازم للشؤون فكأنّه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يكن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خالق يرزق الناس إلّااللّه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إنّ صدر الآية يصفه سبحانه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رب عالم الشهادة، ثم يأتي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لما تقدّم، ولا يصحّ ذلك إلّا بتفسير الإله بالمعنى السامي الّذي يدلّ عليه لفظ الجلالة، لكن مجرّداً عن العلَمية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خالق مدبر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إلّااللّه، فهو رب السماوات والأرض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عطف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اتّخاذ الوكيل بمعنى إيكال الأُمور إليه، من شؤونه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مُلْكُ السَّماواتِ وَ الْأَرْضِ لا إِلهَ إِلاّ هُوَ يُحيِي وَ يُمِيتُ‌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الاستظهار هو نفس ما تقدّم في الآيتين المتقدّمتين، فلا يصلح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لما سبق، إلّاإذا أُريد بالإله المعنى الإجمالي السامي الملازم</w:t>
      </w:r>
      <w:bookmarkStart w:id="50" w:name="pg16776_178802"/>
    </w:p>
    <w:p>
      <w:pPr>
        <w:pStyle w:val="BookText"/>
        <w:rPr/>
      </w:pPr>
      <w:bookmarkEnd w:id="50"/>
      <w:r>
        <w:rPr>
          <w:rFonts w:ascii="Amiri" w:hAnsi="Amiri" w:eastAsia="Amiri" w:cs="Amiri"/>
          <w:color w:val="111111"/>
          <w:sz w:val="28"/>
          <w:sz w:val="28"/>
          <w:szCs w:val="28"/>
          <w:rtl w:val="true"/>
          <w:lang w:bidi="ar-SA"/>
        </w:rPr>
        <w:t>للخالقة والرازقية والربوبية وغيرها، فإذا كانت هذه الشؤون منحصرة في اللّه سبحانه فله ملك السماوات والأرض</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070703_73709187"/>
      <w:bookmarkStart w:id="52" w:name="_Toc19"/>
      <w:bookmarkEnd w:id="51"/>
      <w:r>
        <w:rPr>
          <w:rtl w:val="true"/>
        </w:rPr>
        <w:t>التاسع</w:t>
      </w:r>
      <w:r>
        <w:rPr>
          <w:rtl w:val="true"/>
        </w:rPr>
        <w:t xml:space="preserve">: </w:t>
      </w:r>
      <w:r>
        <w:rPr>
          <w:rtl w:val="true"/>
        </w:rPr>
        <w:t>مفهوم الإله عند الوثنيين</w:t>
      </w:r>
      <w:bookmarkEnd w:id="52"/>
    </w:p>
    <w:p>
      <w:pPr>
        <w:pStyle w:val="Heading6"/>
        <w:numPr>
          <w:ilvl w:val="5"/>
          <w:numId w:val="1"/>
        </w:numPr>
        <w:rPr/>
      </w:pPr>
      <w:bookmarkStart w:id="53" w:name="__RefHeading___Toc7070705_73709187"/>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يظهر من بعض الآيات أنّ الإله عند المشركين عبارة عمّن ينصر العبدةَ في الشدائد والملمّات، ويورث لهم عزّاً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حاكياً عن عقيدتهم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وكانوا يُسوّون بين اللّه والآلهة، يقول سبحانه حاكياً عن قولهم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الآلهة المزعومة عند المشركين هي الناصرة في الشدائد وواهبة العزّة، وفي مستواه سبحانه، فلا يراد بها عند الإطلاق إلّاما يراد من لفظ الجلالة مجرداً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يردّ عليهم سبحانه في غير واحدة من الآيات بأنّ الآلهة لا يملكون من شؤونه سبحانه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دُونِهِ آلِهَةً لا يَخْلُقُونَ شَيْئاً وَ هُمْ يُخْلَقُونَ‌</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والآية تدلّ على أنّ من شؤون الإله هو الخلق، والأصنام فاقدة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آلِهَةٌ تَمْنَعُهُمْ مِنْ دُونِنا لا يَسْتَطِيعُونَ نَصْرَ أَنْفُسِهِمْ وَ لا هُمْ مِنّا يُصْحَبُونَ‌</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55" w:name="pg16776_178803"/>
    </w:p>
    <w:p>
      <w:pPr>
        <w:pStyle w:val="BookText"/>
        <w:rPr/>
      </w:pPr>
      <w:bookmarkEnd w:id="55"/>
      <w:r>
        <w:rPr>
          <w:rFonts w:ascii="Amiri" w:hAnsi="Amiri" w:eastAsia="Amiri" w:cs="Amiri"/>
          <w:color w:val="111111"/>
          <w:sz w:val="28"/>
          <w:sz w:val="28"/>
          <w:szCs w:val="28"/>
          <w:rtl w:val="true"/>
          <w:lang w:bidi="ar-SA"/>
        </w:rPr>
        <w:t>والآية تدلّ على أنّ من شؤون الإله هو القدرة والدفاع عن نفسه وعمّن يعبده، وإلهتهم تفقد هذه اللوازم والشؤون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فالآيتان تدلّان على أنّه كلّما أُطلق الإله لا يتبادر منه إلّامن يملك هذه الشؤون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مجرد كونه معبوداً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ردّ الوحي الإلهي وصفهم أصنامهم بالإلوهية، بعدم وجود هذه الشؤون فيها</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7070707_73709187"/>
      <w:bookmarkStart w:id="57" w:name="_Toc21"/>
      <w:bookmarkEnd w:id="56"/>
      <w:r>
        <w:rPr>
          <w:rtl w:val="true"/>
        </w:rPr>
        <w:t>انتقال هُبَل إلى مكة</w:t>
      </w:r>
      <w:bookmarkEnd w:id="57"/>
    </w:p>
    <w:p>
      <w:pPr>
        <w:pStyle w:val="BookText"/>
        <w:rPr/>
      </w:pPr>
      <w:r>
        <w:rPr>
          <w:rFonts w:ascii="Amiri" w:hAnsi="Amiri" w:eastAsia="Amiri" w:cs="Amiri"/>
          <w:color w:val="111111"/>
          <w:sz w:val="28"/>
          <w:sz w:val="28"/>
          <w:szCs w:val="28"/>
          <w:rtl w:val="true"/>
          <w:lang w:bidi="ar-SA"/>
        </w:rPr>
        <w:t>ويوضح مكانة الأوثان عندهم ما نقله ابن هشام في سيرته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لحَيّ خرج من مكة إلى الشام في بعض أُموره، فلمّا قدم مآبَ في أرض البَلْقاء، رآهم يعبدون الأصنام،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الأصنام الّتي أراكم تَعْبدون‌؟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أصنام نعبدها، فنَسْتمطرها فتُمْطرِنا، ونَسْتَنْصرها فتَنْصرنا؛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تُعطُونني منها صَنماً، فأسيرَ به إلى أرض العرب، فيعبدوه‌؟ فأعْطَوْه صَنماً يقال له هُبَل، فقدم به مكّة، فَنَصَبه وأمَر الناس بعبادته وتعظيمه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فإذا كانت الإمطار عند الجفاف والنصر في الحروب والشدائد من شؤون الآلهة المزعومة، فيكون المتبادر منه هو نفس ما يتبادر من لفظ الجلالة، مجرّداً عن العلَمية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7070709_73709187"/>
      <w:bookmarkStart w:id="59" w:name="_Toc22"/>
      <w:bookmarkEnd w:id="58"/>
      <w:r>
        <w:rPr>
          <w:rtl w:val="true"/>
        </w:rPr>
        <w:t>العاشر</w:t>
      </w:r>
      <w:r>
        <w:rPr>
          <w:rtl w:val="true"/>
        </w:rPr>
        <w:t xml:space="preserve">: </w:t>
      </w:r>
      <w:r>
        <w:rPr>
          <w:rtl w:val="true"/>
        </w:rPr>
        <w:t>الإله في كلام الإمام علي عليه السلام</w:t>
      </w:r>
      <w:bookmarkEnd w:id="59"/>
    </w:p>
    <w:p>
      <w:pPr>
        <w:pStyle w:val="BookText"/>
        <w:rPr/>
      </w:pPr>
      <w:r>
        <w:rPr>
          <w:rFonts w:ascii="Amiri" w:hAnsi="Amiri" w:eastAsia="Amiri" w:cs="Amiri"/>
          <w:color w:val="111111"/>
          <w:sz w:val="28"/>
          <w:sz w:val="28"/>
          <w:szCs w:val="28"/>
          <w:rtl w:val="true"/>
          <w:lang w:bidi="ar-SA"/>
        </w:rPr>
        <w:t>وممّا يؤيّد ما ذكرناه من عدم الفرق بين الإله، ولفظ الجلالة إلّابالكلّية والجزئية، كلام الإمام أمير المؤمنين عليه السلام في معرض نقده لكون كلامه سبحانه قديماً، بأنّه لو كان كذلك، 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لمن أراد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بصوت يُقرع، ولا بنداء يُسمع،</w:t>
      </w:r>
      <w:bookmarkStart w:id="60" w:name="pg16776_178804"/>
    </w:p>
    <w:p>
      <w:pPr>
        <w:pStyle w:val="BookText"/>
        <w:rPr/>
      </w:pPr>
      <w:bookmarkEnd w:id="60"/>
      <w:r>
        <w:rPr>
          <w:rFonts w:ascii="Amiri" w:hAnsi="Amiri" w:eastAsia="Amiri" w:cs="Amiri"/>
          <w:color w:val="111111"/>
          <w:sz w:val="28"/>
          <w:sz w:val="28"/>
          <w:szCs w:val="28"/>
          <w:rtl w:val="true"/>
          <w:lang w:bidi="ar-SA"/>
        </w:rPr>
        <w:t>وإنّما كلامه سبحانه فعل منه أنشأه ومثَّله، لَمْ يَكُ مِنْ قَبلِ ذلِكَ كَائِناً، وَلَوْ كانَ قَدِيماً لَكَانَ إلهاً ثَانِياً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أي لو كان قديماً، لكان واجب الوجود، أو ما يفيد ذلك، ولا معنى لتفسير الإله بالمعبود، أي لكان إلهاً معبوداً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كلماته أيضاً، إشارة إلى ما ذكرنا،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أَلْجِئْ نَفْسَكَ فِي أُمُورِكَ كُلِّهَا إِلى إِلهِكَ‌</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وَابْدَأْ قَبْلَ نَظَرِكَ فِي ذلِكَ بِالإِسْتِعَانَةِ بِإِلهِكَ‌</w:t>
      </w:r>
      <w:r>
        <w:rPr>
          <w:rFonts w:eastAsia="Amiri" w:cs="Amiri" w:ascii="Amiri" w:hAnsi="Amiri"/>
          <w:color w:val="111111"/>
          <w:sz w:val="28"/>
          <w:szCs w:val="28"/>
          <w:rtl w:val="true"/>
          <w:lang w:bidi="ar-SA"/>
        </w:rPr>
        <w:t>».</w:t>
      </w:r>
      <w:r>
        <w:rPr>
          <w:rStyle w:val="FootnoteAnchor"/>
          <w:rtl w:val="true"/>
        </w:rPr>
        <w:footnoteReference w:id="30"/>
      </w:r>
    </w:p>
    <w:p>
      <w:pPr>
        <w:pStyle w:val="Heading4"/>
        <w:numPr>
          <w:ilvl w:val="3"/>
          <w:numId w:val="1"/>
        </w:numPr>
        <w:rPr/>
      </w:pPr>
      <w:bookmarkStart w:id="61" w:name="__RefHeading___Toc7070711_73709187"/>
      <w:bookmarkStart w:id="62" w:name="_Toc23"/>
      <w:bookmarkEnd w:id="61"/>
      <w:r>
        <w:rPr>
          <w:rtl w:val="true"/>
        </w:rPr>
        <w:t>حصيلة البحث</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للإله إلّامعنى واحد وهو نفس ما يفهم من لفظ الجلالة لكن مجرّداً عن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تفسير الإله بالمعاني السبعة أو الأكثر تفسير باللوازم والآثار للإله، لا نفس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الإله ليس بمعنى الخالق المدبّر المحيي المميت الغافر، إذ لا يتبادر من لفظ الإله إلّاالمعنى البسيط، بل هذه الصفات عناوين تشير إلى المعنى الموضوع له لفظ الإله، ومعلوم أنّ كون هذه الصفات عناوين مشيرة إلى ذلك المعنى البسيط، غير كونها معنى موضوعاً للّفظ المذكور، فتدبّر</w:t>
      </w:r>
      <w:r>
        <w:rPr>
          <w:rFonts w:eastAsia="Amiri" w:cs="Amiri" w:ascii="Amiri" w:hAnsi="Amiri"/>
          <w:color w:val="111111"/>
          <w:sz w:val="28"/>
          <w:szCs w:val="28"/>
          <w:rtl w:val="true"/>
          <w:lang w:bidi="ar-SA"/>
        </w:rPr>
        <w:t>.</w:t>
      </w:r>
      <w:bookmarkStart w:id="63" w:name="pg16776_178805"/>
    </w:p>
    <w:p>
      <w:pPr>
        <w:pStyle w:val="Heading4"/>
        <w:numPr>
          <w:ilvl w:val="3"/>
          <w:numId w:val="1"/>
        </w:numPr>
        <w:rPr/>
      </w:pPr>
      <w:bookmarkStart w:id="64" w:name="__RefHeading___Toc7070713_73709187"/>
      <w:bookmarkStart w:id="65" w:name="_Toc24"/>
      <w:bookmarkEnd w:id="63"/>
      <w:bookmarkEnd w:id="64"/>
      <w:r>
        <w:rPr>
          <w:rtl w:val="true"/>
        </w:rPr>
        <w:t>تصحيح خطأ في الاصطلاح</w:t>
      </w:r>
      <w:bookmarkEnd w:id="65"/>
    </w:p>
    <w:p>
      <w:pPr>
        <w:pStyle w:val="BookText"/>
        <w:rPr/>
      </w:pPr>
      <w:r>
        <w:rPr>
          <w:rFonts w:ascii="Amiri" w:hAnsi="Amiri" w:eastAsia="Amiri" w:cs="Amiri"/>
          <w:color w:val="111111"/>
          <w:sz w:val="28"/>
          <w:sz w:val="28"/>
          <w:szCs w:val="28"/>
          <w:rtl w:val="true"/>
          <w:lang w:bidi="ar-SA"/>
        </w:rPr>
        <w:t>إنّ لتوحيده سبحانه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الخالقية، بمعنى أنّه لا خالق إلّاهو،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الربوبية، بمعنى أنّه سبحانه مدبّراً للكون بعد خلقه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الوثنيين في جزيرة العرب لم يكونوا يعانون من أي انحراف في مسألة التوحيد في الخالقية وكانوا يعتقدون بأنّه ليس في الكون سوى خالق واحد، بيد أنّ بعضهم أو أكثرهم كانوا يعانون مشكلة في توحيد الربوبية حيث يعتقدون بأنّ اللّه سبحانه فوّض تدبير بعض أُمور الكون إلى الملائكة والجن والكواكب والأرواح المقدّسة إلى غير ذلك، فجاء القرآن يركّز على التوحيد في الربوبية مضافاً إلى التوحيد في الخالقية،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 .</w:t>
      </w:r>
      <w:r>
        <w:rPr>
          <w:rStyle w:val="FootnoteAnchor"/>
          <w:rtl w:val="true"/>
        </w:rPr>
        <w:footnoteReference w:id="3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التوحيد في الربوبية وتدبير الكون بعد إيجاده، وأنّ المدبّرية منحصرة به سبحانه لا يشاركه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سبحانه استدلّ على التوحيد في الربوبية بأنّ تعدّد الآلهة يوجب الفساد،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ومثلها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كانَ مَعَهُ مِنْ إِلهٍ إِذاً لَذَهَبَ كُلُّ إِلهٍ بِما خَلَقَ وَ لَعَلا بَعْضُهُمْ عَلى بَعْضٍ سُبْحانَ اللّهِ عَمّا يَصِفُونَ‌</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وبذلك أثبت أنّ المدبّر واحد مضافاً إلى وحدة الخالق، هذا من جانب ومن جانب آخر كلّما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فوّض إليه أمر الشيء من حيث الإصلاح والتدبير والتربية،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الضيعة، لمن عليه إصلاحها ورعايتها؛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الدار، لمن عليه حفظها وتصليح خرابها؛ وقد أطلق يوسف عليه السلام كلمة الرب على عزيز مصر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رَبِّي أَحْسَنَ مَثْوايَ‌</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 كما أنّه سبحانه وصف اليهود والنصارى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وقال عبد المطلب لإبرهة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 الإبل وللبيت رب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وهذه الفقرات ترشدنا إلى معنى الرب وأنّه دون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علمت ذلك فلنقف على الخطأ في الاصطلاح الّذي وقع فيه ابن عبد الوهاب ومن والاه، حيث فسّر التوحيد في الربوبية بالخالقية، والتوحيد في الإلوهية بمعنى العبادة، فقال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الفرق بين توحيد الربوبية وتوحيد الإلهية‌؟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الربوبية فعل الرب، مثل الخلق والرزق والإحياء والإماتة، وإنزال المطر وإنبات النبات وتدبير الأُمور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وتوحيد الإلهية فعلك أيها العبد مثل الدعاء والخوف والرجاء والاستغاثة،</w:t>
      </w:r>
    </w:p>
    <w:p>
      <w:pPr>
        <w:pStyle w:val="BookText"/>
        <w:rPr/>
      </w:pPr>
      <w:r>
        <w:rPr>
          <w:rFonts w:ascii="Amiri" w:hAnsi="Amiri" w:eastAsia="Amiri" w:cs="Amiri"/>
          <w:color w:val="111111"/>
          <w:sz w:val="28"/>
          <w:sz w:val="28"/>
          <w:szCs w:val="28"/>
          <w:rtl w:val="true"/>
          <w:lang w:bidi="ar-SA"/>
        </w:rPr>
        <w:t>وغير ذلك من أنواع العبادة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ترى أنّه فسّر الربوبية بالخالقية، ولكنّه عطف عليها ما هو داخل في الربوبية؛ كما أنّه فسّر الإلهية بالعبادة، وقد علمت أنّ الإله وما يشتق منه يراد منه معنى سامٍ له مصاديق مختلفة يجمعها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في وضع الاصطلاح التعبير الصحيح بالخالقية مكان الربوبية، والتوحيد بالعبادة مكان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ظهيرة يوم الخامس والعشرين</w:t>
      </w:r>
    </w:p>
    <w:p>
      <w:pPr>
        <w:pStyle w:val="BookText"/>
        <w:rPr/>
      </w:pPr>
      <w:r>
        <w:rPr>
          <w:rFonts w:ascii="Amiri" w:hAnsi="Amiri" w:eastAsia="Amiri" w:cs="Amiri"/>
          <w:color w:val="111111"/>
          <w:sz w:val="28"/>
          <w:sz w:val="28"/>
          <w:szCs w:val="28"/>
          <w:rtl w:val="true"/>
          <w:lang w:bidi="ar-SA"/>
        </w:rPr>
        <w:t xml:space="preserve">من شهر رمضان المبارك من شهور عام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والحمد للّه الّذي بنعمته تتم الصالحات</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bookmarkStart w:id="66" w:name="pg16776_178808"/>
    </w:p>
    <w:p>
      <w:pPr>
        <w:pStyle w:val="Heading3"/>
        <w:numPr>
          <w:ilvl w:val="2"/>
          <w:numId w:val="1"/>
        </w:numPr>
        <w:rPr/>
      </w:pPr>
      <w:bookmarkStart w:id="67" w:name="__RefHeading___Toc7070715_73709187"/>
      <w:bookmarkStart w:id="68" w:name="_Toc25"/>
      <w:bookmarkEnd w:id="66"/>
      <w:bookmarkEnd w:id="67"/>
      <w:r>
        <w:rPr/>
        <w:t>2</w:t>
      </w:r>
      <w:r>
        <w:rPr>
          <w:rtl w:val="true"/>
        </w:rPr>
        <w:t>. «</w:t>
      </w:r>
      <w:r>
        <w:rPr>
          <w:rtl w:val="true"/>
        </w:rPr>
        <w:t>رؤية اللّه</w:t>
      </w:r>
      <w:r>
        <w:rPr>
          <w:rtl w:val="true"/>
        </w:rPr>
        <w:t xml:space="preserve">» </w:t>
      </w:r>
      <w:r>
        <w:rPr>
          <w:rtl w:val="true"/>
        </w:rPr>
        <w:t>طبقاً للكتاب والسنّة</w:t>
      </w:r>
      <w:bookmarkEnd w:id="68"/>
    </w:p>
    <w:p>
      <w:pPr>
        <w:pStyle w:val="Heading4"/>
        <w:numPr>
          <w:ilvl w:val="3"/>
          <w:numId w:val="1"/>
        </w:numPr>
        <w:rPr/>
      </w:pPr>
      <w:bookmarkStart w:id="69" w:name="__RefHeading___Toc7070717_73709187"/>
      <w:bookmarkStart w:id="70" w:name="_Toc26"/>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نشرت الجمعية العلمية السعودية لعلوم السنّة مقالاً حول رؤية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ونسبتها إلى الصحابة والتابعين وأئمّة الإسلام المعروفين بالإمامة في الدين وأهل الحديث وسائر طوائف أهل الكلام المنسوبين إلى السنّة والجماعة، واستند صاحب المقال إلى أدلّة من الكتاب والسنّة على أنّ رؤية اللّه بالأبصار جائزة عقلاً في الدنيا والآخرة، واستدلّ بآيات متعدّدة سوف ندرسها، كما استدلّ بحديث عن أبي هريرة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دراسة الأدلّة نذكر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بالرؤية عقيدة يهودية أصيلة جاءت في العهد القديم، وإليك مقتطفات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السيد جالساً على كرسي عال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لي لأنّ عينيّ قد رأتا الملك رب الجنود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أرى أنّه وضعت عروش وجلس القديم الأيام، لباسه أبيض كالثلج، وشعر رأسه كالصوف النقي، وعرشه لهيب نار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أنا فبالبر أنظر وجهك</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منوح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نموت موتاً لأنّنا قد رأينا اللّه</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الرب على سليمان، لأنّ قلبه مال عن الرب، إله إسرائيل الذي تراءى له مرّتين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رأيت الرب جالساً على كرسيّه وكلّ جند البحار وقوف لديه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في سنة الثلاثين في الشهر الرابع في الخامس من الشهر وأنا بين المسبيّين، عند نهر خابور، أنّ السماوات انفتحت فرأيت رؤى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منظر شبه مجد الرب ولما رأيته خررت على وجهي وسمعت صوت متكلم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هذا نزر يسير ممّا ورد في العهد القديم الذي يركّز على رؤية اللّه تعالى في الدنيا فضلاً عن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تدبّر في آيات الذكر الحكيم يقف على أنّه كلّما يذكر الرؤية فإنّما يذكرها بإنكار واستنكار، يقول سبحانه مسلّياً للنبي الأكرم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w:t>
      </w:r>
      <w:r>
        <w:rPr>
          <w:rStyle w:val="FootnoteAnchor"/>
          <w:rtl w:val="true"/>
        </w:rPr>
        <w:footnoteReference w:id="4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سأل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بضغط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 سبحانه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أُجيب بنفي قاطع،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الآيات التي تدلّ‌</w:t>
      </w:r>
      <w:bookmarkStart w:id="71" w:name="pg16776_178810"/>
    </w:p>
    <w:p>
      <w:pPr>
        <w:pStyle w:val="BookText"/>
        <w:rPr/>
      </w:pPr>
      <w:bookmarkEnd w:id="71"/>
      <w:r>
        <w:rPr>
          <w:rFonts w:ascii="Amiri" w:hAnsi="Amiri" w:eastAsia="Amiri" w:cs="Amiri"/>
          <w:color w:val="111111"/>
          <w:sz w:val="28"/>
          <w:sz w:val="28"/>
          <w:szCs w:val="28"/>
          <w:rtl w:val="true"/>
          <w:lang w:bidi="ar-SA"/>
        </w:rPr>
        <w:t>على أنّ الرؤية أمر مستحيل وأنّ طلبه محال، وأنّ الإصرار عليه يستوجب العتاب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كلام أوضح في بيان العقيدة الإسلامية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ومن المعلوم أنّ الإدراك إذا نسب إلى الأبصار يراد به الرؤية البصرية، وإذا نسب إلى السمع يراد به الإدراك بالسمع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ولا يُرى كما تفرّد سبحانه بالصفات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يطعم ولا يُطعَم، ويجير ولا يجار عليه،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غَيْرَ اللّهِ أَتَّخِذُ وَلِيًّا فاطِرِ السَّماواتِ وَ الْأَرْضِ وَ هُوَ يُطْعِمُ وَ لا يُطْعَمُ‌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بِيَدِهِ مَلَكُوتُ كُلِّ شَيْ‌ءٍ وَ هُوَ يُجِيرُ وَ لا يُجارُ عَلَيْهِ إِنْ كُنْتُمْ تَعْلَمُونَ‌</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ولسنا في هذا المقال بصدد سرد أدلّة المنكرين فإنّها مذكورة في الكتب الكلامية والتفاسير وغيرهما، وإنّما الغاية نقد المقال الذي نشرته الجمعية العلمية السعودية لعلوم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موقعهم على شبكة الانترنت بعنوان </w:t>
      </w:r>
      <w:r>
        <w:rPr>
          <w:rFonts w:eastAsia="Times New Roman" w:cs="Times New Roman" w:ascii="Times New Roman" w:hAnsi="Times New Roman"/>
          <w:color w:val="111111"/>
          <w:sz w:val="28"/>
          <w:szCs w:val="28"/>
          <w:lang w:val="en-US" w:bidi="en-US"/>
        </w:rPr>
        <w:t>www.sunnah.org.sa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الرأي السائد تبعاً للذكر الحكيم وكلمات العترة الطاهرة عليهم السلام هو تنزيه اللّه سبحانه عن الرؤية بالأبصار، إلّاأنّ أوّل من نشر الرؤية بين المحدّثين هو كعب بن ماتع الحميري المعروف بكعب الأحبار، فقد كان حبراً يهودياً ماكراً استطاع أن يستقطب عدداً من الصحابة والمحدّثين بمكره الثعلبي، وكان يركّز في كلماته على أمرين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7070719_73709187"/>
      <w:bookmarkStart w:id="73" w:name="_Toc27"/>
      <w:bookmarkEnd w:id="72"/>
      <w:r>
        <w:rPr/>
        <w:t>1</w:t>
      </w:r>
      <w:r>
        <w:rPr>
          <w:rtl w:val="true"/>
        </w:rPr>
        <w:t xml:space="preserve">. </w:t>
      </w:r>
      <w:r>
        <w:rPr>
          <w:rtl w:val="true"/>
        </w:rPr>
        <w:t>التركيز على التجسيم</w:t>
      </w:r>
      <w:bookmarkEnd w:id="7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نظر إلى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واطئ على بعضك، فاستعلت</w:t>
      </w:r>
      <w:bookmarkStart w:id="74" w:name="pg16776_178811"/>
    </w:p>
    <w:p>
      <w:pPr>
        <w:pStyle w:val="BookText"/>
        <w:rPr/>
      </w:pPr>
      <w:bookmarkEnd w:id="74"/>
      <w:r>
        <w:rPr>
          <w:rFonts w:ascii="Amiri" w:hAnsi="Amiri" w:eastAsia="Amiri" w:cs="Amiri"/>
          <w:color w:val="111111"/>
          <w:sz w:val="28"/>
          <w:sz w:val="28"/>
          <w:szCs w:val="28"/>
          <w:rtl w:val="true"/>
          <w:lang w:bidi="ar-SA"/>
        </w:rPr>
        <w:t>إليه الجبال وتضعضعت له الصخرة فشكر لها ذلك، فوضع عليها 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مقامي ومحشر خلقي وهذه جنتي وناري وهذا موضع ميزاني، وأنا ديّان الدين</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75" w:name="__RefHeading___Toc7070721_73709187"/>
      <w:bookmarkStart w:id="76" w:name="_Toc28"/>
      <w:bookmarkEnd w:id="75"/>
      <w:r>
        <w:rPr/>
        <w:t>2</w:t>
      </w:r>
      <w:r>
        <w:rPr>
          <w:rtl w:val="true"/>
        </w:rPr>
        <w:t xml:space="preserve">. </w:t>
      </w:r>
      <w:r>
        <w:rPr>
          <w:rtl w:val="true"/>
        </w:rPr>
        <w:t>التركيز على رؤية اللّه</w:t>
      </w:r>
      <w:bookmarkEnd w:id="76"/>
    </w:p>
    <w:p>
      <w:pPr>
        <w:pStyle w:val="BookText"/>
        <w:rPr/>
      </w:pPr>
      <w:r>
        <w:rPr>
          <w:rFonts w:ascii="Amiri" w:hAnsi="Amiri" w:eastAsia="Amiri" w:cs="Amiri"/>
          <w:color w:val="111111"/>
          <w:sz w:val="28"/>
          <w:sz w:val="28"/>
          <w:szCs w:val="28"/>
          <w:rtl w:val="true"/>
          <w:lang w:bidi="ar-SA"/>
        </w:rPr>
        <w:t>من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كلامه ورؤيته بين موسى و محمّد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فلا تعجب من أن تصبح الرؤية عقيدة إسلامية يركّز عليها إمام الحنابلة والأشاعرة والمفكّرون منهم تبعاً لما روي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ندرس الآيات التي استدلّ بها في المقال المذكور على وجه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أظهر الأدلّة وأمّا من أبى إلّاتحريفها بما يسمّيه تأويلاً، فتأويل نصوص المعاد والجنة والنار والحساب أسهل من تأويلها على أرباب التأويل، وهذا هو الذي أفسد الدنيا والدين، هكذا فعلت اليهود والنصارى في نصوص التوراة والإنجيل حذّرنا اللّه أن نفعل مثلهم، فهل قتل عثمان إلّابالتأويل الفاسد، وكذا ما جرى في يوم الجمل وصفين ومقتل الحسين والحرّة</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عزب عن الكاتب أنّ التدبّر في الآية غير التأويل، فقد أمر اللّه سبحانه بالتدبّر في الآيات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شغلت هذه الآية بال الأشاعرة والمعتزلة، فالفرقة الأُولى تصرّ على أنّ النظر بمعنى الرؤية، والثانية تصرّ على أنّها بمعنى الانتظار لا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سواء أُريد به المعنى الأوّل أو المعنى الثاني لا يدلّ على الرؤية، وذلك لأنّ المستدلّ لم يذكر مجموع الآيات الأربع التي كلّ يقابل الآخر، وإليك نقل الآيات ثم تنظيمها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هي الآيات الأربع في سورة القيامة، وبالمقابلة يمكن أن يتيسّر لنا فهم الآيات ورفع إبهامها، وليس تفسير الآية بآية أُخرى تأويلاً وإنّما هو تدبّرٌ أُمرنا به، وإليك تنظيم الآيات حسب 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المعنى، يكون قرينة على المراد من مقابلها،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كان المقصود من المقابل أنّ الطائفة العاصية تظن وتتوقّع أن ينزل بها عذاب يكسر فقارها، ويقصم ظهرها، يكون المراد من عِدله وقرينه عكسه وضدّه، وليس هو إلّاأنّ الطائفة المطيعة تكون مستبشرة برحمته ومتوقعة فضله وكرمه، لا النظر إلى جماله وذاته وهويته، وإلّا لخرج المتقابلان عن التقابل في المعنى‌، وهو خلف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ترى أنّ هذا النوع من التفسير استنطاق آية بآية أُخرى، واللّه سبحانه</w:t>
      </w:r>
    </w:p>
    <w:p>
      <w:pPr>
        <w:pStyle w:val="BookText"/>
        <w:rPr/>
      </w:pPr>
      <w:r>
        <w:rPr>
          <w:rFonts w:ascii="Amiri" w:hAnsi="Amiri" w:eastAsia="Amiri" w:cs="Amiri"/>
          <w:color w:val="111111"/>
          <w:sz w:val="28"/>
          <w:sz w:val="28"/>
          <w:szCs w:val="28"/>
          <w:rtl w:val="true"/>
          <w:lang w:bidi="ar-SA"/>
        </w:rPr>
        <w:t>يصف القرآن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وحاشا أن يكون تبياناً لكلّ شيء ولا يكون تبياناً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توضيحاً أكثر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أن يكون المتقابلان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متّحدي المعنى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يكونان مختلفين في شيء سوى النفي والإثبات، فلو كان المراد من المقابل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رؤية جماله سبحانه وذاته، فيجب أن يكون الجزاء في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حرمان هؤلاء من الرؤية أخذاً بحكم التقابل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الحرمان من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صريحة في انتظار العذاب الفاقر، يكون ذلك قرينة على المراد من القرين الأوّل وهو رجاء رحمته وانتظار فرجه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الآية دليلاً واضحاً على أنّ المراد من النظر غير الرؤية؛ وذلك لأنّه إذا أُريدت الرؤية نسب النظر إلى العيون لا إلى الوجوه، فالمسند إليه في الآيتين هو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 النظر حتى بمعنى الرؤية كناية عن الانتظار لرحمة اللّه سبحانه، وهو دليل على أنّه كُنّي بالنظر إلى اللّه عن الانتظار لرحمته وشمول فضله وكرمه، وله نظائر في الكتاب العزيز،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يَشْتَرُونَ بِعَهْدِ اللّهِ وَ أَيْمانِهِمْ ثَمَناً قَلِيلاً أُولئِكَ لا خَلاقَ لَهُمْ فِي الْآخِرَةِ وَ لا يُكَلِّمُهُمُ اللّهُ وَ لا يَنْظُرُ</w:t>
      </w:r>
    </w:p>
    <w:p>
      <w:pPr>
        <w:pStyle w:val="BookText"/>
        <w:rPr/>
      </w:pPr>
      <w:r>
        <w:rPr>
          <w:rFonts w:ascii="Amiri" w:hAnsi="Amiri" w:eastAsia="Amiri" w:cs="Amiri"/>
          <w:color w:val="111111"/>
          <w:sz w:val="28"/>
          <w:sz w:val="28"/>
          <w:szCs w:val="28"/>
          <w:rtl w:val="true"/>
          <w:lang w:bidi="ar-SA"/>
        </w:rPr>
        <w:t>إِلَيْهِمْ يَوْمَ الْقِيامَةِ وَ لا يُزَكِّيهِمْ وَ لَهُمْ عَذابٌ أَلِيمٌ‌</w:t>
      </w:r>
      <w:r>
        <w:rPr>
          <w:rFonts w:eastAsia="Amiri" w:cs="Amiri" w:ascii="Amiri" w:hAnsi="Amiri"/>
          <w:color w:val="111111"/>
          <w:sz w:val="28"/>
          <w:szCs w:val="28"/>
          <w:rtl w:val="true"/>
          <w:lang w:bidi="ar-SA"/>
        </w:rPr>
        <w:t>)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يَنْظُرُ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المكنّي عنه، أي عدم شمول رحمته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مفهوم الآية وأنّ ما ذكرناه هو مدلولها لكن بشرط التدبّر، ولا صلة له بالتأويل الباطل الذي ورد في النص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فسّر القرآن برأيه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الآية قوله سبحانه في سورة عبس، حيث يحكي أنّ وجوه الناس في يوم القيامة على نحوين،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فإذا أردنا تنزيل تلك الآيات الأربع على ما ورد في سورة القيامة تكون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عبس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يَوْمَئِذٍ عَلَيْها غَبَرَةٌ‌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تَظُنُّ أَنْ يُفْعَلَ بِها فاقِرَةٌ‌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فبما أنّ القرآن يفسّر بعضه بعضاً فعليك رفع الإبهام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سورة عبس، فقد جاء فيها ما يقابله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رؤية اللّه تبارك وتعالى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فإنّ أصحاب الوجوه الناضرة والوجوه المسفرة نصيبهم</w:t>
      </w:r>
    </w:p>
    <w:p>
      <w:pPr>
        <w:pStyle w:val="BookText"/>
        <w:rPr/>
      </w:pPr>
      <w:r>
        <w:rPr>
          <w:rFonts w:ascii="Amiri" w:hAnsi="Amiri" w:eastAsia="Amiri" w:cs="Amiri"/>
          <w:color w:val="111111"/>
          <w:sz w:val="28"/>
          <w:sz w:val="28"/>
          <w:szCs w:val="28"/>
          <w:rtl w:val="true"/>
          <w:lang w:bidi="ar-SA"/>
        </w:rPr>
        <w:t>شمول الرحمة لهم، ولذلك تراها ضاحكة مستبشرة تنتظر رحمة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طمع موسى في رؤية اللّه فأخبره ربه أنّه لن يراه في الدنيا ولا يستطيع،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مُوسى لِمِيقاتِنا وَ كَلَّمَهُ رَبُّهُ قالَ 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الرؤية أمراً مستحيلاً لما خفي على موسى أنّه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أخذ بآية واحدة، وترك التدبّر في سائر الآيات الواردة حول الموضوع، وتصوّر أنّ الكليم ابتدأ بالسؤال وأُجيب بالنفي، وعلى ذلك بنى استدلاله بأنّه لو كان ممتنعاً لما سأله الكليم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غير ذلك وإليك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الكليم لمّا أخبر قومه بأنّ اللّه كلّمه وقرّبه وناجاه، قالوا لن نؤمن بك حتى نسمع كلامه كما سمعت، فاختار منهم سبعين رجلاً لميقات ربّه، فخرج بهم إلى طور سيناء وسأل اللّه سبحانه أن يكلّمه فلمّا كلّمه اللّه وسمعوا كلامه،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لَكَ حَتّى نَرَى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أخذتهم الصاعقة بظلمهم وعتوّهم واستكبارهم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هذه الواقعة تشير 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يَسْئَلُكَ أَهْلُ الْكِتابِ أَنْ تُنَزِّلَ عَلَيْهِمْ كِتاباً مِنَ السَّماءِ فَقَدْ سَأَلُوا مُوسى أَكْبَرَ مِنْ ذلِكَ فَقالُوا أَرِنَا اللّهَ جَهْرَةً فَأَخَذَتْهُمُ الصّاعِقَةُ بِظُلْمِهِمْ‌</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هذه اللحظة الحسّاسة لم يَحم الكليم حول الرؤية ولم ينبس بها ببنت شفة ولم يطلب شيئاً، بل طلب منه سبحانه أن يجيبهم حتى يدفع اعتراض قومه عن نفسه إذا رجع إليهم، فلربما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لم تكن صادقاً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يناجيك، ذهبت بهم فقتلتهم، فعند ذلك أحياهم اللّه وبعثهم معه كما يحكي مقاله عنه سبحانه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لَوْ شِئْتَ أَهْلَكْتَهُمْ مِنْ قَبْلُ وَ إِيّايَ أَ تُهْلِكُنا بِما فَعَلَ السُّفَهاءُ مِنّا إِنْ هِيَ إِلاّ فِتْنَتُكَ‌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كان هناك سؤال من موسى عليه السلام فإنّما كان بعد هذه المرحلة وبعد إصابة الصاعقة للسائلين وعودهم إلى الحياة بدعاء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يطرح السؤال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يصحّ أن ينسب إلى الكليم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رأى بأُمّ عينيه ما أصاب القوم من الصاعقة والدمار، إثر سؤالهم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الرؤية وأنّه قام بالسؤال لنفسه بلا داع وسبب مبرّر أو بلا ضرورة‌؟ أو أنّه ما قام بالسؤال ثانياً إلّابعد إصرار قومه وإلحاحهم عليه أن يسأل الرؤية لا لهم بل لنفسه، حتى تحصل رؤية اللّه مكان رؤيتهم، فيؤمنوا به بعد إخباره لهم بالرؤية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الأوّل بعيد جداً لا تصحّ نسبته إلى مَن يملك شيئاً من العقل والفكر، فضلاً عن نبي عظيم مثل الكليم، كيف وقد رأى جزاء مَن سأل الرؤية، فالثاني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الآية قرائن تدلّ على أنّ السؤال في المرّة الثانية كان بإصرار القوم وإلحاحهم وكفى في القرينة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تُهْلِكُنا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يعدّ سؤال الرؤية من فعل السفهاء، ومعه كيف يصحّ له الإقدام بلا ملزم ومبرّر أو بلا ضرورة وإلجاء، وبما أنّ اللّه سبحانه يعلم بأنّه لم يقدم على السؤال إلّا بإصرار قومه حتى يفحم هؤلاء ويسكتهم، لم يوجّه إلى الكليم أيّة مؤاخذة بل 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 وَ لكِنِ انْظُرْ إِلَى الْجَبَلِ فَإِنِ اسْتَقَرَّ مَكانَهُ فَسَوْفَ تَرانِي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ونحن نعيد السؤال على المستدلّ بأنّ المسلمين اتّفقوا على امتناع رؤية اللّه في الدنيا أو عدم جواز طلبها، فحينئذٍ فهل كان موسى جاهلاً بهذا الأمر، أو عالماً؟ والأوّل غير لائق بمقام كليم اللّه، والثاني ينافي عصمته، إذ مع علمه بالامتناع أو بعدم جواز الطلب، فكيف طلب رؤية اللّه من غير مبرر وبلا سبب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في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الحجب عامّاً للكافر والمؤمن لما كان وجه لتخصيص الكفّار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أنّ المراد من الحجب هو الحرمان عن رؤية اللّه سبحانه، مع أنّ المناسب لظاهر الآية كونهم محجوبين عن رحمة ربهم بسبب الذنوب التي اقترفوها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الآية مع ما قبلها وما بعدها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w:t>
      </w:r>
    </w:p>
    <w:p>
      <w:pPr>
        <w:pStyle w:val="BookText"/>
        <w:rPr/>
      </w:pPr>
      <w:r>
        <w:rPr>
          <w:rFonts w:ascii="Amiri" w:hAnsi="Amiri" w:eastAsia="Amiri" w:cs="Amiri"/>
          <w:color w:val="111111"/>
          <w:sz w:val="28"/>
          <w:sz w:val="28"/>
          <w:szCs w:val="28"/>
          <w:rtl w:val="true"/>
          <w:lang w:bidi="ar-SA"/>
        </w:rPr>
        <w:t xml:space="preserve">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فإنّ لحن الآية يكشف عن غضب اللّه عليهم من أجل وصف الآيات بأنّها من أساطير الأوّلين، وعندئذٍ استوجبوا 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محرومون عن رحمته ومغفرته، وبالتالي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إِنَّهُمْ لَصالُوا الْجَحِيمِ‌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يُصلون النار، ولا دلالة في الآية على أنّ المراد هو الحجب عن الرؤية وإنّما هو تأويل جرّ القائلَ به الرأيُ المسبق فهؤلاء تبنّوا عقيدة، ثم ذهبوا يطلبون الدليل لها من الذكر الحكيم، وهذا هو نفس تفسير القرآن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 وَ لا يَرْهَقُ وُجُوهَهُمْ قَتَرٌ وَ لا ذِلَّةٌ أُولئِكَ أَصْحابُ الْجَنَّةِ هُمْ فِيها خالِدُونَ‌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الزيادة التي وُعِد بها المؤمنون، هو النظر إلى وجهه الكريم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دليل جعل متعلّق الزيادة هو الرؤية‌؟ إذ لا دليل على حمل اللام على العهد بل المراد الجنس، ومعنى الآية إنّ الذين أحسنوا لهم المثوبة الحسنى مع زيادة على ما يستحقّونه، فقد جرت سنّة اللّه على جزاء سيئة بمثلها وجزاء الحسنة بأكثر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كَسَبُوا السَّيِّئاتِ جَزاءُ سَيِّئَةٍ بِمِثْلِها وَ تَرْهَقُهُمْ ذِلَّةٌ ما لَهُمْ مِنَ اللّهِ مِنْ عاصِمٍ كَأَنَّما أُغْشِيَتْ وُجُوهُهُمْ قِطَعاً مِنَ اللَّيْلِ مُظْلِماً أُولئِكَ أَصْحابُ النّارِ هُمْ فِيها خالِدُونَ‌</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هذه هي الآيات التي استدلّ بها الكاتب تبعاً للرازي وغيره على رؤية اللّه تعالى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الروايات حول الرؤية، وذكر منها رواية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الصحيحين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نرى ربّنا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تمارون في القمر ليلة البدر ليس دونه سحاب‌؟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تمارون في الشمس ليس دونها سحاب‌؟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ترونه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مهما كثرت رواته وتعدّدت نقلته، لا يصحّ الركون إليه في منطق الشرع والعقل، وذلك لأنّه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خبر واحد لا يفيد علماً في باب الأُصول والعقائد، وإن كان حجّة في الفروع والأحكام، لأنّ المطلوب في العقائد هو الإذعان ورفع الريب والشكّ عن وجه الشيء، وهو لا يحصل بخبر الواحد أو بخبر الاثنين إنّما يحصل إذا بلغ حدّاً يورث القطع والإذعان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هذا الحديث رواه مسلم أيضاً في صحيحه عن أبي سعيد الخدري وجاء في ذيله هذه الفقرات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لم يبق إلّامَن كان يعبد اللّه تعالى من بر وفاجر أتاهم رب العالمين سبحانه وتعالى في أدنى صورة من التي رأوه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تنتظرون، تتبع كلّ أُمّة ما كانت تعبد،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فارقنا الناس في الدنيا أفقر ما كنّا إليهم ولم نصاحبهم،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لا نُشرك باللّه شيئاً</w:t>
      </w:r>
    </w:p>
    <w:p>
      <w:pPr>
        <w:pStyle w:val="BookText"/>
        <w:rPr/>
      </w:pPr>
      <w:r>
        <w:rPr>
          <w:rFonts w:ascii="Amiri" w:hAnsi="Amiri" w:eastAsia="Amiri" w:cs="Amiri"/>
          <w:color w:val="111111"/>
          <w:sz w:val="28"/>
          <w:sz w:val="28"/>
          <w:szCs w:val="28"/>
          <w:rtl w:val="true"/>
          <w:lang w:bidi="ar-SA"/>
        </w:rPr>
        <w:t>مرتين أو ثلاثاً حتى أنّ بعضهم ليكاد أن ينقلب،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بينكم وبينه آية فتعرفونه بها؟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فيكشف عن ساق، فلا يبقى مَن كان يسجد للّه من تلقاء نفسه إلّاأذن اللّه له بالسجود، ولا يبقى من كان يسجد اتّقاء ورياء إلّاجعل اللّه ظهره طبقة واحدة كلّما أراد أن يسجد خرّ على قفاه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يريد الراوي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أتاهم رب العالمين سبحانه وتعالى في أدنى صورة من الّتي رأوه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كان للّه سبحانه صوراً متعدّدة يعرفون بعضها وينكرون البعض الآخر وما ندري متى عرفوها؟ فهل كان ذلك منهم في الدنيا؟ أو كان في البرزخ أو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يريد الراوي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فيكشف عن ساق، فلا يبقى من كان يسجد للّه 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أنّ المؤمنين والمنافقين يعرفون اللّه سبحانه بساقه، فكانت هي الآية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 بالرؤية تمسّك بآيات زعم دلالتها على إمكان الرؤية ووقوعها يوم القيامة، ولكنّه غضّ النظر عن الآيات الكثيرة التي تصف الرؤية بأنّها أمر غير ممكن، ومن المعلوم أنّ القرآن كلام إلهي ليس فيه أي تناقض واختلاف، وهذه هي واحدة من جهات إعجازه،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وَ لَوْ كانَ مِنْ عِنْدِ غَيْرِ اللّهِ لَوَجَدُوا فِيهِ اخْتِلافاً كَثِيراً</w:t>
      </w:r>
      <w:r>
        <w:rPr>
          <w:rFonts w:eastAsia="Amiri" w:cs="Amiri" w:ascii="Amiri" w:hAnsi="Amiri"/>
          <w:color w:val="111111"/>
          <w:sz w:val="28"/>
          <w:szCs w:val="28"/>
          <w:rtl w:val="true"/>
          <w:lang w:bidi="ar-SA"/>
        </w:rPr>
        <w:t>) .</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مهما تجرّدنا عن كلّ شيء لا يمكن أن نتجرّد عن القول بأنّ الرؤية رهن المقابلة والجهة والمكان، فهي عبارة عن وجود الرابطة بين الرائي والمرئي، فيجب أن يكون المرئي في مكان حتى تتحقّق تلك الرابطة بوسيلة الرائي، من غير فرق بين القول بأنّ الرؤية عبارة عن انطباع صورة المرئي في</w:t>
      </w:r>
      <w:bookmarkStart w:id="77" w:name="pg16776_178821"/>
    </w:p>
    <w:p>
      <w:pPr>
        <w:pStyle w:val="BookText"/>
        <w:rPr/>
      </w:pPr>
      <w:bookmarkEnd w:id="77"/>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بخروج إشعاع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فالرؤية سواء أكانت في الدنيا أو الآخرة رهن تواجد المرئي في جهة ومكان، وهذا يضاد صريح القرآن الكريم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ولمّا رأى القائلون بالرؤية أنّ الآيات تكذبها صاروا إلى تأويلها بأنّ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سبحانه بالأشياء في كلّ مكان، لا ذاته، وهو تأويل باطل على خلاف صريح الآية، ولو تكلّم به أهل التنزيه سوف يتّهمون بأنّهم جهميّون</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7070723_73709187"/>
      <w:bookmarkStart w:id="79" w:name="_Toc29"/>
      <w:bookmarkEnd w:id="78"/>
      <w:r>
        <w:rPr>
          <w:rtl w:val="true"/>
        </w:rPr>
        <w:t>نظرية تافهة</w:t>
      </w:r>
      <w:bookmarkEnd w:id="7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التقيت في ماضي السنوات في دمشق مع بعض شيوخ الأشاعرة الذين كانوا يصرّون على إمكان الرؤية، فلمّا ألزمتهم بأنّ الرؤية رهن تصوير مكان للّه سبحانه، وتواجده في جهة، قالوا كلاماً تافهاً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في الآخرة غيره في الدنيا، وهذا الكلام عليه مسحة من الحق، لكن لا يعنى به أنّ حقيقة الأشياء في الآخرة تباين حقيقتها في الدنيا، وهذا مثل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المربع والمثلث في الآخرة غيرهما في الدنيا، أو إنّ نتيجة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في الآخرة خمسة، بحجّة أنّ كلّ شيء في الآخرة غيره في الدنيا، وإنّما المراد من هذه القاعدة هو أنّ كلّ ما يوجد من الأشياء في الآخرة يكون بأكمل الوجود وأمثله، لا أنّه يباينه على وجه الإطلاق،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 الَّذِي رُزِقْنا مِنْ قَبْلُ وَ أُتُوا بِهِ مُتَشابِهاً</w:t>
      </w:r>
      <w:r>
        <w:rPr>
          <w:rFonts w:eastAsia="Amiri" w:cs="Amiri" w:ascii="Amiri" w:hAnsi="Amiri"/>
          <w:color w:val="111111"/>
          <w:sz w:val="28"/>
          <w:szCs w:val="28"/>
          <w:rtl w:val="true"/>
          <w:lang w:bidi="ar-SA"/>
        </w:rPr>
        <w:t>) .</w:t>
      </w:r>
      <w:r>
        <w:rPr>
          <w:rStyle w:val="FootnoteAnchor"/>
          <w:rtl w:val="true"/>
        </w:rPr>
        <w:footnoteReference w:id="71"/>
      </w:r>
      <w:bookmarkStart w:id="80" w:name="pg16776_178822"/>
    </w:p>
    <w:p>
      <w:pPr>
        <w:pStyle w:val="BookText"/>
        <w:rPr/>
      </w:pPr>
      <w:bookmarkEnd w:id="80"/>
      <w:r>
        <w:rPr>
          <w:rFonts w:ascii="Amiri" w:hAnsi="Amiri" w:eastAsia="Amiri" w:cs="Amiri"/>
          <w:color w:val="111111"/>
          <w:sz w:val="28"/>
          <w:sz w:val="28"/>
          <w:szCs w:val="28"/>
          <w:rtl w:val="true"/>
          <w:lang w:bidi="ar-SA"/>
        </w:rPr>
        <w:t>ونظير ذلك حينما قابلني شاب مثقف في مؤتمر في تركيا وقد دارالحديث بيني وبينه حول الرؤية،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سؤالاً لو أجبت عنه، لوافقتك على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المرئي يوم القيامة وجوده سبحانه كلّه أو بعضه، فإن قيل بالأوّل يلزم أن يكون سبحانه مُحاطاً والمشاهِد محيطاً، وهو باطل بالضرورة،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بِشَيْ‌ءٍ مِنْ عِلْمِهِ إِلاّ بِما شاءَ‌</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فكيف يمكن الإحاطة بوجوده سبحانه‌؟</w:t>
      </w:r>
    </w:p>
    <w:p>
      <w:pPr>
        <w:pStyle w:val="BookText"/>
        <w:rPr/>
      </w:pPr>
      <w:r>
        <w:rPr>
          <w:rFonts w:ascii="Amiri" w:hAnsi="Amiri" w:eastAsia="Amiri" w:cs="Amiri"/>
          <w:color w:val="111111"/>
          <w:sz w:val="28"/>
          <w:sz w:val="28"/>
          <w:szCs w:val="28"/>
          <w:rtl w:val="true"/>
          <w:lang w:bidi="ar-SA"/>
        </w:rPr>
        <w:t>وإن قيل بالثاني فيلزم أن يكون سبحانه مركب من جزأين أو أجزاء، والتركّب آية الإمكان، لاحتياج الكلّ إلى الجزء، والمحتاج ممكن مخلوق حادث، فلا يكون واجباً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7070725_73709187"/>
      <w:bookmarkStart w:id="82" w:name="_Toc30"/>
      <w:bookmarkEnd w:id="81"/>
      <w:r>
        <w:rPr>
          <w:rtl w:val="true"/>
        </w:rPr>
        <w:t>حوار بين الإمام الرضا عليه السلام وبعض المحدّثين</w:t>
      </w:r>
      <w:bookmarkEnd w:id="82"/>
    </w:p>
    <w:p>
      <w:pPr>
        <w:pStyle w:val="BookText"/>
        <w:rPr/>
      </w:pPr>
      <w:r>
        <w:rPr>
          <w:rFonts w:ascii="Amiri" w:hAnsi="Amiri" w:eastAsia="Amiri" w:cs="Amiri"/>
          <w:color w:val="111111"/>
          <w:sz w:val="28"/>
          <w:sz w:val="28"/>
          <w:szCs w:val="28"/>
          <w:rtl w:val="true"/>
          <w:lang w:bidi="ar-SA"/>
        </w:rPr>
        <w:t>وفي نهاية الكلام نذكر الحوار الذي جرى بين الإمام الثامن علي بن موسى الرضا عليه السلام وأحد المحدّثين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قسّم الرؤية والكلام بين نبيّين، فقسّم لموسى عليه السلام الكلام ولمحمد صلى الله عليه و آله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المبلّغ عن اللّه إلى الثقلين الجن والإنس أنّه لا تدركه الأبصار ولا يحيطون به علماً وليس كمثله شيء، أليس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يجيء رجل إلى الخلق جميعاً فيخبرهم أنّه جاء من عند اللّه، وأنّه يدعوهم إلى اللّه بأمر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تدركه الأبصار ولا يحيطون به علماً وليس كمثله شيء،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وأحطت به علماً</w:t>
      </w:r>
    </w:p>
    <w:p>
      <w:pPr>
        <w:pStyle w:val="BookText"/>
        <w:rPr/>
      </w:pPr>
      <w:r>
        <w:rPr>
          <w:rFonts w:ascii="Amiri" w:hAnsi="Amiri" w:eastAsia="Amiri" w:cs="Amiri"/>
          <w:color w:val="111111"/>
          <w:sz w:val="28"/>
          <w:sz w:val="28"/>
          <w:szCs w:val="28"/>
          <w:rtl w:val="true"/>
          <w:lang w:bidi="ar-SA"/>
        </w:rPr>
        <w:t>وهو على صورة البشر، أما تستحيون‌؟ ما قدرت الزنادقة أن ترميه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أتى عن اللّه بأمر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 صلى الله عليه و آله ممّا رأت عيناه، ثم أخبر بما رأت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فآيات اللّه غير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فإذا رأته الأبصار فقد أحاط به العلم ووقعت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الرواية‌؟</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الرواية مخالفة للقرآن كذبتها، وما أجمع المسلمون عليه إنّه لا يحاط به علماً ولا تدركه الأبصار، وليس كمثله شيء</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وكلمتي الأخيرة هي بذل النصح لهؤلاء الذين يعيشون في إطار محدود وبيئة ضيقة أن يقرأوا ويدرسوا كتب الشيعة الإمامية عن كثب، وأخصّ بالذكر كتب العقائد والمعارف بدقّة وإمعان نظر، من دون نظر مسبق فربما يحصل التقارب بين الطائفتين والتفاهم بين الفئتين، ولعلّ اللّه يحدث بعد ذلك أمراً</w:t>
      </w:r>
      <w:r>
        <w:rPr>
          <w:rFonts w:eastAsia="Amiri" w:cs="Amiri" w:ascii="Amiri" w:hAnsi="Amiri"/>
          <w:color w:val="111111"/>
          <w:sz w:val="28"/>
          <w:szCs w:val="28"/>
          <w:rtl w:val="true"/>
          <w:lang w:bidi="ar-SA"/>
        </w:rPr>
        <w:t>.</w:t>
      </w:r>
      <w:bookmarkStart w:id="83" w:name="pg16776_178824"/>
    </w:p>
    <w:p>
      <w:pPr>
        <w:pStyle w:val="Heading3"/>
        <w:numPr>
          <w:ilvl w:val="2"/>
          <w:numId w:val="1"/>
        </w:numPr>
        <w:rPr/>
      </w:pPr>
      <w:bookmarkStart w:id="84" w:name="__RefHeading___Toc7070727_73709187"/>
      <w:bookmarkStart w:id="85" w:name="_Toc31"/>
      <w:bookmarkEnd w:id="83"/>
      <w:bookmarkEnd w:id="84"/>
      <w:r>
        <w:rPr/>
        <w:t>3</w:t>
      </w:r>
      <w:r>
        <w:rPr>
          <w:rtl w:val="true"/>
        </w:rPr>
        <w:t xml:space="preserve">. </w:t>
      </w:r>
      <w:r>
        <w:rPr>
          <w:rtl w:val="true"/>
        </w:rPr>
        <w:t>الصفات الخبرية في الكتاب والسنّة</w:t>
      </w:r>
      <w:bookmarkEnd w:id="85"/>
    </w:p>
    <w:p>
      <w:pPr>
        <w:pStyle w:val="Heading4"/>
        <w:numPr>
          <w:ilvl w:val="3"/>
          <w:numId w:val="1"/>
        </w:numPr>
        <w:rPr/>
      </w:pPr>
      <w:bookmarkStart w:id="86" w:name="__RefHeading___Toc7070729_73709187"/>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قسّم المتكلّمون صفاته سبحانه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ثبوتية وسلبية، أو جمالية وجلالية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الأوّل إلى وجود صفة في ذاته سبحانه كالعلم والقدرة والحياة، ويشير القسم الثاني إلى نفي نقص عنه سبحانه كنفي الجسم والتحيّز والحركة والتغيّر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وتسمية هذين القسمين بالجمالية والجلالية مأخوذة من الكتاب العزيز،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 رَبِّكَ ذِي الْجَلالِ وَ الْإِكْرامِ‌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قسّموا صفاته سبحانه إلى صفة الذات وصفة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الأوّل إلى ما يكفي في وصف الذات به فرض نفس الذات فحسب، كالقدرة والحياة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الثاني إلى ما يتوقّف توصيف الذات به على فرض الغير معه وراء الذات وهو فعله سبحانه، وهذا كالخلق والرزق ونظائرهما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تقسيم آخر وهو يختصّ بأهل الحديث حيث يقسّمونها إلى ذاتية وخبرية، وأُريد من الأُولى الصفات الكمالية، وأُريد من الثانية ما أخبر اللّه به في كتابه أو أخبر به النبي صلى الله عليه و آله ككونه ذا وجه، ويدين، وأعين، إلى غير ذلك من الصفات التي لو وصف بها سبحانه بمعانيها المتبادرة عند العرف للزم التجسيم والتشبيه</w:t>
      </w:r>
      <w:r>
        <w:rPr>
          <w:rFonts w:eastAsia="Amiri" w:cs="Amiri" w:ascii="Amiri" w:hAnsi="Amiri"/>
          <w:color w:val="111111"/>
          <w:sz w:val="28"/>
          <w:szCs w:val="28"/>
          <w:rtl w:val="true"/>
          <w:lang w:bidi="ar-SA"/>
        </w:rPr>
        <w:t>.</w:t>
      </w:r>
      <w:bookmarkStart w:id="88" w:name="pg16776_178825"/>
    </w:p>
    <w:p>
      <w:pPr>
        <w:pStyle w:val="BookText"/>
        <w:rPr/>
      </w:pPr>
      <w:bookmarkEnd w:id="88"/>
      <w:r>
        <w:rPr>
          <w:rFonts w:ascii="Amiri" w:hAnsi="Amiri" w:eastAsia="Amiri" w:cs="Amiri"/>
          <w:color w:val="111111"/>
          <w:sz w:val="28"/>
          <w:sz w:val="28"/>
          <w:szCs w:val="28"/>
          <w:rtl w:val="true"/>
          <w:lang w:bidi="ar-SA"/>
        </w:rPr>
        <w:t>هذه هي التقسيمات الرائجة في صفاته سبحانه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070731_73709187"/>
      <w:bookmarkStart w:id="90" w:name="_Toc33"/>
      <w:bookmarkEnd w:id="89"/>
      <w:r>
        <w:rPr>
          <w:rtl w:val="true"/>
        </w:rPr>
        <w:t>ما هو الميزان في معرفة صفاته تعالى‌؟</w:t>
      </w:r>
      <w:bookmarkEnd w:id="90"/>
    </w:p>
    <w:p>
      <w:pPr>
        <w:pStyle w:val="BookText"/>
        <w:rPr/>
      </w:pPr>
      <w:r>
        <w:rPr>
          <w:rFonts w:ascii="Amiri" w:hAnsi="Amiri" w:eastAsia="Amiri" w:cs="Amiri"/>
          <w:color w:val="111111"/>
          <w:sz w:val="28"/>
          <w:sz w:val="28"/>
          <w:szCs w:val="28"/>
          <w:rtl w:val="true"/>
          <w:lang w:bidi="ar-SA"/>
        </w:rPr>
        <w:t xml:space="preserve">اتّفق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المشبّهة والمجسّمة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الميزان في وصفه سبحانه بأي وصف من الأوصاف هو تنزيهه سبحانه عن الجسم والجسمانية والتشبيه بالممكنات ذاتاً ووصفاً،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وهذا هو الأساس، فعلى الباحث في صفاته سبحانه أن يهتمّ به، ولا يجرّه اتّباع السلف أو غيرهم إلى خرق هذه القاعدة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7070733_73709187"/>
      <w:bookmarkStart w:id="92" w:name="_Toc34"/>
      <w:bookmarkEnd w:id="91"/>
      <w:r>
        <w:rPr>
          <w:rtl w:val="true"/>
        </w:rPr>
        <w:t>صرف الظاهر عن ظاهره</w:t>
      </w:r>
      <w:bookmarkEnd w:id="92"/>
    </w:p>
    <w:p>
      <w:pPr>
        <w:pStyle w:val="Heading5"/>
        <w:numPr>
          <w:ilvl w:val="4"/>
          <w:numId w:val="1"/>
        </w:numPr>
        <w:rPr/>
      </w:pPr>
      <w:bookmarkStart w:id="93" w:name="__RefHeading___Toc7070735_73709187"/>
      <w:bookmarkStart w:id="94" w:name="_Toc35"/>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لا شكّ أنّ ظواهر القرآن حجّة بلا كلام، فمن أراد صرف الظاهر عن ظاهره فقد أخطأ خطأً كبيراً بل يُعدّ عمله هذا داهية كبرى وطامّة عظمى‌، فإنّ تأويل الظاهر هو مخطّط أهل الكتاب خصوصاً في هذه السنوات التي دلّت البحوث العلمية على بطلان شيء كثير من العهدين فصاروا يأوّلون الظواهر ويصرفونها عن ظواهرها لكي يستروا به عوار العهدين، فما روي عن الصاوي من أنّ الأخذ بظواهر الكتاب والسنّة من أُصول الكفر</w:t>
      </w:r>
      <w:r>
        <w:rPr>
          <w:rStyle w:val="FootnoteAnchor"/>
          <w:rtl w:val="true"/>
        </w:rPr>
        <w:footnoteReference w:id="81"/>
      </w:r>
      <w:r>
        <w:rPr>
          <w:rFonts w:ascii="Amiri" w:hAnsi="Amiri" w:eastAsia="Amiri" w:cs="Amiri"/>
          <w:color w:val="111111"/>
          <w:sz w:val="28"/>
          <w:sz w:val="28"/>
          <w:szCs w:val="28"/>
          <w:rtl w:val="true"/>
          <w:lang w:bidi="ar-SA"/>
        </w:rPr>
        <w:t>، أمر غير مقبول، وسيوافيك ما لعلّه هو المقصود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هو الأصل بين المحقّقين من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دلّ دليل قطعي أو حجّة شرعية على خروج فرد من تحت العام ممّا لا إشكال فيه لجريان السنّة على فصل المخصّصات عن العمومات، والمقيّدات عن المطلقات، من غير فرق بين القوانين الشرعية والقوانين الوضعية، إنّما الكلام في غير هذا المورد فما دلّ عليه ظاهر الكتاب والسنّة يجب الأخذ به دون أدنى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نلفت نظر القارئ إليه أنّ الظواهر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له ظهور مستقرّ وليس له إلّامحتمل واحد، وهذا ما لا يجوز صرفه عن ظاهره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له ظهور متزلزل ومحتملات متساوية، فهذا ممّا لابدّ من إرجاعه إلى المحكمات حتى يستقرّ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وإرجاع الظاهر المتزلزل إلى المحكم المستقّر ظهوره ليس من باب صرف الظاهر عن ظهوره، وإنّما هو من قسم التدبّر في الآية الذي أمرنا اللّه به في الذكر الحكيم</w:t>
      </w:r>
      <w:r>
        <w:rPr>
          <w:rStyle w:val="FootnoteAnchor"/>
          <w:rtl w:val="true"/>
        </w:rPr>
        <w:footnoteReference w:id="82"/>
      </w:r>
      <w:r>
        <w:rPr>
          <w:rFonts w:ascii="Amiri" w:hAnsi="Amiri" w:eastAsia="Amiri" w:cs="Amiri"/>
          <w:color w:val="111111"/>
          <w:sz w:val="28"/>
          <w:sz w:val="28"/>
          <w:szCs w:val="28"/>
          <w:rtl w:val="true"/>
          <w:lang w:bidi="ar-SA"/>
        </w:rPr>
        <w:t>حتى يظهر ما هو المقصود، وذلك من طريق جمع القرائن الداخلية والخارجية، ولعلّ الصاوي أراد هذا القسم من الظواهر، وإلّا فكلامه مردود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ولنأت بمثال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الآية ظاهرة ظهوراً بدئياً في أنّ للّه سبحانه يدين اثنتين بهما خلق آدم، وفي آية أُخرى تدل على أنّ للّه أيدي فوق الاثنتين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w:t>
      </w:r>
    </w:p>
    <w:p>
      <w:pPr>
        <w:pStyle w:val="BookText"/>
        <w:rPr/>
      </w:pPr>
      <w:r>
        <w:rPr>
          <w:rFonts w:ascii="Amiri" w:hAnsi="Amiri" w:eastAsia="Amiri" w:cs="Amiri"/>
          <w:color w:val="111111"/>
          <w:sz w:val="28"/>
          <w:sz w:val="28"/>
          <w:szCs w:val="28"/>
          <w:rtl w:val="true"/>
          <w:lang w:bidi="ar-SA"/>
        </w:rPr>
        <w:t>يَرَوْا أَنّا خَلَقْنا لَهُمْ مِمّا عَمِلَتْ أَيْدِينا أَنْعاماً فَهُمْ لَها مالِكُونَ‌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الكلام في أنّ هذا الظهور هل هو ظهور مستقرّ نأخذ به ونتّبعه‌؟ أو هو ظهور غير مستقرّ، لابدّ من إرجاعه إلى المحكمات‌؟ ومن المعلوم أنّ تفسيره باليدين أو الأيدي الجسمانية أمر يرفضه جلّ المسلمين، لكونه مخالفاً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جانب آخر يجب تفسير الآية وفهمها وهناك يأتي دور التحقيق والتدبّر في الآية؛ أمّا الآية الأُولى فالتركيز على أنّه سبحانه خلق آدم بيديه ليس إلّالذم الشيطان لتركه السجود لآدم، قائلاً بأنّ آدم لم يكن مخلوقاً لغيري حتى يمكنك يا إبليس ألّا تسجد له، بل هو مخلوق خلقته بنفسي ونفخت فيه من روحي فهو مخلوقي الذي قمت بخلقه ومع ذلك تمردّت عن السجود له،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أنا، وذلك مشهور في لغة العرب، 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كسبت يداك، وهذا ما جرّت عليه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نفي الفعل عن الفاعل استعملوا فيه هذا الضرب من الكلام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تمشي قدمه ولا ينطق لسانه ولا تكتب يده، وكذلك في الإثبات، ولا يكون للفعل رجوع إلى الجوارح في الحقيقة بل الغاية فيه النفي عن الفاعل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التركيب في لغة العرب يستعمل تارة في إثبات الفعل للفاعل، وأُخرى في نفي الفعل عن غير الفاعل، فليس هذا التفسير صرفاً للظاهر عن ظهوره بل تعييناً لظهوره المستقرّ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ظهور تصوّري، وهناك ظهور تصديقي؛ فالظهور التصوّري يدفعنا إلى أنّ المراد من اليدين هو الجارحتان، ولكن الظهور التصديقي يدفعنا إلى ما هي الغاية من إلقاء هذا الكلام وهو التركيز على أنّه فعلي لا فعل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سجودك لآدم إهانة لي قبل أن يكون إهانة لآدم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الثانية فالظهور التصوّري يدفعنا إلى القول بالتشبيه والتجسيم، ولكن الظهور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التدبّر في موقف الآية وما هو الغرض النهائي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يدفعنا إلى تفسيرها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تفرّده تعالى بخلق الأنعام وأنّه لم يشاركه أحد فيها، فهي مصنوعة للّه تعالى، والناس مكان أن يشكروا للّه يكفرون بنعمته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ليس صرفاً للظاهر عن ظاهره بل تعييناً لظهوره، وهناك آية ثالثة في هذا المضمار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 وَ إِنّا لَمُوسِعُونَ‌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فالظهور التصوّري يدفعنا إلى أنّ للّه سبحانه جوارح فوق الاثنتين، لكنّ التدبّر في الآية وموقفها وما سيقت لأجله يدفعنا إلى أنّه سبحانه بصدد بيان قوة واستحكام بناء السماء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بقدرة عظيمة ونوسعها في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 الأيدي مستعملة في القوة والقدرة، بل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اليد والأيدي مستعملة في المعنى اللغوي، لكنّ الأخذ بالمعنى اللغوي ظهور تصوّري يؤخذ به إذا لم تدلّ قرينة على أنّ المراد هو الظهور التصديقي، وقد عرفت وجود القرائن،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سيقت الآيات لأجله، يدفعنا إلى جعل الكلام كناية على أنّه المباشر للفعل لا غيره كما في الآيتين الأُوليين و أنّ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إحكام وإتقان لا يتصدّع ولا ينهدم في الآية الثالثة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عرفت أنّ حمل الآية على خلاف ظاهرها التصديقي الذي استقرّ ظهور الكلام فيه، أمر غير جائز مطلقاً إلّافيما جرت السيرة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w:t>
      </w:r>
    </w:p>
    <w:p>
      <w:pPr>
        <w:pStyle w:val="BookText"/>
        <w:rPr/>
      </w:pPr>
      <w:r>
        <w:rPr>
          <w:rFonts w:ascii="Amiri" w:hAnsi="Amiri" w:eastAsia="Amiri" w:cs="Amiri"/>
          <w:color w:val="111111"/>
          <w:sz w:val="28"/>
          <w:sz w:val="28"/>
          <w:szCs w:val="28"/>
          <w:rtl w:val="true"/>
          <w:lang w:bidi="ar-SA"/>
        </w:rPr>
        <w:t>التشريع،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على المقيّد، والعام على الخاص وما ربّما يتراءى من المشايخ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الظواهر خفيفة المؤونة يمكن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الظهور البدوي أو الظهور الجزئي لا في الظهور الجملي والتصديقي الاستقراري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تأويلاً والتأويل على خلاف القاعدة‌؟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أسميته تأويلاً أو لا، فهذا النوع من التفسير عين السنّة الجارية في حوارات العقلاء بعضهم مع البعض الآخر، فالذي يعيّن الظهور هو الغاية التي سيق الكلام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كثير الرماد، وكان الغرض ذمّه، فهو يدلّ على أنّ بيته مليء بالنفايات، ويؤخذ بهذا الظهور؟</w:t>
      </w:r>
    </w:p>
    <w:p>
      <w:pPr>
        <w:pStyle w:val="BookText"/>
        <w:rPr/>
      </w:pPr>
      <w:r>
        <w:rPr>
          <w:rFonts w:ascii="Amiri" w:hAnsi="Amiri" w:eastAsia="Amiri" w:cs="Amiri"/>
          <w:color w:val="111111"/>
          <w:sz w:val="28"/>
          <w:sz w:val="28"/>
          <w:szCs w:val="28"/>
          <w:rtl w:val="true"/>
          <w:lang w:bidi="ar-SA"/>
        </w:rPr>
        <w:t>وإن كانت الغاية من هذا الكلام بيان جوده وكرمه وإحسانه وتكريمه للضيوف، يؤخذ بالظهور التصديقي وهو كونه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نستوحش من لفظة التأويل وإنّما نلفت نظر القارئ إلى سيرة العقلاء وسيرة العرب في حواراتهم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المتّبع الظهور التصديقي لا التصوّري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المتّبع ما سيق له الكلام من الغاية دون تجريد الكلام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المتّبع هو الظهور الجملي للكلام لا الظهور الجزئي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المقدّمات فلنذكر الآراء في الصفات الخبرية التي شغلت بال المحدّثين وقسماً من أهل السنّة عبر قرون</w:t>
      </w:r>
      <w:r>
        <w:rPr>
          <w:rFonts w:eastAsia="Amiri" w:cs="Amiri" w:ascii="Amiri" w:hAnsi="Amiri"/>
          <w:color w:val="111111"/>
          <w:sz w:val="28"/>
          <w:szCs w:val="28"/>
          <w:rtl w:val="true"/>
          <w:lang w:bidi="ar-SA"/>
        </w:rPr>
        <w:t>.</w:t>
      </w:r>
      <w:bookmarkStart w:id="95" w:name="pg16776_178830"/>
    </w:p>
    <w:p>
      <w:pPr>
        <w:pStyle w:val="Heading5"/>
        <w:numPr>
          <w:ilvl w:val="4"/>
          <w:numId w:val="1"/>
        </w:numPr>
        <w:rPr/>
      </w:pPr>
      <w:bookmarkStart w:id="96" w:name="__RefHeading___Toc7070737_73709187"/>
      <w:bookmarkStart w:id="97" w:name="_Toc36"/>
      <w:bookmarkEnd w:id="95"/>
      <w:bookmarkEnd w:id="96"/>
      <w:r>
        <w:rPr/>
        <w:t>1</w:t>
      </w:r>
      <w:r>
        <w:rPr>
          <w:rtl w:val="true"/>
        </w:rPr>
        <w:t xml:space="preserve">. </w:t>
      </w:r>
      <w:r>
        <w:rPr>
          <w:rtl w:val="true"/>
        </w:rPr>
        <w:t>قول المشبّهة</w:t>
      </w:r>
      <w:bookmarkEnd w:id="97"/>
    </w:p>
    <w:p>
      <w:pPr>
        <w:pStyle w:val="BookText"/>
        <w:rPr/>
      </w:pPr>
      <w:r>
        <w:rPr>
          <w:rFonts w:ascii="Amiri" w:hAnsi="Amiri" w:eastAsia="Amiri" w:cs="Amiri"/>
          <w:color w:val="111111"/>
          <w:sz w:val="28"/>
          <w:sz w:val="28"/>
          <w:szCs w:val="28"/>
          <w:rtl w:val="true"/>
          <w:lang w:bidi="ar-SA"/>
        </w:rPr>
        <w:t>وهو إجراء الصفات على اللّه سبحانه بنفس المعاني المرتكزة في أذهان الناس، من دون تصرّف فيها، فقد زعموا أنّ للّه عينين ويدين ورجلين مثل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هذا القول إلحاد في دين اللّه وخروج عن الدين لا نحوم حوله، ومن أراد التفصيل فليرجع إلى كتابنا بحوث في الملل والنحل</w:t>
      </w:r>
      <w:r>
        <w:rPr>
          <w:rFonts w:eastAsia="Amiri" w:cs="Amiri" w:ascii="Amiri" w:hAnsi="Amiri"/>
          <w:color w:val="111111"/>
          <w:sz w:val="28"/>
          <w:szCs w:val="28"/>
          <w:rtl w:val="true"/>
          <w:lang w:bidi="ar-SA"/>
        </w:rPr>
        <w:t>.</w:t>
      </w:r>
      <w:r>
        <w:rPr>
          <w:rStyle w:val="FootnoteAnchor"/>
          <w:rtl w:val="true"/>
        </w:rPr>
        <w:footnoteReference w:id="87"/>
      </w:r>
    </w:p>
    <w:p>
      <w:pPr>
        <w:pStyle w:val="Heading5"/>
        <w:numPr>
          <w:ilvl w:val="4"/>
          <w:numId w:val="1"/>
        </w:numPr>
        <w:rPr/>
      </w:pPr>
      <w:bookmarkStart w:id="98" w:name="__RefHeading___Toc7070739_73709187"/>
      <w:bookmarkStart w:id="99" w:name="_Toc37"/>
      <w:bookmarkEnd w:id="98"/>
      <w:r>
        <w:rPr/>
        <w:t>2</w:t>
      </w:r>
      <w:r>
        <w:rPr>
          <w:rtl w:val="true"/>
        </w:rPr>
        <w:t xml:space="preserve">. </w:t>
      </w:r>
      <w:r>
        <w:rPr>
          <w:rtl w:val="true"/>
        </w:rPr>
        <w:t>قول المثبّتة</w:t>
      </w:r>
      <w:bookmarkEnd w:id="99"/>
    </w:p>
    <w:p>
      <w:pPr>
        <w:pStyle w:val="Heading6"/>
        <w:numPr>
          <w:ilvl w:val="5"/>
          <w:numId w:val="1"/>
        </w:numPr>
        <w:rPr/>
      </w:pPr>
      <w:bookmarkStart w:id="100" w:name="__RefHeading___Toc7070741_73709187"/>
      <w:bookmarkStart w:id="101" w:name="_Toc38"/>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إنّ المحدّثين وتبعهم الشيخ الأشعري يجرون الصفات الخبرية على اللّه بالمعنى المتبادر منها في العرف، لكن لما استشعروا بأنّ ذلك يورث التشبيه أضافوا إليه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استوى على عرشه،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وإنّ له وجهاً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ذُو الْجَلالِ وَ الْإِكْرامِ‌</w:t>
      </w:r>
      <w:r>
        <w:rPr>
          <w:rFonts w:eastAsia="Amiri" w:cs="Amiri" w:ascii="Amiri" w:hAnsi="Amiri"/>
          <w:color w:val="111111"/>
          <w:sz w:val="28"/>
          <w:szCs w:val="28"/>
          <w:rtl w:val="true"/>
          <w:lang w:bidi="ar-SA"/>
        </w:rPr>
        <w:t>) .</w:t>
      </w:r>
      <w:r>
        <w:rPr>
          <w:rStyle w:val="FootnoteAnchor"/>
          <w:rtl w:val="true"/>
        </w:rPr>
        <w:footnoteReference w:id="89"/>
      </w:r>
      <w:r>
        <w:rPr>
          <w:rFonts w:ascii="Amiri" w:hAnsi="Amiri" w:eastAsia="Amiri" w:cs="Amiri"/>
          <w:color w:val="111111"/>
          <w:sz w:val="28"/>
          <w:sz w:val="28"/>
          <w:szCs w:val="28"/>
          <w:rtl w:val="true"/>
          <w:lang w:bidi="ar-SA"/>
        </w:rPr>
        <w:t>وإنّ له يدين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وكما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وإنّ له عيناً بلا كيف،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بِأَعْيُنِنا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Heading6"/>
        <w:numPr>
          <w:ilvl w:val="5"/>
          <w:numId w:val="1"/>
        </w:numPr>
        <w:rPr/>
      </w:pPr>
      <w:bookmarkStart w:id="102" w:name="__RefHeading___Toc7070743_73709187"/>
      <w:bookmarkStart w:id="103" w:name="_Toc39"/>
      <w:bookmarkEnd w:id="102"/>
      <w:r>
        <w:rPr>
          <w:rtl w:val="true"/>
        </w:rPr>
        <w:t>بين التشبيه والتعقيد</w:t>
      </w:r>
      <w:bookmarkEnd w:id="10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الأشعري ومَنْ قبله، دائرة بين التشبيه والتعقيد، وكلاهما مرفوضان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والوجه والرجل موضوعة للأعضاء الخاصّة في الإنسان، ولا يتبادر منها إلّاما يتبادر عند أهل اللغة، وحينئذٍ فإن أُريد منها المعنى الحقيقي يلزم التشبيه، وإن أُريد غيره فذلك الغير إمّا معنى مجازي أُريد منه بحسب القرينة فيلزم التأويل وهم يفرّون منه فرار المزكوم من المسك، وإمّا شيء لا هذا ولا ذاك، فما هو ذلك الغير؟ بيّنوه لنا حتى تتّسم العقيدة بالوضوح والسهولة، ونبتعد عن التعقيد والإبهام، وإلّا فالقول بأنّ له وجهاً لا كالوجوه، ويداً لا كالأيدي، ألفاظ جوفاء وشعارات خدّاعة لا يستفاد منها شيء سوى تخديش الأفكار وتضليلها عن جادة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الصحيح لا يخرج عن المعنى الحقيقي والمجازي، وإرادة أمر ثالث خارج عن إطار هذين المعنيين يعدّ غلطاً وباطلاً، وعلى هذا الأساس لو أُريد المعنى الحقيقي لزم التشبيه بلا إشكال، ولو أُريد المعنى المجازي لزم التأويل، والكلّ ممنوع عندهم، فما هو المراد من هذه الصفات الواردة في الكتاب والسنّة‌؟</w:t>
      </w:r>
    </w:p>
    <w:p>
      <w:pPr>
        <w:pStyle w:val="BookText"/>
        <w:rPr/>
      </w:pPr>
      <w:r>
        <w:rPr>
          <w:rFonts w:ascii="Amiri" w:hAnsi="Amiri" w:eastAsia="Amiri" w:cs="Amiri"/>
          <w:color w:val="111111"/>
          <w:sz w:val="28"/>
          <w:sz w:val="28"/>
          <w:szCs w:val="28"/>
          <w:rtl w:val="true"/>
          <w:lang w:bidi="ar-SA"/>
        </w:rPr>
        <w:t>إنّ ما يلهجون به ويكرّرونه من أنّ هذه الصفات تجري على اللّه سبحانه بنفس معانيها الحقيقية ولكن الكيفية مجهولة، أشبه بالمهزلة، إذ لو كان إمرارها على اللّه بنفس معانيها الحقيقية لوجب أن تكون الكيفية ملحوظة حتى يكون الاستعمال حقيقياً، لأنّ الواضع إنّما وضع هذه الألفاظ على تلك المعاني التي يكون قوامها بنفس كيفيتها، ويكون عمادها وسنادها بنفس هويتها الخارجية، فاستعمالها في المعاني الحقيقية بلا كيفية أشبه بالأسد بلا ذنب ولا مخلب ولا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هو أنّ للّه يداً حقيقية لكن لا كالأيدي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بالكلام الذي يناقض ذيله صدره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النصوص من الكتاب والسنّة من هذه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ولا عين، وإنّما هي ذرائع للردّ على الخصم والنقض عليهم، وأنّ لازم إمرارها على اللّه بنفس معانيها، هو 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في المقام تقدر على تفسير الآيات التالية وتمييز الظهور التصوّري عن التصديقي،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لِتُصْنَعَ عَلى عَيْنِي</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الاستواء،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 لا أَعْلَمُ ما فِي نَفْسِكَ‌</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الجنب،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قَرِيبٌ أُجِيبُ دَعْوَةَ الدّاعِ‌</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المجيء،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رَبُّكَ‌</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رَبُّكَ‌</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الغضب،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غَضِبَ اللّهُ عَلَيْهِمْ‌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bookmarkStart w:id="104" w:name="pg16776_178833"/>
    </w:p>
    <w:p>
      <w:pPr>
        <w:pStyle w:val="BookText"/>
        <w:rPr/>
      </w:pPr>
      <w:bookmarkEnd w:id="10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الصفات الخبرية التي وردت في القرآن الكريم وأخبر عنها الوحي، فللجميع ظواهر غير مستقرّة لا تلائم الأُصول الواردة في محكمات الآيات، ولكن بالإمعان والدقّة يصل الإنسان إلى مآلها ومرجعها وواقعها، وهذا لا يعني حمل الظاهر على خلافه بل التتبّع لغاية العثور على الظاهر، إذ ليس للمتشابه ظهور مستقرّ في بدء الأمر حتى نتبعه</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070745_73709187"/>
      <w:bookmarkStart w:id="106" w:name="_Toc40"/>
      <w:bookmarkEnd w:id="105"/>
      <w:r>
        <w:rPr>
          <w:rtl w:val="true"/>
        </w:rPr>
        <w:t>إكمال وإيضاح</w:t>
      </w:r>
      <w:bookmarkEnd w:id="106"/>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مركّب من كلمتين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الاستواء، والعرش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الاستواء يحكي عن نوع علو واستعلاء، إنّما الكلام هل المراد هو العلو بالمكان أو المراد العلو المعنوي، فابن تيمية وأتباعه الذين انتشروا في البلاد يصرّون على تفسير الآية بالعلو في المكان ولمّا رأوا أنّ هذا التفسير يوجب اتّهامهم بالتشبيه والتجسيم التجأوا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الاستواء اللائق باللّه سبحانه، وقد استخدم الكلمة الأخيرة الشيخ محمد أمين الشنقيطي في تفسيره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 في إيضاح القرآن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أنّها صفة كمال وجلال لائقة باللّه جلّ وعلا ثابتة له على الوجه اللائق بكماله وجلاله</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نفسّر الآية على ضوء الضابطة التي بيّناها بتمييز الظهور التصوّري عن التصديقي، والظهور الجزئي الإفرادي عن الظهور الكلّي الجملي، وبالأخصّ ملاحظة الغاية التي سيقت الآية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السلف من المفسّرين أبو جعفر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في كلام العرب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انتهاء شباب الرجل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إذا صار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استوى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استقامة ما كان فيه أود من الأُمور والأسباب،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لفلان أمره إذا استقام له بعد أود، ومنه قول الطرمّاح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 على رسم محدّد أبده وعفا واستوى به بلده</w:t>
      </w:r>
    </w:p>
    <w:p>
      <w:pPr>
        <w:pStyle w:val="BookText"/>
        <w:rPr/>
      </w:pPr>
      <w:r>
        <w:rPr>
          <w:rFonts w:ascii="Amiri" w:hAnsi="Amiri" w:eastAsia="Amiri" w:cs="Amiri"/>
          <w:color w:val="111111"/>
          <w:sz w:val="28"/>
          <w:sz w:val="28"/>
          <w:szCs w:val="28"/>
          <w:rtl w:val="true"/>
          <w:lang w:bidi="ar-SA"/>
        </w:rPr>
        <w:t>يعني استقام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على الشيء بالفعل،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فلان، بما يكرهه ويسوءه بعد الإحسان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الاختيار والاستيلاء،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المملكة، أي احتوى عليها وحازها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العلو والارتفاع،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فلان على سريره، 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المعاني بقول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فَسَوّاهُنَّ‌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عليهن وارتفع، قد برأهن بقدرته وخلقهن سبع سماوات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ترى أنّ هذا الشيخ السلفي لا يفسّر الاستواء على العرش بالجلوس، ولا بالاستقرار، بل أشبه بعلو الملك والسلطان على عرشه كما هو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على هذا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العرب الذين نزل القرآن بلغتهم لا يفهمون من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w:t>
      </w:r>
    </w:p>
    <w:p>
      <w:pPr>
        <w:pStyle w:val="BookText"/>
        <w:rPr/>
      </w:pPr>
      <w:r>
        <w:rPr>
          <w:rFonts w:ascii="Amiri" w:hAnsi="Amiri" w:eastAsia="Amiri" w:cs="Amiri"/>
          <w:color w:val="111111"/>
          <w:sz w:val="28"/>
          <w:sz w:val="28"/>
          <w:szCs w:val="28"/>
          <w:rtl w:val="true"/>
          <w:lang w:bidi="ar-SA"/>
        </w:rPr>
        <w:t xml:space="preserve">وصفاً لموصوف بالقدرة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سوى العلو المعنوي، فما جاء في شعر الطرماح،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واستوى به بلده، حيث فسّر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استوى بشر على العراق من غير سيف ودم مهراق</w:t>
      </w:r>
    </w:p>
    <w:p>
      <w:pPr>
        <w:pStyle w:val="BookText"/>
        <w:rPr/>
      </w:pPr>
      <w:r>
        <w:rPr>
          <w:rFonts w:ascii="Amiri" w:hAnsi="Amiri" w:eastAsia="Amiri" w:cs="Amiri"/>
          <w:color w:val="111111"/>
          <w:sz w:val="28"/>
          <w:sz w:val="28"/>
          <w:szCs w:val="28"/>
          <w:rtl w:val="true"/>
          <w:lang w:bidi="ar-SA"/>
        </w:rPr>
        <w:t>يريد أنّه تسلّط على البلد وأهله بلا حرب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علونا واستوينا عليهم تركناهم مرعى لنسر وكاسر</w:t>
      </w:r>
    </w:p>
    <w:p>
      <w:pPr>
        <w:pStyle w:val="BookText"/>
        <w:rPr/>
      </w:pPr>
      <w:r>
        <w:rPr>
          <w:rFonts w:ascii="Amiri" w:hAnsi="Amiri" w:eastAsia="Amiri" w:cs="Amiri"/>
          <w:color w:val="111111"/>
          <w:sz w:val="28"/>
          <w:sz w:val="28"/>
          <w:szCs w:val="28"/>
          <w:rtl w:val="true"/>
          <w:lang w:bidi="ar-SA"/>
        </w:rPr>
        <w:t>فالاستواء في الجميع استعمل في العلو المعنوي والتسلّط التام، لا الاستقرار والجلوس على السرير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العرش يفارق السرير، فإنّ الثاني خاص للنوم والجلوس العالي، وأمّا العرش فهو خاصّ بالاستعلاء عليه وتدبير الأُمور مع الوزراء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الفقرة جاءت في القرآن الكريم في مواضع سبعة، وقد احتفّت بذكر ما يدلّ على تدبيره سبحانه صحيفة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تتبّع القرآن الكريم وأمعن النظر في الموارد الّتي ورد فيها استواؤه سبحانه على العرش في موارد متعدّدة يجد أنّه ذكر مقروناً بفعل من أفعاله، دالٍ على غناه المطلق، وتسلّطه التام واستعلائه مثل رفع السماوات بغير عمد،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سائر الآيات الّتي جاء فيها هذا الأمر،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فِي سِتَّةِ أَيّامٍ ثُمَّ اسْتَوى عَلَى الْعَرْشِ يُدَبِّرُ الْأَمْرَ ما مِنْ شَفِيعٍ إِلاّ مِنْ بَعْدِ إِذْنِهِ‌</w:t>
      </w:r>
      <w:r>
        <w:rPr>
          <w:rFonts w:eastAsia="Amiri" w:cs="Amiri" w:ascii="Amiri" w:hAnsi="Amiri"/>
          <w:color w:val="111111"/>
          <w:sz w:val="28"/>
          <w:szCs w:val="28"/>
          <w:rtl w:val="true"/>
          <w:lang w:bidi="ar-SA"/>
        </w:rPr>
        <w:t>)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السَّماواتِ وَ الْأَرْضَ وَ ما بَيْنَهُما فِي سِتَّةِ أَيّامٍ ثُمَّ اسْتَوى عَلَى الْعَرْشِ الرَّحْمنُ فَسْئَلْ بِهِ خَبِيراً</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 الْأَرْضَ وَ ما بَيْنَهُما فِي سِتَّةِ أَيّامٍ ثُمَّ اسْتَوى عَلَى الْعَرْشِ ما لَكُمْ مِنْ دُونِهِ مِنْ وَلِيٍّ وَ لا شَفِيعٍ أَ فَلا تَتَذَكَّرُونَ‌</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السَّماواتِ وَ الْأَرْضَ فِي سِتَّةِ أَيّامٍ ثُمَّ اسْتَوى عَلَى الْعَرْشِ يَعْلَمُ ما يَلِجُ فِي الْأَرْضِ وَ ما يَخْرُجُ مِنْها وَ ما يَنْزِلُ مِنَ السَّماءِ وَ ما يَعْرُجُ فِيها</w:t>
      </w:r>
      <w:r>
        <w:rPr>
          <w:rFonts w:eastAsia="Amiri" w:cs="Amiri" w:ascii="Amiri" w:hAnsi="Amiri"/>
          <w:color w:val="111111"/>
          <w:sz w:val="28"/>
          <w:szCs w:val="28"/>
          <w:rtl w:val="true"/>
          <w:lang w:bidi="ar-SA"/>
        </w:rPr>
        <w:t>) .</w:t>
      </w:r>
      <w:r>
        <w:rPr>
          <w:rStyle w:val="FootnoteAnchor"/>
          <w:rtl w:val="true"/>
        </w:rPr>
        <w:footnoteReference w:id="11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والناظر في هذه الآيات يرى أنّه سبحانه عندما يذكر استواءه على العرش، يذكر آثار قدرته وعظمته من خلق السماوات والأرض في ستة أيام، وتدبيره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 لا مؤثّر ولا موجد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شَفِيعٍ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علمه الوسيع بما يلج في الأرض وما يخرج منها، وما ينزل من السماء وما يعرج فيها، كلّ ذلك يعرب عن أنّ الآية في جميع الموارد تهدف إلى علوّه سبحانه على عالم الوجود الإمكاني، وأنّه بجملته في سلطانه وقدرته، ولا يخرج شيء من حيطة قدرته، وأين هذا في تفسيره بالجلوس أو الاستقرار على العرش الذي هو فوق السماوات ناظراً إلى ما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عَمّا يَقُولُونَ عُلُوًّا كَبِيراً</w:t>
      </w:r>
      <w:r>
        <w:rPr>
          <w:rFonts w:eastAsia="Amiri" w:cs="Amiri" w:ascii="Amiri" w:hAnsi="Amiri"/>
          <w:color w:val="111111"/>
          <w:sz w:val="28"/>
          <w:szCs w:val="28"/>
          <w:rtl w:val="true"/>
          <w:lang w:bidi="ar-SA"/>
        </w:rPr>
        <w:t>) .</w:t>
      </w:r>
      <w:bookmarkStart w:id="107" w:name="pg16776_178837"/>
    </w:p>
    <w:p>
      <w:pPr>
        <w:pStyle w:val="BookText"/>
        <w:rPr/>
      </w:pPr>
      <w:bookmarkEnd w:id="107"/>
      <w:r>
        <w:rPr>
          <w:rFonts w:ascii="Amiri" w:hAnsi="Amiri" w:eastAsia="Amiri" w:cs="Amiri"/>
          <w:color w:val="111111"/>
          <w:sz w:val="28"/>
          <w:sz w:val="28"/>
          <w:szCs w:val="28"/>
          <w:rtl w:val="true"/>
          <w:lang w:bidi="ar-SA"/>
        </w:rPr>
        <w:t>وهذا النوع من التفسير ليس صرف الظاهر عن ظاهره بل سعيٌّ لتبيين الظاهر عن غيره، وتمييز الظهور التصديقي عن التصوّري، وتجسيد للتدبير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ونعم ما فسّر الطبري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واسِعٌ عَلِيمٌ‌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واسع الفضل، جواد بعطاياه، فزوّجوا إماءكم فإنّ اللّه واسع يوسّع عليهم من فضله إن كانوا فقراء</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كما أنّ الشيخ البخاري فسّر الوجه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بالملك</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فليس لأنصاف المتعلّمين في هذا اليوم اتّهام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والبخاري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بصرف الظاهر عن ظاهره، وبالتأويل الممقوت، وإنّما سعيا في تبيين 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المقدار كافٍ في تزييف هذا القول الذي لا يعدو عن التشبيه أو التعقيد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ولنصرف الكلام في القول الثالث حول الصفات الخبرية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7070747_73709187"/>
      <w:bookmarkStart w:id="109" w:name="_Toc41"/>
      <w:bookmarkEnd w:id="108"/>
      <w:r>
        <w:rPr/>
        <w:t>3</w:t>
      </w:r>
      <w:r>
        <w:rPr>
          <w:rtl w:val="true"/>
        </w:rPr>
        <w:t xml:space="preserve">. </w:t>
      </w:r>
      <w:r>
        <w:rPr>
          <w:rtl w:val="true"/>
        </w:rPr>
        <w:t>التفويض أو تعطيل العقول عن التفكير</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جماعة من أهل السنّة جنحوا إلى نظرية التفويض،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بكلّ ما جاء في القرآن والسنّة من الصفات التي وصف اللّه سبحانه نفسه بها إجمالاً وتفويض ما يراد منها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يجب اعتقاده على المكلّف هو ما يترجمه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صدّق الرسول</w:t>
      </w:r>
      <w:bookmarkStart w:id="110" w:name="pg16776_178838"/>
    </w:p>
    <w:p>
      <w:pPr>
        <w:pStyle w:val="BookText"/>
        <w:rPr/>
      </w:pPr>
      <w:bookmarkEnd w:id="110"/>
      <w:r>
        <w:rPr>
          <w:rFonts w:ascii="Amiri" w:hAnsi="Amiri" w:eastAsia="Amiri" w:cs="Amiri"/>
          <w:color w:val="111111"/>
          <w:sz w:val="28"/>
          <w:sz w:val="28"/>
          <w:szCs w:val="28"/>
          <w:rtl w:val="true"/>
          <w:lang w:bidi="ar-SA"/>
        </w:rPr>
        <w:t>فينبغي أن يصدّقه في صفات اللّه بأنّه حيّ قادر، عالم متكلّم مريد، ليس كمثله شيء وهو السميع العليم، وعلى هذا الاعتقاد المجمل استمرّت الأعراب وعوام الخلق، إلّامن وقع في بلدة تقرع سمعه فيها هذه المسائل كقدم القرآن وحدوثه، ونفي الاستواء والنزول وغيره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إنّا لا نلوم أصحاب هذه النظرية فإنّها نظرية مَن لا يتعرّض للأبحاث المهمّة ولا يقتحم العقبات، ويرى أنّه يكفيه في النجاة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إلّااللّه، وأنّ محمد رسوله، وإقام الصلاة، وإيتاء الزكاة، والحج، وصوم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أنّ التفويض أسلم من الإثبات الذي ربما ينتهي عند الأخذ بالظاهر التصوّري إلى التجسيم والتشبيه المبغوض أو إلى التعقيد والألغاز إذا قيّد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اللائق بمكانه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ينسجم مع سمة سهولة العقيدة</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7070749_73709187"/>
      <w:bookmarkStart w:id="112" w:name="_Toc42"/>
      <w:bookmarkEnd w:id="111"/>
      <w:r>
        <w:rPr/>
        <w:t>4</w:t>
      </w:r>
      <w:r>
        <w:rPr>
          <w:rtl w:val="true"/>
        </w:rPr>
        <w:t xml:space="preserve">. </w:t>
      </w:r>
      <w:r>
        <w:rPr>
          <w:rtl w:val="true"/>
        </w:rPr>
        <w:t>التأويل</w:t>
      </w:r>
      <w:bookmarkEnd w:id="112"/>
    </w:p>
    <w:p>
      <w:pPr>
        <w:pStyle w:val="BookText"/>
        <w:rPr/>
      </w:pPr>
      <w:r>
        <w:rPr>
          <w:rFonts w:ascii="Amiri" w:hAnsi="Amiri" w:eastAsia="Amiri" w:cs="Amiri"/>
          <w:color w:val="111111"/>
          <w:sz w:val="28"/>
          <w:sz w:val="28"/>
          <w:szCs w:val="28"/>
          <w:rtl w:val="true"/>
          <w:lang w:bidi="ar-SA"/>
        </w:rPr>
        <w:t>إنّ تأويل نصوص الآيات وظواهرها على الإطلاق في مورد الصفات الخبرية وغيرها بلا دليل وحجّة شرعية ليس بأقل خطراً من الجمود، لو لم يكن أكثر، إذ ينتهي ذلك القسم من التأويل إلى الإلحاد وإنكار الشريعة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نركّز على لزوم الأخذ بظاهر الكتاب والسنّة الصحيحة لكن الكلام في تشخيص الظاهر التصديقي عن الظاهر التصوّري، والظاهر الجملي عن الظاهر الإفرادي،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اليد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 .</w:t>
      </w:r>
      <w:r>
        <w:rPr>
          <w:rStyle w:val="FootnoteAnchor"/>
          <w:rtl w:val="true"/>
        </w:rPr>
        <w:footnoteReference w:id="118"/>
      </w:r>
      <w:r>
        <w:rPr>
          <w:rFonts w:ascii="Amiri" w:hAnsi="Amiri" w:eastAsia="Amiri" w:cs="Amiri"/>
          <w:color w:val="111111"/>
          <w:sz w:val="28"/>
          <w:sz w:val="28"/>
          <w:szCs w:val="28"/>
          <w:rtl w:val="true"/>
          <w:lang w:bidi="ar-SA"/>
        </w:rPr>
        <w:t xml:space="preserve">ظاهرة في الجارحة المخصوصة، أو كناية عن الجود والبذل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البخل والتقتير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يجب بذل الجهد في سبيل معرفته، بدل السب والشتم، أو التفسيق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قادة الطوائف الإسلامية وأصحاب الفكر منهم، نبذوا الآراء المسبقة والأفكار الموروثة وركّزوا البحث على تشخيص الظاهر عن غيره، حسب المقاييس الصحيحة، لارتفع جدال الناس ونقاشهم حول الصفات، الذي دام مئات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ونركّز أخيراً أنّ ما أخذناه ليس تأويلاً وإنّما هو استنطاق للمراد من الآية، ولو سمّي به فهو ليس من التأويل الممقوت الذي يتّخذ الآية دليلاً على عقيدة مسبقة، كما هو دأب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محمد الأمين الشنقيطي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البيان في إيضاح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تأثّر بالأفكار الوهابية في تفسيره هذا، ومن غريب ما تحامل به على أصحاب التنزيه الذين يفسّرون الاستواء بالاستيلاء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ينكروا أنّ كلمة القرآن هي استوى، ولكن حرّفوها وقالوا في معناها استولى، وإنّما أبدلوها بها، لأنّها أصلح في زعمهم من لفظ كلمة القرآن، لأنّ كلمة القرآن توهم غير اللائق، وكلمة استولى في زعمهم هي المنزّهة اللائقة باللّه مع أنّه لا يعقل تشبيه أشنع هنا تشبيه استيلاء اللّه على عرشه المزعوم، باستيلاء بشر على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أحد يغالب اللّه على عرشه حتى غلبه على العرش، واستولى عليه‌؟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يوجد شيء إلّاواللّه مستول عليه، فاللّه مستول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أن يقال إنّه تعالى استوى على كلّ شيء غير العرش‌؟</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كلمة بكلمة أُخرى لو كان بمعنى أنّ كلمة القرآن توهم غير اللائق، يجب سد باب التفسير، فإنّ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معنى الآية بكلمة أُخرى أو بتعبير آخر، فهل معنى ذلك أنّ التعبير القرآني غير لائق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زعمه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أحد يغالب اللّه على عرشه حتى غلبه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خاوٍ عن المعنى‌، وذلك لأنّه بصدد الردّ على الوثنيين الذين زعموا أنّه سبحانه بعد ما خلق السماوات والأرض فوّض أمر التدبير إلى العقول والنفوس أو الملائكة والجن أو الأصنام والأوثان، ولأجل ردّ هذه المزعمة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المدبّر لا غير، وإنّه هو مستعلٍ على العرش، وأنّه على القدرة التي خلق السماوات والأرض فدبّر أمرهما بعد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الصفحات التي خصّها ببيان الصفات الخبرية التي تناهز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ملاحظات كثيرة لا أُريد أن أُسوّد كتابي بها وبأجوبتها، عفا اللّه عنا وعنه</w:t>
      </w:r>
      <w:r>
        <w:rPr>
          <w:rFonts w:eastAsia="Amiri" w:cs="Amiri" w:ascii="Amiri" w:hAnsi="Amiri"/>
          <w:color w:val="111111"/>
          <w:sz w:val="28"/>
          <w:szCs w:val="28"/>
          <w:rtl w:val="true"/>
          <w:lang w:bidi="ar-SA"/>
        </w:rPr>
        <w:t>.</w:t>
      </w:r>
      <w:bookmarkStart w:id="113" w:name="pg16776_178841"/>
    </w:p>
    <w:p>
      <w:pPr>
        <w:pStyle w:val="Heading3"/>
        <w:numPr>
          <w:ilvl w:val="2"/>
          <w:numId w:val="1"/>
        </w:numPr>
        <w:rPr/>
      </w:pPr>
      <w:bookmarkStart w:id="114" w:name="__RefHeading___Toc7070751_73709187"/>
      <w:bookmarkStart w:id="115" w:name="_Toc43"/>
      <w:bookmarkEnd w:id="113"/>
      <w:bookmarkEnd w:id="114"/>
      <w:r>
        <w:rPr/>
        <w:t>4</w:t>
      </w:r>
      <w:r>
        <w:rPr>
          <w:rtl w:val="true"/>
        </w:rPr>
        <w:t xml:space="preserve">. </w:t>
      </w:r>
      <w:r>
        <w:rPr>
          <w:rtl w:val="true"/>
        </w:rPr>
        <w:t>ثبات الأنواع أو تطوّرها في الذكر الحكيم</w:t>
      </w:r>
      <w:bookmarkEnd w:id="115"/>
    </w:p>
    <w:p>
      <w:pPr>
        <w:pStyle w:val="Heading4"/>
        <w:numPr>
          <w:ilvl w:val="3"/>
          <w:numId w:val="1"/>
        </w:numPr>
        <w:rPr/>
      </w:pPr>
      <w:bookmarkStart w:id="116" w:name="__RefHeading___Toc7070753_73709187"/>
      <w:bookmarkStart w:id="117" w:name="_Toc44"/>
      <w:bookmarkEnd w:id="116"/>
      <w:r>
        <w:rPr>
          <w:rtl w:val="true"/>
        </w:rPr>
        <w:t>اشارة</w:t>
      </w:r>
      <w:bookmarkEnd w:id="117"/>
    </w:p>
    <w:p>
      <w:pPr>
        <w:pStyle w:val="BookText"/>
        <w:rPr/>
      </w:pPr>
      <w:r>
        <w:rPr>
          <w:rFonts w:ascii="Amiri" w:hAnsi="Amiri" w:eastAsia="Amiri" w:cs="Amiri"/>
          <w:color w:val="111111"/>
          <w:sz w:val="28"/>
          <w:sz w:val="28"/>
          <w:szCs w:val="28"/>
          <w:rtl w:val="true"/>
          <w:lang w:bidi="ar-SA"/>
        </w:rPr>
        <w:t xml:space="preserve">ظهرت عام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نظرية تطور الأنواع التي ترى أنّ الإنسان وكافة الكائنات الحيّة تكوّنت من أنواع سبقتها نتيجة تحوّل تدريجي مستمر من غير فرق بين الإنسان وغيره، على خلاف القول بأصالة الأنواع وأنّ كلّ كائن حيّ خلق خلقاً خاصّاً ولم يتحوّل من 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صاحب النظرية تشارلز داروين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على أركان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ناموس التنازع والبقاء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ناموس الانتخاب الطبيعي وبقاء الأصلح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ناموس الوراثة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ناموس الملاءمة مع البيئة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شرحنا هذه النواميس التي اعتمد عليها داروين في محاضراتنا التي حرّرها ولدنا الفاضل المحقّق الشيخ جعفر الهادي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الوقوف على تفصيل هذه المباحث فليرجع إليه</w:t>
      </w:r>
      <w:r>
        <w:rPr>
          <w:rFonts w:eastAsia="Amiri" w:cs="Amiri" w:ascii="Amiri" w:hAnsi="Amiri"/>
          <w:color w:val="111111"/>
          <w:sz w:val="28"/>
          <w:szCs w:val="28"/>
          <w:rtl w:val="true"/>
          <w:lang w:bidi="ar-SA"/>
        </w:rPr>
        <w:t>.</w:t>
      </w:r>
      <w:r>
        <w:rPr>
          <w:rStyle w:val="FootnoteAnchor"/>
          <w:rtl w:val="true"/>
        </w:rPr>
        <w:footnoteReference w:id="120"/>
      </w:r>
      <w:bookmarkStart w:id="118" w:name="pg16776_178842"/>
    </w:p>
    <w:p>
      <w:pPr>
        <w:pStyle w:val="BookText"/>
        <w:rPr/>
      </w:pPr>
      <w:bookmarkEnd w:id="118"/>
      <w:r>
        <w:rPr>
          <w:rFonts w:ascii="Amiri" w:hAnsi="Amiri" w:eastAsia="Amiri" w:cs="Amiri"/>
          <w:color w:val="111111"/>
          <w:sz w:val="28"/>
          <w:sz w:val="28"/>
          <w:szCs w:val="28"/>
          <w:rtl w:val="true"/>
          <w:lang w:bidi="ar-SA"/>
        </w:rPr>
        <w:t>إنّما الكلام فيما يستفاد من القرآن حول نظرية خلقة الإنسان وهل القرآن يؤيّد ثبات الأنواع بالأخصّ خلقة الإنسان وأنّه خلق يوم خلق بهذا النحو، أو أنّ خلقته رهن تحول تدريجي من نوع إلى نوع حتى صار إنساناً؟ ومن قرأ القرآن الكريم حول خلقة آدم يقف على مراحل ثلاث مرّت على خلقة آدم أبي البشر ولا صلة لها بالتطوّر الذي يدّعيه أتباع مذهب تطوّر الأنواع، وإليك بيان تلك المراحل الثلاث</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7070755_73709187"/>
      <w:bookmarkStart w:id="120" w:name="_Toc45"/>
      <w:bookmarkEnd w:id="119"/>
      <w:r>
        <w:rPr>
          <w:rtl w:val="true"/>
        </w:rPr>
        <w:t>المرحلة الأُولى</w:t>
      </w:r>
      <w:r>
        <w:rPr>
          <w:rtl w:val="true"/>
        </w:rPr>
        <w:t xml:space="preserve">: </w:t>
      </w:r>
      <w:r>
        <w:rPr>
          <w:rtl w:val="true"/>
        </w:rPr>
        <w:t>التراب المتحوّل</w:t>
      </w:r>
      <w:bookmarkEnd w:id="120"/>
    </w:p>
    <w:p>
      <w:pPr>
        <w:pStyle w:val="BookText"/>
        <w:rPr/>
      </w:pPr>
      <w:r>
        <w:rPr>
          <w:rFonts w:ascii="Amiri" w:hAnsi="Amiri" w:eastAsia="Amiri" w:cs="Amiri"/>
          <w:color w:val="111111"/>
          <w:sz w:val="28"/>
          <w:sz w:val="28"/>
          <w:szCs w:val="28"/>
          <w:rtl w:val="true"/>
          <w:lang w:bidi="ar-SA"/>
        </w:rPr>
        <w:t>تدلّ الآيات على أنّه مرّت على المرحلة الأُولى التي هي التراب حالات مختلفة،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عِيسى عِنْدَ اللّهِ كَمَثَلِ آدَمَ خَلَقَهُ مِنْ تُرابٍ‌</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 وَ بَدَأَ خَلْقَ الْإِنْسانِ مِنْ طِينٍ‌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الطين اللازب،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خَلَقْناهُمْ مِنْ طِينٍ لازِبٍ‌</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الحمأ المسنون،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سلالة من طين،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w:t>
      </w:r>
      <w:r>
        <w:rPr>
          <w:rStyle w:val="FootnoteAnchor"/>
          <w:rtl w:val="true"/>
        </w:rPr>
        <w:footnoteReference w:id="125"/>
      </w:r>
      <w:bookmarkStart w:id="121" w:name="pg16776_178843"/>
    </w:p>
    <w:p>
      <w:pPr>
        <w:pStyle w:val="BookText"/>
        <w:rPr/>
      </w:pPr>
      <w:bookmarkEnd w:id="12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الصلصال،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هي المرحلة الأُولى من خلقة الإنسان التي تتشكّل من حالات ست</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7070757_73709187"/>
      <w:bookmarkStart w:id="123" w:name="_Toc46"/>
      <w:bookmarkEnd w:id="122"/>
      <w:r>
        <w:rPr>
          <w:rtl w:val="true"/>
        </w:rPr>
        <w:t>المرحلة الثانية</w:t>
      </w:r>
      <w:r>
        <w:rPr>
          <w:rtl w:val="true"/>
        </w:rPr>
        <w:t xml:space="preserve">: </w:t>
      </w:r>
      <w:r>
        <w:rPr>
          <w:rtl w:val="true"/>
        </w:rPr>
        <w:t>مرحلة التصوير</w:t>
      </w:r>
      <w:bookmarkEnd w:id="123"/>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فكأنّ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المرحلة الأُولى بحالاتها الست، ولذلك أجمل الكلام وعطف عليه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w:t>
      </w:r>
      <w:r>
        <w:rPr>
          <w:rFonts w:eastAsia="Amiri" w:cs="Amiri" w:ascii="Amiri" w:hAnsi="Amiri"/>
          <w:color w:val="111111"/>
          <w:sz w:val="28"/>
          <w:szCs w:val="28"/>
          <w:rtl w:val="true"/>
          <w:lang w:bidi="ar-SA"/>
        </w:rPr>
        <w:t>) .</w:t>
      </w:r>
      <w:r>
        <w:rPr>
          <w:rStyle w:val="FootnoteAnchor"/>
          <w:rtl w:val="true"/>
        </w:rPr>
        <w:footnoteReference w:id="127"/>
      </w:r>
      <w:r>
        <w:rPr>
          <w:rFonts w:ascii="Amiri" w:hAnsi="Amiri" w:eastAsia="Amiri" w:cs="Amiri"/>
          <w:color w:val="111111"/>
          <w:sz w:val="28"/>
          <w:sz w:val="28"/>
          <w:szCs w:val="28"/>
          <w:rtl w:val="true"/>
          <w:lang w:bidi="ar-SA"/>
        </w:rPr>
        <w:t>فعبر عن التصوير بالتسوية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هذه الأُمور إلى عامّة الناس كما هو الظاهر من ضمائر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فلأجل أنّ خلقة آدم رمز لخلقة أولاده، ولذلك نسب ما للوالد إلى الأبناء أيضاً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7070759_73709187"/>
      <w:bookmarkStart w:id="125" w:name="_Toc47"/>
      <w:bookmarkEnd w:id="124"/>
      <w:r>
        <w:rPr>
          <w:rtl w:val="true"/>
        </w:rPr>
        <w:t>المرحلة الثالثة</w:t>
      </w:r>
      <w:r>
        <w:rPr>
          <w:rtl w:val="true"/>
        </w:rPr>
        <w:t xml:space="preserve">: </w:t>
      </w:r>
      <w:r>
        <w:rPr>
          <w:rtl w:val="true"/>
        </w:rPr>
        <w:t>مرحلة نفخ الروح</w:t>
      </w:r>
      <w:bookmarkEnd w:id="125"/>
    </w:p>
    <w:p>
      <w:pPr>
        <w:pStyle w:val="BookText"/>
        <w:rPr/>
      </w:pPr>
      <w:r>
        <w:rPr>
          <w:rFonts w:ascii="Amiri" w:hAnsi="Amiri" w:eastAsia="Amiri" w:cs="Amiri"/>
          <w:color w:val="111111"/>
          <w:sz w:val="28"/>
          <w:sz w:val="28"/>
          <w:szCs w:val="28"/>
          <w:rtl w:val="true"/>
          <w:lang w:bidi="ar-SA"/>
        </w:rPr>
        <w:t>تدلّ الآيات على أنّه سبحانه بعد ما سوّى آدم أبا البشر نفخ فيه من روحه،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w:t>
      </w:r>
      <w:r>
        <w:rPr>
          <w:rStyle w:val="FootnoteAnchor"/>
          <w:rtl w:val="true"/>
        </w:rPr>
        <w:footnoteReference w:id="12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المراحل التي تدلّ عليها الآيات الشريفة وقد عرضناها على وجه الإجمال، وتدلّ الآيات بوضوح على أنّه كان لآدم تخطيط خاص لا صلة له بسائر الأنواع، ولم يكن هناك تخطيط مشترك بينه وبين سائر الأنواع</w:t>
      </w:r>
      <w:r>
        <w:rPr>
          <w:rFonts w:eastAsia="Amiri" w:cs="Amiri" w:ascii="Amiri" w:hAnsi="Amiri"/>
          <w:color w:val="111111"/>
          <w:sz w:val="28"/>
          <w:szCs w:val="28"/>
          <w:rtl w:val="true"/>
          <w:lang w:bidi="ar-SA"/>
        </w:rPr>
        <w:t>.</w:t>
      </w:r>
      <w:bookmarkStart w:id="126" w:name="pg16776_178844"/>
    </w:p>
    <w:p>
      <w:pPr>
        <w:pStyle w:val="Heading4"/>
        <w:numPr>
          <w:ilvl w:val="3"/>
          <w:numId w:val="1"/>
        </w:numPr>
        <w:rPr/>
      </w:pPr>
      <w:bookmarkStart w:id="127" w:name="__RefHeading___Toc7070761_73709187"/>
      <w:bookmarkStart w:id="128" w:name="_Toc48"/>
      <w:bookmarkEnd w:id="126"/>
      <w:bookmarkEnd w:id="127"/>
      <w:r>
        <w:rPr>
          <w:rtl w:val="true"/>
        </w:rPr>
        <w:t>دليل القائل بتطوّر الأنواع من القرآن</w:t>
      </w:r>
      <w:bookmarkEnd w:id="128"/>
    </w:p>
    <w:p>
      <w:pPr>
        <w:pStyle w:val="BookText"/>
        <w:rPr/>
      </w:pPr>
      <w:r>
        <w:rPr>
          <w:rFonts w:ascii="Amiri" w:hAnsi="Amiri" w:eastAsia="Amiri" w:cs="Amiri"/>
          <w:color w:val="111111"/>
          <w:sz w:val="28"/>
          <w:sz w:val="28"/>
          <w:szCs w:val="28"/>
          <w:rtl w:val="true"/>
          <w:lang w:bidi="ar-SA"/>
        </w:rPr>
        <w:t>وربّما يستدلّ على النظرية الدارونية ببعض الآيات أوضحها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وظاهر الآية أنّه سبحانه اصطفى كلّاً من آدم ونوح وآل إبراهيم وآل عمران من الناس الموجودين في زمانهم، ولازم ذلك وجود إنسان في زمان آدم أيضاً حتى يتحقّق الاصطفاء بالنسبة إليه بتقديمه عليه، فلو كان آدم أبا البشر ولم يكن إنسان قبله فما معنى أنّه اصطفاه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مبني على أنّ المراد من العالمين هو الناس المتواجدون في عصر كلّ واحد من هؤلاء الأنبياء، مع أنّ المراد بالعالمين هو كلّ إنسان يظهر على صحيفة الوجود من عصر آدم إلى يوم القيامة واللّه سبحانه هو الذي اصطفى هؤلاء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صدق الاصطفاء في حقّ آدم وجود أقوام بعد عصره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شجرة وجود آدم أبي البشر، وهي شجرة طيبة لم تختلط بسائر الأنواع النازلة، وأمّا شجرة أبنائه فقد ذكرها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نَسْلَهُ مِنْ سُلالَةٍ مِنْ ماءٍ مَهِينٍ‌</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وبذلك ظهر أنّه لم يتدخل في خلقة أبناء آدم غير شيء واحد يسمّى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يجب أن ننوّه إلى وجود أمر نفسي وهو أنّ القول بتطوّر الأنواع وأنّ الإنسان كان في بدء وجوده خلية ثم تطوّر إلى نوع بعد نوع حتى أصبح حيواناً ذا قوائم أربع إلى أن تحوّل إلى حيوان ذي قائمتين، كلّ ذلك يورث العقدة في نفس الإنسان حيث يرى أنّ شجرة وجوده حقيرة مهينة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النظريتين أطيب في النفس</w:t>
      </w:r>
      <w:r>
        <w:rPr>
          <w:rFonts w:eastAsia="Amiri" w:cs="Amiri" w:ascii="Amiri" w:hAnsi="Amiri"/>
          <w:color w:val="111111"/>
          <w:sz w:val="28"/>
          <w:szCs w:val="28"/>
          <w:rtl w:val="true"/>
          <w:lang w:bidi="ar-SA"/>
        </w:rPr>
        <w:t>.</w:t>
      </w:r>
      <w:bookmarkStart w:id="129" w:name="pg16776_178846"/>
    </w:p>
    <w:p>
      <w:pPr>
        <w:pStyle w:val="Heading3"/>
        <w:numPr>
          <w:ilvl w:val="2"/>
          <w:numId w:val="1"/>
        </w:numPr>
        <w:rPr/>
      </w:pPr>
      <w:bookmarkStart w:id="130" w:name="__RefHeading___Toc7070763_73709187"/>
      <w:bookmarkStart w:id="131" w:name="_Toc49"/>
      <w:bookmarkEnd w:id="129"/>
      <w:bookmarkEnd w:id="130"/>
      <w:r>
        <w:rPr/>
        <w:t>5</w:t>
      </w:r>
      <w:r>
        <w:rPr>
          <w:rtl w:val="true"/>
        </w:rPr>
        <w:t xml:space="preserve">. </w:t>
      </w:r>
      <w:r>
        <w:rPr>
          <w:rtl w:val="true"/>
        </w:rPr>
        <w:t>حياة النبي الأكرم صلى الله عليه و آله قبل البعثة حافلة بالكرامات</w:t>
      </w:r>
      <w:bookmarkEnd w:id="131"/>
    </w:p>
    <w:p>
      <w:pPr>
        <w:pStyle w:val="Heading4"/>
        <w:numPr>
          <w:ilvl w:val="3"/>
          <w:numId w:val="1"/>
        </w:numPr>
        <w:rPr/>
      </w:pPr>
      <w:bookmarkStart w:id="132" w:name="__RefHeading___Toc7070765_73709187"/>
      <w:bookmarkStart w:id="133" w:name="_Toc50"/>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إنّ المتطلّع على حياة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يذكرهم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أنّها حافلة بالكرامات، فهذا هو طاغية مصر كان يذبح أبناء بني إسرائيل خوفاً من ولادة موسى الذي أُخبر أنّ هلاكه على يده، ومع ذلك كلّه فقد شملته الرعاية الإلهية فنجا من الذبح، بل دخل في بيت فرعون وتربّى في رعايته،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فَالْتَقَطَهُ آلُ فِرْعَوْنَ لِيَكُونَ لَهُمْ عَدُوًّا وَ حَزَناً إِنَّ فِرْعَوْنَ وَ هامانَ وَ جُنُودَهُما كانُوا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 فِرْعَوْنَ قُرَّتُ عَيْنٍ لِي وَ لَكَ لا تَقْتُلُوهُ عَسى أَنْ يَنْفَعَنا أَوْ نَتَّخِذَهُ وَلَداً وَ هُمْ لا يَشْعُرُونَ‌</w:t>
      </w:r>
      <w:r>
        <w:rPr>
          <w:rFonts w:eastAsia="Amiri" w:cs="Amiri" w:ascii="Amiri" w:hAnsi="Amiri"/>
          <w:color w:val="111111"/>
          <w:sz w:val="28"/>
          <w:szCs w:val="28"/>
          <w:rtl w:val="true"/>
          <w:lang w:bidi="ar-SA"/>
        </w:rPr>
        <w:t>) .</w:t>
      </w:r>
      <w:r>
        <w:rPr>
          <w:rStyle w:val="FootnoteAnchor"/>
          <w:rtl w:val="true"/>
        </w:rPr>
        <w:footnoteReference w:id="13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سيدنا عيسى المسيح عليه السلام فقد شملته العناية الإلهية منذ أن كان في رحم أُمِّه دون أن يكون هناك لقاء بينها وبين رجل، وقد حملته أُمُّه حتى أجاءها المخاض إلى جذع النخلة فقد ولدته تحت جذعها، وتساقط عليها من ذلك الجذع رطب جني، ولمّا جاءت به قومها ووجهوا لها تهمة باطلة، أبطل اللّه سبحانه تهمتهم بأن أنطق صبيّها وهو في المهد،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أَوْصانِي بِالصَّلاةِ وَ 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يَوْمَ‌</w:t>
      </w:r>
      <w:bookmarkStart w:id="134" w:name="pg16776_178847"/>
    </w:p>
    <w:p>
      <w:pPr>
        <w:pStyle w:val="BookText"/>
        <w:rPr/>
      </w:pPr>
      <w:bookmarkEnd w:id="134"/>
      <w:r>
        <w:rPr>
          <w:rFonts w:ascii="Amiri" w:hAnsi="Amiri" w:eastAsia="Amiri" w:cs="Amiri"/>
          <w:color w:val="111111"/>
          <w:sz w:val="28"/>
          <w:sz w:val="28"/>
          <w:szCs w:val="28"/>
          <w:rtl w:val="true"/>
          <w:lang w:bidi="ar-SA"/>
        </w:rPr>
        <w:t>وُلِدْتُ وَ يَوْمَ أَمُوتُ وَ يَوْمَ أُبْعَثُ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فإذا كانت هذه مكانة موسى الكليم والمسيح عيسى ابن مريم عليهما السلام فالنبي الخاتم صلى الله عليه و آله أولى بأن تشمله الرعاية الإلهية والكرامات المتوالية منذ أيام رضاعه إلى شبابه وحتى بعثته، وها نحن نذكر شيئاً يسيراً من كرامات اللّه سبحانه على نبيّه الخاتم، كما جاء في كتب السيرة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070767_73709187"/>
      <w:bookmarkStart w:id="136" w:name="_Toc51"/>
      <w:bookmarkEnd w:id="135"/>
      <w:r>
        <w:rPr/>
        <w:t>1</w:t>
      </w:r>
      <w:r>
        <w:rPr>
          <w:rtl w:val="true"/>
        </w:rPr>
        <w:t xml:space="preserve">. </w:t>
      </w:r>
      <w:r>
        <w:rPr>
          <w:rtl w:val="true"/>
        </w:rPr>
        <w:t>الكرامة الإلهية أيام الرضاع</w:t>
      </w:r>
      <w:bookmarkEnd w:id="1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أهل السِّير عن حليمة السعدية أنّها لمّا دخلت دار عبد المطلب وسمع بمجيئها جاء من ساعته ودخل الدار، ووقف بين يدي حليمة، ففتحتْ حليمة جيبها وأخرجت ثديها الأيسر، وأخذت رسول اللّه صلى الله عليه و آله فوضعته في حجرها، ووضعت ثديها في فمه، والنبيّ صلى الله عليه و آله ترك ثديها الأيسر واضطرب إلى ثديها الأيمن، فأخذت حليمة ثديها الأيمن من يد النبي صلى الله عليه و آله ووضعت ثديها الأيسر في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ثديها الأيمن كان جهاماً</w:t>
      </w:r>
      <w:r>
        <w:rPr>
          <w:rStyle w:val="FootnoteAnchor"/>
          <w:rtl w:val="true"/>
        </w:rPr>
        <w:footnoteReference w:id="132"/>
      </w:r>
      <w:r>
        <w:rPr>
          <w:rFonts w:ascii="Amiri" w:hAnsi="Amiri" w:eastAsia="Amiri" w:cs="Amiri"/>
          <w:color w:val="111111"/>
          <w:sz w:val="28"/>
          <w:sz w:val="28"/>
          <w:szCs w:val="28"/>
          <w:rtl w:val="true"/>
          <w:lang w:bidi="ar-SA"/>
        </w:rPr>
        <w:t>، وخافت حليمة أنّ النبي صلى الله عليه و آله إذا مصّ الثدي</w:t>
      </w:r>
      <w:r>
        <w:rPr>
          <w:rStyle w:val="FootnoteAnchor"/>
          <w:rtl w:val="true"/>
        </w:rPr>
        <w:footnoteReference w:id="133"/>
      </w:r>
      <w:r>
        <w:rPr>
          <w:rFonts w:ascii="Amiri" w:hAnsi="Amiri" w:eastAsia="Amiri" w:cs="Amiri"/>
          <w:color w:val="111111"/>
          <w:sz w:val="28"/>
          <w:sz w:val="28"/>
          <w:szCs w:val="28"/>
          <w:rtl w:val="true"/>
          <w:lang w:bidi="ar-SA"/>
        </w:rPr>
        <w:t>ولم يجد فيه شيئاً لا يأخذ بعده الأيسر، فيأمر عبد المطّلب بإخراجها من الدار، فلمّا ألحّت على النبي صلى الله عليه و آله أن يأخذ الأيسر والنبيّ يميل إلى الأيمن، فصاحت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مصّ الأيمن حتّى تعلم أنّه جهام يابس لا شيء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مصّ النبيّ الأيمن امتلأ فانفتح باللّبن حتّى ملأ شدقيه</w:t>
      </w:r>
      <w:r>
        <w:rPr>
          <w:rStyle w:val="FootnoteAnchor"/>
          <w:rtl w:val="true"/>
        </w:rPr>
        <w:footnoteReference w:id="134"/>
      </w:r>
      <w:r>
        <w:rPr>
          <w:rFonts w:ascii="Amiri" w:hAnsi="Amiri" w:eastAsia="Amiri" w:cs="Amiri"/>
          <w:color w:val="111111"/>
          <w:sz w:val="28"/>
          <w:sz w:val="28"/>
          <w:szCs w:val="28"/>
          <w:rtl w:val="true"/>
          <w:lang w:bidi="ar-SA"/>
        </w:rPr>
        <w:t>بأمر اللّه تعالى وببركته، فضجّت حليمة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منك يا ولدي، وحقّ ربِّ السماء ربّيتُ بثديي الأيسر اثني عشر ولداً، وما ذاقوا من ثديي الأيمن</w:t>
      </w:r>
      <w:bookmarkStart w:id="137" w:name="pg16776_178848"/>
    </w:p>
    <w:p>
      <w:pPr>
        <w:pStyle w:val="BookText"/>
        <w:rPr/>
      </w:pPr>
      <w:bookmarkEnd w:id="137"/>
      <w:r>
        <w:rPr>
          <w:rFonts w:ascii="Amiri" w:hAnsi="Amiri" w:eastAsia="Amiri" w:cs="Amiri"/>
          <w:color w:val="111111"/>
          <w:sz w:val="28"/>
          <w:sz w:val="28"/>
          <w:szCs w:val="28"/>
          <w:rtl w:val="true"/>
          <w:lang w:bidi="ar-SA"/>
        </w:rPr>
        <w:t>شيئاً، والآن قد انفتح ببركتك</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إنّ الإنسان المادي أو غيره ممّن اغترّ بقشور العلم قد يُنكر هذه الكرامة أو يشكّك فيها ويعتبرها من نسج الخيال، وولائد الأوهام، ويقول في نفسه كيف يمتلأ الثدي الجهام عبرَ سنين باللبن، بمصّ الطفل‌؟ ولكنّ الإنسان الإلهي يؤمن بأنّ قدرة اللّه سبحانه وإرادته النافذة فوق العلل والأسباب الطبيعية وأنّه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ولكنّ هذا الإنسان لا يرى تلك الكرامة إلّامظهراً من مظاهر المشيئة المطلقة، الّتي لا يحدّها شيء، وأثراً من الآثار الّتي تصنعها الإرادة المدبّرة، وتقتضيها الحكمة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يؤمن بذلك، وهو يرى ما يشابهها في حياة مريم أُمّ عيسى عليهما السلام، فالقرآن يحدّثنا عن تساقط الرطب الجنيّ من جذع النخلة اليابسة كرامة لوالدة المسيح عندما لجأت إليها عند المخاض،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نعم، ثمّة فرق بين مريم الصدِّيقة وبين حليمة من حيث الملَكات والمكانة والمنزلة، لكن إذا استوجبت منزلة مريم هذا اللطف الإلهي، ففي المقام ما يستوجب هذه العناية الإلهية،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هذا الوليد العظيم</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070769_73709187"/>
      <w:bookmarkStart w:id="139" w:name="_Toc52"/>
      <w:bookmarkEnd w:id="138"/>
      <w:r>
        <w:rPr/>
        <w:t>2</w:t>
      </w:r>
      <w:r>
        <w:rPr>
          <w:rtl w:val="true"/>
        </w:rPr>
        <w:t xml:space="preserve">. </w:t>
      </w:r>
      <w:r>
        <w:rPr>
          <w:rtl w:val="true"/>
        </w:rPr>
        <w:t>تعرّف نصارى الحبشة عليه وهو طفل</w:t>
      </w:r>
      <w:bookmarkEnd w:id="13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 الله عليه و آله في أحضان مرضعته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معها، والذي سبّب إرجاعه إلى عبد المطلب ما ذكره ابن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بعض أهل العلم</w:t>
      </w:r>
      <w:r>
        <w:rPr>
          <w:rFonts w:eastAsia="Amiri" w:cs="Amiri" w:ascii="Amiri" w:hAnsi="Amiri"/>
          <w:color w:val="111111"/>
          <w:sz w:val="28"/>
          <w:szCs w:val="28"/>
          <w:rtl w:val="true"/>
          <w:lang w:bidi="ar-SA"/>
        </w:rPr>
        <w:t>:</w:t>
      </w:r>
      <w:bookmarkStart w:id="140" w:name="pg16776_178849"/>
    </w:p>
    <w:p>
      <w:pPr>
        <w:pStyle w:val="BookText"/>
        <w:rPr/>
      </w:pPr>
      <w:bookmarkEnd w:id="140"/>
      <w:r>
        <w:rPr>
          <w:rFonts w:ascii="Amiri" w:hAnsi="Amiri" w:eastAsia="Amiri" w:cs="Amiri"/>
          <w:color w:val="111111"/>
          <w:sz w:val="28"/>
          <w:sz w:val="28"/>
          <w:szCs w:val="28"/>
          <w:rtl w:val="true"/>
          <w:lang w:bidi="ar-SA"/>
        </w:rPr>
        <w:t>أنّه ممّا هاج أُمَّه السعدية على ردّه إلى أُمّه، مع ما ذكرتْ لأُمّه ممّا أخبرتها عنه، أن نَفَراً من الحبشة نصارى، رأوه معها حين رجعت به بعد فطامه، فنظروا إليه وسألوها عنه وقلّبوه، ثمّ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 هذا الغلامَ‌، فلنذهبن به إلى مَلِكنا وبَلَدِنا، فإنّ هذا غلامٌ كائن له شأن نحن نعرف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الّذي حدّثني أنّها لم تكد تنفلت به منهم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وهذا ليس أمراً بعيداً، لأنّه سبحانه يحكي أنّ أهل الكتاب كانوا يعرفون النبي صلى الله عليه و آله كما يعرفون أبناءهم،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إلى غير ذلك من الآيات التي تدلّ على أنّ أهل الكتاب كانوا يعرفون النبي صلى الله عليه و آله بشمائله وصفاته</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070771_73709187"/>
      <w:bookmarkStart w:id="142" w:name="_Toc53"/>
      <w:bookmarkEnd w:id="141"/>
      <w:r>
        <w:rPr/>
        <w:t>3</w:t>
      </w:r>
      <w:r>
        <w:rPr>
          <w:rtl w:val="true"/>
        </w:rPr>
        <w:t xml:space="preserve">. </w:t>
      </w:r>
      <w:r>
        <w:rPr>
          <w:rtl w:val="true"/>
        </w:rPr>
        <w:t>ابتعاده عن الوثنية منذ نعومة أظفاره</w:t>
      </w:r>
      <w:bookmarkEnd w:id="142"/>
    </w:p>
    <w:p>
      <w:pPr>
        <w:pStyle w:val="BookText"/>
        <w:rPr/>
      </w:pPr>
      <w:r>
        <w:rPr>
          <w:rFonts w:ascii="Amiri" w:hAnsi="Amiri" w:eastAsia="Amiri" w:cs="Amiri"/>
          <w:color w:val="111111"/>
          <w:sz w:val="28"/>
          <w:sz w:val="28"/>
          <w:szCs w:val="28"/>
          <w:rtl w:val="true"/>
          <w:lang w:bidi="ar-SA"/>
        </w:rPr>
        <w:t>كان النبي صلى الله عليه و آله يعيش في الصحراء مع إخوته لأُمّه الرضاعية، ولمّا تمّت له ثلاث سنين، قال يوماً لحليمة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أخويّ بالنهار؟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إنّهما يرعيان غنيمات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فمالي لا أخرج معهما؟</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حليمة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محمّد، دهّنته وكحّلته وعلّقت في عنقه خيطاً فيه</w:t>
      </w:r>
      <w:bookmarkStart w:id="143" w:name="pg16776_178850"/>
    </w:p>
    <w:p>
      <w:pPr>
        <w:pStyle w:val="BookText"/>
        <w:rPr/>
      </w:pPr>
      <w:bookmarkEnd w:id="143"/>
      <w:r>
        <w:rPr>
          <w:rFonts w:ascii="Amiri" w:hAnsi="Amiri" w:eastAsia="Amiri" w:cs="Amiri"/>
          <w:color w:val="111111"/>
          <w:sz w:val="28"/>
          <w:sz w:val="28"/>
          <w:szCs w:val="28"/>
          <w:rtl w:val="true"/>
          <w:lang w:bidi="ar-SA"/>
        </w:rPr>
        <w:t>جزع يماني، فنزعه ثم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أُمّاه فإنّ معي من يحفظني</w:t>
      </w:r>
      <w:r>
        <w:rPr>
          <w:rFonts w:eastAsia="Amiri" w:cs="Amiri" w:ascii="Amiri" w:hAnsi="Amiri"/>
          <w:color w:val="111111"/>
          <w:sz w:val="28"/>
          <w:szCs w:val="28"/>
          <w:rtl w:val="true"/>
          <w:lang w:bidi="ar-SA"/>
        </w:rPr>
        <w:t>.</w:t>
      </w:r>
      <w:r>
        <w:rPr>
          <w:rStyle w:val="FootnoteAnchor"/>
          <w:rtl w:val="true"/>
        </w:rPr>
        <w:footnoteReference w:id="141"/>
      </w:r>
    </w:p>
    <w:p>
      <w:pPr>
        <w:pStyle w:val="Heading4"/>
        <w:numPr>
          <w:ilvl w:val="3"/>
          <w:numId w:val="1"/>
        </w:numPr>
        <w:rPr/>
      </w:pPr>
      <w:bookmarkStart w:id="144" w:name="__RefHeading___Toc7070773_73709187"/>
      <w:bookmarkStart w:id="145" w:name="_Toc54"/>
      <w:bookmarkEnd w:id="144"/>
      <w:r>
        <w:rPr/>
        <w:t>4</w:t>
      </w:r>
      <w:r>
        <w:rPr>
          <w:rtl w:val="true"/>
        </w:rPr>
        <w:t xml:space="preserve">. </w:t>
      </w:r>
      <w:r>
        <w:rPr>
          <w:rtl w:val="true"/>
        </w:rPr>
        <w:t>إعراضه عن الحلف باللّات والعزّى</w:t>
      </w:r>
      <w:bookmarkEnd w:id="145"/>
    </w:p>
    <w:p>
      <w:pPr>
        <w:pStyle w:val="BookText"/>
        <w:rPr/>
      </w:pPr>
      <w:r>
        <w:rPr>
          <w:rFonts w:ascii="Amiri" w:hAnsi="Amiri" w:eastAsia="Amiri" w:cs="Amiri"/>
          <w:color w:val="111111"/>
          <w:sz w:val="28"/>
          <w:sz w:val="28"/>
          <w:szCs w:val="28"/>
          <w:rtl w:val="true"/>
          <w:lang w:bidi="ar-SA"/>
        </w:rPr>
        <w:t xml:space="preserve">خرج النبيّ الأكرم صلى الله عليه و آله مع غلام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ولمّا حضر رسول اللّه صلى الله عليه و آله سوق بُصرى فباع سلعته التي خرج بها واشترى غيرها، فكان بينه وبين رجل اختلاف في شيء،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باللّات والعزّى،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حلفت بهما قط، وإنّي لأمرّ فأعرض عنهما</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146" w:name="__RefHeading___Toc7070775_73709187"/>
      <w:bookmarkStart w:id="147" w:name="_Toc55"/>
      <w:bookmarkEnd w:id="146"/>
      <w:r>
        <w:rPr/>
        <w:t>5</w:t>
      </w:r>
      <w:r>
        <w:rPr>
          <w:rtl w:val="true"/>
        </w:rPr>
        <w:t xml:space="preserve">. </w:t>
      </w:r>
      <w:r>
        <w:rPr>
          <w:rtl w:val="true"/>
        </w:rPr>
        <w:t>رعيُه الغنم وتعويد النفس على مشاقّ الأُمور</w:t>
      </w:r>
      <w:bookmarkEnd w:id="147"/>
    </w:p>
    <w:p>
      <w:pPr>
        <w:pStyle w:val="BookText"/>
        <w:rPr/>
      </w:pPr>
      <w:r>
        <w:rPr>
          <w:rFonts w:ascii="Amiri" w:hAnsi="Amiri" w:eastAsia="Amiri" w:cs="Amiri"/>
          <w:color w:val="111111"/>
          <w:sz w:val="28"/>
          <w:sz w:val="28"/>
          <w:szCs w:val="28"/>
          <w:rtl w:val="true"/>
          <w:lang w:bidi="ar-SA"/>
        </w:rPr>
        <w:t>روى ابن هشام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نبيّ إلّا وقد رعى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هامش سيرة ابن هشام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رعاها بمكة على قراريط لأهل مكّة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ولعلّ وجه ذلك أنّ رعيَ الغنم من مشاقّ الأُمور، فإنّ شخصية عظيمة يفترض أنّها ستواجه طواغيت قريش كأبي جهل وأبي لهب، لابدّ أن تتسلّح قبل ذلك بسلاح الصبر، وتتجهّز بأداة التحمّل، وتتزوّد بقدرة الاستقامة، وهذا لا يمكن إلّابتعويد النفس على المشاقّ قبل النهوض بعبء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شخصية كريمة سامية صلبة، لا تلين ولا تستكين أمام إيذاء الجهّال، وسفَه الأنذال، وطغيان الجبابرة، رهنُ ترويض النفس على مشاقّ الأُمور، وصعاب الأعمال والأفعال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سبباً آخر لانتخابه رعي الغنم في الصحاري، وهو أنّه كان يرى</w:t>
      </w:r>
      <w:bookmarkStart w:id="148" w:name="pg16776_178851"/>
    </w:p>
    <w:p>
      <w:pPr>
        <w:pStyle w:val="BookText"/>
        <w:rPr/>
      </w:pPr>
      <w:bookmarkEnd w:id="148"/>
      <w:r>
        <w:rPr>
          <w:rFonts w:ascii="Amiri" w:hAnsi="Amiri" w:eastAsia="Amiri" w:cs="Amiri"/>
          <w:color w:val="111111"/>
          <w:sz w:val="28"/>
          <w:sz w:val="28"/>
          <w:szCs w:val="28"/>
          <w:rtl w:val="true"/>
          <w:lang w:bidi="ar-SA"/>
        </w:rPr>
        <w:t>بأُمّ عينيه دبيب الظلم والحيف بين قريش، وبخس حقوق الضعفاء منهم، وكان يشقّ عليه أن يرى تعاونهم على الإثم والعدوان وبخس الحقوق، ولا يتمكّن من ردعهم، فاختار العيش في الصحراء حتى يكون بعيداً عن هذه المظاهر المؤلمة المخزية مدة خاصّة</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7070777_73709187"/>
      <w:bookmarkStart w:id="150" w:name="_Toc56"/>
      <w:bookmarkEnd w:id="149"/>
      <w:r>
        <w:rPr/>
        <w:t>6</w:t>
      </w:r>
      <w:r>
        <w:rPr>
          <w:rtl w:val="true"/>
        </w:rPr>
        <w:t xml:space="preserve">. </w:t>
      </w:r>
      <w:r>
        <w:rPr>
          <w:rtl w:val="true"/>
        </w:rPr>
        <w:t>مشاركته في حلف الفضول</w:t>
      </w:r>
      <w:bookmarkEnd w:id="150"/>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رجل من زبيد مكة المكرّمة في شهر ذي القعدة الحرام، وعرض بضاعة للبيع فاشتراها منه العاص بن وائل لكن حبس عنه حقّه، فاستدعى عليه الزبيدي قريشاً وطلب منهم أن ينصروه على العاص، ولأجل أن يبلغ صوته أسماع قريش عامّة نادى بأعلى صوته وهم في أنديتهم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فهر لمظلوم بضاعتُه ببطن مكّة نائي الدار والنَفَر</w:t>
      </w:r>
    </w:p>
    <w:p>
      <w:pPr>
        <w:pStyle w:val="BookText"/>
        <w:rPr/>
      </w:pPr>
      <w:r>
        <w:rPr>
          <w:rFonts w:ascii="Amiri" w:hAnsi="Amiri" w:eastAsia="Amiri" w:cs="Amiri"/>
          <w:color w:val="111111"/>
          <w:sz w:val="28"/>
          <w:sz w:val="28"/>
          <w:szCs w:val="28"/>
          <w:rtl w:val="true"/>
          <w:lang w:bidi="ar-SA"/>
        </w:rPr>
        <w:t>ومُحرمٌ أشعثٌ لم يَقض عُمْرتَه يا للرِّجال وبين الحِجر والحَجَر</w:t>
      </w:r>
    </w:p>
    <w:p>
      <w:pPr>
        <w:pStyle w:val="BookText"/>
        <w:rPr/>
      </w:pPr>
      <w:r>
        <w:rPr>
          <w:rFonts w:ascii="Amiri" w:hAnsi="Amiri" w:eastAsia="Amiri" w:cs="Amiri"/>
          <w:color w:val="111111"/>
          <w:sz w:val="28"/>
          <w:sz w:val="28"/>
          <w:szCs w:val="28"/>
          <w:rtl w:val="true"/>
          <w:lang w:bidi="ar-SA"/>
        </w:rPr>
        <w:t>إنّ الحرام لِمَنْ تَمَّت كرامته ولا حَرام لِثوب الفاجر القذرِ</w:t>
      </w:r>
    </w:p>
    <w:p>
      <w:pPr>
        <w:pStyle w:val="BookText"/>
        <w:rPr/>
      </w:pPr>
      <w:r>
        <w:rPr>
          <w:rFonts w:ascii="Amiri" w:hAnsi="Amiri" w:eastAsia="Amiri" w:cs="Amiri"/>
          <w:color w:val="111111"/>
          <w:sz w:val="28"/>
          <w:sz w:val="28"/>
          <w:szCs w:val="28"/>
          <w:rtl w:val="true"/>
          <w:lang w:bidi="ar-SA"/>
        </w:rPr>
        <w:t>فأثارت هذه الأبيات العاطفية مشاعر بعض شباب قريش، وبينهم النبيّ الأعظم صلى الله عليه و آله فاجتمعوا في دار عبد اللّه بن جدعان وتحالفوا وتعاهدوا باللّه ليكونن يداً واحدة مع المظلوم في وجه الظالم، حتّى يؤدّي إليه حقَّه، ما أمكنهم ذلك، فمشوا إلى العاص بن وائل فانتزعوا منه سلعة الزبيدي فدفعوها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أسماء المتحالفين مشتقة من لفظة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كفضل بن فضالة، وفضل بن الحارث، وفضل بن وداعة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الحلف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شارك رسول اللّه صلى الله عليه و آله فيه، ونقلت عنه هاتان الكلمتان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عبد اللّه بن جدعان حلفاً لو دعيتُ به في الإسلام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لي به حُمر النِّعَم وإنّي كنت نقضته</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حول حياة النبيّ صلى الله عليه و آله أيام طفولته وشبابه يُجسّدُ لنا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w:t>
      </w:r>
      <w:r>
        <w:rPr>
          <w:rFonts w:eastAsia="Amiri" w:cs="Amiri" w:ascii="Amiri" w:hAnsi="Amiri"/>
          <w:color w:val="111111"/>
          <w:sz w:val="28"/>
          <w:szCs w:val="28"/>
          <w:rtl w:val="true"/>
          <w:lang w:bidi="ar-SA"/>
        </w:rPr>
        <w:t>) .</w:t>
      </w:r>
      <w:r>
        <w:rPr>
          <w:rStyle w:val="FootnoteAnchor"/>
          <w:rtl w:val="true"/>
        </w:rPr>
        <w:footnoteReference w:id="145"/>
      </w:r>
      <w:bookmarkStart w:id="151" w:name="pg16776_178853"/>
    </w:p>
    <w:p>
      <w:pPr>
        <w:pStyle w:val="Heading3"/>
        <w:numPr>
          <w:ilvl w:val="2"/>
          <w:numId w:val="1"/>
        </w:numPr>
        <w:rPr/>
      </w:pPr>
      <w:bookmarkStart w:id="152" w:name="__RefHeading___Toc7070779_73709187"/>
      <w:bookmarkStart w:id="153" w:name="_Toc57"/>
      <w:bookmarkEnd w:id="151"/>
      <w:bookmarkEnd w:id="152"/>
      <w:r>
        <w:rPr/>
        <w:t>6</w:t>
      </w:r>
      <w:r>
        <w:rPr>
          <w:rtl w:val="true"/>
        </w:rPr>
        <w:t xml:space="preserve">. </w:t>
      </w:r>
      <w:r>
        <w:rPr>
          <w:rtl w:val="true"/>
        </w:rPr>
        <w:t>عصمة أئمة أهل البيت عليهم السلام</w:t>
      </w:r>
      <w:bookmarkEnd w:id="153"/>
    </w:p>
    <w:p>
      <w:pPr>
        <w:pStyle w:val="Heading4"/>
        <w:numPr>
          <w:ilvl w:val="3"/>
          <w:numId w:val="1"/>
        </w:numPr>
        <w:rPr/>
      </w:pPr>
      <w:bookmarkStart w:id="154" w:name="__RefHeading___Toc7070781_73709187"/>
      <w:bookmarkStart w:id="155" w:name="_Toc58"/>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في الكتاب والسنّة</w:t>
      </w:r>
    </w:p>
    <w:p>
      <w:pPr>
        <w:pStyle w:val="BookText"/>
        <w:rPr/>
      </w:pPr>
      <w:r>
        <w:rPr>
          <w:rFonts w:ascii="Amiri" w:hAnsi="Amiri" w:eastAsia="Amiri" w:cs="Amiri"/>
          <w:color w:val="111111"/>
          <w:sz w:val="28"/>
          <w:sz w:val="28"/>
          <w:szCs w:val="28"/>
          <w:rtl w:val="true"/>
          <w:lang w:bidi="ar-SA"/>
        </w:rPr>
        <w:t>قبل الدخول في صلب الموضوع نمهّد له بأمرين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7070783_73709187"/>
      <w:bookmarkStart w:id="157" w:name="_Toc59"/>
      <w:bookmarkEnd w:id="156"/>
      <w:r>
        <w:rPr>
          <w:rtl w:val="true"/>
        </w:rPr>
        <w:t>الأوّل</w:t>
      </w:r>
      <w:r>
        <w:rPr>
          <w:rtl w:val="true"/>
        </w:rPr>
        <w:t xml:space="preserve">: </w:t>
      </w:r>
      <w:r>
        <w:rPr>
          <w:rtl w:val="true"/>
        </w:rPr>
        <w:t>حقيقة العصمة</w:t>
      </w:r>
      <w:bookmarkEnd w:id="157"/>
    </w:p>
    <w:p>
      <w:pPr>
        <w:pStyle w:val="Heading5"/>
        <w:numPr>
          <w:ilvl w:val="4"/>
          <w:numId w:val="1"/>
        </w:numPr>
        <w:rPr/>
      </w:pPr>
      <w:bookmarkStart w:id="158" w:name="__RefHeading___Toc7070785_73709187"/>
      <w:bookmarkStart w:id="159" w:name="_Toc60"/>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إنّ حقيقة العصمة عن اقتراف المعاصي ترجع إلى 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مانعة الخلو، وإن كانت غيرمانعة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7070787_73709187"/>
      <w:bookmarkStart w:id="161" w:name="_Toc61"/>
      <w:bookmarkEnd w:id="160"/>
      <w:r>
        <w:rPr/>
        <w:t>1</w:t>
      </w:r>
      <w:r>
        <w:rPr>
          <w:rtl w:val="true"/>
        </w:rPr>
        <w:t xml:space="preserve">. </w:t>
      </w:r>
      <w:r>
        <w:rPr>
          <w:rtl w:val="true"/>
        </w:rPr>
        <w:t>العصمة الدرجة القصوى من التقوى</w:t>
      </w:r>
      <w:bookmarkEnd w:id="161"/>
    </w:p>
    <w:p>
      <w:pPr>
        <w:pStyle w:val="BookText"/>
        <w:rPr/>
      </w:pPr>
      <w:r>
        <w:rPr>
          <w:rFonts w:ascii="Amiri" w:hAnsi="Amiri" w:eastAsia="Amiri" w:cs="Amiri"/>
          <w:color w:val="111111"/>
          <w:sz w:val="28"/>
          <w:sz w:val="28"/>
          <w:szCs w:val="28"/>
          <w:rtl w:val="true"/>
          <w:lang w:bidi="ar-SA"/>
        </w:rPr>
        <w:t>العصمة ترجع إلى التقوى لكنّها ترجع إلى درجة أعلى منها، فما توصف به التقوى وتعرف به، تعرف وتوصف به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التقوى حالة نفسانية تعصم الإنسان عن اقتراف كثير من القبائح والمعاصي، فإذا بلغت تلك الحالة إلى نهايتها تعصم الإنسان عن اقتراف جميع قبائح الأعمال، وذميم الفعال على وجه الإطلاق، بل تعصم الإنسان حتى عن التفكير في المعصية، فالمعصوم ليس خصوص مَن لا يرتكب المعاصي ويقترفها، بل هو مَن لا يحوم حولها بفكره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العصمة ملكة نفسانية راسخة في النفس لها آثار خاصّة كسائر الملكات النفسانية من الشجاعة والعفّة والسخاء؛ فإذا كان الإنسان شجاعاً وجسوراً،</w:t>
      </w:r>
    </w:p>
    <w:p>
      <w:pPr>
        <w:pStyle w:val="BookText"/>
        <w:rPr/>
      </w:pPr>
      <w:r>
        <w:rPr>
          <w:rFonts w:ascii="Amiri" w:hAnsi="Amiri" w:eastAsia="Amiri" w:cs="Amiri"/>
          <w:color w:val="111111"/>
          <w:sz w:val="28"/>
          <w:sz w:val="28"/>
          <w:szCs w:val="28"/>
          <w:rtl w:val="true"/>
          <w:lang w:bidi="ar-SA"/>
        </w:rPr>
        <w:t>وسخياً وباذلاً، وعفيفاً ونزيهاً، يطلب في حياته معالي الأُمور، ويتجنّب عن سفاسفها فيطرد ما يخالفه من الآثار، كالخوف والجبن والبخل والإمساك، والقبح والسوء، ولا يُرى في حياته أثر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العصمة، فإذا بلغ الإنسان درجة قصوى من التقوى، وصارت تلك الحالة راسخة في نفسه يصل الإنسان إلى حد لا يُرى في حياته أثر من العصيان والطغيان، والتمرّد والتجرّي، وتصير ساحته نقية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الإنسان كيف يصل إلى هذا المقام‌؟ وما هو العامل الذي يمكّنه من هذه الحالة‌؟ فهو بحث آخر لا يسع المقال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العصمة من سنخ التقوى والدرجة العليا منها، يسهل لك تقسيمها إلى العصمة المطلقة والعصمة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العصمة المطلقة وإن كانت تختصّ بطبقة خاصّة من الناس، لكن العصمة النسبية تعمّ كثيراً من الناس من غير فرق بين أولياء اللّه وغيرهم، لأنّ الإنسان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يقل وجوده في أوساطنا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يقترف بعض المعاصي لكنّه يجتنب عن بعضها اجتناباً تامّاً بحيث يتجنّب حتى التفكير بها فضلاً عن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الإنسان الشريف لا يتجوّل عارياً في الشوارع والطرقات مهما بلغ تحريض الآخرين له على ذلك الفعل، كما أنّ كثيراً من الناس لا يقومون بقتل الأبرياء ولا بقتل أنفسهم وإن عُرضت عليهم مكافآت مادّية كبيرة، فإنّ الحوافز الداعية إلى هذه الأفعال المنكرة غير موجودة في نفوسهم، أو أنّها محكومة ومردودة بالتقوى التي تحلّوا بها، ولأجل ذلك صاروا بمعزل عن تلك الأفعال القبيحة حتى أنّهم لا يفكّرون فيها ولا يحدّثون بها أنفسهم أبداً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والعصمة النسبية التي تعرّفت عليها تُقرِّب حقيقة العصمة المطلقة في أذهاننا، فلو بلغت تلك الحالة النفسانية الرادعة في الإنسان مبلغاً كبيراً ومرحلة</w:t>
      </w:r>
      <w:bookmarkStart w:id="162" w:name="pg16776_178855"/>
    </w:p>
    <w:p>
      <w:pPr>
        <w:pStyle w:val="BookText"/>
        <w:rPr/>
      </w:pPr>
      <w:bookmarkEnd w:id="162"/>
      <w:r>
        <w:rPr>
          <w:rFonts w:ascii="Amiri" w:hAnsi="Amiri" w:eastAsia="Amiri" w:cs="Amiri"/>
          <w:color w:val="111111"/>
          <w:sz w:val="28"/>
          <w:sz w:val="28"/>
          <w:szCs w:val="28"/>
          <w:rtl w:val="true"/>
          <w:lang w:bidi="ar-SA"/>
        </w:rPr>
        <w:t>شديدة بحيث تمنعه من اقتراف جميع القبائح، يصير معصوماً مطلقاً، كما أنّ الإنسان في القسم الأوّل صار معصوماً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حوافز الطغيان والعصيان والبواعث على المخالفة محكومة عند الإنسان، منفورة لديه لأجل الحالة الراسخة، يصير الإنسان معصوماً تامّاً منزّهاً عن كلّ عيب وشين</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7070789_73709187"/>
      <w:bookmarkStart w:id="164" w:name="_Toc62"/>
      <w:bookmarkEnd w:id="163"/>
      <w:r>
        <w:rPr/>
        <w:t>2</w:t>
      </w:r>
      <w:r>
        <w:rPr>
          <w:rtl w:val="true"/>
        </w:rPr>
        <w:t xml:space="preserve">. </w:t>
      </w:r>
      <w:r>
        <w:rPr>
          <w:rtl w:val="true"/>
        </w:rPr>
        <w:t>العصمة</w:t>
      </w:r>
      <w:r>
        <w:rPr>
          <w:rtl w:val="true"/>
        </w:rPr>
        <w:t xml:space="preserve">: </w:t>
      </w:r>
      <w:r>
        <w:rPr>
          <w:rtl w:val="true"/>
        </w:rPr>
        <w:t>نتيجة العلم القطعي بعواقب المعاصي</w:t>
      </w:r>
      <w:bookmarkEnd w:id="164"/>
    </w:p>
    <w:p>
      <w:pPr>
        <w:pStyle w:val="BookText"/>
        <w:rPr/>
      </w:pPr>
      <w:r>
        <w:rPr>
          <w:rFonts w:ascii="Amiri" w:hAnsi="Amiri" w:eastAsia="Amiri" w:cs="Amiri"/>
          <w:color w:val="111111"/>
          <w:sz w:val="28"/>
          <w:sz w:val="28"/>
          <w:szCs w:val="28"/>
          <w:rtl w:val="true"/>
          <w:lang w:bidi="ar-SA"/>
        </w:rPr>
        <w:t>قد تعرّفت على النظريّة الأُولى في حقيقة العصمة وأنّها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الدرجة العليا من التقوى، غير أنّ هناك نظرية أُخرى في حقيقتها، لا تنافي النظرية الأُولى، بل ربّما تعدّ من علل تحقّق الدرجة العليا من التقوى التي عرّفنا العصمة بها وموجب لتكوّنها في النفس، وحقيقة هذه النظرية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العلم القطعي اليقيني بعواقب المعاصي والآثام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قطعياً لا يُغلب ولا يدخله شكّ‌، ولا يعتريه ريب، وهو أن يبلغ علم الإنسان درجة يلمس في هذه النشأة لوازم الأعمال وآثارها في النشأة الأُخرى وتبعاتها فيها، ويصير على حد يدرك بل يرى درجات أهل الجنة ودركات أهل النار، وهذا العلم القطعي هو الذي يزيل الحجب بين الإنسان وتوابع الأعمال، ويصير الإنسان مصداقاً لقوله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وصاحب هذا العلم هو الذي يصفه الإمام علي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والجنة كمن قد رآها، فهم فيها منعمون، وهم والنار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بلغ العلم إلى هذه الدرجة من الكشف يصد الإنسان عن الاقتراب من</w:t>
      </w:r>
    </w:p>
    <w:p>
      <w:pPr>
        <w:pStyle w:val="BookText"/>
        <w:rPr/>
      </w:pPr>
      <w:r>
        <w:rPr>
          <w:rFonts w:ascii="Amiri" w:hAnsi="Amiri" w:eastAsia="Amiri" w:cs="Amiri"/>
          <w:color w:val="111111"/>
          <w:sz w:val="28"/>
          <w:sz w:val="28"/>
          <w:szCs w:val="28"/>
          <w:rtl w:val="true"/>
          <w:lang w:bidi="ar-SA"/>
        </w:rPr>
        <w:t>المعاصي واقتراف المآثم، بل لا يجول حولها فكره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تأثير هذا العلم في صيرورة الإنسان معصوماً من اقتراف الذنب نأتي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وقف على أنّ في الأسلاك الكهربائية طاقة من شأنها قتل الإنسان إذا مسّها من دون حاجز أو عائق بحيث يكون المسّ والموت مقترنين، أحجمت نفسه عن مسّ تلك الأسلاك والاقتراب منها دون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الطبيب العارف بعواقب الأمراض وآثار الجراثيم، إذا وقف على ماء اغتسل فيه مصاب بالجذام أو البرص أو السل، لم يقدم على شربه والاغتسال منه ومباشرته مهما اشتدت حاجته إلى ذلك لعلمه بما يَجُرُّ عليه الشرب والاغتسال بذلك الماء الموبوء، فإذا وقف الإنسان الكامل على ما وراء هذه النشأة من نتائج الأعمال وعواقب الأفعال ورأى بالعيون البرزخية تبدّل الكنوز المكتنزة من الذهب والفضة إلى النار المحماة التي تُكوى بها جباه الكانزين وجنوبهم وظهورهم، امتنع عن حبس الأموال والإحجام عن إنفاقها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يَكْنِزُونَ الذَّهَبَ وَ الْفِضَّةَ وَ لا يُنْفِقُونَها فِي سَبِيلِ اللّهِ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w:t>
      </w:r>
      <w:r>
        <w:rPr>
          <w:rStyle w:val="FootnoteAnchor"/>
          <w:rtl w:val="true"/>
        </w:rPr>
        <w:footnoteReference w:id="14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كَنَزْتُمْ 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النار التي تُكوى بها جباه الكانزين وجنوبهم وظهورهم، ليست إلّانفس الذهب والفضة، لكن بوجودهما الأُخرويّين، وأنّ للذهب والفضة وجودين أو ظهورين في النشأتين فهذه الأجسام الفلزية، تتجلّى في النشأة الدنيوية في صورة الذهب والفضة، وفي النشأة الأُخروية في صورة النيران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العادي اللامس لهذه الفلزات المكنوزة وإن كان لا يحسّ فيها الحرارة ولا يرى فيها النار ولا لهيبها، إلاّ أنّ ذلك لأجل أنّه يفقد حين المس، الحسَّ المناسب لدرك نيران النشأة الآخرة وحرارتها، فلو فرض إنسان كامل يمتلك هذا الحسّ إلى جانب بقية حواسّه العادية المتعارفة ويدرك بنحو خاص الوجه الآخر لهذه الفلزات، وهو نيرانها وحرارتها، يجتنبها، كاجتنابه النيران الدنيوية، ولا يقدم على كنزها وتكديسها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يفيد أنّ للعلم مرحلة قويّة راسخة تصد الإنسان عن الوقوع في المعاصي والآثام ولا يكون مغلوباً للشهوات والغرائز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جمال الدين مقداد بن عبد اللّه الأسدي السيوري الحلي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ولبعضهم كلام حسن جامع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ملكة نفسانية يمنع المتّصف بها من الفجور مع قدرته عليه، وتتوقّف هذه الملكة على العلم بمثالب المعاصي ومناقب الطاعات، لأنّ العفّة متى حصلت في جوهر النفس وانضاف إليها العلم التام بما في المعصية من الشقاء، والطاعة من السعادة، صار ذلك العلم موجباً لرسوخها في النفس فتصير ملكة</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الطباطبائي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القوة المسمّاة بقوة العصمة سبب شعوري علمي غير مغلوب البتة، ولو كانت من قبيل ما نتعارفه من أقسام الشعور والإدراك، لتسرّب إليها التخلّف، ولتخبّط الإنسان على أثره أحياناً، فهذا العلم من غير سنخ سائر العلوم والإدراكات المتعارفة، التي تقبل الاكتساب والتعلّم، وقد أشار اللّه في خطابه الذي خصّ به نبيه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 عَلَيْكَ الْكِتابَ وَ الْحِكْمَةَ وَ عَلَّمَكَ ما لَمْ تَكُنْ تَعْلَمُ‌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وهو خطاب خاص لا نفقهه</w:t>
      </w:r>
      <w:bookmarkStart w:id="165" w:name="pg16776_178858"/>
    </w:p>
    <w:p>
      <w:pPr>
        <w:pStyle w:val="BookText"/>
        <w:rPr/>
      </w:pPr>
      <w:bookmarkEnd w:id="165"/>
      <w:r>
        <w:rPr>
          <w:rFonts w:ascii="Amiri" w:hAnsi="Amiri" w:eastAsia="Amiri" w:cs="Amiri"/>
          <w:color w:val="111111"/>
          <w:sz w:val="28"/>
          <w:sz w:val="28"/>
          <w:szCs w:val="28"/>
          <w:rtl w:val="true"/>
          <w:lang w:bidi="ar-SA"/>
        </w:rPr>
        <w:t>حقيقة الفقه، إذ لا ذوق لنا في هذا المجال</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وهو قدّس سره يشير إلى كيفية خاصة من العلم والشعور الذي أوضحناه بما ورد حول الكنز وآثاره</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7070791_73709187"/>
      <w:bookmarkStart w:id="167" w:name="_Toc63"/>
      <w:bookmarkEnd w:id="166"/>
      <w:r>
        <w:rPr/>
        <w:t>3</w:t>
      </w:r>
      <w:r>
        <w:rPr>
          <w:rtl w:val="true"/>
        </w:rPr>
        <w:t xml:space="preserve">. </w:t>
      </w:r>
      <w:r>
        <w:rPr>
          <w:rtl w:val="true"/>
        </w:rPr>
        <w:t>الاستشعار بعظمة الرب وكماله وجماله</w:t>
      </w:r>
      <w:bookmarkEnd w:id="167"/>
    </w:p>
    <w:p>
      <w:pPr>
        <w:pStyle w:val="BookText"/>
        <w:rPr/>
      </w:pPr>
      <w:r>
        <w:rPr>
          <w:rFonts w:ascii="Amiri" w:hAnsi="Amiri" w:eastAsia="Amiri" w:cs="Amiri"/>
          <w:color w:val="111111"/>
          <w:sz w:val="28"/>
          <w:sz w:val="28"/>
          <w:szCs w:val="28"/>
          <w:rtl w:val="true"/>
          <w:lang w:bidi="ar-SA"/>
        </w:rPr>
        <w:t>إنّ هاهنا نظرية ثالثة في تبيين حقيقة العصمة يرجع لبّها إلى أنّ استشعار العبد بعظمة الخالق وحبه وتفانيه في معرفته وعشقه له، يصدّه عن سلوك ما يخالف رضاه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النظرية مثل النظرية الثانية لا تخالف النظرية الأُولى التي فسّرنا العصمة فيها بأنّها الدرجة العليا من التقوى، بل يكون الاستشعار والتفاني دون الحق سبحانه، والعشق لجماله وكماله، أحد العوامل لحصول تلك المرتبة من التقوى، وهذا النحو من الاستشعار لا يحصل إلّاللكاملين في المعرفة الإلهية البالغين أعلى قممها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 الإنسان خالقه كمال المعرفة الميسورة، وتعرّف على معدن الكمال المطلق وجماله وجلاله، وجد في نفسه انجذاباً نحو الحق تعالى، وتعلّقاً خاصّاً به بحيث لا يستبدل برضاه شيئاً، فهذا الكمال المطلق هو الذي إذا تعرّف عليه الإنسان العارف، يؤجّج في نفسه نيران الشوق والمحبّة، ويدفعه إلى أن لا يبتغي سواه، ولا يطلب سوى إطاعة أمره وامتثال نهيه، ويصبح كلّ ما يخالف أمره ورضاه منفوراً لديه، مقبوحاً في نظره، أشد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يصبح الإنسان مصوناً عن المخالفة، بعيداً عن المعصية بحيث لا يؤثر على رضاه شيئاً، وإلى ذلك يشير الإمام علي بن أبي طالب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w:t>
      </w:r>
      <w:bookmarkStart w:id="168" w:name="pg16776_178859"/>
    </w:p>
    <w:p>
      <w:pPr>
        <w:pStyle w:val="BookText"/>
        <w:rPr/>
      </w:pPr>
      <w:bookmarkEnd w:id="168"/>
      <w:r>
        <w:rPr>
          <w:rFonts w:ascii="Amiri" w:hAnsi="Amiri" w:eastAsia="Amiri" w:cs="Amiri"/>
          <w:color w:val="111111"/>
          <w:sz w:val="28"/>
          <w:sz w:val="28"/>
          <w:szCs w:val="28"/>
          <w:rtl w:val="true"/>
          <w:lang w:bidi="ar-SA"/>
        </w:rPr>
        <w:t>طمعاً في جنتك إنّما وجدتك أهلاً للعبادة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هذه النظريات الثلاث أو النظرية الواحدة المختلفة في البيان والتقرير تعرب عن أنّ العصمة قوة في النفس تعصم الإنسان عن الوقوع في مخالفة الرب سبحانه وتعالى، وليست العصمة أمراً خارجاً عن ذات الإنسان الكامل وهويته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التفاسير الثلاثة لحقيقة العصمة، كلّها راجعة إلى العصمة عن المعصية والمصونية عن التمرّد كما هو واضح لمن تأمّل فيها، وأمّا العصمة في مقام تلقّي الوحي وحفظه وإبلاغه إلى الناس، أو العصمة عن الخطأ في الحياة والأُمور الفردية أو الاجتماعية فلا بدّ أن توجه بوجوه غير هذه الثلاثة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070793_73709187"/>
      <w:bookmarkStart w:id="170" w:name="_Toc64"/>
      <w:bookmarkEnd w:id="169"/>
      <w:r>
        <w:rPr>
          <w:rtl w:val="true"/>
        </w:rPr>
        <w:t>العصمة عن الخطأ</w:t>
      </w:r>
      <w:bookmarkEnd w:id="170"/>
    </w:p>
    <w:p>
      <w:pPr>
        <w:pStyle w:val="BookText"/>
        <w:rPr/>
      </w:pPr>
      <w:r>
        <w:rPr>
          <w:rFonts w:ascii="Amiri" w:hAnsi="Amiri" w:eastAsia="Amiri" w:cs="Amiri"/>
          <w:color w:val="111111"/>
          <w:sz w:val="28"/>
          <w:sz w:val="28"/>
          <w:szCs w:val="28"/>
          <w:rtl w:val="true"/>
          <w:lang w:bidi="ar-SA"/>
        </w:rPr>
        <w:t>أمّا العصمة عن الخطأ في تحمّل الوحي وحفظه ونقله إلى الأُمّة في حقّ النبي صلى الله عليه و آله و سلم أو عصمة أهل البيت عليهم السلام في الإفتاء ونقل ما ورثوه من النبي الأكرم صلى الله عليه و آله و سلم فهي رهن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النبي الأكرم صلى الله عليه و آله و سلم فإنّه سبحانه يسدّده، بالملائكة كما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يجعل له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الملائكة هم الذين يسدّدون الأنبياء عن الخطأ في القول والفعل؛ وأمّا أهل البيت عليهم السلام، فبما أنّ عصمتهم عن المعصية والخطأ ثابتة بالدلائل الآتية فلا محيص من القول من أنّ‌</w:t>
      </w:r>
      <w:bookmarkStart w:id="171" w:name="pg16776_178860"/>
    </w:p>
    <w:p>
      <w:pPr>
        <w:pStyle w:val="BookText"/>
        <w:rPr/>
      </w:pPr>
      <w:bookmarkEnd w:id="171"/>
      <w:r>
        <w:rPr>
          <w:rFonts w:ascii="Amiri" w:hAnsi="Amiri" w:eastAsia="Amiri" w:cs="Amiri"/>
          <w:color w:val="111111"/>
          <w:sz w:val="28"/>
          <w:sz w:val="28"/>
          <w:szCs w:val="28"/>
          <w:rtl w:val="true"/>
          <w:lang w:bidi="ar-SA"/>
        </w:rPr>
        <w:t>لهم مسدّداً في الإفتاء ونقل الأحاديث وتفسير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هو المسدّد فالبحث عنه موكول إلى مقام آخر</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070795_73709187"/>
      <w:bookmarkStart w:id="173" w:name="_Toc65"/>
      <w:bookmarkEnd w:id="172"/>
      <w:r>
        <w:rPr>
          <w:rtl w:val="true"/>
        </w:rPr>
        <w:t>الثاني</w:t>
      </w:r>
      <w:r>
        <w:rPr>
          <w:rtl w:val="true"/>
        </w:rPr>
        <w:t xml:space="preserve">: </w:t>
      </w:r>
      <w:r>
        <w:rPr>
          <w:rtl w:val="true"/>
        </w:rPr>
        <w:t>العصمة لا تلازم النبوّة</w:t>
      </w:r>
      <w:bookmarkEnd w:id="173"/>
    </w:p>
    <w:p>
      <w:pPr>
        <w:pStyle w:val="BookText"/>
        <w:rPr/>
      </w:pPr>
      <w:r>
        <w:rPr>
          <w:rFonts w:ascii="Amiri" w:hAnsi="Amiri" w:eastAsia="Amiri" w:cs="Amiri"/>
          <w:color w:val="111111"/>
          <w:sz w:val="28"/>
          <w:sz w:val="28"/>
          <w:szCs w:val="28"/>
          <w:rtl w:val="true"/>
          <w:lang w:bidi="ar-SA"/>
        </w:rPr>
        <w:t>إنّ بعض مَن يتحاشى من وصف غير الأنبياء بالعصمة يتصوّرون وجود الملازمة بين العصمة والنبوة، والحال أنّ بينهما من النسب عموماً وخصوصاً من وجه مطلق، فكلّ نبي معصوم وليس كلّ معصوم 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مريم العذراء الّتي هي الأُسوة والقدوة للنساء كما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أنّه سبحانه جعلها قدوة ومثالاً يحتذى به فلابد أن تكون معصومة عن المعاصي والأخطاء، وإلّا لايصح أن تكون أُسوة قولاً وفعلاً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بين الأُسوة المطلقة وبين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عصمتها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فإن إطلاق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طهارتها من الرذائل والذنوب والخطأ والزلل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منزلة الزهراء عليها السلام في حديث أبيها تعرب عن عصمتها قولاً وفعلاً، فقد روى البخاري عن مسعود بن مخرمة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74" w:name="pg16776_178861"/>
    </w:p>
    <w:p>
      <w:pPr>
        <w:pStyle w:val="BookText"/>
        <w:rPr/>
      </w:pPr>
      <w:bookmarkEnd w:id="174"/>
      <w:r>
        <w:rPr>
          <w:rFonts w:ascii="Amiri" w:hAnsi="Amiri" w:eastAsia="Amiri" w:cs="Amiri"/>
          <w:color w:val="111111"/>
          <w:sz w:val="28"/>
          <w:sz w:val="28"/>
          <w:szCs w:val="28"/>
          <w:rtl w:val="true"/>
          <w:lang w:bidi="ar-SA"/>
        </w:rPr>
        <w:t>وروى الحاكم بإسناده عن علي عليه السلام أنّ رسول اللّه صلى الله عليه و آله و سلم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مكانة شامخة للزهراء عليها السلام حتّى صار غضبها ورضاها ملاكاً لغضبه سبحانه ورضاه، وهذا إن دلّ على شيءٍ فإنّما يدلّ على عصمتها، فهو سبحانه بما أنّه عادل وحكيم لايغضب إلّاعلى الكافر والعاصي ولايرضى إلّاعن المؤمن والمطيع، فلو دلّت الرواية الصحيحة على أنَّ فاطمة غضبت على أحد فهو إمّا كافر أو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هذا التمهيد فلنعرّج إلى بيان أدلّة عصمة أهل البيت عليهم السلام كتاباً وسنّة، ونقتصر من الكتاب العزيز بآيتين، ومن السنّة بحديثي الثقلين والسفينة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بحثين</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7070797_73709187"/>
      <w:bookmarkStart w:id="176" w:name="_Toc66"/>
      <w:bookmarkEnd w:id="175"/>
      <w:r>
        <w:rPr>
          <w:rtl w:val="true"/>
        </w:rPr>
        <w:t>البحث الأوّل</w:t>
      </w:r>
      <w:r>
        <w:rPr>
          <w:rtl w:val="true"/>
        </w:rPr>
        <w:t xml:space="preserve">: </w:t>
      </w:r>
      <w:r>
        <w:rPr>
          <w:rtl w:val="true"/>
        </w:rPr>
        <w:t>عصمة أهل البيت عليهم السلام في القرآن الكريم</w:t>
      </w:r>
      <w:bookmarkEnd w:id="176"/>
    </w:p>
    <w:p>
      <w:pPr>
        <w:pStyle w:val="Heading5"/>
        <w:numPr>
          <w:ilvl w:val="4"/>
          <w:numId w:val="1"/>
        </w:numPr>
        <w:rPr/>
      </w:pPr>
      <w:bookmarkStart w:id="177" w:name="__RefHeading___Toc7070799_73709187"/>
      <w:bookmarkStart w:id="178" w:name="_Toc67"/>
      <w:bookmarkEnd w:id="177"/>
      <w:r>
        <w:rPr>
          <w:rtl w:val="true"/>
        </w:rPr>
        <w:t>الآية الأُولى</w:t>
      </w:r>
      <w:r>
        <w:rPr>
          <w:rtl w:val="true"/>
        </w:rPr>
        <w:t>:</w:t>
      </w:r>
      <w:bookmarkEnd w:id="178"/>
    </w:p>
    <w:p>
      <w:pPr>
        <w:pStyle w:val="Heading6"/>
        <w:numPr>
          <w:ilvl w:val="5"/>
          <w:numId w:val="1"/>
        </w:numPr>
        <w:rPr/>
      </w:pPr>
      <w:bookmarkStart w:id="179" w:name="__RefHeading___Toc7070801_73709187"/>
      <w:bookmarkStart w:id="180" w:name="_Toc68"/>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فيقع الكلام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أهل البيت عليهم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دلالة الآية على عصمتهم وتنزيههم عن الذنوب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فلاشكّ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النساء والأزواج لغة وكتاباً، ويكفي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تَعْجَبِينَ مِنْ أَمْرِ اللّهِ رَحْمَتُ اللّهِ وَ</w:t>
      </w:r>
    </w:p>
    <w:p>
      <w:pPr>
        <w:pStyle w:val="BookText"/>
        <w:rPr/>
      </w:pPr>
      <w:r>
        <w:rPr>
          <w:rFonts w:ascii="Amiri" w:hAnsi="Amiri" w:eastAsia="Amiri" w:cs="Amiri"/>
          <w:color w:val="111111"/>
          <w:sz w:val="28"/>
          <w:sz w:val="28"/>
          <w:szCs w:val="28"/>
          <w:rtl w:val="true"/>
          <w:lang w:bidi="ar-SA"/>
        </w:rPr>
        <w:t>بَرَكاتُهُ عَلَيْكُمْ أَهْلَ الْبَيْتِ إِنَّهُ حَمِيدٌ مَجِيدٌ</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فقد عُدّت امرأة إبراهيم عليه السلام من أهل البيت، والخطاب في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تَعْجَبِينَ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الاعتراف بذلك لكن المراد به في الآية عبارة عمّن عيّنهم الرسول صلى الله عليه و آله و سلم مرّة بعد أُخرى فخصّهم بعلي وفاطمة وابنيهما فتارة يصرّح صلى الله عليه و آله و سلم بأسمائهم، كما روى الطبري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وعلي رضى الله عنه وحسن رضى الله عنه وحسين رضى الله عنه وفاطمة رضي اللّه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وأُخرى أدخلهم تحت الكساء، كما أخرج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ذات غداة وعليه مرط مرجل من شعر أسود فجاء الحسن فأدخله، ثم جاء الحسين فدخل معه، ثم جاءت فاطمة فأدخلها، ثم جاء علي فادخله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وثالثة تلاوة الآيات على بابهم، كما أخرج الطبري عن أنس أنّ النبي صلى الله عليه و آله و سلم كان يمرّ ببيت فاطمة ستة أشهر كلّما خرج إلى الصلاة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وقد بلغ عدد الروايات الواردة في تخصيص أهل البيت بالخمسة ما يناهز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أخرجها الطبري في تفسيره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163"/>
      </w:r>
      <w:r>
        <w:rPr>
          <w:rFonts w:ascii="Amiri" w:hAnsi="Amiri" w:eastAsia="Amiri" w:cs="Amiri"/>
          <w:color w:val="111111"/>
          <w:sz w:val="28"/>
          <w:sz w:val="28"/>
          <w:szCs w:val="28"/>
          <w:rtl w:val="true"/>
          <w:lang w:bidi="ar-SA"/>
        </w:rPr>
        <w:t>وتصل أسانيد الروايات إلى ثمانية من صحابة النبي صلى الله عليه و آله و سلم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أبوهريرة</w:t>
      </w:r>
    </w:p>
    <w:p>
      <w:pPr>
        <w:pStyle w:val="BookText"/>
        <w:rPr/>
      </w:pPr>
      <w:r>
        <w:rPr>
          <w:rFonts w:ascii="Amiri" w:hAnsi="Amiri" w:eastAsia="Amiri" w:cs="Amiri"/>
          <w:color w:val="111111"/>
          <w:sz w:val="28"/>
          <w:sz w:val="28"/>
          <w:szCs w:val="28"/>
          <w:rtl w:val="true"/>
          <w:lang w:bidi="ar-SA"/>
        </w:rPr>
        <w:t>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الحمراء،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سؤال وهو أنّه لو كان المراد بأهل البيت هؤلاء الخمسة فلماذا وردت الإشارة إليهم في أثناء حديث القرآن عن نساء النبي صلى الله عليه و آله و سلم‌؟</w:t>
      </w:r>
    </w:p>
    <w:p>
      <w:pPr>
        <w:pStyle w:val="BookText"/>
        <w:rPr/>
      </w:pPr>
      <w:r>
        <w:rPr>
          <w:rFonts w:ascii="Amiri" w:hAnsi="Amiri" w:eastAsia="Amiri" w:cs="Amiri"/>
          <w:color w:val="111111"/>
          <w:sz w:val="28"/>
          <w:sz w:val="28"/>
          <w:szCs w:val="28"/>
          <w:rtl w:val="true"/>
          <w:lang w:bidi="ar-SA"/>
        </w:rPr>
        <w:t>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عادة الفصحاء في كلامهم أنّهم ينتقلون من خطاب إلى غيره ثم يعودون إليه، والقرآن مليء بذلك الأُسلوب، وكذلك كلام العرب وأشعارهم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عادة القرآن أن ينتقل بالإنسان من شأن إلى شأن ثم يعود إلى مباحث المقصد الواحد المرّة بعد المرّة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ولأجل إيقاف القارئ على صحّة ماقاله نأتي بشاهد على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ناقلاً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كَيْدِكُنَّ إِنَّ كَيْدَكُنَّ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أَعْرِضْ عَنْ هذا وَ اسْتَغْفِرِي لِذَنْبِكِ إِنَّكِ كُنْتِ مِنَ الْخاطِئِينَ‌</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فنرى أنّ العزيز يخاطب أوّلاً امرأته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يفرغ من كلامه معها، يخاطب يوسف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يرجع إلى الموضوع الأوّل ويخاطب زوجته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اسْتَغْفِرِي لِذَنْبِكِ‌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وقعت بين الخطابين، والمسوّغ لوقوعها بينهما كون المخاطب الثاني أحد المتخاصمين، وكانت له صلة بحديث المرأة الّتي رفعت الشكوى إلى العزيز</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الضمائر في الآية كلّها مذكّرة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الضمائر في الآيات المتقدّمة والمتأخّرة كلّها جاءت على وجه التأنيث، وربما</w:t>
      </w:r>
    </w:p>
    <w:p>
      <w:pPr>
        <w:pStyle w:val="BookText"/>
        <w:rPr/>
      </w:pPr>
      <w:r>
        <w:rPr>
          <w:rFonts w:ascii="Amiri" w:hAnsi="Amiri" w:eastAsia="Amiri" w:cs="Amiri"/>
          <w:color w:val="111111"/>
          <w:sz w:val="28"/>
          <w:sz w:val="28"/>
          <w:szCs w:val="28"/>
          <w:rtl w:val="true"/>
          <w:lang w:bidi="ar-SA"/>
        </w:rPr>
        <w:t>يقرب عددها من عشرين ضميراً كلّها مؤنثة، وهذا دليل على أنّ الآية ناظرة إلى غير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صور الضمائر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مَنْ يَأْتِ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يَقْنُتْ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اتَّقَيْتُنَّ فَلا تَخْضَعْنَ‌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قَرْنَ فِي بُيُوتِكُنَّ وَ لا تَبَرَّجْنَ‌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أَقِمْنَ الصَّلاةَ وَ آتِينَ الزَّكاةَ وَ أَطِعْنَ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هذه هي الضمائر المتقدّمة على الآية، وأمّا الضمائر المتأخّرة عنها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 مِنْ آياتِ اللّهِ‌</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والذي يؤكّد خروج النساء عن الآية، هو أنّ اللّه سبحانه أفرد لفظ البيت في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عبّر عن بيوت أزواجه بصيغة الجمع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فهناك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مشخّص أُضيف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الوقت نفسه هناك بيوت لنسائه وأزواجه، فالمتواجد في البيت الأوّل، غيرالمتواجد في البيوت، فإذا كانت البيوت خاصّة لنسائه صلى الله عليه و آله و سلم فيكون البيت خاصّاً لأهل الكساء، إذ الأمر يدور بين الطائفتين ليس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فحول النبي أُسرتان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أُسرة لها المكانة والفضل لاتّصالها بالنبي لا لذواتهن، ولذا استهلّ سبحانه الآيات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w:t>
      </w:r>
    </w:p>
    <w:p>
      <w:pPr>
        <w:pStyle w:val="BookText"/>
        <w:rPr/>
      </w:pPr>
      <w:r>
        <w:rPr>
          <w:rFonts w:ascii="Amiri" w:hAnsi="Amiri" w:eastAsia="Amiri" w:cs="Amiri"/>
          <w:color w:val="111111"/>
          <w:sz w:val="28"/>
          <w:sz w:val="28"/>
          <w:szCs w:val="28"/>
          <w:rtl w:val="true"/>
          <w:lang w:bidi="ar-SA"/>
        </w:rPr>
        <w:t>لَسْتُنَّ كَأَحَدٍ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كرامتهنّ لأجل اتّصالهنّ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وأُسرة لها الفضل والكرامة لاستحقاقهم وقدسية أنفسهم، فقد أعطى سبحانه كلّ أُسرة حقّها، فقد أدّب الأُسرة الأُولى ونهاهنّ عن أُمور، تمسّ بكرامة زوجهنّ‌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بوصف الأُسرة الثانية وتكريمها مشعراً بطهارتهم عن كلّ رجس ودنس</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فبذلك يعلم وجه ادغام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ثنايا الآيات النازلة في حقّ نسائه، فكأنّه سبحانه يريد إعطاء كلّ أُسرة حول النبي صلى الله عليه و آله و سلم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أصحر بالحقيقة الإمام الشوكاني،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الزيدية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العترة حجّة واستدلّوا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 سياق الآية أنّه في نسائه، ثم أضاف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ويجاب عن هذا الجواب بأنّه قد ورد الدليل الصحيح أنّها نزلت في علي وفاطمة والحسنين، وقد أوضحنا الكلام في هذا في تفسيرنا الذين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إليه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نعم ربما ذهب بعضهم إلى نزول الآية في نساء النبي صلى الله عليه و آله و سلم لكنّهم جماعة لا يعتدّ بقولهم،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 ومن المعلوم أنّ عكرمة من الإباضية، فهورجل منحرف عن جادة الحق، ولم يكن ليتحرّز الكذب على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 ويكفي في عدم حجية قوله عداؤه لعلي وانحرافه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ومنهم مقاتل بن سليمان، وهو من المشبّهة، وعن الإمام أبي حنيفة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أتانا من المشرق رأيان خبيثان؛ جهم معطل، ومقاتل 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ولمّا كان هذا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الآية بنساء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قاسياً مخالفاً لرأي جمهور المفسّرين، اتّخذ الآلوسي رأياً وسطاً ليكون جامعاً بين القولين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أهل البيت من لهم مزيد علاقة به صلى الله عليه و آله و سلم ونسبة قوية قريبة إليه عليه الصلاة والسلام بحيث لايقبح عرفاً اجتماعهم وسكناهم معه صلى الله عليه و آله و سلم في بيت واحد، ويدخل في ذلك أزواجه والأربعة أهل الكساء، وعلي كرم اللّه وجهه مع ماله من القرابة من رسول اللّه صلى الله عليه و آله و سلم وقد نشأ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يفارقه وعامله كولده صغيراً وصاهره وآخاه كبيراً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هو خلاف ما فهمه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الآية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تعميم أهل البيت في الآية إلى النساء خلاف ما نصّ عليه الرسول صلى الله عليه و آله و سلم، روى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بن يسار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بيتي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صلى الله عليه و آله و سلم إلى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أهل البيت‌؟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وهؤلاء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أهلي أحق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البخاري ولم يخرجاه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وقال الترمذي 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هذاحديث حسن صحيح، وهو أحسن شيء روي في هذا الباب</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يخالف تخصيص النبي صلى الله عليه و آله و سلم الآية بأصحاب الكساء بصور مختلفة حتّى جعلهم تحت الكساء وجلّلهم به، حتّى يكون عمله جامعاً ومانعاً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كيف يصحّ للسيد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المتضافرة بل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النبي صلى الله عليه و آله و سلم، أخبر عن اختصاص الآية بأهل الكساء وحقّق ما يريده بعناوين متنوّعة، كثيرة لايسعنا نقلها في هذا المقال المطلوب فيه الإيجاز والاختصار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ما يمكن أن يقال في نزول الآية في حق الخمسة سلام اللّه عليهم، ومن أراد التفصيل فليرجع إلى كتب أصحابنا فلهم بحوث تفصيلية حول الآية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دلالة الآية على عصمة أهل البيت عليهم السلام، فهي مبتنية على ثبوت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الرجس أمر يعمّ المعاصي صغيرها وكبيرها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الإرادة تكوينية لا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استعملت هذه اللفظة في الذكر الحكيم ثمان مرّات ووصف بها الخمر، والميسر، والأنصاب، والأزلام، والكافر غير المؤمن باللّه، والميتة، والدم المسفوح، ولحم الخنزير، والأوثان، وقول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فالجامع بينها القذارة الّتي تتنفّر منها النفوس؛ سواء أكانت مادّية كما في مورد اللحوم، أم معنوية كما هوالحال في الكافر وعابد الوثن ووثنه، فالجامع بينهما هي الأعمال القبيحة عرفاً أو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من الرجاسة وهي القذارة، والقذارة هيئة في النفس توجب التجنّب والتنفّر منها، وهي تكون تارة بحسب ظاهر الشيء كرجاسة الخنزير،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لَحْمَ خِنزِيرٍ فَإِنَّهُ رِجْسٌ‌</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وبحسب باطنه أُخرى، وهي الرجاسة والقذارة المعنوية كالشرك والكفر وأثر العمل السيّئ،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 كَذلِكَ يَجْعَلُ اللّهُ الرِّجْسَ عَلَى الَّذِينَ لا يُؤْمِنُونَ‌</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وأيّاً ما كان فهو إدراك نفساني وأثر شعوري يحدث من تعلّق القلب بالاعتقاد الباطل أو العمل السيّئ، وإذهاب الرجس عبارة عن إزالة كلّ هيئة خبيثة في النفس تضاد حق الاعتقاد والعمل، وعند ذلك يكون إذهاب الرجس معادلاً للعصمة الإلهية الّتي هي صورة علمية نفسانية، تحفظ الإنسان من باطل الاعتقاد</w:t>
      </w:r>
    </w:p>
    <w:p>
      <w:pPr>
        <w:pStyle w:val="BookText"/>
        <w:rPr/>
      </w:pPr>
      <w:r>
        <w:rPr>
          <w:rFonts w:ascii="Amiri" w:hAnsi="Amiri" w:eastAsia="Amiri" w:cs="Amiri"/>
          <w:color w:val="111111"/>
          <w:sz w:val="28"/>
          <w:sz w:val="28"/>
          <w:szCs w:val="28"/>
          <w:rtl w:val="true"/>
          <w:lang w:bidi="ar-SA"/>
        </w:rPr>
        <w:t>وسيّئ العمل</w:t>
      </w:r>
      <w:r>
        <w:rPr>
          <w:rStyle w:val="FootnoteAnchor"/>
          <w:rtl w:val="true"/>
        </w:rPr>
        <w:footnoteReference w:id="178"/>
      </w:r>
      <w:r>
        <w:rPr>
          <w:rFonts w:ascii="Amiri" w:hAnsi="Amiri" w:eastAsia="Amiri" w:cs="Amiri"/>
          <w:color w:val="111111"/>
          <w:sz w:val="28"/>
          <w:sz w:val="28"/>
          <w:szCs w:val="28"/>
          <w:rtl w:val="true"/>
          <w:lang w:bidi="ar-SA"/>
        </w:rPr>
        <w:t>، 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الإرادة تكوينية لاتشريعية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انقسام إرادته سبحانه إلى تكوينية وتشريعية أمر واضح، أمّا الأُولى فهي ما تتعلّق بإيجاد الشيء، ومنها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وأمّا الثانية فهي ما إذا تعلّقت إرادته بتشريع حكم من الأحكام وبعث الناس إلى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التكوينية لا تنفك عن المراد، بخلاف التشريعية فإنّها لغاية بعث الناس إلى الفعل أو الترك مخيّرين بين الطاعة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الإرادة المتعلّقة بإذهاب الرجس عن أهل البيت بالخصوص تكوينية، إذ لو كانت تشريعية لما اختصّت بطائفة دون طائفة؛ لأنّ الهدف الأسمى من بعث الأنبياء هو تطهير عامّة الناس عن الذنوب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يُرِيدُ لِيُطَهِّرَكُمْ وَ لِيُتِمَّ نِعْمَتَهُ عَلَيْكُمْ لَعَلَّكُمْ تَشْكُرُونَ‌</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تعلّق الإرادة بجمع خاص يمنع من تفسير الإرادة بالإرادة التشريعية الّتي عمّت الأُمّة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الإرادة تشريعية لما احتاج إلى إبراز العناية بصور مختلفة كالتي وردت في الآية، فإليك بيان تلك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سبحانه كلامه بلفظ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 إذا كانت الإرادة تشريعية، لأنّها غير محصورة بأُناس مخصوصين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تعالى متعلّق إرادته بصورة الاختصاص،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أخصّكم أهل البيت</w:t>
      </w:r>
      <w:r>
        <w:rPr>
          <w:rFonts w:eastAsia="Amiri" w:cs="Amiri" w:ascii="Amiri" w:hAnsi="Amiri"/>
          <w:color w:val="111111"/>
          <w:sz w:val="28"/>
          <w:szCs w:val="28"/>
          <w:rtl w:val="true"/>
          <w:lang w:bidi="ar-SA"/>
        </w:rPr>
        <w:t>.</w:t>
      </w:r>
      <w:bookmarkStart w:id="181" w:name="pg16776_178870"/>
    </w:p>
    <w:p>
      <w:pPr>
        <w:pStyle w:val="BookText"/>
        <w:rPr/>
      </w:pPr>
      <w:bookmarkEnd w:id="181"/>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متعلّق إرادته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لِيُذْهِبَ عَنْكُمُ الرِّجْسَ 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أكّده أيضاً بالإتيان بمصدره بعد الفعل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أوفى في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أتى بالمصدر نكرة، ليدلّ على الإكبار والإعجاب، أي تطهيراً عظيماً معجباً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في مقام المدح والثناء، فلو كانت الإرادة إرادة تشريعية لما ناسب الثناء والمدح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العناية البارزة في الآية تدلّ بوضوح على أنّ الإرادة هناك غير الإرادة العامّة المتعلّقة بكلّ إنسان حاضر أو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 إرادته سبحانه بتنزيههم عن القبيح والعصيان كما تعلّقت إرادته بعصمة الأنبياء عن الذنب والعصيان، وقد ثبت في محلّه أنّ العصمة لا تخالف الاختيار، وذلك لأنّ القدرة والتمكّن على من فعل المعصية ثابتان للمعصوم، إلّاأنّ العصمة تصدّه عن ذلك، فهذا يوسف عليه السلام كان قادراً على ارتكاب الفاحشة إلّاأنّ عصمته منعته عن ذلك، وبهذا استحق الثناء والمدح</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070803_73709187"/>
      <w:bookmarkStart w:id="183" w:name="_Toc69"/>
      <w:bookmarkEnd w:id="182"/>
      <w:r>
        <w:rPr>
          <w:rtl w:val="true"/>
        </w:rPr>
        <w:t>شبهتان ضئيلتان</w:t>
      </w:r>
      <w:bookmarkEnd w:id="183"/>
    </w:p>
    <w:p>
      <w:pPr>
        <w:pStyle w:val="BookText"/>
        <w:rPr/>
      </w:pPr>
      <w:r>
        <w:rPr>
          <w:rFonts w:ascii="Amiri" w:hAnsi="Amiri" w:eastAsia="Amiri" w:cs="Amiri"/>
          <w:color w:val="111111"/>
          <w:sz w:val="28"/>
          <w:sz w:val="28"/>
          <w:szCs w:val="28"/>
          <w:rtl w:val="true"/>
          <w:lang w:bidi="ar-SA"/>
        </w:rPr>
        <w:t xml:space="preserve">إنّ السيد محمود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الشرفاء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يناقش دلالة الآية على عصمة أصحاب الكساء بوجهين ضعيفين لايليقان بساحته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لا تدلّ على عصمتهم، بل لها دلالة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يقال في حقّ مَن 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أُطهّرك، ضرورة امتناع تحصيل الحاصل، غاية ما في الباب أنّ كون هؤلاء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محفوظين من</w:t>
      </w:r>
    </w:p>
    <w:p>
      <w:pPr>
        <w:pStyle w:val="BookText"/>
        <w:rPr/>
      </w:pPr>
      <w:r>
        <w:rPr>
          <w:rFonts w:ascii="Amiri" w:hAnsi="Amiri" w:eastAsia="Amiri" w:cs="Amiri"/>
          <w:color w:val="111111"/>
          <w:sz w:val="28"/>
          <w:sz w:val="28"/>
          <w:szCs w:val="28"/>
          <w:rtl w:val="true"/>
          <w:lang w:bidi="ar-SA"/>
        </w:rPr>
        <w:t>الرجس والذنوب بعد تعلّق الإرادة بإذهاب رجسهم، يثبت بالآية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من أصحاب الكساء والداخل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ما ذكره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لم يكن متطهّراً من الرجس قبل هذه الآية وإنّما صار كذلك بعد نزولها، وهو خلاف ما اتّفق عليه المسلمون من عصمته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الإذهاب تارة يطلق ويراد به إذهاب الشيء بعد وجوده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 وَ يُذْهِبَ عَنْكُمْ رِجْزَ الشَّيْطانِ‌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وأُخرى يطلق ويراد حسم أسباب الرجس وإذهاب المقتضي، لا رفعه بعد وجوده، ونعم ما ذكره الزمخشري حيث قال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لئلّا يقارف أهل بيت رسول اللّه المآثم وليتصونوا عنها بالتقوى</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تعلّقت إرادته التكوينية بعصمتهم، فيتحقّق عندها الفعل، فعندئذٍ فأي حاجة لدعاء النبي صلى الله عليه و آله و سلم في حقّهم حيث 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أهل بيتي فأذهب عنهم الرجس وطهّرهم تطهيراً، إذ عندئذٍ يكون أشبه بحصول واجب الحصول</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دعاء النبي صلى الله عليه و آله و سلم إنّما هو للاستمرار، نظير قوله سبحانه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فإنّ معناه طلب استمرار الهداية من اللّه سبحانه، وهكذا دعاء النبي طلب استمرار الطهارة لأهل بيته في المستقبل أيضاً، إذ من المحتمل أن تتعلّق إرادته سبحانه بفترة خاصّة دون عامّة الفترات، فالنبي صلى الله عليه و آله و سلم</w:t>
      </w:r>
      <w:bookmarkStart w:id="184" w:name="pg16776_178872"/>
    </w:p>
    <w:p>
      <w:pPr>
        <w:pStyle w:val="BookText"/>
        <w:rPr/>
      </w:pPr>
      <w:bookmarkEnd w:id="184"/>
      <w:r>
        <w:rPr>
          <w:rFonts w:ascii="Amiri" w:hAnsi="Amiri" w:eastAsia="Amiri" w:cs="Amiri"/>
          <w:color w:val="111111"/>
          <w:sz w:val="28"/>
          <w:sz w:val="28"/>
          <w:szCs w:val="28"/>
          <w:rtl w:val="true"/>
          <w:lang w:bidi="ar-SA"/>
        </w:rPr>
        <w:t>طلب من اللّه شمولها لعامّة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الطباطبائي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عَنِّي كَيْدَهُنَّ أَصْبُ إِلَيْهِنَّ وَ أَكُنْ مِنَ الْجاهِلِينَ‌</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القوة القدسية التي استعصم بها يوسف عليه السلام كانت كأمر تدريجي يفيض عليه آناً بعد آن من جانب اللّه سبحانه وليست بالأمر الدفعي المفروغ عنه، وإلّا لانقطعت الحاجّة إليه تعالى، ولذا 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تَصْرِفْ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تصرف عني</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الممكن في وجوده وبقائه قائم باللّه سبحانه فهو في حدوثه رهن العلّة، وهكذا في بقائه لأنّه في حدّ الذات لايملك شيئاً فلذلك هو في كل آن رهن الإفاضة من اللّه سبحانه إليه، وهذا هو المصحّح لدعاء النبيّ صلى الله عليه و آله و سلم لاستمرار تلك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هذه الإشكالات كانت واضحة الجواب عند السيد الآلوسي ولكنّ رأيه المسبق في أئمة أهل البيت عليهم السلام أوجد تلك الأفكار في ذهنه</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7070805_73709187"/>
      <w:bookmarkStart w:id="186" w:name="_Toc70"/>
      <w:bookmarkEnd w:id="185"/>
      <w:r>
        <w:rPr>
          <w:rtl w:val="true"/>
        </w:rPr>
        <w:t>سؤال وإجابة</w:t>
      </w:r>
      <w:bookmarkEnd w:id="186"/>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على فرض دلالتها على العصمة إنّما تدلّ على عصمتهم من العصيان، وأمّا عصمتهم من الخطأ فالآية غير ناظرة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المفسّرين عمّم الرجس على الفكر الخاطئ في ذهن الإنسان، وبذلك جعل الآية دالّة على العصمة في كلا الموقفين</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يمكن الإجابة بالقول بالملازمة بين العصمة من الذنوب والعصمة من الخطأ بالبيان التالي</w:t>
      </w:r>
      <w:r>
        <w:rPr>
          <w:rFonts w:eastAsia="Amiri" w:cs="Amiri" w:ascii="Amiri" w:hAnsi="Amiri"/>
          <w:color w:val="111111"/>
          <w:sz w:val="28"/>
          <w:szCs w:val="28"/>
          <w:rtl w:val="true"/>
          <w:lang w:bidi="ar-SA"/>
        </w:rPr>
        <w:t>:</w:t>
      </w:r>
      <w:bookmarkStart w:id="187" w:name="pg16776_178873"/>
    </w:p>
    <w:p>
      <w:pPr>
        <w:pStyle w:val="BookText"/>
        <w:rPr/>
      </w:pPr>
      <w:bookmarkEnd w:id="187"/>
      <w:r>
        <w:rPr>
          <w:rFonts w:ascii="Amiri" w:hAnsi="Amiri" w:eastAsia="Amiri" w:cs="Amiri"/>
          <w:color w:val="111111"/>
          <w:sz w:val="28"/>
          <w:sz w:val="28"/>
          <w:szCs w:val="28"/>
          <w:rtl w:val="true"/>
          <w:lang w:bidi="ar-SA"/>
        </w:rPr>
        <w:t>إنّ الهدف الأسمى من وصف أهل البيت عليهم السلام بالعصمة ليس إلّااتّخاذ الأُمّة لهم أُسوة على الصعيد الفردي والاجتماعي، ومعنى ذلك كونهم معصومين من جميع الجوانب، وإلّا فلو كانوا يخطأون في بعض الأحيان لما صحّ جعلهم أُسوة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عليهم السلام أُسوة قولاً وفعلاً، ومعنى ذلك كونهم مصيبين في مجالي القول والفعل</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7070807_73709187"/>
      <w:bookmarkStart w:id="189" w:name="_Toc71"/>
      <w:bookmarkEnd w:id="188"/>
      <w:r>
        <w:rPr>
          <w:rtl w:val="true"/>
        </w:rPr>
        <w:t>الآية الثانية</w:t>
      </w:r>
      <w:r>
        <w:rPr>
          <w:rtl w:val="true"/>
        </w:rPr>
        <w:t xml:space="preserve">: </w:t>
      </w:r>
      <w:r>
        <w:rPr>
          <w:rtl w:val="true"/>
        </w:rPr>
        <w:t>آية طاعة أُولي الأمر</w:t>
      </w:r>
      <w:bookmarkEnd w:id="18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عطف أُولي الأمر على الرسول صلى الله عليه و آله و سلم وأشرك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الرسول وأُولي الأمر منكم، ومن المعلوم إنّ إطاعة الرسول غير مقيّدة بشيء لأنّه معصوم لا يأمر إلّابالحق وما فيه رضا اللّه تعالى، فاقتضى أن يكون أُولو الأمر كذلك أيضاً فتجب إطاعتهم مطلقاً، ومن كان كذلك فهو معصوم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فصغه في قالب الكبرى والصغرى،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أُولو الأمر مَن وجبت إطاعتهم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وجبت إطاعتهم مطلقاً فهم معصومون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الأمر معصومون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لا كلام فيه، فقد اعترف بما ذكرنا الفخر الرازي في تفسيره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أمر بطاعة أُولي الأمر على سبيل الجزم في هذه الآية، ومن أمر اللّه بطاعته على سبيل الجزم والقطع لابد أن يكون معصوماً عن الخطأ، إذ لو لم يكن معصوماً عن الخطأ كان بتقدير إقدامه على الخطأ يكون قد أمر اللّه بمتابعته فيكون ذلك أمراً بفعل ذلك الخطأ، والخطأ لكونه خطأ منهيّ عنه، فهذا يفضي إلى اجتماع الأمر والنهي في الفعل الواحد بالاعتبارالواحد، وأنّه محال، 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ثم إنّ بعض المفسّرين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الأمراء والسلاطين، ومن المعلوم أنّ أُولئك غير معصومين، بل أكثرهم من الفسقة والفجرة الذين يتعاملون بحقوق الشعوب بالحرمان والعصيان، وبعضهم فسّره بالعلماء من أهل الحلّ والعقد، وهذا أيضاً كالتفسير السابق إذ ليسوا بمعصومين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تفسيرهم بالخلفاء الراشدين فغير تامّ جدّاً؛ لأنّه يستلزم اختصاص الآية بفترة خاصّة لا تتجاوز الأربعين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المفسّر المحقّق أن يتحرّى عن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فلامعنى لأن يأمر اللّه سبحانه بإطاعة أُولي الأمر ولكنّه لم 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يجب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عبارة عن الخلفاء الاثني عشر الذين عرّفهم الرسول صلى الله عليه و آله و سلم بتعابير مختلفة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في الصحيح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أحاديث الأئمة الاثني عشر من الروايات الواردة في صحيحي البخاري ومسلم بطرق وصور مختلفة، كلّها تحكي عن أنّ النبي صلى الله عليه و آله و سلم أخبر عن اثني عشر خليفة من بعده، بهم أُنيط عز الإسلام وقوامه، وبما أنّ المقال لا يسع لنقل هذه الروايات فللطالب أن يرجع إلى الصحيحين</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وقد مرّ أن تفسير أُولي الأمر بالخلفاء الراشدين يستلزم اختصاص الآية بفترة معيّنة ولكن تفسيره بالأئمة الاثني عشر يلازم استمرار وجود أُولي الأمر، فإنّ الإمام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ابن الحسن المنتظر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يرزق سيظهره اللّه تعالى في آخر الزمان ليملأ الأرض قسطاً وعدلاً، كما ورد في المصادر الحديثية للفريقين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الإمام أحمد في مسنده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واحد لبعث اللّه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داود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أبو داود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الدليل القرآني على عصمة أهل البيت، بقي الكلام</w:t>
      </w:r>
      <w:bookmarkStart w:id="190" w:name="pg16776_178876"/>
    </w:p>
    <w:p>
      <w:pPr>
        <w:pStyle w:val="BookText"/>
        <w:rPr/>
      </w:pPr>
      <w:bookmarkEnd w:id="190"/>
      <w:r>
        <w:rPr>
          <w:rFonts w:ascii="Amiri" w:hAnsi="Amiri" w:eastAsia="Amiri" w:cs="Amiri"/>
          <w:color w:val="111111"/>
          <w:sz w:val="28"/>
          <w:sz w:val="28"/>
          <w:szCs w:val="28"/>
          <w:rtl w:val="true"/>
          <w:lang w:bidi="ar-SA"/>
        </w:rPr>
        <w:t>في ما ورد في السنّة الشريفة من دلائل عصمتهم</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7070809_73709187"/>
      <w:bookmarkStart w:id="192" w:name="_Toc72"/>
      <w:bookmarkEnd w:id="191"/>
      <w:r>
        <w:rPr>
          <w:rtl w:val="true"/>
        </w:rPr>
        <w:t>البحث الثاني</w:t>
      </w:r>
      <w:r>
        <w:rPr>
          <w:rtl w:val="true"/>
        </w:rPr>
        <w:t xml:space="preserve">: </w:t>
      </w:r>
      <w:r>
        <w:rPr>
          <w:rtl w:val="true"/>
        </w:rPr>
        <w:t>عصمة أهل البيت عليهم السلام في السنّة النبوية</w:t>
      </w:r>
      <w:bookmarkEnd w:id="192"/>
    </w:p>
    <w:p>
      <w:pPr>
        <w:pStyle w:val="Heading5"/>
        <w:numPr>
          <w:ilvl w:val="4"/>
          <w:numId w:val="1"/>
        </w:numPr>
        <w:rPr/>
      </w:pPr>
      <w:bookmarkStart w:id="193" w:name="__RefHeading___Toc7070811_73709187"/>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لقد جاء ذكر أهل البيت وعترته عليهم السلام على لسان النبي صلى الله عليه و آله و سلم بعبارات تدلّ على أنّهم لايفارقون الحق ولايميلون إلى الباطل، وقد ورد ذلك المضمون في روايات متعدّدة نخصّ بالذكر منها اثنتين وهما</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7070813_73709187"/>
      <w:bookmarkStart w:id="196" w:name="_Toc74"/>
      <w:bookmarkEnd w:id="195"/>
      <w:r>
        <w:rPr/>
        <w:t>1</w:t>
      </w:r>
      <w:r>
        <w:rPr>
          <w:rtl w:val="true"/>
        </w:rPr>
        <w:t xml:space="preserve">. </w:t>
      </w:r>
      <w:r>
        <w:rPr>
          <w:rtl w:val="true"/>
        </w:rPr>
        <w:t>حديث الثقلين</w:t>
      </w:r>
      <w:bookmarkEnd w:id="196"/>
    </w:p>
    <w:p>
      <w:pPr>
        <w:pStyle w:val="BookText"/>
        <w:rPr/>
      </w:pPr>
      <w:r>
        <w:rPr>
          <w:rFonts w:ascii="Amiri" w:hAnsi="Amiri" w:eastAsia="Amiri" w:cs="Amiri"/>
          <w:color w:val="111111"/>
          <w:sz w:val="28"/>
          <w:sz w:val="28"/>
          <w:szCs w:val="28"/>
          <w:rtl w:val="true"/>
          <w:lang w:bidi="ar-SA"/>
        </w:rPr>
        <w:t>إنّ النبي الأكرم صلى الله عليه و آله و سلم قرن عترته بالكتاب الكريم وجعل التمسّك بهما سبباً لعدم ضلال الأُمّة، ومن المعلوم أنّ القرآن لايأتيه الباطل لا من بين يديه ولا من خلفه، فما فيه عين الحق وحق اليقين، فإذن يكون قرينه الذي لا يفترق عنه، مثله، وهذا ما يعبّر عنه بحديث الثقلين لوروده في بعض المتون، وهانحن نذكر الصور المختلفة المتنوعّة من هذا الحديث الذي نادى به النبي صلى الله عليه و آله و سلم في مواضع مختلفة، ولعلّ الاختلاف في بعض الألفاظ نابع من إيراده في ظروف متعدّدة، وإليك صور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حجّة الوداع ونزل غدير خم أمر بدوحات فقممن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كأنّي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وعترتي،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إنّي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تركت فيكم ما إن تمسكتم به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تارك فيكم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أو ما بين السماء إلى الأرض، وعترتي أهل بيتي،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وقد اقتصرنا في نقل المصادر بالأقل القليل من الكثير وإلّا فمصادر الحديث كثيرة تناهز العشرات، وقد ألّف غير واحد من أصحابنا كتباً في أسانيد الحديث وتضافره بل تواتره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علينا أن نركّز على ما رامه النبي الأكرم صلى الله عليه و آله و سلم من الوصاية بهما،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قد حكم في حديث الثقلين عن وجود التلازم بين عترته أهل بيته وبين الكتاب العزيز وأوصى المسلمين بالتمسّك بهما معاً مصطحبين، ليتجنّبوا الوقوع في الضلالة، وأشار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أنّهما بمنزلة التوأمين الخليفتين عنه صلى الله عليه و آله و سلم، وهذا يقتضي أن يكون أهل البيت عليهم السلام مقارنين للكتاب في الوجود والحجّة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أنّه لابدّ في كلّ عصر، في جملة أهل البيت، من حجّة معصوم مأمون يقطع على صحّة قوله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ما ذكرنا أنّه ورد في ذيل بعض الروايات أنّ النبي صلى الله عليه و آله و سلم</w:t>
      </w:r>
      <w:bookmarkStart w:id="197" w:name="pg16776_178878"/>
    </w:p>
    <w:p>
      <w:pPr>
        <w:pStyle w:val="BookText"/>
        <w:rPr/>
      </w:pPr>
      <w:bookmarkEnd w:id="197"/>
      <w:r>
        <w:rPr>
          <w:rFonts w:ascii="Amiri" w:hAnsi="Amiri" w:eastAsia="Amiri" w:cs="Amiri"/>
          <w:color w:val="111111"/>
          <w:sz w:val="28"/>
          <w:sz w:val="28"/>
          <w:szCs w:val="28"/>
          <w:rtl w:val="true"/>
          <w:lang w:bidi="ar-SA"/>
        </w:rPr>
        <w:t>بعدماذكر أنّه مخلّف كتاب اللّه وعترته أهل بيته، أخذ بيد علي عليه السلام ورفعها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والقرآن مع علي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أفيشك في عصمة القرآن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لا يشكّ في عصمة مَن لا يفارقه</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7070815_73709187"/>
      <w:bookmarkStart w:id="199" w:name="_Toc75"/>
      <w:bookmarkEnd w:id="198"/>
      <w:r>
        <w:rPr/>
        <w:t>2</w:t>
      </w:r>
      <w:r>
        <w:rPr>
          <w:rtl w:val="true"/>
        </w:rPr>
        <w:t xml:space="preserve">. </w:t>
      </w:r>
      <w:r>
        <w:rPr>
          <w:rtl w:val="true"/>
        </w:rPr>
        <w:t>حديث السفينة</w:t>
      </w:r>
      <w:bookmarkEnd w:id="199"/>
    </w:p>
    <w:p>
      <w:pPr>
        <w:pStyle w:val="BookText"/>
        <w:rPr/>
      </w:pPr>
      <w:r>
        <w:rPr>
          <w:rFonts w:ascii="Amiri" w:hAnsi="Amiri" w:eastAsia="Amiri" w:cs="Amiri"/>
          <w:color w:val="111111"/>
          <w:sz w:val="28"/>
          <w:sz w:val="28"/>
          <w:szCs w:val="28"/>
          <w:rtl w:val="true"/>
          <w:lang w:bidi="ar-SA"/>
        </w:rPr>
        <w:t>تضافرت الروايات عن النبي الأكرم صلى الله عليه و آله و سلم أنّه شبّه أهل بيته بسفينة نوح، وقال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 وإنّما مثل أهل بيتي فيكم مثل باب حطّة في بني اسرائيل من دخله غُفر له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إنّ حديث السفينة من الأحاديث المتواترة عند المحدّثين ولايسعنا نقل مصادره، ولمن أراد المزيد الرجوع إلى كتاب المراجعات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يقول السيد شرف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المراد بتشبيههم بسفينة نوح، أنّ مَن لجأ إليهم في الدين فأخذ فروعه وأُصوله عن أئمتهم الميامين نجا من عذاب النار، ومَن تخلّف عنهم كان كمن آوى يوم الطوفان إلى جبل ليعصمه من أمر اللّه، غير أنّ ذاك غرق في الماء وهذا في الجحيم والعياذ باللّه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تشبيههم عليهم السلام بباب حطّة هو أنّ اللّه تعالى جعل ذلك الباب</w:t>
      </w:r>
    </w:p>
    <w:p>
      <w:pPr>
        <w:pStyle w:val="BookText"/>
        <w:rPr/>
      </w:pPr>
      <w:r>
        <w:rPr>
          <w:rFonts w:ascii="Amiri" w:hAnsi="Amiri" w:eastAsia="Amiri" w:cs="Amiri"/>
          <w:color w:val="111111"/>
          <w:sz w:val="28"/>
          <w:sz w:val="28"/>
          <w:szCs w:val="28"/>
          <w:rtl w:val="true"/>
          <w:lang w:bidi="ar-SA"/>
        </w:rPr>
        <w:t>مظهراً من مظاهر التواضع لجلاله والخضوع لحكمه، وبهذا كان سبباً للمغفرة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انقياد هذه الأُمّة لأهل نبيّها والاتّباع لأئمتهم مظهراً من مظاهر التواضع لجلاله والبخوع لحكمه، وبهذا كان سبباً للمغفرة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وجه الشبه، وقد بيّنه ابن حجر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هذا الحديث وغيره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تشبيههم بالسفينة أنّ مَن أحبّهم وعظّمهم شكراً لنعمة مشرّفهم، وأخذ بهدي علمائهم نجا من ظلمة المخالفات، ومَن تخلّف عن ذلك غرق في بحر كفر النعم، وهلك في مفاوز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تشبيههم بباب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جعل دخول ذلك الباب الذي هو باب أريحا أو بيت المقدس مع التواضع والاستغفار سبباً للمغفرة، وجعل لهذه الأُمة مودّة أهل البيت سبباً لها</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سمح به الوقت وجاد به الفكر، وآخر دعوانا أن الحمد للّه رب العالمين</w:t>
      </w:r>
      <w:r>
        <w:rPr>
          <w:rFonts w:eastAsia="Amiri" w:cs="Amiri" w:ascii="Amiri" w:hAnsi="Amiri"/>
          <w:color w:val="111111"/>
          <w:sz w:val="28"/>
          <w:szCs w:val="28"/>
          <w:rtl w:val="true"/>
          <w:lang w:bidi="ar-SA"/>
        </w:rPr>
        <w:t>.</w:t>
      </w:r>
      <w:bookmarkStart w:id="200" w:name="pg16776_178880"/>
    </w:p>
    <w:p>
      <w:pPr>
        <w:pStyle w:val="Heading3"/>
        <w:numPr>
          <w:ilvl w:val="2"/>
          <w:numId w:val="1"/>
        </w:numPr>
        <w:rPr/>
      </w:pPr>
      <w:bookmarkStart w:id="201" w:name="__RefHeading___Toc7070817_73709187"/>
      <w:bookmarkStart w:id="202" w:name="_Toc76"/>
      <w:bookmarkEnd w:id="200"/>
      <w:bookmarkEnd w:id="201"/>
      <w:r>
        <w:rPr/>
        <w:t>7</w:t>
      </w:r>
      <w:r>
        <w:rPr>
          <w:rtl w:val="true"/>
        </w:rPr>
        <w:t xml:space="preserve">. </w:t>
      </w:r>
      <w:r>
        <w:rPr>
          <w:rtl w:val="true"/>
        </w:rPr>
        <w:t>تفسير القرآن بالقرآن منهج مؤيّد بالقرآن والسنّة</w:t>
      </w:r>
      <w:bookmarkEnd w:id="202"/>
    </w:p>
    <w:p>
      <w:pPr>
        <w:pStyle w:val="Heading4"/>
        <w:numPr>
          <w:ilvl w:val="3"/>
          <w:numId w:val="1"/>
        </w:numPr>
        <w:rPr/>
      </w:pPr>
      <w:bookmarkStart w:id="203" w:name="__RefHeading___Toc7070819_73709187"/>
      <w:bookmarkStart w:id="204" w:name="_Toc77"/>
      <w:bookmarkEnd w:id="203"/>
      <w:r>
        <w:rPr>
          <w:rtl w:val="true"/>
        </w:rPr>
        <w:t>اشارة</w:t>
      </w:r>
      <w:bookmarkEnd w:id="20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بالقرآن منهج مؤيّد بالقرآن والسنّة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لتفسير الكتاب العزيز مناهج مختلفة، ومن تلك المناهج رفع إبهام الآية بآية أُخرى، وهذا شيء يصدّقه القرآن الكريم والسنّة النبوية والحديث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الكريم فيكفي في ذلك ما نتلوه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فإذا كان الكتاب تبياناً لكلّ شيء فحاشا أن لا يكون تبياناً لنفسه بأن يُستوضح معنى الآية بآية أُخرى وردتا في موضوع واحد في سور مختلفة،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إِلَيْكُمْ نُوراً مُبِيناً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ومقتضى كون القرآن نوراً أن يكون ظاهراً بنفسه مظهراً لغيره، فهل يعقل أن يكون مظهراً لغيره دون نفسه‌؟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عَلَيْكَ الْكِتابَ مِنْهُ آياتٌ مُحْكَماتٌ هُنَّ أُمُّ الْكِتابِ وَ أُخَرُ مُتَشابِهاتٌ‌</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فالآيات المتشابهة بردّها إلى المحكمات تصير</w:t>
      </w:r>
    </w:p>
    <w:p>
      <w:pPr>
        <w:pStyle w:val="BookText"/>
        <w:rPr/>
      </w:pPr>
      <w:r>
        <w:rPr>
          <w:rFonts w:ascii="Amiri" w:hAnsi="Amiri" w:eastAsia="Amiri" w:cs="Amiri"/>
          <w:color w:val="111111"/>
          <w:sz w:val="28"/>
          <w:sz w:val="28"/>
          <w:szCs w:val="28"/>
          <w:rtl w:val="true"/>
          <w:lang w:bidi="ar-SA"/>
        </w:rPr>
        <w:t>واضحة المعنى، 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يصف القرآن بالأوصاف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وهذه الآيات عند التدبّر لا تبقي شكّاً بأنّ من أحد المناهج لرفع إبهام الآيات ضمّ آية إلى آية واردتين في موضع واحد واستيضاح إحداهما بالأُخرى إذا كانتا مختلفتي الدلالة من حيث الخفاء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فقد روي عن النبي الأكرم صلى الله عليه و آله مرسلاً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يصدّق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الإمام أمير المؤمنين علي عليه السلام في كلام له يصف فيه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تبصرون به وتنطقون به وتسمعون به، وينطق بعضه ببعض، ويشهد بعضه على بعض</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ولأجل إيضاح المقصود نأتي بأمثلة يرى الباحث من خلالها أنّه كيف يفسّر بعض الآيات البعض الآخر بلا تكلّف، وإليك تلك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عَلَيْهِمْ مَطَراً فَساءَ مَطَرُ الْمُنْذَرِينَ‌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تحكي أنّه سبحانه أمطر على قوم لوط مطراً وأهلكهم به، وظاهر المطر هو نزول قطرات الماء من السماء، ولكنّ الآية الأُخرى تبيّن ما هو المقصود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عَلَيْهِمْ حِجارَةً مِنْ سِجِّيلٍ‌</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وتبيّن أنّ النازل من السماء هو الأحجار الصغيرة التي تقتل بإذن اللّه كلّ من أصابته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فقهاء الشيعة على أنّ القصر في السفر عزيمة لا رخصة مع أنّ ظاهر الآية هي الثانية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ضَرَبْتُمْ فِي الْأَرْضِ فَلَيْسَ عَلَيْكُمْ جُناحٌ أَنْ تَقْصُرُوا مِنَ الصَّلاةِ‌</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وهذه المشكلة هي التي عرضها تلميذا أبي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فالإمام حلّ العقدة بتفسير تلك الآية بما ورد حول السعي بين الصفا والمروة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قال اللّه عزّ وجلّ في الصفا والمروة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ألا ترون أنّ الطواف بهما واجب مفروض؛ لأنّ اللّه عزّ وجلّ ذكره في كتابه وصنعه نبيّه، وكذلك التقصير في السفر شيء صنعه النبي صلى الله عليه و آله وذكره اللّه في كتابه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نعم يقع الكلام في وجه التعبير عن العزيمة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الآيتين في مقام دفع توهّم الحظر لا في مقام بيان ما هو الحكم الشرعي فإنّه يطلب من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دفع توهّم الحظر في آية الطواف بين الصفا والمروة فيظهر ممّا رواه الطبرسي عن أبي عبد اللّه عليه السلام أنّه كان في عمرة القضاء، وذلك أنّ رسول اللّه صلى الله عليه و آله شرط عليهم أن يرفعوا الأصنام، فتشاغل رجل من أصحابه حتى أُعيدت الأصنام،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والأصنام عليهما</w:t>
      </w:r>
      <w:r>
        <w:rPr>
          <w:rFonts w:eastAsia="Amiri" w:cs="Amiri" w:ascii="Amiri" w:hAnsi="Amiri"/>
          <w:color w:val="111111"/>
          <w:sz w:val="28"/>
          <w:szCs w:val="28"/>
          <w:rtl w:val="true"/>
          <w:lang w:bidi="ar-SA"/>
        </w:rPr>
        <w:t>.</w:t>
      </w:r>
      <w:r>
        <w:rPr>
          <w:rStyle w:val="FootnoteAnchor"/>
          <w:rtl w:val="true"/>
        </w:rPr>
        <w:footnoteReference w:id="21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نفي الحظر في آية التقصير فلعلّه لدفع توهّم أنّ التقصير يورث نقصان الصلاة، فردّ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عَلَيْكُمْ جُناحٌ أَنْ تَقْصُرُوا مِنَ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ففي الآية جهات من البحث،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الكلمات التي أُبتلي بها إبراهيم عليه السلام‌؟</w:t>
      </w:r>
    </w:p>
    <w:p>
      <w:pPr>
        <w:pStyle w:val="BookText"/>
        <w:rPr/>
      </w:pPr>
      <w:r>
        <w:rPr>
          <w:rFonts w:ascii="Amiri" w:hAnsi="Amiri" w:eastAsia="Amiri" w:cs="Amiri"/>
          <w:color w:val="111111"/>
          <w:sz w:val="28"/>
          <w:sz w:val="28"/>
          <w:szCs w:val="28"/>
          <w:rtl w:val="true"/>
          <w:lang w:bidi="ar-SA"/>
        </w:rPr>
        <w:t>وهناك أقوال وآراء ذكرها المفسّرون، وفي المقام آية أُخرى ترفع إبهام تلك الآية فإنّه سبحانه بعد ما أمر إبراهيم بذبح إسماعيل واستسلم ابنه للذبح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أَسْلَما وَ 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نادَيْناهُ أَنْ يا إِبْراهِيمُ 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فالآية الأخيرة تفسّر لنا ما ابتلي به إبراهيم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لَهُوَ الْبَلاءُ الْمُبِينُ‌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أمير المؤمنين عليه السلام استنبط من إقران آية بآية أُخرى أنّ أقل الحمل هو ستة أشهر،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وجعل مدّة الأمرين الحمل والفصال ثلاثون شهراً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أُخرى يحدّد الفصال وهو الرضاع بحولين كاملين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فإذا كانت مدّة الفصال والحمل ثلاثون شهراً وكانت مدّة الرضاع فقط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فالباقي وهو ستة أشهر هو مدّة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والإبهام في الآية واضح، وأنّ هذه الليلة غير محدّدة فهي أي ليلة من الشهور؟ فيرتفع الإبهام إذا وضعناها إلى جنب الآية التالية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وأمّا موضع ليلة القدر فيبيّنه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فمجموع الآيات الثلاث تثبت أنّ القرآن نزل في ليلة القدر التي هي من ليالي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 لِلرَّسُولِ إِذا دَعاكُمْ لِما يُحْيِيكُمْ وَ اعْلَمُوا أَنَّ اللّهَ يَحُولُ بَيْنَ الْمَرْءِ وَ قَلْبِهِ‌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غير أنّ حيلولته سبحانه بين المرء وقلبه يعلوها إبهام وأنّه كيف يحول بينهما؟ فيفسّره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نَسُوا اللّهَ فَأَنْساهُمْ أَنْفُسَهُمْ 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فبإقران الآيتين يعلم أنّ إنساء الذات عبارة أُخرى عن حيلولته بين المرء وقلبه، ومن نسي ذاته فقد أهلك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نَأْتِي الْأَرْضَ نَنْقُصُها مِنْ أَطْرافِها وَ اللّهُ يَحْكُمُ لا مُعَقِّبَ لِحُكْمِهِ وَ هُوَ سَرِيعُ الْحِسابِ‌</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ففي الآية إبهامان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الأرض‌؟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المراد من النقص‌؟</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يتبادر في بادئ النظر أنّ المراد هو الكرة الأرضية بمجموعها، ولكنّه غير صحيح لأنّ الآية الأُخرى تفسّر الأرض بأنّ المراد بها البلد العامر، حيث يحكم سبحانه بنفي المحارب من الأرض ولا يريد إخراجه من الكرة الأرضية بل المراد نفيه وإبعاده عن البلد الذي كان يعيش فيه،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نفيهم من أوطانهم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النقص فقد فسّرته السنّة النبوية بأنّه فقد العلماء</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 .</w:t>
      </w:r>
      <w:r>
        <w:rPr>
          <w:rStyle w:val="FootnoteAnchor"/>
          <w:rtl w:val="true"/>
        </w:rPr>
        <w:footnoteReference w:id="22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فالإبهام موجود في الآية حيث إنّ الأمانة التي عرضت على السماوات والأرض ماهي‌؟ ولكن تفسّره آية أُخرى 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w:t>
      </w:r>
      <w:r>
        <w:rPr>
          <w:rStyle w:val="FootnoteAnchor"/>
          <w:rtl w:val="true"/>
        </w:rPr>
        <w:footnoteReference w:id="230"/>
      </w:r>
      <w:r>
        <w:rPr>
          <w:rFonts w:ascii="Amiri" w:hAnsi="Amiri" w:eastAsia="Amiri" w:cs="Amiri"/>
          <w:color w:val="111111"/>
          <w:sz w:val="28"/>
          <w:sz w:val="28"/>
          <w:szCs w:val="28"/>
          <w:rtl w:val="true"/>
          <w:lang w:bidi="ar-SA"/>
        </w:rPr>
        <w:t>وتبيّن أنّ المراد هو خلافة الإنسان عن اللّه سبحانه التي هي الأمانة الكبرى وضعت على عاتق الإنسان، فمن كان خليفة للّه يجب</w:t>
      </w:r>
    </w:p>
    <w:p>
      <w:pPr>
        <w:pStyle w:val="BookText"/>
        <w:rPr/>
      </w:pPr>
      <w:r>
        <w:rPr>
          <w:rFonts w:ascii="Amiri" w:hAnsi="Amiri" w:eastAsia="Amiri" w:cs="Amiri"/>
          <w:color w:val="111111"/>
          <w:sz w:val="28"/>
          <w:sz w:val="28"/>
          <w:szCs w:val="28"/>
          <w:rtl w:val="true"/>
          <w:lang w:bidi="ar-SA"/>
        </w:rPr>
        <w:t>أن يحكي بصفاته وأفعاله صفات اللّه تعالى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أطلق سبحانه اليد وأبهم المراد منها حيث إنّها تطلق على خصوص الأصابع وعلى خصوص الكفّ وعليه إلى المرافق، وإلى الكتف، فيرتفع الإبهام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حيث إنّ المستفاد منه على أنّ مواضع السجود للّه، وراحة الكفّ من مواضع السجود، وما كان للّه 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حيث أمرنا سبحانه بسلوك صراط جماعة لهم ثلاثة 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الإنعام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كونهم من غير المغضوب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كونهم غير ضالّين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هؤلاء الذين حازوا تلك الصفات فالآية التالية ترفع الإبهام،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bookmarkStart w:id="205" w:name="pg16776_178887"/>
    </w:p>
    <w:p>
      <w:pPr>
        <w:pStyle w:val="BookText"/>
        <w:rPr/>
      </w:pPr>
      <w:bookmarkEnd w:id="205"/>
      <w:r>
        <w:rPr>
          <w:rFonts w:ascii="Amiri" w:hAnsi="Amiri" w:eastAsia="Amiri" w:cs="Amiri"/>
          <w:color w:val="111111"/>
          <w:sz w:val="28"/>
          <w:sz w:val="28"/>
          <w:szCs w:val="28"/>
          <w:rtl w:val="true"/>
          <w:lang w:bidi="ar-SA"/>
        </w:rPr>
        <w:t>هذه نماذج عشرة من تفسير القرآن بالقرآن وتوضيح الآية بأُختها، وهناك أُمور ينبغي التنبيه عليها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7070821_73709187"/>
      <w:bookmarkStart w:id="207" w:name="_Toc78"/>
      <w:bookmarkEnd w:id="206"/>
      <w:r>
        <w:rPr/>
        <w:t>1</w:t>
      </w:r>
      <w:r>
        <w:rPr>
          <w:rtl w:val="true"/>
        </w:rPr>
        <w:t xml:space="preserve">. </w:t>
      </w:r>
      <w:r>
        <w:rPr>
          <w:rtl w:val="true"/>
        </w:rPr>
        <w:t>هل هذا المنهج يهدف إلى كفاية كتاب اللّه‌؟</w:t>
      </w:r>
      <w:bookmarkEnd w:id="207"/>
    </w:p>
    <w:p>
      <w:pPr>
        <w:pStyle w:val="BookText"/>
        <w:rPr/>
      </w:pPr>
      <w:r>
        <w:rPr>
          <w:rFonts w:ascii="Amiri" w:hAnsi="Amiri" w:eastAsia="Amiri" w:cs="Amiri"/>
          <w:color w:val="111111"/>
          <w:sz w:val="28"/>
          <w:sz w:val="28"/>
          <w:szCs w:val="28"/>
          <w:rtl w:val="true"/>
          <w:lang w:bidi="ar-SA"/>
        </w:rPr>
        <w:t>ربّما يتوهّم أنّ تفسير القرآن بالقرآن يؤدّي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تفوّه به عمر بن الخطاب بعد ما طلب النبي صلى الله عليه و آله القلم والدواة ليكتب شيئاً لا تضلّ الأُمّة بعده، فحال هو بين النبي صلى الله عليه و آله والكتابة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نابع من تصوّر أنّ المفسّر يقتصر بهذا المنهج في كشف عامّة معضلات القرآن، مع أنّ هذا المنهج أحد المناهج ولا يغني عن التفسير بالسنّة خصوصاً فيما يرجع إلى آيات الأحكام التي هي بين مجملة بحاجة إلى التبيين، ومطلقة قيّدت في السنّة، وعامّة جاء مخصّصها هناك</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070823_73709187"/>
      <w:bookmarkStart w:id="209" w:name="_Toc79"/>
      <w:bookmarkEnd w:id="208"/>
      <w:r>
        <w:rPr/>
        <w:t>2</w:t>
      </w:r>
      <w:r>
        <w:rPr>
          <w:rtl w:val="true"/>
        </w:rPr>
        <w:t xml:space="preserve">. </w:t>
      </w:r>
      <w:r>
        <w:rPr>
          <w:rtl w:val="true"/>
        </w:rPr>
        <w:t>هل هذا المنهج عبارة عن ضرب القرآن بعضه ببعض‌؟</w:t>
      </w:r>
      <w:bookmarkEnd w:id="20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تفسير الآية بالآية ممّا نهي عنه كما في الرواية المنقولة عن إسماعيل بن جابر عن الصادق عليه السلام حيث إنّه بعدما وصف القرآن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النبي صلى الله عليه و آله علماً باقياً في أوصيائه، فتركهم الناس، وهم الشهداء على أهل كلّ زمان، حتّى عاندوا من أظهر ولاية ولاة الأمر، وطلب علومهم، وذلك أنّهم ضربوا القرآن بعضه ببعض، واحتجّوا بالمنسوخ وهم يظنّون أنّه الناسخ، واحتجّوا بالخاص، وهم يقدّرون أنّه العام، واحتجّوا بأوّل الآية، وتركوا السنّة في تأويلها، ولم ينظروا إلى ما يفتح الكلام، وإلى ما يختمه، ولم يعرفوا موارده ومصادره، إذ لم يأخذوه عن أهله، فضلّوا وأضلّوا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أجنبية عن الموضوع فإنّها ناظرة إلى مَن عاند مَن أظهر ولاية ولاة الأمر وطلب علومهم وهم فقهاء الشيعة ومحدّثيهم، ثم إنّ هؤلاء بعد ما عاندوهم رجعوا إلى القرآن ليفسّروه بضرب بعضه ببعض، وأمّا ما هو المراد من الضرب فتفسّره الجمل التالية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بالمنسوخ وهم يظنّون أنّه الناسخ، واحتجّوا بالخاص وهم يظنّون أنّه العام، واحتجّوا بأوّل الآية وغفلوا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أنّهم تركوا السنّة في تفسير القرآن، إلى غير ذلك من الأُمور التي هي من سمات المعرضين عن أئمّة أهل البيت عليهم السلام دون من أناخ مطيّته في أبوابهم، ومع ذلك استنار ببعض الآيات في رفع الإبهام عن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تفسير الآيات بالآيات ليس شيئاً بديعاً، فهذا هو العلّامة المجلسي جمع الآيات الواردة في كلّ موضوع في باب خاص وفسّرها ثم نقل أحاديث موضوع الآيات، وما هذا إلّالأنّه يريد رفع إبهام بعض الآيات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فتفسير القرآن بالقرآن يتحقّق على نحو التفسير التجزيئي كما عليه السيد الأُستاذ الطباطبائي رحمه الله كما يتحقّق بالنمط الموضوعي الذي سار على ضوئه العلّامة المجلسي رحمه الله واقتفيناه نحن أيضاً في مشروعنا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العربية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سنح به الوقت وجادت</w:t>
      </w:r>
    </w:p>
    <w:p>
      <w:pPr>
        <w:pStyle w:val="BookText"/>
        <w:rPr/>
      </w:pPr>
      <w:r>
        <w:rPr>
          <w:rFonts w:ascii="Amiri" w:hAnsi="Amiri" w:eastAsia="Amiri" w:cs="Amiri"/>
          <w:color w:val="111111"/>
          <w:sz w:val="28"/>
          <w:sz w:val="28"/>
          <w:szCs w:val="28"/>
          <w:rtl w:val="true"/>
          <w:lang w:bidi="ar-SA"/>
        </w:rPr>
        <w:t>به الذاكرة في يوم الثلاثاء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محرم الحرام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10" w:name="pg16776_178889"/>
    </w:p>
    <w:p>
      <w:pPr>
        <w:pStyle w:val="Heading3"/>
        <w:numPr>
          <w:ilvl w:val="2"/>
          <w:numId w:val="1"/>
        </w:numPr>
        <w:rPr/>
      </w:pPr>
      <w:bookmarkStart w:id="211" w:name="__RefHeading___Toc7070825_73709187"/>
      <w:bookmarkStart w:id="212" w:name="_Toc80"/>
      <w:bookmarkEnd w:id="210"/>
      <w:bookmarkEnd w:id="211"/>
      <w:r>
        <w:rPr/>
        <w:t>8</w:t>
      </w:r>
      <w:r>
        <w:rPr>
          <w:rtl w:val="true"/>
        </w:rPr>
        <w:t xml:space="preserve">. </w:t>
      </w:r>
      <w:r>
        <w:rPr>
          <w:rtl w:val="true"/>
        </w:rPr>
        <w:t>أسئلة حول البسملة وأجوبتها</w:t>
      </w:r>
      <w:bookmarkEnd w:id="212"/>
    </w:p>
    <w:p>
      <w:pPr>
        <w:pStyle w:val="Heading4"/>
        <w:numPr>
          <w:ilvl w:val="3"/>
          <w:numId w:val="1"/>
        </w:numPr>
        <w:rPr/>
      </w:pPr>
      <w:bookmarkStart w:id="213" w:name="__RefHeading___Toc7070827_73709187"/>
      <w:bookmarkStart w:id="214" w:name="_Toc81"/>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إنّ البسملة جزء من كلّ سورة من غير فرق بين سورة الحمد وغيرها،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أكثر الجمهور يعتبرونها جزءاً من سورة الحمد دون سائر السور وللبحث فيه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البسملة زين كلّ فعل وكلام وقد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أمر ذي بال لم يبتدأ ببسم اللّه فهو أبتر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وقد اعتاد المسلمون بابتداء كلّ فعل أو كلام له شأن من الشؤون بالبسلمة، عملاً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 أسئلة حول معنى الآية نطرحها مع أجوبتها</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070829_73709187"/>
      <w:bookmarkStart w:id="216" w:name="_Toc82"/>
      <w:bookmarkEnd w:id="215"/>
      <w:r>
        <w:rPr/>
        <w:t>1</w:t>
      </w:r>
      <w:r>
        <w:rPr>
          <w:rtl w:val="true"/>
        </w:rPr>
        <w:t xml:space="preserve">. </w:t>
      </w:r>
      <w:r>
        <w:rPr>
          <w:rtl w:val="true"/>
        </w:rPr>
        <w:t>ما معنى الباء في قوله</w:t>
      </w:r>
      <w:r>
        <w:rPr>
          <w:rtl w:val="true"/>
        </w:rPr>
        <w:t>: «</w:t>
      </w:r>
      <w:r>
        <w:rPr>
          <w:rtl w:val="true"/>
        </w:rPr>
        <w:t>بسم اللّه</w:t>
      </w:r>
      <w:r>
        <w:rPr>
          <w:rtl w:val="true"/>
        </w:rPr>
        <w:t>»</w:t>
      </w:r>
      <w:r>
        <w:rPr>
          <w:rtl w:val="true"/>
        </w:rPr>
        <w:t>؟</w:t>
      </w:r>
      <w:bookmarkEnd w:id="216"/>
    </w:p>
    <w:p>
      <w:pPr>
        <w:pStyle w:val="BookText"/>
        <w:rPr/>
      </w:pPr>
      <w:r>
        <w:rPr>
          <w:rFonts w:ascii="Amiri" w:hAnsi="Amiri" w:eastAsia="Amiri" w:cs="Amiri"/>
          <w:color w:val="111111"/>
          <w:sz w:val="28"/>
          <w:sz w:val="28"/>
          <w:szCs w:val="28"/>
          <w:rtl w:val="true"/>
          <w:lang w:bidi="ar-SA"/>
        </w:rPr>
        <w:t>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للاستعانة،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المؤمن يستعين باسم اللّه الّذي هو جامع للأسماء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قوله سبحانه في ثنايا سورة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ويؤيّده أيضاً قول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ذي بال لم يبتدأ ببسم اللّه فهو أبتر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الواعي الّذي ينظر بعين المعرفة، يعلم أنّ لكلّ‌</w:t>
      </w:r>
      <w:bookmarkStart w:id="217" w:name="pg16776_178890"/>
    </w:p>
    <w:p>
      <w:pPr>
        <w:pStyle w:val="BookText"/>
        <w:rPr/>
      </w:pPr>
      <w:bookmarkEnd w:id="217"/>
      <w:r>
        <w:rPr>
          <w:rFonts w:ascii="Amiri" w:hAnsi="Amiri" w:eastAsia="Amiri" w:cs="Amiri"/>
          <w:color w:val="111111"/>
          <w:sz w:val="28"/>
          <w:sz w:val="28"/>
          <w:szCs w:val="28"/>
          <w:rtl w:val="true"/>
          <w:lang w:bidi="ar-SA"/>
        </w:rPr>
        <w:t>شيء أسباباً وعللاً، فهو يهيِّئها وعندما يبدأ بالعمل يستفتحه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أستعين باسمك في إنجاز عملي باستعمال هذه المقدّمات والأسباب للحصول على مرادي</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7070831_73709187"/>
      <w:bookmarkStart w:id="219" w:name="_Toc83"/>
      <w:bookmarkEnd w:id="218"/>
      <w:r>
        <w:rPr/>
        <w:t>2</w:t>
      </w:r>
      <w:r>
        <w:rPr>
          <w:rtl w:val="true"/>
        </w:rPr>
        <w:t xml:space="preserve">. </w:t>
      </w:r>
      <w:r>
        <w:rPr>
          <w:rtl w:val="true"/>
        </w:rPr>
        <w:t>ما هو سبب حذف الهمزة عند الكتابة‌؟</w:t>
      </w:r>
      <w:bookmarkEnd w:id="219"/>
    </w:p>
    <w:p>
      <w:pPr>
        <w:pStyle w:val="BookText"/>
        <w:rPr/>
      </w:pPr>
      <w:r>
        <w:rPr>
          <w:rFonts w:ascii="Amiri" w:hAnsi="Amiri" w:eastAsia="Amiri" w:cs="Amiri"/>
          <w:color w:val="111111"/>
          <w:sz w:val="28"/>
          <w:sz w:val="28"/>
          <w:szCs w:val="28"/>
          <w:rtl w:val="true"/>
          <w:lang w:bidi="ar-SA"/>
        </w:rPr>
        <w:t>قد دخل حرف الجر على الاسم، والهمزة فيه همزة وصل تسقط عند التلفّظ، ولكنّها تكتب شأن كلّ همزة وصل؛ فعلى ذلك يجب أن تكتب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الرحمن الرحيم، كما هو الحال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نرى أنّ الأُدباء يكتبون البسملة عند تجرّدها عن الرحمن الرحيم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غيرهم فيكتبون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فالتلفّظ عند الفريقين واحد، والإملاء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اعتذر عن حذف الألف عند الكتابة في التسمية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استعمال تلك الآية المباركة فوق كلّ رسالة، وبداية كلّ عمل، صار سبباً لحذف الهمزة كتابة مثل حذفها تلفّظاً، ولذلك نرى أنّ سليمان عليه السلام كتب إلى بلقيس ملكة سبأ بالنحو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متعلّق الجار مذكوراً تكتب الهمزة، كما في قوله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حيث إنّ الجار متعلّق ب‍</w:t>
      </w:r>
      <w:bookmarkStart w:id="220" w:name="pg16776_178891"/>
    </w:p>
    <w:p>
      <w:pPr>
        <w:pStyle w:val="BookText"/>
        <w:rPr/>
      </w:pPr>
      <w:bookmarkEnd w:id="2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متعلّق الجار محذوفاً، كما في المقام، فتحذف الهمزة تلفّظاً وكتابة، والمفروض أنّ الجار في الآية متعلّق بالمحذوف،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 وأشباهه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7070833_73709187"/>
      <w:bookmarkStart w:id="222" w:name="_Toc84"/>
      <w:bookmarkEnd w:id="221"/>
      <w:r>
        <w:rPr/>
        <w:t>3</w:t>
      </w:r>
      <w:r>
        <w:rPr>
          <w:rtl w:val="true"/>
        </w:rPr>
        <w:t xml:space="preserve">. </w:t>
      </w:r>
      <w:r>
        <w:rPr>
          <w:rtl w:val="true"/>
        </w:rPr>
        <w:t>كيف نستعين بالاسم لا بالذات‌؟</w:t>
      </w:r>
      <w:bookmarkEnd w:id="222"/>
    </w:p>
    <w:p>
      <w:pPr>
        <w:pStyle w:val="BookText"/>
        <w:rPr/>
      </w:pPr>
      <w:r>
        <w:rPr>
          <w:rFonts w:ascii="Amiri" w:hAnsi="Amiri" w:eastAsia="Amiri" w:cs="Amiri"/>
          <w:color w:val="111111"/>
          <w:sz w:val="28"/>
          <w:sz w:val="28"/>
          <w:szCs w:val="28"/>
          <w:rtl w:val="true"/>
          <w:lang w:bidi="ar-SA"/>
        </w:rPr>
        <w:t>هنا 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نستعين باسم اللّه، مع أنّ المستعان هو اللّه سبحانه لا اسمه، فيجب على كلّ مسلم أن يلتجئ إليه لا إلى اسمه، كما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سَأَلَكَ عِبادِي عَنِّي فَإِنِّي قَرِيبٌ أُجِيبُ دَعْوَةَ الدّاعِ إِذا دَعانِ‌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فالمسؤول هو ذاته لا اسمه‌؟</w:t>
      </w:r>
    </w:p>
    <w:p>
      <w:pPr>
        <w:pStyle w:val="BookText"/>
        <w:rPr/>
      </w:pPr>
      <w:r>
        <w:rPr>
          <w:rFonts w:ascii="Amiri" w:hAnsi="Amiri" w:eastAsia="Amiri" w:cs="Amiri"/>
          <w:color w:val="111111"/>
          <w:sz w:val="28"/>
          <w:sz w:val="28"/>
          <w:szCs w:val="28"/>
          <w:rtl w:val="true"/>
          <w:lang w:bidi="ar-SA"/>
        </w:rPr>
        <w:t>ربّما يقال في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لفظة اسم زائدة، فكأنّ القارئ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أستعين،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استعين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باشتمال القرآن على الحروف الزائدة أمر غير صحيح حتّى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فكيف القول باشتماله على كلمة زائدة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بأنّ الاسم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للشخص إذا أُطلق ينتقل الذهن منه إلى المسمّى الخارجي دون أن يدلّ على أمر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سُمّي رجل باسم حسن أو جميل، فإذا أُطلق يتبادر منه نفس المسمّى، سواء أكان حسناً، جميلاً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كون الاسم سبباً للانتقال إلى الفرد الخارجي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للشخص وفي الوقت نفسه بمنزلة الوصف الّذي يحكي عن صفات الجمال والجلال، لأنّه لم يوضع للذات فقط بل للذات الجامعة للصفات العليا، فإذا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العالِم القادر السميع البصير، إلى غير ذلك من الصفات العالية، فهذا النوع من الاسم الّذي هو الوصف الحاكي عن صفات الجلال والجمال، قابل للاستعانة به؛ لأنّ الاستعانة به، كأنّها استعانة بالذات، فكأنّ الإنسان يستعين بالموصوف بصفات الجلال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الاسم بالمعنى الأوّل علَم محض لا دور له سوى إحضار المسمّى في ذهن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وبالمعنى الثاني اسم، لكنّه في الوقت نفسه لا يفتقد معنى الوصفية، ولذلك يحكي عن الصفات الجمالية والجلالية المندرجة تحت ذلك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فالاستعانة بهذا الاسم استعانة بذاته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والجواب متعلّقان بما إذا قلنا بأنّ الباء للاستعانة والمتعلّق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كان 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أبتدئ قراءتي بتسمية اللّه أو أقرأ مبتدئاً بتسمية اللّه،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أقرب للصواب، لأنّا أُمرنا أن نفتتح أُمورنا بتسمية اللّه كما أُمرنا بالتسمية على الأكل والشرب والذبائح، ألا ترى أنّ الذابح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لكان مخالفاً لما أُمر به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فالمؤمن في كلّ حال يذكر اللّه سبحانه بخلاف المنافق، قال سبحانه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223" w:name="pg16776_178893"/>
    </w:p>
    <w:p>
      <w:pPr>
        <w:pStyle w:val="Heading4"/>
        <w:numPr>
          <w:ilvl w:val="3"/>
          <w:numId w:val="1"/>
        </w:numPr>
        <w:rPr/>
      </w:pPr>
      <w:bookmarkStart w:id="224" w:name="__RefHeading___Toc7070835_73709187"/>
      <w:bookmarkStart w:id="225" w:name="_Toc85"/>
      <w:bookmarkEnd w:id="223"/>
      <w:bookmarkEnd w:id="224"/>
      <w:r>
        <w:rPr/>
        <w:t>4</w:t>
      </w:r>
      <w:r>
        <w:rPr>
          <w:rtl w:val="true"/>
        </w:rPr>
        <w:t xml:space="preserve">. </w:t>
      </w:r>
      <w:r>
        <w:rPr>
          <w:rtl w:val="true"/>
        </w:rPr>
        <w:t>ما هو المراد من الاسمين</w:t>
      </w:r>
      <w:r>
        <w:rPr>
          <w:rtl w:val="true"/>
        </w:rPr>
        <w:t xml:space="preserve">: </w:t>
      </w:r>
      <w:r>
        <w:rPr>
          <w:rtl w:val="true"/>
        </w:rPr>
        <w:t>الرحمن الرحيم‌؟</w:t>
      </w:r>
      <w:bookmarkEnd w:id="22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كلاهما من صفات اللّه سبحانه، وأسمائه الحسنى، والكلام يأتي في معنى الرحمة، فالظاهر من الطبرسي أنّها بمعنى النعمة، فقال عند تفسير البسملة وبيان لغتها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وضعا للمبالغة واشتقا من الرحمة وهي النعمة، إلّاأنّ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وعلى هذا فكلا اللفظين بمعنى المنعم مع تفاوت بينهما،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الرحمة بمعنى رقة القلب وتأثّره بما يطرأ عليه من الحوادث المؤلمة، كما لو سمع ببكاء يتيم جائع فيرقّ له قلبه ويقوم بإطعامه، والإنعام عليه، فلو كان هذا اللفظ بمعنى رقّة القلب فلا يمكن وصف اللّه سبحانه به؛ لأنّ رقّة القلب وتأثّره بالحوادث محال على اللّه سبحانه لتنزّهه عن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وصفه سبحانه بالغضب، فإنّ الغضب عبارة عن فوران الدم في القلب يوجب تشنّجاً في أعضاء الإنسان تهيّؤاً للانتقام، واللّه سبحانه فوق ذلك؛ لأنّ الانفعال من صفات المادّة، واللّه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ورد في الذكر الحكيم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بمعنى رقّة القلب، والغضب بمعنى فوران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ونظائرهما واحد، وهو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الغايات واترك المبادئ</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رقّة القلب تكون مبدأً للتفضّل والإحسان، كما أنّ الغضب يكون سبباً لإيقاع العقوبة والتعذيب، فوصفه سبحانه بهما لأجل الغايات، وهو</w:t>
      </w:r>
    </w:p>
    <w:p>
      <w:pPr>
        <w:pStyle w:val="BookText"/>
        <w:rPr/>
      </w:pPr>
      <w:r>
        <w:rPr>
          <w:rFonts w:ascii="Amiri" w:hAnsi="Amiri" w:eastAsia="Amiri" w:cs="Amiri"/>
          <w:color w:val="111111"/>
          <w:sz w:val="28"/>
          <w:sz w:val="28"/>
          <w:szCs w:val="28"/>
          <w:rtl w:val="true"/>
          <w:lang w:bidi="ar-SA"/>
        </w:rPr>
        <w:t>أنّه متفضّل بالإحسان بالنسبة إلى عباده أو آخذ بالعقوبة لمن خالفه وجادله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وصف يكون فيه مبدأٌ مادّي وانفعالي ومع الوصف يكون له غاية تناسب اللّه تبارك وتعالى‌، فوصفه به إنّما هو لأجل النتيجة لا لأجل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الجواب عن كثير من الأوصاف الّتي هي من شؤون الإنسان كالمكر والمخادعة والاستهزاء، ولا يمكن وصفه بها سبحانه، ومع ذلك فقد أُطلقت عليه سبحانه في غير واحدة من الآيات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 وَ 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يُخادِعُونَ اللّهَ وَ هُوَ خادِعُهُمْ‌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 حاكياً عن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إِنّا مَعَكُمْ إِنَّما نَحْنُ مُسْتَهْزِؤُنَ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يَسْتَهْزِئُ بِهِمْ وَ يَمُدُّهُمْ فِي طُغْيانِهِمْ يَعْمَهُونَ‌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المكر والخديعة حرفة العاجز، والاستهزاء عمل النَّوكى‌، غير أنّ وجه وصفه سبحانه بهذه الأفعال إنّما هو لأحد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رعاية للمشاكلة في الكلام، حيث إنّ القائل وصف عمله مكراً واستهزاءً‌، واللّه يعبّر عن ردّ مكرهم وإبطال استهزائهم بنفس عبارة القائل، وهذا من المحسِّنات الكلامية، قال الشاعر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اقترح شيئاً نُجد لك طبخُهُ قلت اطبخوا لي جبّة وقميصا</w:t>
      </w:r>
      <w:r>
        <w:rPr>
          <w:rStyle w:val="FootnoteAnchor"/>
          <w:rtl w:val="true"/>
        </w:rPr>
        <w:footnoteReference w:id="252"/>
      </w:r>
      <w:bookmarkStart w:id="226" w:name="pg16776_178895"/>
    </w:p>
    <w:p>
      <w:pPr>
        <w:pStyle w:val="BookText"/>
        <w:rPr/>
      </w:pPr>
      <w:bookmarkEnd w:id="226"/>
      <w:r>
        <w:rPr>
          <w:rFonts w:ascii="Amiri" w:hAnsi="Amiri" w:eastAsia="Amiri" w:cs="Amiri"/>
          <w:color w:val="111111"/>
          <w:sz w:val="28"/>
          <w:sz w:val="28"/>
          <w:szCs w:val="28"/>
          <w:rtl w:val="true"/>
          <w:lang w:bidi="ar-SA"/>
        </w:rPr>
        <w:t>حيث عبّر عن خياطة الجبّة بالطبخ رعاية للمشاكلة في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منّا حول وصف فعله سبحانه بالمكر والغضب، وهو حذف المبادئ والأخذ بالغايات، فإذا مكر المنافقون فاللّه سبحانه يجعل فعلهم عقيماً من حيث لا يشعرون، ولذا وصف فعله بالمكر أخذاً بالغايات دون المبادئ، وهكذا الاستهزاء فإنّ المستهزئ يريد الحطّ من النبي صلى الله عليه و آله و سلم والمؤمنين في أعين الناس، واللّه سبحانه يجعل فعله بلا أثر على نحو يكون المستهزئ ذليلاً في أعين الناس</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7070837_73709187"/>
      <w:bookmarkStart w:id="228" w:name="_Toc86"/>
      <w:bookmarkEnd w:id="227"/>
      <w:r>
        <w:rPr/>
        <w:t>5</w:t>
      </w:r>
      <w:r>
        <w:rPr>
          <w:rtl w:val="true"/>
        </w:rPr>
        <w:t xml:space="preserve">. </w:t>
      </w:r>
      <w:r>
        <w:rPr>
          <w:rtl w:val="true"/>
        </w:rPr>
        <w:t>ما هو الفرق بين الرحمن والرحيم‌؟</w:t>
      </w:r>
      <w:bookmarkEnd w:id="228"/>
    </w:p>
    <w:p>
      <w:pPr>
        <w:pStyle w:val="BookText"/>
        <w:rPr/>
      </w:pPr>
      <w:r>
        <w:rPr>
          <w:rFonts w:ascii="Amiri" w:hAnsi="Amiri" w:eastAsia="Amiri" w:cs="Amiri"/>
          <w:color w:val="111111"/>
          <w:sz w:val="28"/>
          <w:sz w:val="28"/>
          <w:szCs w:val="28"/>
          <w:rtl w:val="true"/>
          <w:lang w:bidi="ar-SA"/>
        </w:rPr>
        <w:t>إذا كان الوصفان مشتقين من الرحمة فما هو الفرق بينهما، خصوصاً على القول بأنّ كليهما على وزان صيغة المبالغة، نظير فعلان وفعيل‌؟</w:t>
      </w:r>
    </w:p>
    <w:p>
      <w:pPr>
        <w:pStyle w:val="BookText"/>
        <w:rPr/>
      </w:pPr>
      <w:r>
        <w:rPr>
          <w:rFonts w:ascii="Amiri" w:hAnsi="Amiri" w:eastAsia="Amiri" w:cs="Amiri"/>
          <w:color w:val="111111"/>
          <w:sz w:val="28"/>
          <w:sz w:val="28"/>
          <w:szCs w:val="28"/>
          <w:rtl w:val="true"/>
          <w:lang w:bidi="ar-SA"/>
        </w:rPr>
        <w:t>أُجيب عن ذلك بوجوه، نذكر منها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الرحمن من صفاته المختصّة به سبحانه، ولا يستعمل في حقّ الغير،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رحمان بل الصحيح عبدالرحمن، بخلاف الرحيم فيمكن أن يوصف به غيره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الرحمن أوسع من الرحيم،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مبالغة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وجه الأشدّية هو أنّ كثرة المباني تكون غالباً دليلاً على كثرة المعاني، فالرحمن يعمّ جميع الخلق والرحيم بالمؤمنين خاصّة</w:t>
      </w:r>
      <w:r>
        <w:rPr>
          <w:rFonts w:eastAsia="Amiri" w:cs="Amiri" w:ascii="Amiri" w:hAnsi="Amiri"/>
          <w:color w:val="111111"/>
          <w:sz w:val="28"/>
          <w:szCs w:val="28"/>
          <w:rtl w:val="true"/>
          <w:lang w:bidi="ar-SA"/>
        </w:rPr>
        <w:t>.</w:t>
      </w:r>
      <w:bookmarkStart w:id="229" w:name="pg16776_178896"/>
    </w:p>
    <w:p>
      <w:pPr>
        <w:pStyle w:val="BookText"/>
        <w:rPr/>
      </w:pPr>
      <w:bookmarkEnd w:id="229"/>
      <w:r>
        <w:rPr>
          <w:rFonts w:ascii="Amiri" w:hAnsi="Amiri" w:eastAsia="Amiri" w:cs="Amiri"/>
          <w:color w:val="111111"/>
          <w:sz w:val="28"/>
          <w:sz w:val="28"/>
          <w:szCs w:val="28"/>
          <w:rtl w:val="true"/>
          <w:lang w:bidi="ar-SA"/>
        </w:rPr>
        <w:t>ووجه عموم الرحمن بجميع الخلق مؤمنهم وكافرهم، برّهم وفاجرهم، هو إنشاؤه إيّاهم، وجعلهم أحياء قادرين، ورزقه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خصوص الرحيم بالمؤمنين، هو ما فعله بهم في الدنيا من التوفيق، وما يفعله بهم في الآخرة من الجنة والإكرام وغفران الذنوب؛ وإليه يشير ما 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اسم خاص بصفة عامّة، والرحيم اسم عام بصفة خاصّة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اسم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يطلق إلّاعلى اللّه سبحانه،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بصفة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 رحمته الكافر والمؤمن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الرحيم اسم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يطلق على غيره سبحانه،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بصفة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يختصّ بالمؤمن فقط</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070839_73709187"/>
      <w:bookmarkStart w:id="231" w:name="_Toc87"/>
      <w:bookmarkEnd w:id="230"/>
      <w:r>
        <w:rPr/>
        <w:t>6</w:t>
      </w:r>
      <w:r>
        <w:rPr>
          <w:rtl w:val="true"/>
        </w:rPr>
        <w:t xml:space="preserve">. </w:t>
      </w:r>
      <w:r>
        <w:rPr>
          <w:rtl w:val="true"/>
        </w:rPr>
        <w:t>لماذا تقدّم الرحمن على الرحيم‌؟</w:t>
      </w:r>
      <w:bookmarkEnd w:id="231"/>
    </w:p>
    <w:p>
      <w:pPr>
        <w:pStyle w:val="BookText"/>
        <w:rPr/>
      </w:pPr>
      <w:r>
        <w:rPr>
          <w:rFonts w:ascii="Amiri" w:hAnsi="Amiri" w:eastAsia="Amiri" w:cs="Amiri"/>
          <w:color w:val="111111"/>
          <w:sz w:val="28"/>
          <w:sz w:val="28"/>
          <w:szCs w:val="28"/>
          <w:rtl w:val="true"/>
          <w:lang w:bidi="ar-SA"/>
        </w:rPr>
        <w:t>لماذا تقدّم وصف الرحمن على الرحيم، مع أنّ الضابطة في الكلام البليغ هو التدرّج من الضعيف إلى القوي، ومن القليل إلى الكثير،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عالم بالفقه بل مجتهد،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المسجد يكفي لألف مصلٍّ بل لألفين، وعلى هذا فالمناسب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 الرحمن‌؟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الجواب عن ذلك فهو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الرحمن يختصّ باللّه سبحانه وشاع استعماله في ذاته القدسيّة، فقد خرج عن معنى الوصفية وأصبح اسماً له سبحانه، فلفظ الجلالة اسم والرحمن اسم آخر، وبما أنّه اسم فلا يُشعر بشيء من المعاني، على خلاف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باقٍ على وصفيته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فإنّ مفاد البسملة،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الضعيف غير القادر على شيء إلّابعون اللّه عزّوجل، يجب أن يستعين على جميع أُموره باللّه سبحانه، وأن يبتدئ جميع أُموره باسم اللّه، ولا يغفل عن اللّه سبحانه حتّى لا يكون ممّن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 أَنْفُسَهُمْ‌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bookmarkStart w:id="232" w:name="pg16776_178898"/>
    </w:p>
    <w:p>
      <w:pPr>
        <w:pStyle w:val="Heading3"/>
        <w:numPr>
          <w:ilvl w:val="2"/>
          <w:numId w:val="1"/>
        </w:numPr>
        <w:rPr/>
      </w:pPr>
      <w:bookmarkStart w:id="233" w:name="__RefHeading___Toc7070841_73709187"/>
      <w:bookmarkStart w:id="234" w:name="_Toc88"/>
      <w:bookmarkEnd w:id="232"/>
      <w:bookmarkEnd w:id="233"/>
      <w:r>
        <w:rPr/>
        <w:t>9</w:t>
      </w:r>
      <w:r>
        <w:rPr>
          <w:rtl w:val="true"/>
        </w:rPr>
        <w:t xml:space="preserve">. </w:t>
      </w:r>
      <w:r>
        <w:rPr>
          <w:rtl w:val="true"/>
        </w:rPr>
        <w:t>الناشئ الجديد والظروف المحدقة به</w:t>
      </w:r>
      <w:bookmarkEnd w:id="234"/>
    </w:p>
    <w:p>
      <w:pPr>
        <w:pStyle w:val="Heading4"/>
        <w:numPr>
          <w:ilvl w:val="3"/>
          <w:numId w:val="1"/>
        </w:numPr>
        <w:rPr/>
      </w:pPr>
      <w:bookmarkStart w:id="235" w:name="__RefHeading___Toc7070843_73709187"/>
      <w:bookmarkStart w:id="236" w:name="_Toc89"/>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تحيط بالناشئ الجديد هذه الأيام ظروف يعبر عنها بعالم الارتباطات، فما من فكرة تتولّد في مكان ما إلّاانتشرت بعد دقيقة أو دقائق في كلّ بقاع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التواصل وإن تضمّن خيراً لكنّه تضمّن شرّاً كثيراً كذلك، وهذا شأن كلّ نتاج حضاري، فله وجهان خير وشر، فصاحب العقل الحصيف والتفكير السليم ينتقي ممّا تنشره وسائل الأعلام على اختلاف أنواعها ما ينفعه عاجلاً وآجلاً، عاملاً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مقابل هذا فمن لم يتدرّع بدليل وبرهان واضح ورصين فسوف يتأثّر بالتيارات الإلحادية الكافرة الّتي تبثّها وسائل الأعلام الغربية الّتي تهدف لإبعاد المسلمين عن مبادئهم وتعاليمهم الدينية التي إن التزموا بها فستكون سدّاً حصيناً أمام أطماع الغربيّين الساعين للسيطرة على ثروات وخيرات الشعوب المسلمة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أسباب سرورنا هو ما بلغنا من أنّ العتبة العبّاسية في كربلاء المقدّسة بصدد إصدار مجلة فكرية علمية تحمي عقائد المسلمين وتردّ على شبهات المخالّفين وتوضح المسير أمام الشباب المتحمّس لدينه وعقيدته، وسررت</w:t>
      </w:r>
    </w:p>
    <w:p>
      <w:pPr>
        <w:pStyle w:val="BookText"/>
        <w:rPr/>
      </w:pPr>
      <w:r>
        <w:rPr>
          <w:rFonts w:ascii="Amiri" w:hAnsi="Amiri" w:eastAsia="Amiri" w:cs="Amiri"/>
          <w:color w:val="111111"/>
          <w:sz w:val="28"/>
          <w:sz w:val="28"/>
          <w:szCs w:val="28"/>
          <w:rtl w:val="true"/>
          <w:lang w:bidi="ar-SA"/>
        </w:rPr>
        <w:t>لهذا النبأ سروراً غامراً، فشكرت اللّه سبحانه لعودة الأجواء في العراق إلى حالتها الطبيعية حتّى أتاحت للمفكّرين نشر أفكارهم بحرية، بعد زوال الأجواء المظلمة الّتي عُدّ فيها التفكير السليم جريمة وعثرة لا تغتفر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اشارك في هذا المشروع النافع أتقدّم أوّلاً بالتهاني والتبريكات لهيئة تحرير المجلّة الذين تحمّلوا مسؤوليتهم الإلهية وعزموا على القيام بهذا العمل الثقافي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وتلبية لطلب الإخوة المشرفين على المجلّة، قمت بتحرير مقال له صلة بالعقيدة الإسلاميّة، راجياً من اللّه القبول، والنفع الوافر لقرّاء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المسائل الّتي تشغل بال أكثر شبابنا هي ما أشار إليه الذكر الحكيم من أنّ الهداية والضلالة من اللّه تعالى، وعندئذٍ تتولّد في أذهانهم شبهة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الأمران من اللّه سبحانه فما هو دور الإنسان في أمر الإيمان والكفر؟</w:t>
      </w:r>
    </w:p>
    <w:p>
      <w:pPr>
        <w:pStyle w:val="BookText"/>
        <w:rPr/>
      </w:pPr>
      <w:r>
        <w:rPr>
          <w:rFonts w:ascii="Amiri" w:hAnsi="Amiri" w:eastAsia="Amiri" w:cs="Amiri"/>
          <w:color w:val="111111"/>
          <w:sz w:val="28"/>
          <w:sz w:val="28"/>
          <w:szCs w:val="28"/>
          <w:rtl w:val="true"/>
          <w:lang w:bidi="ar-SA"/>
        </w:rPr>
        <w:t>وإليك شرح الشبهة والإجابة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الإنسان حرّاً في مسيرته وأنّه يقف على مفترق طريقي الهداية والضلالة بحرية تامة، وأنّ زمام الأُمور بيده فله أن يختار طريق السعادة والفلاح، كما له أن يختار طريق الضلال والشقاء والانحراف، فلماذا ياترى نجد الكثير من الآيات التي قد يستشم منها 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مصير الإنسان وعاقبته بيد اللّه سبحانه هو الذي يختار له ما يشاء، كما في الآيات التالية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فَيُضِلُّ اللّهُ مَنْ يَشاءُ وَ يَهْدِي مَنْ يَشاءُ وَ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يُضِلُّ مَنْ يَشاءُ وَ يَهْدِي مَنْ يَشاءُ‌</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يُضِلُّ مَنْ يَشاءُ‌</w:t>
      </w:r>
      <w:bookmarkStart w:id="237" w:name="pg16776_178900"/>
    </w:p>
    <w:p>
      <w:pPr>
        <w:pStyle w:val="BookText"/>
        <w:rPr/>
      </w:pPr>
      <w:bookmarkEnd w:id="237"/>
      <w:r>
        <w:rPr>
          <w:rFonts w:ascii="Amiri" w:hAnsi="Amiri" w:eastAsia="Amiri" w:cs="Amiri"/>
          <w:color w:val="111111"/>
          <w:sz w:val="28"/>
          <w:sz w:val="28"/>
          <w:szCs w:val="28"/>
          <w:rtl w:val="true"/>
          <w:lang w:bidi="ar-SA"/>
        </w:rPr>
        <w:t>وَ يَهْدِي مَنْ يَشاءُ‌</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فإنّ ظاهر هذه الآيات المباركة أنّ مسألة الهداية والضلالة تابعة للإرادة الإلهية، وإنّ زمام الأُمور هنا بيد اللّه سبحانه، وأنّ الإنسان ليس حرّاً في مقابل الإرادة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فأمام هذه الصراحة كيف نوجّه حرية الإنسان أمام الإرادة والمشيئة الإلهية‌؟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بحث الهداية والضلال من وجهة نظر القرآن الكريم من البحوث المعمّقة والواسعة النطاق والمفصّلة، بحيث إنّ دراستها دراسة كاملة وشاملة تستدعي أن نأتي بجميع الآيات الواردة في هذا المجال وتسليط الضوء على جميع زوايا تلك الآيات وبيان أسرارها والنكات الكامنة فيها لنستخلص النظرية القرآنية في هذا المجال، وبما أنّ ذلك يستدعي بحثاً مفصّلاً لا ينسجم مع هدف هذا المقال، لذلك سوف نركّز البحث على نوع واحد من الآيات، وهي الآيات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 اللّهُ مَنْ يَشاءُ وَ يَهْدِي مَنْ يَشاءُ‌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الحقيقة أنّ الاستدلال بهذا الطيف من الآيات القرآنية لإثبات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غفلة عن هدف الآيات المذكورة، والسبب في هذه الغفلة هو الخلط بين نوعين من الهداية وعدم التفكيك بينهما،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الهداية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سلّطنا الضوء على هذين النوعين من الهداية يتّضح بجلاء مفهوم تلك الآيات والمراد منها، وستنتفي حينئذٍ فكرة الجبر بالكامل</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7070845_73709187"/>
      <w:bookmarkStart w:id="239" w:name="_Toc90"/>
      <w:bookmarkEnd w:id="238"/>
      <w:r>
        <w:rPr>
          <w:rtl w:val="true"/>
        </w:rPr>
        <w:t>الهداية العامّة والخاصّة</w:t>
      </w:r>
      <w:bookmarkEnd w:id="239"/>
    </w:p>
    <w:p>
      <w:pPr>
        <w:pStyle w:val="Heading5"/>
        <w:numPr>
          <w:ilvl w:val="4"/>
          <w:numId w:val="1"/>
        </w:numPr>
        <w:rPr/>
      </w:pPr>
      <w:bookmarkStart w:id="240" w:name="__RefHeading___Toc7070847_73709187"/>
      <w:bookmarkStart w:id="241" w:name="_Toc91"/>
      <w:bookmarkEnd w:id="240"/>
      <w:r>
        <w:rPr>
          <w:rtl w:val="true"/>
        </w:rPr>
        <w:t>اشارة</w:t>
      </w:r>
      <w:bookmarkEnd w:id="2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هو مفيض كلّ شيء، ومن الأُمور التي يفيضها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 سبحانه نوعين من الإرشاد والهداية، إحداهما عام وشامل بحيث</w:t>
      </w:r>
      <w:bookmarkStart w:id="242" w:name="pg16776_178901"/>
    </w:p>
    <w:p>
      <w:pPr>
        <w:pStyle w:val="BookText"/>
        <w:rPr/>
      </w:pPr>
      <w:bookmarkEnd w:id="242"/>
      <w:r>
        <w:rPr>
          <w:rFonts w:ascii="Amiri" w:hAnsi="Amiri" w:eastAsia="Amiri" w:cs="Amiri"/>
          <w:color w:val="111111"/>
          <w:sz w:val="28"/>
          <w:sz w:val="28"/>
          <w:szCs w:val="28"/>
          <w:rtl w:val="true"/>
          <w:lang w:bidi="ar-SA"/>
        </w:rPr>
        <w:t>يستوعب ويشمل جميع أفراد الإنسان، والآخر هو الفيض والإرشاد الخاص وهو الذي يشمل بعض الأفراد الذين استفادوا من الهداية العامّة على أحسن وجه وأكمله، فلو أنّ فئة من الناس لم تستغل الهداية العامّة والفيض الشامل لعامّة الناس بل كافّة الكائنات، فحينئذٍ لا تصل النوبة إلى مرحلة الهداية الخاصة ولا يشملها هذا الفيض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فالهداية العامّة تتلخّص في نوعين من الهداية، هما</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7070849_73709187"/>
      <w:bookmarkStart w:id="244" w:name="_Toc92"/>
      <w:bookmarkEnd w:id="243"/>
      <w:r>
        <w:rPr>
          <w:rtl w:val="true"/>
        </w:rPr>
        <w:t>الف</w:t>
      </w:r>
      <w:r>
        <w:rPr>
          <w:rtl w:val="true"/>
        </w:rPr>
        <w:t xml:space="preserve">: </w:t>
      </w:r>
      <w:r>
        <w:rPr>
          <w:rtl w:val="true"/>
        </w:rPr>
        <w:t>الهداية العامّة التكوينية</w:t>
      </w:r>
      <w:bookmarkEnd w:id="244"/>
    </w:p>
    <w:p>
      <w:pPr>
        <w:pStyle w:val="BookText"/>
        <w:rPr/>
      </w:pPr>
      <w:r>
        <w:rPr>
          <w:rFonts w:ascii="Amiri" w:hAnsi="Amiri" w:eastAsia="Amiri" w:cs="Amiri"/>
          <w:color w:val="111111"/>
          <w:sz w:val="28"/>
          <w:sz w:val="28"/>
          <w:szCs w:val="28"/>
          <w:rtl w:val="true"/>
          <w:lang w:bidi="ar-SA"/>
        </w:rPr>
        <w:t>والمقصود هنا أنّ اللّه سبحانه خلق جميع الموجودات وبيّن لكلّ مخلوق مهمّته والوظائف التي ينبغي عليه القيام بها والمسؤوليات التي لابدّ من تحمّلها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 في هذا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الَّذِي أَعْطى كُلَّ شَيْ‌ءٍ خَلْقَهُ ثُمَّ هَدى‌</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ومن الواضح أنّ في هذا النوع من الهداية لا يوجد أدنى استثناء وتمييز وتفاضل، بل حتّى الأفعال التي تنطلق من الحالة الغريزية لبعض الحيوانات والأعمال المنظمة والموزونة التي تصدر منها معلولة لذلك النوع من الهداية، فضلاً عن الهداية الفطرية للإنسان، ففطرة كلّ إنسان تهديه إلى التوحيد ونبذ الشرك، وكذلك العقل الموهوب له المرشد إلى معالم الخير والصلاح</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070851_73709187"/>
      <w:bookmarkStart w:id="246" w:name="_Toc93"/>
      <w:bookmarkEnd w:id="245"/>
      <w:r>
        <w:rPr>
          <w:rtl w:val="true"/>
        </w:rPr>
        <w:t>ب</w:t>
      </w:r>
      <w:r>
        <w:rPr>
          <w:rtl w:val="true"/>
        </w:rPr>
        <w:t xml:space="preserve">: </w:t>
      </w:r>
      <w:r>
        <w:rPr>
          <w:rtl w:val="true"/>
        </w:rPr>
        <w:t>الهداية العامّة التشريعية</w:t>
      </w:r>
      <w:bookmarkEnd w:id="2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الهداية التكوينية هو ذلك النوع من الإرشاد والهداية التي تنبع من داخل الإنسان وكيانه، وأمّا الهداية التشريعية فهي الهداية التي ترد على الإنسان من الخارج والتي تأخذ بيده في مواطن الخطر وترشده إلى ساحل</w:t>
      </w:r>
    </w:p>
    <w:p>
      <w:pPr>
        <w:pStyle w:val="BookText"/>
        <w:rPr/>
      </w:pPr>
      <w:r>
        <w:rPr>
          <w:rFonts w:ascii="Amiri" w:hAnsi="Amiri" w:eastAsia="Amiri" w:cs="Amiri"/>
          <w:color w:val="111111"/>
          <w:sz w:val="28"/>
          <w:sz w:val="28"/>
          <w:szCs w:val="28"/>
          <w:rtl w:val="true"/>
          <w:lang w:bidi="ar-SA"/>
        </w:rPr>
        <w:t xml:space="preserve">الأمان وتوصله إلى ما يريده بيسر وطمأنينة، وفي هذا النوع من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أدنى تمييز وتفاضل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حالها حال الهداية التكوينية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توفّر السماء للإنسان كلّ وسائل الهداية والرشاد والصلاح والتي تتمثّل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 والرسل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الكتب السماوية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والقادة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العلماء والمفكّرون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الوسائل التي وضعها اللّه سبحانه تحت اختيار الجميع بنحو يتسنّى للجميع الاستفادة منها وأن ينهلوا من نميرها العذب على حد سواء بلا فرق وبلا تمايز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وبسبب شمولية وعمومية هداية هذه المجاميع نراه سبحانه يصف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هاديان ومرشدان للأُمّة ويخاطب النبي الأكرم وبصراحة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ويقول سبحانه واصفاً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Style w:val="FootnoteAnchor"/>
          <w:rtl w:val="true"/>
        </w:rPr>
        <w:footnoteReference w:id="26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العدل الإلهي يقتضي أن توفّر السماء للناس كافّة، جميع سبل الهداية والرشاد وتسهّل لهم الوصول إليها، وفهمها، كما أنّ وظيفة العباد ومهمتهم تقتضي أن يستفيد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خلال الحرية التي منحت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تلك</w:t>
      </w:r>
      <w:bookmarkStart w:id="247" w:name="pg16776_178903"/>
    </w:p>
    <w:p>
      <w:pPr>
        <w:pStyle w:val="BookText"/>
        <w:rPr/>
      </w:pPr>
      <w:bookmarkEnd w:id="247"/>
      <w:r>
        <w:rPr>
          <w:rFonts w:ascii="Amiri" w:hAnsi="Amiri" w:eastAsia="Amiri" w:cs="Amiri"/>
          <w:color w:val="111111"/>
          <w:sz w:val="28"/>
          <w:sz w:val="28"/>
          <w:szCs w:val="28"/>
          <w:rtl w:val="true"/>
          <w:lang w:bidi="ar-SA"/>
        </w:rPr>
        <w:t>السبل على أحسن ما يرام وأن يرغم أنف الشيطان وجنوده بالتراب، وأن يتوجّه نحو اللّه سبحانه مستعيناً بكلّ تلك النعم التي توفرت له، ومن المعلوم أنّ الاستفادة من تلك الطرق والوسائل لتحصيل هذا النوع من الهداية غير مشروط بأي شرط أو قيد، وأنّ الإرادة والمشيئة الإلهية تعلّقت بأن تضع كلّ تلك الوسائل تحت تصرّف جميع أفراد الإنسان واختيارهم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070853_73709187"/>
      <w:bookmarkStart w:id="249" w:name="_Toc94"/>
      <w:bookmarkEnd w:id="248"/>
      <w:r>
        <w:rPr>
          <w:rtl w:val="true"/>
        </w:rPr>
        <w:t>الهداية الخاصة</w:t>
      </w:r>
      <w:bookmarkEnd w:id="249"/>
    </w:p>
    <w:p>
      <w:pPr>
        <w:pStyle w:val="BookText"/>
        <w:rPr/>
      </w:pPr>
      <w:r>
        <w:rPr>
          <w:rFonts w:ascii="Amiri" w:hAnsi="Amiri" w:eastAsia="Amiri" w:cs="Amiri"/>
          <w:color w:val="111111"/>
          <w:sz w:val="28"/>
          <w:sz w:val="28"/>
          <w:szCs w:val="28"/>
          <w:rtl w:val="true"/>
          <w:lang w:bidi="ar-SA"/>
        </w:rPr>
        <w:t xml:space="preserve">إنّ هذا النوع من الهداية يختصّ بمجموعة وطائفة خاصة من الناس الذين تشملهم العناية الإلهية الخاصّة، وهذه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تلك المجموعة من عباد اللّه الذين استغلّوا الهداية العامّة واستفادوا منها على أكمل وجه بحيث استنارت قلوبهم وأرواحهم بنور الهداية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الطائفة من الناس حينما استغلت الهداية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التكوينية والتشريعية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الأكمل جعلت من نفسها محلّاً مناسباً لنيل الفيض الإلهي الخاص والرعاية الإلهية الخاصّة، وأن يشملها الإمداد الغيبي والتوفيق والتسديد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الهداية الخاصة تشمل تلك الطائفة من الناس الذين استفادوا من الهداية العامة بأحسن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الحقائق التي بيّنها القرآن الكريم في آيات متعدّدة، حيث قال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يُضِلُّ مَنْ يَشاءُ وَ يَهْدِي إِلَيْهِ مَنْ أَنابَ‌</w:t>
      </w:r>
      <w:r>
        <w:rPr>
          <w:rFonts w:eastAsia="Amiri" w:cs="Amiri" w:ascii="Amiri" w:hAnsi="Amiri"/>
          <w:color w:val="111111"/>
          <w:sz w:val="28"/>
          <w:szCs w:val="28"/>
          <w:rtl w:val="true"/>
          <w:lang w:bidi="ar-SA"/>
        </w:rPr>
        <w:t>)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وفي آية أُخرى قال سبحانه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يَجْتَبِي إِلَيْهِ مَنْ يَشاءُ وَ يَهْدِي إِلَيْهِ مَنْ يُنِيبُ‌</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إنّ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الثانية هو العودة والرجوع والالتفات إلى اللّه سبحانه بصورة متكرّرة، هو أنّ هذا النوع من الهداية من نصيب من أصغى لنداء العقل وخضع واستجاب لنداء المرشدين والمصلحين الإلهيّين، ووضع نفسه في طريق الهداية الخاصّة طالباً من اللّه سبحانه المزيد من التوفيق و السداد و الرعاية والعطف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الملاك في شمول الهداية الخاصّة للإنسان هو استغلاله لطرق الهداية العامّة على أكمل وجه، فإنّ الملاك في الضلال والخذلان الإلهي هو الإعراض والعصيان والتمرّد على الهداية العامّة وعدم الاستفادة منها بالنحو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 وَ اللّهُ لا يَهْدِي الْقَوْمَ الْفاسِقِينَ‌</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وفي آية أُخرى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وَ يَفْعَلُ اللّهُ ما يَشاءُ‌</w:t>
      </w:r>
      <w:r>
        <w:rPr>
          <w:rFonts w:eastAsia="Amiri" w:cs="Amiri" w:ascii="Amiri" w:hAnsi="Amiri"/>
          <w:color w:val="111111"/>
          <w:sz w:val="28"/>
          <w:szCs w:val="28"/>
          <w:rtl w:val="true"/>
          <w:lang w:bidi="ar-SA"/>
        </w:rPr>
        <w:t>) .</w:t>
      </w:r>
      <w:r>
        <w:rPr>
          <w:rStyle w:val="FootnoteAnchor"/>
          <w:rtl w:val="true"/>
        </w:rPr>
        <w:footnoteReference w:id="2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استفادة الجبر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 مَنْ يَشاءُ وَ يَهْدِي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مبني على تصوّر وحدة الضلالة والهداية، بمعنى أنّهم تصوّروا أنّ للّه سبحانه وتعالى نوعاً واحداً من الهداية والضلالة وأنّها تختصّ بذلك الفريق الذي أراد اللّه له الهداية والرشاد ويُحرم منها الفريق الآخر، والحال أنّه يوجد هنا نوعان من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عامّة، والأُخرى خاصة، وانّ الملازم للعدل الإلهي هو النوع الأوّل من الهداية، وأمّا النوع الثاني من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رهين</w:t>
      </w:r>
    </w:p>
    <w:p>
      <w:pPr>
        <w:pStyle w:val="BookText"/>
        <w:rPr/>
      </w:pPr>
      <w:r>
        <w:rPr>
          <w:rFonts w:ascii="Amiri" w:hAnsi="Amiri" w:eastAsia="Amiri" w:cs="Amiri"/>
          <w:color w:val="111111"/>
          <w:sz w:val="28"/>
          <w:sz w:val="28"/>
          <w:szCs w:val="28"/>
          <w:rtl w:val="true"/>
          <w:lang w:bidi="ar-SA"/>
        </w:rPr>
        <w:t>ببعض الشروط التي من أهمها شرط الاستفادة من النوع الأوّل من الهداية واستغلالها بحيث يضع الإنسان نفسه أمام الرحمة والفيض الإلهي لكي تشمله الرعاية والهداية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اللّه تعالى جعل كلا النوعين من الهداية في إطار مشيئته وإرادته، ولكن إرادته سبحانه ومشيئته لا تكون بدون ملاك وبلا جهة، بل ملاكها وجهتها هو وجود اللياقة والكفاءة والاستعداد اللازم في العبد الذي وصف في بعض الآيات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الحصول على هذا الاستعداد، وتلك اللياقة لا تتسنّى لكلّ إنسان 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فكرة الهداية الخاصة بنحو أتم وبصورة أجلى وأوضح نأتي بالمثال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لنفرض أنّ مجموعة من الناس قد وقفوا على مفترق طرق وأنّهم يبحثون عن مكان خاص يريدون الوصول إليه، فأرشدهم أحد الأشخاص العارفين بالطريق،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الاتجاه وبعد أن تصلو إلى المكان الكذائي سوف تجدون هناك شخصاً آخر يدلكم على هدفكم النهائي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 الناس يتبعون إرشاد المرشد الأوّل، وقسم آخر لا يلتزمون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فالطائفة الأُولى الذين استناروا من الهداية الأُولى يستفيدون من الهداية الثانية بخلاف الطائفة الأُخرى الذين بقوا على عنادهم ولم يأخذوا بكلام هذا المرشد، فهؤلاء لا يصلون إلى هدفهم أبداً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العامل من غير بصيرة كالسائر على غير الطريق لا يزداده كثرة السير إلّا بعداً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من هذا المثال يتّضح لنا أنّ اللّه سبحانه وضع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لمفاد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الهداية العامّة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w:t>
      </w:r>
      <w:r>
        <w:rPr>
          <w:rFonts w:eastAsia="Amiri" w:cs="Amiri" w:ascii="Amiri" w:hAnsi="Amiri"/>
          <w:color w:val="111111"/>
          <w:sz w:val="28"/>
          <w:szCs w:val="28"/>
          <w:rtl w:val="true"/>
          <w:lang w:bidi="ar-SA"/>
        </w:rPr>
        <w:t>...)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هَدَيْناهُ النَّجْدَيْنِ‌</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ثمّ شاء سبحانه أن يفيض مرّة أُخرى على الذين أدركوا الطريق واهتدوا إلى الحق واستفادوا من الهداية العامّة، بفيض وعناية وهداية خاصة ليتسنّى لهم الوصول إلى قمة هرم الإنسانية، وقد عبّر سبحانه وتعالى عن تلك الحقيقة والنعمة الإلهية والفيض الرباني الخاص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انطلاقاً من هذا الأصل نرى أنّ اللّه سبحانه وتعالى يعتبر الهداية إحدى ثمار ونتائج جهاد الإنسان وسعيه في طريق اللّه سبحانه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w:t>
      </w:r>
      <w:r>
        <w:rPr>
          <w:rStyle w:val="FootnoteAnchor"/>
          <w:rtl w:val="true"/>
        </w:rPr>
        <w:footnoteReference w:id="27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جهة ومن جهة أُخرى تعلّقت المشيئة والإرادة الإلهية أن تترك المنحرفين والضالّين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اختاروا طريق الانحراف والضلالة بإرادتهم، وحرموا أنفسهم من الاستفادة من الهداية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لحالهم وهذا ما سبب ضلالهم وانحرافهم بصورة أشدّ، لأنّه كلّما توغّل الإنسان في الانحراف ازداد بعداً عن الحقّ‌، وهكذا كلّما خطا خطوة في طريق الانحراف فلا يزيده ذلك السير إلّابعداً عن الهدف الذي أراده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صحيح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مَن هم هؤلاء الذين يريد اللّه ضلالهم وعدم هدايتهم‌؟ القرآن المجيد يجيب عن هذا التساؤل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يُضِلُّ بِهِ إِلاَّ الْفاسِقِينَ‌</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نعم أنّ اللّه قادر على أن يأخذ بأعناق الجميع إلى طريق الهداية والصراط المستقيم وأن يجبرهم على طي هذا الطريق حيث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شِئْنا لَآتَيْنا كُلَّ نَفْسٍ هُداها</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ولكن في هذه الحالة لا يكون الإنسان إنساناً، بل يتحوّل إلى آلة ميكانيكية، لا تعمل بإرادتها ومشيئتها وإنّما عملها وحركتها تابع لإرادة العامل الفنّي المشرف عليها، فمتى شاء ضغط على زِرّ التشغيل فتعمل ومتى شاء أطفأها، وأنّها لا تملك القدرة على العصيان أو التمرّد أمام إرادة العامل القاهرة لها، وكذلك يصبح الإنسان عاجزاً أيضاً عن الصمود أمام الغرائز الكامنة فيه، ولذلك سيضطر لتكييف نفسه مع تلك الغرائز والميول وينظم حياته على أساسها حاله في ذلك حال النحل، أو دودة القز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شاء اللّه تعالى أن يكون الإنسان إنساناً ومخلوقاً خاصاً له إرادته ومشيئته واختياره وحريته الكاملة التي منحها اللّه تعالى له، ليتمكّن من خلال وضعها في الموضع المناسب أن ينطلق بنفسه إلى قمّة هرم الكمال والرقي الإنساني والسموّ المعنوي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إذا أردنا أن نقرّب الفكرة بمثال عرفي يمكن لنا أن نشبه طريقة</w:t>
      </w:r>
    </w:p>
    <w:p>
      <w:pPr>
        <w:pStyle w:val="BookText"/>
        <w:rPr/>
      </w:pPr>
      <w:r>
        <w:rPr>
          <w:rFonts w:ascii="Amiri" w:hAnsi="Amiri" w:eastAsia="Amiri" w:cs="Amiri"/>
          <w:color w:val="111111"/>
          <w:sz w:val="28"/>
          <w:sz w:val="28"/>
          <w:szCs w:val="28"/>
          <w:rtl w:val="true"/>
          <w:lang w:bidi="ar-SA"/>
        </w:rPr>
        <w:t>الخطاب القرآني في الآيات المذكورة، بطريقة مخاطبة المعلم لتلامذته حيث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بيّنت لكم الدرس بصورة واضحة وأزلت من أمامكم كلّ حالات الغموض والإبهام الموجودة في المادة، فما بقي عليكم إلّاالمثابرة والجدّ والدراسة على أحسن وجه، فمن يفعل منكم ذلك فسأمنحه الدرجة الكاملة، وأُفيض عليه عطايا أُخرى حسب إرادتي ومشيئتي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هنا أنّ المعلم قد ربط مسألة الفيض على الطالب أو عدم الفيض بإرادته ولكنّه في نفس الوقت لاحظ صلاحيات الطالب ومواهبه واستعداداته ومدى استفادته من الجهود التي بذلها الأُستاذ في بيان الدرس 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من رجب المرجب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250" w:name="pg16776_178909"/>
    </w:p>
    <w:p>
      <w:pPr>
        <w:pStyle w:val="Heading3"/>
        <w:numPr>
          <w:ilvl w:val="2"/>
          <w:numId w:val="1"/>
        </w:numPr>
        <w:rPr/>
      </w:pPr>
      <w:bookmarkStart w:id="251" w:name="__RefHeading___Toc7070855_73709187"/>
      <w:bookmarkStart w:id="252" w:name="_Toc95"/>
      <w:bookmarkEnd w:id="250"/>
      <w:bookmarkEnd w:id="251"/>
      <w:r>
        <w:rPr/>
        <w:t>10</w:t>
      </w:r>
      <w:r>
        <w:rPr>
          <w:rtl w:val="true"/>
        </w:rPr>
        <w:t xml:space="preserve">. </w:t>
      </w:r>
      <w:r>
        <w:rPr>
          <w:rtl w:val="true"/>
        </w:rPr>
        <w:t>ظاهرة التكفير على ضوء القرآن والسنّة الشريفة</w:t>
      </w:r>
      <w:bookmarkEnd w:id="252"/>
    </w:p>
    <w:p>
      <w:pPr>
        <w:pStyle w:val="Heading4"/>
        <w:numPr>
          <w:ilvl w:val="3"/>
          <w:numId w:val="1"/>
        </w:numPr>
        <w:rPr/>
      </w:pPr>
      <w:bookmarkStart w:id="253" w:name="__RefHeading___Toc7070857_73709187"/>
      <w:bookmarkStart w:id="254" w:name="_Toc96"/>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لا شكّ في أنّ التكفير في هذا العصر وإنْ كان امتداداً للتكفير في العصور السالفة، والّذي تصاعد في القرنين الثالث والرابع الهجريين بفعل المتشدّدين لاسيّما المتشدّدين من أتباع المذهب الحنبليّ‌، بَيْد أنّه اشتدّ في أوائل هذا القرن، ثم بلغ ذروته في السنوات العشر الأخيرة، حيث أناخ بكلكله على البلاد الإسلاميّة، وتحوّل إلى ظاهرة بارزة اقترنت بمجازر رهيبة، أقدم عليها شباب مهوّسون، شَحنت بعض المؤسّسات والمدارس الدينية أذهانهم بالأفكار المتشدّدة، ومشاعرهم بالحقد والكراهية لسائر المسلمين لاسيّما أتباع مدرسة أهل البيت عليهم السلام، ثم أطلقت لأيديهم الحرية بممارسة عمليات القتل والذبح والنحر الجماعي للنساء والشيوخ والأطفال في مدن العراق واليمن وباكستان وسوريا وأفغانستان وغيرها، واستباحة الأموال والأعراض، من خلال فتاوى عمياء يصدرها المتعصّبون من أنصاف المتعلّمين الذين عقدوا حلفاً شيطانياً مع محترفي السياسة، فاحتلّوا المواقع العليا في الإفتاء والإرشاد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التكفير في العصور الماضية يرتبط، في جانب كبير منه، بعوامل داخلية، يشكّل فيها العامل السياسي ركناً من أركانه، فإنّ هذا العامل يشكّل، في</w:t>
      </w:r>
    </w:p>
    <w:p>
      <w:pPr>
        <w:pStyle w:val="BookText"/>
        <w:rPr/>
      </w:pPr>
      <w:r>
        <w:rPr>
          <w:rFonts w:ascii="Amiri" w:hAnsi="Amiri" w:eastAsia="Amiri" w:cs="Amiri"/>
          <w:color w:val="111111"/>
          <w:sz w:val="28"/>
          <w:sz w:val="28"/>
          <w:szCs w:val="28"/>
          <w:rtl w:val="true"/>
          <w:lang w:bidi="ar-SA"/>
        </w:rPr>
        <w:t>الوقت الحاضر، ركناً أساسياً فيه، حيث استغلّت الدوائر الصهيوينة العالمية، وأجهزة المخابرات للدول الاستكبارية، ما في تاريخ المسلمين من خصومات وصراعات مذهبية، وما في تراثهم العقديّ من آفات التكفير والتبديع والتضليل، فأخذت تسخّر شتى الأجهزة من أجل نبشها وتضخيمها، وعرضها بأساليب استفزازية على القنوات الفضائية ووسائل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سلكت مختلف السبل الماكرة المحرّضة الّتي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إطار تخطيط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تكريس التفرقة بين المسلمين، وإشعال فتيل النزاع، وتأجيج نار الصراع بينهم، بغية إشغال بعضهم ببعض، وتحويلهم إلى تيارات متناحرة فيما بينها، وصولاً للأهداف المبتغاة، وأهمها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تشويه الصورة الناصعة للإسلام، الذي تعاظمت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العقود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المثقّفين الغربيّين في التعرّف على مبادئه وقيمه السامية، والانتماء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الفوضى والخراب في بلاد المسلمين، وتمزيق نسيجهم الاجتماعي، لتيسير سبل الهيمنة عليها، ونهب ثرواتها، والتحكّم بمقدّراتها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محاصرة المقاومة الإسلاميّة لاسيما الشيعية منها، وتفتيت قوّتها الّتي كان لها الدور الأكبر في هزيمة الكيان الصهيوني الإرهابي في لبنان وفلسطين، وفي هزيمة أمريكا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توفير الأمن للكيان الصهيونيّ‌، والسعي إلى جعله القوّة الوحيدة الضاربة في المنطقة، لتكون له الغلبة عليها، وليخلو له الجوّ لتكريس وجوده وتوسيعه، وانتهاك مقدّسات المسلمين، وتحقيق سائر مآربه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وغيره دعانا إلى توضيح مبادئ الكفر وأُسسه وأسبابه على ضوء الكتاب والسنّة، حتّى يتضّح للرأي العام الإسلامي والعالمي أنّ الإسلام بعيد كلّ البعد عن أفكار هؤلاء وسلوكياتهم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لو كان ثَمّة جرثومة فساد في المجتمع الإسلامي، فهؤلاء هم الفساد</w:t>
      </w:r>
      <w:bookmarkStart w:id="255" w:name="pg16776_178911"/>
    </w:p>
    <w:p>
      <w:pPr>
        <w:pStyle w:val="BookText"/>
        <w:rPr/>
      </w:pPr>
      <w:bookmarkEnd w:id="255"/>
      <w:r>
        <w:rPr>
          <w:rFonts w:ascii="Amiri" w:hAnsi="Amiri" w:eastAsia="Amiri" w:cs="Amiri"/>
          <w:color w:val="111111"/>
          <w:sz w:val="28"/>
          <w:sz w:val="28"/>
          <w:szCs w:val="28"/>
          <w:rtl w:val="true"/>
          <w:lang w:bidi="ar-SA"/>
        </w:rPr>
        <w:t>المجسّم حيث حالوا بين الناس وبين معرفة الإسلام الحقيقي، وصدّوهم عن اعتناقه والإيمان بمبادئه، وهذا هو أكبر الفساد، ولو كان ثَمّة منكر فيه، فأعمالهم الإجرامية الّتي لا ترحم صغيراً ولا كبيراً، هي المنكر الأخطر والأكبر الّذي يجب تطهير الأرض منه، بتأييد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وراء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رسالتنا هذه فتقع في ستة فصول</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070859_73709187"/>
      <w:bookmarkStart w:id="257" w:name="_Toc97"/>
      <w:bookmarkEnd w:id="256"/>
      <w:r>
        <w:rPr>
          <w:rtl w:val="true"/>
        </w:rPr>
        <w:t>الفصل الأوّل</w:t>
      </w:r>
      <w:r>
        <w:rPr>
          <w:rtl w:val="true"/>
        </w:rPr>
        <w:t xml:space="preserve">: </w:t>
      </w:r>
      <w:r>
        <w:rPr>
          <w:rtl w:val="true"/>
        </w:rPr>
        <w:t>المتطرّفون وتكفير رجال العلم في القرون السابقة</w:t>
      </w:r>
      <w:bookmarkEnd w:id="257"/>
    </w:p>
    <w:p>
      <w:pPr>
        <w:pStyle w:val="Heading5"/>
        <w:numPr>
          <w:ilvl w:val="4"/>
          <w:numId w:val="1"/>
        </w:numPr>
        <w:rPr/>
      </w:pPr>
      <w:bookmarkStart w:id="258" w:name="__RefHeading___Toc7070861_73709187"/>
      <w:bookmarkStart w:id="259" w:name="_Toc98"/>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الغلوّ عبارة عن الخروج عن حدّ الوسط وهو يتمثّل تارة في الإفراط، وإليه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أَهْلَ الْكِتابِ لا تَغْلُوا فِي دِينِكُمْ غَيْرَ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وأُخرى في التفريط ومن ابرز مصاديقه بخس حقوق الناس بذرائع واهية</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7070863_73709187"/>
      <w:bookmarkStart w:id="261" w:name="_Toc99"/>
      <w:bookmarkEnd w:id="260"/>
      <w:r>
        <w:rPr>
          <w:rtl w:val="true"/>
        </w:rPr>
        <w:t>جذور التكفير في القرون الأُولى</w:t>
      </w:r>
      <w:bookmarkEnd w:id="261"/>
    </w:p>
    <w:p>
      <w:pPr>
        <w:pStyle w:val="Heading6"/>
        <w:numPr>
          <w:ilvl w:val="5"/>
          <w:numId w:val="1"/>
        </w:numPr>
        <w:rPr/>
      </w:pPr>
      <w:bookmarkStart w:id="262" w:name="__RefHeading___Toc7070865_73709187"/>
      <w:bookmarkStart w:id="263" w:name="_Toc100"/>
      <w:bookmarkEnd w:id="262"/>
      <w:r>
        <w:rPr>
          <w:rtl w:val="true"/>
        </w:rPr>
        <w:t>اشارة</w:t>
      </w:r>
      <w:bookmarkEnd w:id="2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بالكفر على شخص أو فئة من أخطر الأُمور لما يستتبع من استباحة دماء الأُمّة وأعراضها وأموالها، والتكفير كالحكم بالإيمان حكم شرعي لا يقوم به إلّاالعالم بالكتاب والسنّة المميّز للأُصول عن الفروع وضروري الدين من ضروري الفقه، والشرك الجليّ عن الشرك الخفيّ‌، والمتّفق عليه منه من المختلف فيه، إلى غير ذلك من الأُمور التي هي من اختصاصات الفقيه الجامع للشرائط</w:t>
      </w:r>
      <w:r>
        <w:rPr>
          <w:rFonts w:eastAsia="Amiri" w:cs="Amiri" w:ascii="Amiri" w:hAnsi="Amiri"/>
          <w:color w:val="111111"/>
          <w:sz w:val="28"/>
          <w:szCs w:val="28"/>
          <w:rtl w:val="true"/>
          <w:lang w:bidi="ar-SA"/>
        </w:rPr>
        <w:t>.</w:t>
      </w:r>
      <w:bookmarkStart w:id="264" w:name="pg16776_178912"/>
    </w:p>
    <w:p>
      <w:pPr>
        <w:pStyle w:val="BookText"/>
        <w:rPr/>
      </w:pPr>
      <w:bookmarkEnd w:id="264"/>
      <w:r>
        <w:rPr>
          <w:rFonts w:ascii="Amiri" w:hAnsi="Amiri" w:eastAsia="Amiri" w:cs="Amiri"/>
          <w:color w:val="111111"/>
          <w:sz w:val="28"/>
          <w:sz w:val="28"/>
          <w:szCs w:val="28"/>
          <w:rtl w:val="true"/>
          <w:lang w:bidi="ar-SA"/>
        </w:rPr>
        <w:t>وأي شيء أخطر من التكفير الذي يجعل كيان المسلمين فريسة سهلة سائغة للأعداء بما يقع بينهم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نلفت إليه نظر القارئ الكريم هو جذور التكفير في القرون الأُولى وإن كانت خفيفة لكنّها صارت نواة نامية في ثنايا القرن الأوّل</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7070867_73709187"/>
      <w:bookmarkStart w:id="266" w:name="_Toc101"/>
      <w:bookmarkEnd w:id="265"/>
      <w:r>
        <w:rPr/>
        <w:t>1</w:t>
      </w:r>
      <w:r>
        <w:rPr>
          <w:rtl w:val="true"/>
        </w:rPr>
        <w:t xml:space="preserve">. </w:t>
      </w:r>
      <w:r>
        <w:rPr>
          <w:rtl w:val="true"/>
        </w:rPr>
        <w:t>أُسامة بن زيد والآية النازلة فيه</w:t>
      </w:r>
      <w:bookmarkEnd w:id="266"/>
    </w:p>
    <w:p>
      <w:pPr>
        <w:pStyle w:val="BookText"/>
        <w:rPr/>
      </w:pPr>
      <w:r>
        <w:rPr>
          <w:rFonts w:ascii="Amiri" w:hAnsi="Amiri" w:eastAsia="Amiri" w:cs="Amiri"/>
          <w:color w:val="111111"/>
          <w:sz w:val="28"/>
          <w:sz w:val="28"/>
          <w:szCs w:val="28"/>
          <w:rtl w:val="true"/>
          <w:lang w:bidi="ar-SA"/>
        </w:rPr>
        <w:t>روي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صلى الله عليه و آله إلى الحُرَقَةِ من جُهينة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فصبّحنا القوم فهزمناهم،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ولحقت أنا ورجل من الأنصار رجلاً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 الأنصاري فطعنته بُرمحي حتى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بلغ ذلك النبيّ صلى الله عليه و آله قال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أُسامة أقتلته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متعوِّذاً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اقتلته بعد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يكررها عليّ حتّى تمنيّت أنّي لم أكن أسلمت قبل ذلك اليوم</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إله إلّااللّه وقتلته،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قالها خوفاً من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شققت عن قبله حتى تعلم أقالها أم لا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وبهذا يظهر أنّ التكفير ظاهرة نابعة عن سوء الفهم لأحكام الشريعة المقدّسة ولو كان أُسامة عالماً بحكم الشرع لما أراق دمه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الواقعة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w:t>
      </w:r>
      <w:bookmarkStart w:id="267" w:name="pg16776_178913"/>
    </w:p>
    <w:p>
      <w:pPr>
        <w:pStyle w:val="BookText"/>
        <w:rPr/>
      </w:pPr>
      <w:bookmarkEnd w:id="267"/>
      <w:r>
        <w:rPr>
          <w:rFonts w:ascii="Amiri" w:hAnsi="Amiri" w:eastAsia="Amiri" w:cs="Amiri"/>
          <w:color w:val="111111"/>
          <w:sz w:val="28"/>
          <w:sz w:val="28"/>
          <w:szCs w:val="28"/>
          <w:rtl w:val="true"/>
          <w:lang w:bidi="ar-SA"/>
        </w:rPr>
        <w:t>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w:t>
      </w:r>
      <w:r>
        <w:rPr>
          <w:rStyle w:val="FootnoteAnchor"/>
          <w:rtl w:val="true"/>
        </w:rPr>
        <w:footnoteReference w:id="277"/>
      </w:r>
    </w:p>
    <w:p>
      <w:pPr>
        <w:pStyle w:val="Heading6"/>
        <w:numPr>
          <w:ilvl w:val="5"/>
          <w:numId w:val="1"/>
        </w:numPr>
        <w:rPr/>
      </w:pPr>
      <w:bookmarkStart w:id="268" w:name="__RefHeading___Toc7070869_73709187"/>
      <w:bookmarkStart w:id="269" w:name="_Toc102"/>
      <w:bookmarkEnd w:id="268"/>
      <w:r>
        <w:rPr/>
        <w:t>2</w:t>
      </w:r>
      <w:r>
        <w:rPr>
          <w:rtl w:val="true"/>
        </w:rPr>
        <w:t xml:space="preserve">. </w:t>
      </w:r>
      <w:r>
        <w:rPr>
          <w:rtl w:val="true"/>
        </w:rPr>
        <w:t>الوليد بن عقبة بن أبي معيط والآية النازلة في حقّه</w:t>
      </w:r>
      <w:bookmarkEnd w:id="269"/>
    </w:p>
    <w:p>
      <w:pPr>
        <w:pStyle w:val="BookText"/>
        <w:rPr/>
      </w:pPr>
      <w:r>
        <w:rPr>
          <w:rFonts w:ascii="Amiri" w:hAnsi="Amiri" w:eastAsia="Amiri" w:cs="Amiri"/>
          <w:color w:val="111111"/>
          <w:sz w:val="28"/>
          <w:sz w:val="28"/>
          <w:szCs w:val="28"/>
          <w:rtl w:val="true"/>
          <w:lang w:bidi="ar-SA"/>
        </w:rPr>
        <w:t>ذكر المفسرون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أنّ هذه الآية نزلت في الوليد بن عقبة بن أبي معيط وسبب ذلك ما رواه سعيد عن قتادة أنّ النبي صلى الله عليه و آله بعث الوليد بن عقبة مصدّقاً إلى بني المصطلق، فلما أبصروه أقبلوا نحوه فهابهم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لإحنة كانت بينه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النبي صلى الله عليه و آله فأخبره أنّهم قد ارتدّوا عن الإسلام، فبعث رسول اللّه صلى الله عليه و آله عيونه، فلما جاءوا أخبروا خالداً أنّهم متمسكون بالإسلام وسمعوا أذانهم وصلاتهم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بعثه إلى بني المصطلق بعد إسلامهم، فلما سمعوا به ركبوا إليه، فلما سمع بهم خافهم، فرجع إلى رسول اللّه صلى الله عليه و آله فأخبره أنّ القوم قد همّوا بقتله، ومنعوا صدقاتهم، فهمّ رسول اللّه صلى الله عليه و آله بغزوهم؛ فبينما هم كذلك إذ قدم وفدهم على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سمعنا برسولك فخرجنا إليه لنكرمه، ونؤدّي إليه ما قبلنا من الصدقة، فأستمر راجعاً، وبلغنا أنّه يزعم لرسول اللّه صلى الله عليه و آله أنا خرجنا لنقاتله، واللّه ما خرجنا بذلك، فأنزل اللّه تعالى هذه الآية وسُمّيَ الوليدُ فاسقاً أي كاذباً</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من التكفير إن دلّ على شيء فإنّما يدلّ على أنّه الأساس لتمزيق الأُمّة الإسلامية وإضعاف المسلمين وانهدام الأمن الذي هو من أهم الحاجات الفطرية للإنسان</w:t>
      </w:r>
      <w:r>
        <w:rPr>
          <w:rFonts w:eastAsia="Amiri" w:cs="Amiri" w:ascii="Amiri" w:hAnsi="Amiri"/>
          <w:color w:val="111111"/>
          <w:sz w:val="28"/>
          <w:szCs w:val="28"/>
          <w:rtl w:val="true"/>
          <w:lang w:bidi="ar-SA"/>
        </w:rPr>
        <w:t>.</w:t>
      </w:r>
      <w:bookmarkStart w:id="270" w:name="pg16776_178914"/>
    </w:p>
    <w:p>
      <w:pPr>
        <w:pStyle w:val="Heading6"/>
        <w:numPr>
          <w:ilvl w:val="5"/>
          <w:numId w:val="1"/>
        </w:numPr>
        <w:rPr/>
      </w:pPr>
      <w:bookmarkStart w:id="271" w:name="__RefHeading___Toc7070871_73709187"/>
      <w:bookmarkStart w:id="272" w:name="_Toc103"/>
      <w:bookmarkEnd w:id="270"/>
      <w:bookmarkEnd w:id="271"/>
      <w:r>
        <w:rPr/>
        <w:t>3</w:t>
      </w:r>
      <w:r>
        <w:rPr>
          <w:rtl w:val="true"/>
        </w:rPr>
        <w:t xml:space="preserve">. </w:t>
      </w:r>
      <w:r>
        <w:rPr>
          <w:rtl w:val="true"/>
        </w:rPr>
        <w:t>ذوالخويصرة التميمي واعتراضه على توزيع الغنائم</w:t>
      </w:r>
      <w:bookmarkEnd w:id="272"/>
    </w:p>
    <w:p>
      <w:pPr>
        <w:pStyle w:val="BookText"/>
        <w:rPr/>
      </w:pPr>
      <w:r>
        <w:rPr>
          <w:rFonts w:ascii="Amiri" w:hAnsi="Amiri" w:eastAsia="Amiri" w:cs="Amiri"/>
          <w:color w:val="111111"/>
          <w:sz w:val="28"/>
          <w:sz w:val="28"/>
          <w:szCs w:val="28"/>
          <w:rtl w:val="true"/>
          <w:lang w:bidi="ar-SA"/>
        </w:rPr>
        <w:t>روى أصحاب السير والتاريخ أنّه بعد أنّ انتصر المسلمون في غزوة هوازن وقام النبي صلى الله عليه و آله بتقسيم الغنائم فإذا جاء رجل من بني تميم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ذوالخويصرة فوقف عليه صلى الله عليه و آله وهو يعطي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رأيتُ ما صنعت في هذا اليوم،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فكيف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أرك عدلت،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العدل عندي، فعند من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دَعه فإنّه سيكون له شيعة يتعمقون في الدين، حتى يخرجوا منه كما يخرج السهم من الرميّة</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روى مسلم في صحيحه في باب الخوارج شر الخلق والخليقة عن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سيره إلى حرب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قوم من أُمتي يقرأون القرآن ليس قراءتكم إلى قراءتهم بشيء ولا صلاتكم إلى صلاتهم بشيء ولا صيامكم إلى صيامهم بشيء يقرأون القرآن يحسبون أنّه لهم وهو عليهم لا تجاوز صلاتهم تراقيهم يمرقون من الإسلام كما يمرق السهم من الرمية</w:t>
      </w:r>
      <w:r>
        <w:rPr>
          <w:rFonts w:eastAsia="Amiri" w:cs="Amiri" w:ascii="Amiri" w:hAnsi="Amiri"/>
          <w:color w:val="111111"/>
          <w:sz w:val="28"/>
          <w:szCs w:val="28"/>
          <w:rtl w:val="true"/>
          <w:lang w:bidi="ar-SA"/>
        </w:rPr>
        <w:t>.</w:t>
      </w:r>
      <w:r>
        <w:rPr>
          <w:rStyle w:val="FootnoteAnchor"/>
          <w:rtl w:val="true"/>
        </w:rPr>
        <w:footnoteReference w:id="281"/>
      </w:r>
    </w:p>
    <w:p>
      <w:pPr>
        <w:pStyle w:val="Heading6"/>
        <w:numPr>
          <w:ilvl w:val="5"/>
          <w:numId w:val="1"/>
        </w:numPr>
        <w:rPr/>
      </w:pPr>
      <w:bookmarkStart w:id="273" w:name="__RefHeading___Toc7070873_73709187"/>
      <w:bookmarkStart w:id="274" w:name="_Toc104"/>
      <w:bookmarkEnd w:id="273"/>
      <w:r>
        <w:rPr/>
        <w:t>4</w:t>
      </w:r>
      <w:r>
        <w:rPr>
          <w:rtl w:val="true"/>
        </w:rPr>
        <w:t xml:space="preserve">. </w:t>
      </w:r>
      <w:r>
        <w:rPr>
          <w:rtl w:val="true"/>
        </w:rPr>
        <w:t>قد صدّق الخُبر الخبر</w:t>
      </w:r>
      <w:bookmarkEnd w:id="274"/>
    </w:p>
    <w:p>
      <w:pPr>
        <w:pStyle w:val="BookText"/>
        <w:rPr/>
      </w:pPr>
      <w:r>
        <w:rPr>
          <w:rFonts w:ascii="Amiri" w:hAnsi="Amiri" w:eastAsia="Amiri" w:cs="Amiri"/>
          <w:color w:val="111111"/>
          <w:sz w:val="28"/>
          <w:sz w:val="28"/>
          <w:szCs w:val="28"/>
          <w:rtl w:val="true"/>
          <w:lang w:bidi="ar-SA"/>
        </w:rPr>
        <w:t xml:space="preserve">قد اشتدت ظاهرة التكفير في غزوة صفين عند ما رضي 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بضغط من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بالتحكيم، وإليك إجمال القضية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رفع أهل الشام المصاحف على رؤوس الرماح يدعون إلى حكم</w:t>
      </w:r>
    </w:p>
    <w:p>
      <w:pPr>
        <w:pStyle w:val="BookText"/>
        <w:rPr/>
      </w:pPr>
      <w:r>
        <w:rPr>
          <w:rFonts w:ascii="Amiri" w:hAnsi="Amiri" w:eastAsia="Amiri" w:cs="Amiri"/>
          <w:color w:val="111111"/>
          <w:sz w:val="28"/>
          <w:sz w:val="28"/>
          <w:szCs w:val="28"/>
          <w:rtl w:val="true"/>
          <w:lang w:bidi="ar-SA"/>
        </w:rPr>
        <w:t>اللّه قال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إنّي أحق من أجاب إلى كتاب اللّه ولكنّ معاوية وعمرو بن العاص وابن أبي معيط وحبيب بن مسلمة وابن أبي سرح ليسوا بأصحاب دين ولا قرآن وإنّي أعرف بهم منكم صحبتهم أطفالاً وصحبتهم رجالاً فكانوا شر أطفال وشر رجال، إنّها كلمة حقٍّ يُراد بها باطل، إنّهم واللّه ما رفعوها أنّهم يعرفونها ويعملون بها ولكنّها الخديعة والوهن والمكيدة، أعيروني سواعدكم وجماجمكم ساعةً واحدة، فقد بلغ الحقُّ مقطعه، ولم يبق إلّاأن يُقطع دابر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زهاء عشرين ألفاً مقنعّين في الحديد شاكي السلاح، سيوفهم على عواتقهم، وقد اسودّت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جباههم من السجود، يتقدمهم مِسعر بن فدكيّ‌، وزيد بن حصين، وعصابة من القرّاء الذين صاروا خوارج من بعد، فنادوه باسمه لا بأمرة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أجب القوم إلى كتاب اللّه إذ دُعيت إليه، وإلّا فقلناك كما قتلنا ابنَ عفّان، فواللّه لنفعلنها إن لم تُجبهم</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ثمّ إنّ هؤلاء الجماعة الذين ضغطوا الأمر على عليّ عليه السلام بعد كتابة وثيقة التحكيم بين الطرفين، ندموا من أمرهم التحكيم فجاءوا إلى علي عليه السلام وقد سلّوا سيوفهم واضيعها على عواتقهم، وكان الإمام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تنتظر بهؤلاء القوم أن نمشي إليهم بسيوفنا حتّى يحكم اللّه بيننا وبينهم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جعلنا حُكمَ القرآن بيننا وبينهم، ولا يحلُّ قتالهم حتّى ننظر بم يحكم القرآن</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ولكنهم كانوا يصرون على نقض العهد، وكان شعارهم في المسجد عندما كان علي يخطب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للّه لا لك يا علي ولا لأصحابك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يسامحهم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لكم عندنا ثلاثاً ما صحبتمونا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نمنعكم مساجد اللّه أن تذكروا فيها اسمه، ولا نمنعكم الفيء مادامت أيديكم مع أيدينا، ولا نقاتلكم حتى تبدأونا،</w:t>
      </w:r>
      <w:bookmarkStart w:id="275" w:name="pg16776_178916"/>
    </w:p>
    <w:p>
      <w:pPr>
        <w:pStyle w:val="BookText"/>
        <w:rPr/>
      </w:pPr>
      <w:bookmarkEnd w:id="275"/>
      <w:r>
        <w:rPr>
          <w:rFonts w:ascii="Amiri" w:hAnsi="Amiri" w:eastAsia="Amiri" w:cs="Amiri"/>
          <w:color w:val="111111"/>
          <w:sz w:val="28"/>
          <w:sz w:val="28"/>
          <w:szCs w:val="28"/>
          <w:rtl w:val="true"/>
          <w:lang w:bidi="ar-SA"/>
        </w:rPr>
        <w:t>وإنّما فيكم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مكانه من الخطبة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كانت الحال على هذه الشاكلة ولكن لما بلغ السيل الزبى وبلغ أنّهم قتلوا عبد اللّه بن خبّاب صاحب رسول اللّه صلى الله عليه و آله لم ير بداً من استئصال شأنهم حتى قضى عليهم في حرب النهروان</w:t>
      </w:r>
      <w:r>
        <w:rPr>
          <w:rFonts w:eastAsia="Amiri" w:cs="Amiri" w:ascii="Amiri" w:hAnsi="Amiri"/>
          <w:color w:val="111111"/>
          <w:sz w:val="28"/>
          <w:szCs w:val="28"/>
          <w:rtl w:val="true"/>
          <w:lang w:bidi="ar-SA"/>
        </w:rPr>
        <w:t>.</w:t>
      </w:r>
      <w:r>
        <w:rPr>
          <w:rStyle w:val="FootnoteAnchor"/>
          <w:rtl w:val="true"/>
        </w:rPr>
        <w:footnoteReference w:id="285"/>
      </w:r>
    </w:p>
    <w:p>
      <w:pPr>
        <w:pStyle w:val="Heading6"/>
        <w:numPr>
          <w:ilvl w:val="5"/>
          <w:numId w:val="1"/>
        </w:numPr>
        <w:rPr/>
      </w:pPr>
      <w:bookmarkStart w:id="276" w:name="__RefHeading___Toc7070875_73709187"/>
      <w:bookmarkStart w:id="277" w:name="_Toc105"/>
      <w:bookmarkEnd w:id="276"/>
      <w:r>
        <w:rPr/>
        <w:t>5</w:t>
      </w:r>
      <w:r>
        <w:rPr>
          <w:rtl w:val="true"/>
        </w:rPr>
        <w:t xml:space="preserve">. </w:t>
      </w:r>
      <w:r>
        <w:rPr>
          <w:rtl w:val="true"/>
        </w:rPr>
        <w:t>مسألة خلق القرآن وتفرّق الأُمّةً‌</w:t>
      </w:r>
      <w:bookmarkEnd w:id="277"/>
    </w:p>
    <w:p>
      <w:pPr>
        <w:pStyle w:val="BookText"/>
        <w:rPr/>
      </w:pPr>
      <w:r>
        <w:rPr>
          <w:rFonts w:ascii="Amiri" w:hAnsi="Amiri" w:eastAsia="Amiri" w:cs="Amiri"/>
          <w:color w:val="111111"/>
          <w:sz w:val="28"/>
          <w:sz w:val="28"/>
          <w:szCs w:val="28"/>
          <w:rtl w:val="true"/>
          <w:lang w:bidi="ar-SA"/>
        </w:rPr>
        <w:t>لا أُريد أن أخدش في العواطف ولكن نرى قسماً ممن دوّن عقيدة أهل الحديث والحنابلة خلطوا بين المسائل الكلامية والمسائل التي يدور عليها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النبي صلى الله عليه و آله يحدد الإسلام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 الإمام علي عليه السلام في غزوة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أقاتلهم‌؟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يشهدوا أن لا إله إلّااللّه وانّي رسول اللّه فإذا فعلوا ذلك فقد حقنوا مني دماءهم وأموالهم إلّا بحقها وحسابهم على اللّه عزّ وجلّ‌</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وروى عبد اللّه بن عمر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يشهدوا أن لا إله إلّااللّه وأنّ محمداً رسول اللّه، ويقيموا الصلاة ويؤتوا الزكاة فإذا فعلوا عصموا مني دماءهم وأموالهم إلّابحق الإسلام أو حسابهم على اللّه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ومع ذلك نرى أنّ بعض مَن كتب رسالة في العقيدة الإسلامية جعل المسائل الكلامية من الضروريات التي لو انكرها أحد فقد كفر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كلام اللّه ليس بمخلوق فمن زعم أنّ القرآن</w:t>
      </w:r>
      <w:bookmarkStart w:id="278" w:name="pg16776_178917"/>
    </w:p>
    <w:p>
      <w:pPr>
        <w:pStyle w:val="BookText"/>
        <w:rPr/>
      </w:pPr>
      <w:bookmarkEnd w:id="278"/>
      <w:r>
        <w:rPr>
          <w:rFonts w:ascii="Amiri" w:hAnsi="Amiri" w:eastAsia="Amiri" w:cs="Amiri"/>
          <w:color w:val="111111"/>
          <w:sz w:val="28"/>
          <w:sz w:val="28"/>
          <w:szCs w:val="28"/>
          <w:rtl w:val="true"/>
          <w:lang w:bidi="ar-SA"/>
        </w:rPr>
        <w:t>مخلوق فهو جهميّ كافر، ومن زعم أنّ القرآن كلام اللّه ووقف ولم يقل مخلوق ولا غير مخلوق فهو أخبث من الأوّل، ومن زعم أنّ الفاظنا بالقرآن وتلاوتنا له مخلوقة والقرآن كلام اللّه فهو جهميّ‌، ومن لم يكفّر هؤلاء القوم كلهم فهو مثلهم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من أين جعل هذه المسائل مداراً للإيمان والكفر، فإن أراد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مخلوق أي مختلق، فهذا ممّا لا شبهة في كفر القائل به، حيث أنكر الرسالة، وأمّا لو أراد غير هذا فالجميع مسائل كلامية لا تُعدّ ميزاناً للكفر والإيمان</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7070877_73709187"/>
      <w:bookmarkStart w:id="280" w:name="_Toc106"/>
      <w:bookmarkEnd w:id="279"/>
      <w:r>
        <w:rPr/>
        <w:t>6</w:t>
      </w:r>
      <w:r>
        <w:rPr>
          <w:rtl w:val="true"/>
        </w:rPr>
        <w:t xml:space="preserve">. </w:t>
      </w:r>
      <w:r>
        <w:rPr>
          <w:rtl w:val="true"/>
        </w:rPr>
        <w:t>مرتكب الكبيرة</w:t>
      </w:r>
      <w:bookmarkEnd w:id="280"/>
    </w:p>
    <w:p>
      <w:pPr>
        <w:pStyle w:val="BookText"/>
        <w:rPr/>
      </w:pPr>
      <w:r>
        <w:rPr>
          <w:rFonts w:ascii="Amiri" w:hAnsi="Amiri" w:eastAsia="Amiri" w:cs="Amiri"/>
          <w:color w:val="111111"/>
          <w:sz w:val="28"/>
          <w:sz w:val="28"/>
          <w:szCs w:val="28"/>
          <w:rtl w:val="true"/>
          <w:lang w:bidi="ar-SA"/>
        </w:rPr>
        <w:t>ممّا أثار الفتنة بين المسلمين موضوع مرتكب الكبيرة فالازارقة من الخوارج كفّروا مرتكبها</w:t>
      </w:r>
      <w:r>
        <w:rPr>
          <w:rStyle w:val="FootnoteAnchor"/>
          <w:rtl w:val="true"/>
        </w:rPr>
        <w:footnoteReference w:id="289"/>
      </w:r>
      <w:r>
        <w:rPr>
          <w:rFonts w:ascii="Amiri" w:hAnsi="Amiri" w:eastAsia="Amiri" w:cs="Amiri"/>
          <w:color w:val="111111"/>
          <w:sz w:val="28"/>
          <w:sz w:val="28"/>
          <w:szCs w:val="28"/>
          <w:rtl w:val="true"/>
          <w:lang w:bidi="ar-SA"/>
        </w:rPr>
        <w:t>، وبما أنّ التحكيم عندهم كان كبيرة كفّروا بها أصحاب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المعتزلة فلم يكفروا بها مرتكبها لكنهم حكموا بكونه غير مؤمن وجعلوه وسطاً بين الإيمان والكفر وحكموا بخلوده في النار إذا مات من غير توبة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لا شكّ انّ كلا القولين بمعزل من التحقيق لأنّ صريح الكتاب في مرتكب الكبيرة وأنّه في معرض الرحمة،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r>
        <w:rPr>
          <w:rFonts w:eastAsia="Amiri" w:cs="Amiri" w:ascii="Amiri" w:hAnsi="Amiri"/>
          <w:color w:val="111111"/>
          <w:sz w:val="28"/>
          <w:szCs w:val="28"/>
          <w:rtl w:val="true"/>
          <w:lang w:bidi="ar-SA"/>
        </w:rPr>
        <w:t>) .</w:t>
      </w:r>
      <w:r>
        <w:rPr>
          <w:rStyle w:val="FootnoteAnchor"/>
          <w:rtl w:val="true"/>
        </w:rPr>
        <w:footnoteReference w:id="29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المراد من الغفران هو الغفران بلا توبة و إلّافالغفران معها يشمل</w:t>
      </w:r>
      <w:bookmarkStart w:id="281" w:name="pg16776_178918"/>
    </w:p>
    <w:p>
      <w:pPr>
        <w:pStyle w:val="BookText"/>
        <w:rPr/>
      </w:pPr>
      <w:bookmarkEnd w:id="281"/>
      <w:r>
        <w:rPr>
          <w:rFonts w:ascii="Amiri" w:hAnsi="Amiri" w:eastAsia="Amiri" w:cs="Amiri"/>
          <w:color w:val="111111"/>
          <w:sz w:val="28"/>
          <w:sz w:val="28"/>
          <w:szCs w:val="28"/>
          <w:rtl w:val="true"/>
          <w:lang w:bidi="ar-SA"/>
        </w:rPr>
        <w:t>الشرك وغير الشرك مع أنّه سبحانه يفصّل بين الشرك وغيره بأنّ الأوّل لا يغفر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الآية إلّاأنّها بصيص من الرجاء بالنسبة إلى مرتكبي الكبائر، حتى يصلح حالهم فيما يأتي في مستقبل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الفتاوى وما أشبهها التي لا تستند إلى دليل من الكتاب والسنّة هي التي حملت جمعاً من الشباب المتحمّسين على إيجاد الفتنة وإشعال نار الحرب عبر القرون، وسنذكر نماذج من ذلك</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7070879_73709187"/>
      <w:bookmarkStart w:id="283" w:name="_Toc107"/>
      <w:bookmarkEnd w:id="282"/>
      <w:r>
        <w:rPr/>
        <w:t>1</w:t>
      </w:r>
      <w:r>
        <w:rPr>
          <w:rtl w:val="true"/>
        </w:rPr>
        <w:t xml:space="preserve">. </w:t>
      </w:r>
      <w:r>
        <w:rPr>
          <w:rtl w:val="true"/>
        </w:rPr>
        <w:t xml:space="preserve">محنة الطبري </w:t>
      </w:r>
      <w:r>
        <w:rPr>
          <w:rtl w:val="true"/>
        </w:rPr>
        <w:t>(</w:t>
      </w:r>
      <w:r>
        <w:rPr/>
        <w:t>224</w:t>
      </w:r>
      <w:r>
        <w:rPr>
          <w:rtl w:val="true"/>
        </w:rPr>
        <w:t>-</w:t>
      </w:r>
      <w:r>
        <w:rPr/>
        <w:t>310</w:t>
      </w:r>
      <w:r>
        <w:rPr>
          <w:rtl w:val="true"/>
        </w:rPr>
        <w:t xml:space="preserve"> </w:t>
      </w:r>
      <w:r>
        <w:rPr>
          <w:rtl w:val="true"/>
        </w:rPr>
        <w:t>ه‍</w:t>
      </w:r>
      <w:r>
        <w:rPr>
          <w:rtl w:val="true"/>
        </w:rPr>
        <w:t>)</w:t>
      </w:r>
      <w:bookmarkEnd w:id="283"/>
    </w:p>
    <w:p>
      <w:pPr>
        <w:pStyle w:val="BookText"/>
        <w:rPr/>
      </w:pPr>
      <w:r>
        <w:rPr>
          <w:rFonts w:ascii="Amiri" w:hAnsi="Amiri" w:eastAsia="Amiri" w:cs="Amiri"/>
          <w:color w:val="111111"/>
          <w:sz w:val="28"/>
          <w:sz w:val="28"/>
          <w:szCs w:val="28"/>
          <w:rtl w:val="true"/>
          <w:lang w:bidi="ar-SA"/>
        </w:rPr>
        <w:t>قبل أن نشير إلى محنة محمد بن جرير بن يزيد بن كثير الطبري، نودّ أن نتعرّف على مكانته العلمية من خلال كلمات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البغدادي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العلماء، يحكم بقوله، ويرجع إلى رأيه لمعرفته وفضله، وكان قد جمع من العلوم ما لم يشاركه فيه أحدٌ من أهل عصره، وكان حافظاً لكتاب اللّه، عارفاً بالقراءات، بصيراً بالمعاني، فقيهاً في أحكام القرآن، عالماً بالسنن وطرقها، صحيحها وسقيمها، وناسخها ومنسوخها، عارفاً بأقوال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بأيام الناس وأخبارهم</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أفراد الدهر علماً، وذكاء، وكثرة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 ترى العيون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طرق حديث غدير خم في أربعة أجزاء، رأيت شطره، فبهرني سعة رواياته، وجزمت بوقوع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الحنابلة حزبَ أبي بكر بن أبي داود</w:t>
      </w:r>
      <w:r>
        <w:rPr>
          <w:rStyle w:val="FootnoteAnchor"/>
          <w:rtl w:val="true"/>
        </w:rPr>
        <w:footnoteReference w:id="293"/>
      </w:r>
      <w:r>
        <w:rPr>
          <w:rFonts w:ascii="Amiri" w:hAnsi="Amiri" w:eastAsia="Amiri" w:cs="Amiri"/>
          <w:color w:val="111111"/>
          <w:sz w:val="28"/>
          <w:sz w:val="28"/>
          <w:szCs w:val="28"/>
          <w:rtl w:val="true"/>
          <w:lang w:bidi="ar-SA"/>
        </w:rPr>
        <w:t>، فكثّروا وشغَّبوا على ابن جرير، وناله أذى، ولزم</w:t>
      </w:r>
      <w:bookmarkStart w:id="284" w:name="pg16776_178919"/>
    </w:p>
    <w:p>
      <w:pPr>
        <w:pStyle w:val="BookText"/>
        <w:rPr/>
      </w:pPr>
      <w:bookmarkEnd w:id="284"/>
      <w:r>
        <w:rPr>
          <w:rFonts w:ascii="Amiri" w:hAnsi="Amiri" w:eastAsia="Amiri" w:cs="Amiri"/>
          <w:color w:val="111111"/>
          <w:sz w:val="28"/>
          <w:sz w:val="28"/>
          <w:szCs w:val="28"/>
          <w:rtl w:val="true"/>
          <w:lang w:bidi="ar-SA"/>
        </w:rPr>
        <w:t>بيته، نعوذ باللّه من الهوى</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وكان ابن جرير قد دفن ليلاً بداره لأنّ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ابن مِسكويه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ومنعت من دفنه نهاراً، واتهموه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عليه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عليه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بن عيسى</w:t>
      </w:r>
      <w:r>
        <w:rPr>
          <w:rStyle w:val="FootnoteAnchor"/>
          <w:rtl w:val="true"/>
        </w:rPr>
        <w:footnoteReference w:id="29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سُئل هؤلاء عن معنى الرفض والإلحاد ما عرفوه ولا فهموه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أمّا ابن الأثير فعلّل دفنه ليلاً بداره،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الحنابلة تعصّبوا عليه، ووقعوا فيه فتبعهم غيرهم، ولذلك سبب، وهو أنّ الطبري جمع كتاباً ذكر فيه اختلاف الفقهاء، لم يصنّف مثله ولم يذكر فيه أحمد بن حنبل،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فقيهاً، وإنّما كان محدّثاً، فاشتدّ ذلك على الحنابلة، وكانوا لا يُحصون كثرة ببغداد، فشغبوا عليه وقالوا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حسدوا الفتى إذ لم ينالوا سعيه فالناس أعداء له وخصوم</w:t>
      </w:r>
    </w:p>
    <w:p>
      <w:pPr>
        <w:pStyle w:val="BookText"/>
        <w:rPr/>
      </w:pPr>
      <w:r>
        <w:rPr>
          <w:rFonts w:ascii="Amiri" w:hAnsi="Amiri" w:eastAsia="Amiri" w:cs="Amiri"/>
          <w:color w:val="111111"/>
          <w:sz w:val="28"/>
          <w:sz w:val="28"/>
          <w:szCs w:val="28"/>
          <w:rtl w:val="true"/>
          <w:lang w:bidi="ar-SA"/>
        </w:rPr>
        <w:t>كضرائر الحسناء قلن لوجهها حسداً وبغياً إنّه لدميم</w:t>
      </w:r>
      <w:r>
        <w:rPr>
          <w:rStyle w:val="FootnoteAnchor"/>
          <w:rtl w:val="true"/>
        </w:rPr>
        <w:footnoteReference w:id="297"/>
      </w:r>
    </w:p>
    <w:p>
      <w:pPr>
        <w:pStyle w:val="Heading6"/>
        <w:numPr>
          <w:ilvl w:val="5"/>
          <w:numId w:val="1"/>
        </w:numPr>
        <w:rPr/>
      </w:pPr>
      <w:bookmarkStart w:id="285" w:name="__RefHeading___Toc7070881_73709187"/>
      <w:bookmarkStart w:id="286" w:name="_Toc108"/>
      <w:bookmarkEnd w:id="285"/>
      <w:r>
        <w:rPr/>
        <w:t>2</w:t>
      </w:r>
      <w:r>
        <w:rPr>
          <w:rtl w:val="true"/>
        </w:rPr>
        <w:t xml:space="preserve">. </w:t>
      </w:r>
      <w:r>
        <w:rPr>
          <w:rtl w:val="true"/>
        </w:rPr>
        <w:t xml:space="preserve">هدم جامع </w:t>
      </w:r>
      <w:r>
        <w:rPr>
          <w:rtl w:val="true"/>
        </w:rPr>
        <w:t>(</w:t>
      </w:r>
      <w:r>
        <w:rPr>
          <w:rtl w:val="true"/>
        </w:rPr>
        <w:t>براثا</w:t>
      </w:r>
      <w:r>
        <w:rPr>
          <w:rtl w:val="true"/>
        </w:rPr>
        <w:t>)</w:t>
      </w:r>
      <w:bookmarkEnd w:id="28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صالح بن أحمد بن عيسى السليلي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w:t>
      </w:r>
      <w:bookmarkStart w:id="287" w:name="pg16776_178920"/>
    </w:p>
    <w:p>
      <w:pPr>
        <w:pStyle w:val="BookText"/>
        <w:rPr/>
      </w:pPr>
      <w:bookmarkEnd w:id="287"/>
      <w:r>
        <w:rPr>
          <w:rFonts w:ascii="Amiri" w:hAnsi="Amiri" w:eastAsia="Amiri" w:cs="Amiri"/>
          <w:color w:val="111111"/>
          <w:sz w:val="28"/>
          <w:sz w:val="28"/>
          <w:szCs w:val="28"/>
          <w:rtl w:val="true"/>
          <w:lang w:bidi="ar-SA"/>
        </w:rPr>
        <w:t>فضل جامع براثا الّذي يؤمّه الشيعة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مسجد براثا وقد هدمه الحنبليون وحفروا قبوراً فيه، وأخذوا أقواماً قد حُفر لهم قبور فغلبوا أهل الميت ودفنوهم فيه، إرادةَ تعطيل المسجد وتصييره مقبرة، وكان فيه نخل فقُطع، وأُحرق جذوعه وسقوفه، وذلك في سنة اثنتي عشرة وثلاثمائة</w:t>
      </w:r>
      <w:r>
        <w:rPr>
          <w:rFonts w:eastAsia="Amiri" w:cs="Amiri" w:ascii="Amiri" w:hAnsi="Amiri"/>
          <w:color w:val="111111"/>
          <w:sz w:val="28"/>
          <w:szCs w:val="28"/>
          <w:rtl w:val="true"/>
          <w:lang w:bidi="ar-SA"/>
        </w:rPr>
        <w:t>.</w:t>
      </w:r>
      <w:r>
        <w:rPr>
          <w:rStyle w:val="FootnoteAnchor"/>
          <w:rtl w:val="true"/>
        </w:rPr>
        <w:footnoteReference w:id="298"/>
      </w:r>
    </w:p>
    <w:p>
      <w:pPr>
        <w:pStyle w:val="Heading6"/>
        <w:numPr>
          <w:ilvl w:val="5"/>
          <w:numId w:val="1"/>
        </w:numPr>
        <w:rPr/>
      </w:pPr>
      <w:bookmarkStart w:id="288" w:name="__RefHeading___Toc7070883_73709187"/>
      <w:bookmarkStart w:id="289" w:name="_Toc109"/>
      <w:bookmarkEnd w:id="288"/>
      <w:r>
        <w:rPr/>
        <w:t>3</w:t>
      </w:r>
      <w:r>
        <w:rPr>
          <w:rtl w:val="true"/>
        </w:rPr>
        <w:t xml:space="preserve">. </w:t>
      </w:r>
      <w:r>
        <w:rPr>
          <w:rtl w:val="true"/>
        </w:rPr>
        <w:t>التطرّف في تفسير الصفات الخبرية</w:t>
      </w:r>
      <w:bookmarkEnd w:id="289"/>
    </w:p>
    <w:p>
      <w:pPr>
        <w:pStyle w:val="BookText"/>
        <w:rPr/>
      </w:pPr>
      <w:r>
        <w:rPr>
          <w:rFonts w:ascii="Amiri" w:hAnsi="Amiri" w:eastAsia="Amiri" w:cs="Amiri"/>
          <w:color w:val="111111"/>
          <w:sz w:val="28"/>
          <w:sz w:val="28"/>
          <w:szCs w:val="28"/>
          <w:rtl w:val="true"/>
          <w:lang w:bidi="ar-SA"/>
        </w:rPr>
        <w:t xml:space="preserve">ذكر ابن الأثير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فتنة المتطرّفين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وأنّهم يأخذون الرجال إذا مشوا مع النساء والصبيان ويحملونهم إلى صاحب الشرطة ويشهدون عليهم بالفاحشة، فأرهجوا بغداد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شرّهم وفتنتهم، واستظهروا بالعميان وكانوا إذا مرّ بهم شافعي المذهب أغروا به العميان، فيضربونه بعصيّهم حتّى يكاد يموت، فخرج توقيع الراضي بما يُقرأ على الحنابلة ينكر عليهم فعلهم، ويوبّخهم باعتقاد التشبيه وغيره،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أنّكم تزعمون أنّ صورة وجوهكم القبيحة السمجة على مثال ربّ العالمين، وهيئتكم الرذلة على هيئته، وتذكرون الكفّ والأصابع والرجلين والنعلين المذهَّبين، والشعر القطط، والصعود إلى السماء، والنزول إلى الدنيا، تبارك اللّه عمّا يقول الظالمون والجاحدون علوّاً كبيراً، ثم طعنكم على خيار الأئمة، ونسبتكم شيعة آل محمّد صلى الله عليه و آله و سلم إلى الكفر والضلال، ثم استدعاؤكم المسلمين إلى الدين بالبدع الظاهرة والمذاهب الفاجرة الّتي لا يشهد بها القرآن، وإنكاركم زيارة قبور الأئمة، وتشنيعكم على زوّارها بالابتداع، وأنتم مع ذلك تجتمعون على زيارة قبر رجل من العوام ليس بذي شرف، ولا نسب، ولا سبب برسول اللّه صلى الله عليه و آله و سلم، وتأمرون بزيارته، وتدّعون له معجزات الأنبياء، وكرامات</w:t>
      </w:r>
      <w:bookmarkStart w:id="290" w:name="pg16776_178921"/>
    </w:p>
    <w:p>
      <w:pPr>
        <w:pStyle w:val="BookText"/>
        <w:rPr/>
      </w:pPr>
      <w:bookmarkEnd w:id="290"/>
      <w:r>
        <w:rPr>
          <w:rFonts w:ascii="Amiri" w:hAnsi="Amiri" w:eastAsia="Amiri" w:cs="Amiri"/>
          <w:color w:val="111111"/>
          <w:sz w:val="28"/>
          <w:sz w:val="28"/>
          <w:szCs w:val="28"/>
          <w:rtl w:val="true"/>
          <w:lang w:bidi="ar-SA"/>
        </w:rPr>
        <w:t>الأولياء، فلعن اللّه شيطاناً زيّن لكم هذه المنكرات، وما أغواه</w:t>
      </w:r>
      <w:r>
        <w:rPr>
          <w:rFonts w:eastAsia="Amiri" w:cs="Amiri" w:ascii="Amiri" w:hAnsi="Amiri"/>
          <w:color w:val="111111"/>
          <w:sz w:val="28"/>
          <w:szCs w:val="28"/>
          <w:rtl w:val="true"/>
          <w:lang w:bidi="ar-SA"/>
        </w:rPr>
        <w:t>.</w:t>
      </w:r>
      <w:r>
        <w:rPr>
          <w:rStyle w:val="FootnoteAnchor"/>
          <w:rtl w:val="true"/>
        </w:rPr>
        <w:footnoteReference w:id="299"/>
      </w:r>
    </w:p>
    <w:p>
      <w:pPr>
        <w:pStyle w:val="Heading6"/>
        <w:numPr>
          <w:ilvl w:val="5"/>
          <w:numId w:val="1"/>
        </w:numPr>
        <w:rPr/>
      </w:pPr>
      <w:bookmarkStart w:id="291" w:name="__RefHeading___Toc7070885_73709187"/>
      <w:bookmarkStart w:id="292" w:name="_Toc110"/>
      <w:bookmarkEnd w:id="291"/>
      <w:r>
        <w:rPr/>
        <w:t>4</w:t>
      </w:r>
      <w:r>
        <w:rPr>
          <w:rtl w:val="true"/>
        </w:rPr>
        <w:t xml:space="preserve">. </w:t>
      </w:r>
      <w:r>
        <w:rPr>
          <w:rtl w:val="true"/>
        </w:rPr>
        <w:t>فتنة الجهر بالبسملة</w:t>
      </w:r>
      <w:bookmarkEnd w:id="292"/>
    </w:p>
    <w:p>
      <w:pPr>
        <w:pStyle w:val="BookText"/>
        <w:rPr/>
      </w:pPr>
      <w:r>
        <w:rPr>
          <w:rFonts w:ascii="Amiri" w:hAnsi="Amiri" w:eastAsia="Amiri" w:cs="Amiri"/>
          <w:color w:val="111111"/>
          <w:sz w:val="28"/>
          <w:sz w:val="28"/>
          <w:szCs w:val="28"/>
          <w:rtl w:val="true"/>
          <w:lang w:bidi="ar-SA"/>
        </w:rPr>
        <w:t>يقول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مسألة الجهر بالبسملة والمخافتة بها سبباً للفتنة بين فقهاء الشافعية والحنابلة، فالطائفة الثانية أنكروا الجهر ببسم اللّه الرحمن الرحيم، ومنعوا من الترجيع في الأذان، والقنوت في الفجر، وأتى الحنابلة إلى مسجدٍ بباب الشعير فنهوا إمامه عن الجهر بالبسملة، فأخرج مصحفاً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أزيلوها من المصحف حتّى لا أتلوها</w:t>
      </w:r>
      <w:r>
        <w:rPr>
          <w:rFonts w:eastAsia="Amiri" w:cs="Amiri" w:ascii="Amiri" w:hAnsi="Amiri"/>
          <w:color w:val="111111"/>
          <w:sz w:val="28"/>
          <w:szCs w:val="28"/>
          <w:rtl w:val="true"/>
          <w:lang w:bidi="ar-SA"/>
        </w:rPr>
        <w:t>.</w:t>
      </w:r>
      <w:r>
        <w:rPr>
          <w:rStyle w:val="FootnoteAnchor"/>
          <w:rtl w:val="true"/>
        </w:rPr>
        <w:footnoteReference w:id="300"/>
      </w:r>
    </w:p>
    <w:p>
      <w:pPr>
        <w:pStyle w:val="Heading6"/>
        <w:numPr>
          <w:ilvl w:val="5"/>
          <w:numId w:val="1"/>
        </w:numPr>
        <w:rPr/>
      </w:pPr>
      <w:bookmarkStart w:id="293" w:name="__RefHeading___Toc7070887_73709187"/>
      <w:bookmarkStart w:id="294" w:name="_Toc111"/>
      <w:bookmarkEnd w:id="293"/>
      <w:r>
        <w:rPr/>
        <w:t>5</w:t>
      </w:r>
      <w:r>
        <w:rPr>
          <w:rtl w:val="true"/>
        </w:rPr>
        <w:t xml:space="preserve">. </w:t>
      </w:r>
      <w:r>
        <w:rPr>
          <w:rtl w:val="true"/>
        </w:rPr>
        <w:t>إحراق مسجد الشوافع</w:t>
      </w:r>
      <w:bookmarkEnd w:id="294"/>
    </w:p>
    <w:p>
      <w:pPr>
        <w:pStyle w:val="BookText"/>
        <w:rPr/>
      </w:pPr>
      <w:r>
        <w:rPr>
          <w:rFonts w:ascii="Amiri" w:hAnsi="Amiri" w:eastAsia="Amiri" w:cs="Amiri"/>
          <w:color w:val="111111"/>
          <w:sz w:val="28"/>
          <w:sz w:val="28"/>
          <w:szCs w:val="28"/>
          <w:rtl w:val="true"/>
          <w:lang w:bidi="ar-SA"/>
        </w:rPr>
        <w:t xml:space="preserve">لم يكن اختلاف الحنابلة مع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إلّافي الفروع، لأنّ أئمتهم كانوا مختلفين فيها، لا في الأُصول الّتي يناط بها الإيمان، ومع ذلك نرى أنّ الحنابلة ربّما يحرقون مسجد الشوافع تعصُّباً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ابن جنيد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بنى وزير خوارزم شاه للشافعية بمرو جامعاً مشرفاً على جامع الحنفية، فتعصّب شيخ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مقدّم الحنابلة بها، وجمع الأوباش، فأحرقه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فأنفذ خوارزم شاه فأحضر شيخ الإسلام وجماعة ممّن سعى في ذلك، فأغرمهم مالاً كثيراً</w:t>
      </w:r>
      <w:r>
        <w:rPr>
          <w:rFonts w:eastAsia="Amiri" w:cs="Amiri" w:ascii="Amiri" w:hAnsi="Amiri"/>
          <w:color w:val="111111"/>
          <w:sz w:val="28"/>
          <w:szCs w:val="28"/>
          <w:rtl w:val="true"/>
          <w:lang w:bidi="ar-SA"/>
        </w:rPr>
        <w:t>.</w:t>
      </w:r>
      <w:r>
        <w:rPr>
          <w:rStyle w:val="FootnoteAnchor"/>
          <w:rtl w:val="true"/>
        </w:rPr>
        <w:footnoteReference w:id="301"/>
      </w:r>
    </w:p>
    <w:p>
      <w:pPr>
        <w:pStyle w:val="Heading6"/>
        <w:numPr>
          <w:ilvl w:val="5"/>
          <w:numId w:val="1"/>
        </w:numPr>
        <w:rPr/>
      </w:pPr>
      <w:bookmarkStart w:id="295" w:name="__RefHeading___Toc7070889_73709187"/>
      <w:bookmarkStart w:id="296" w:name="_Toc112"/>
      <w:bookmarkEnd w:id="295"/>
      <w:r>
        <w:rPr/>
        <w:t>6</w:t>
      </w:r>
      <w:r>
        <w:rPr>
          <w:rtl w:val="true"/>
        </w:rPr>
        <w:t xml:space="preserve">. </w:t>
      </w:r>
      <w:r>
        <w:rPr>
          <w:rtl w:val="true"/>
        </w:rPr>
        <w:t>التشكيك في شيخ الأشاعرة</w:t>
      </w:r>
      <w:bookmarkEnd w:id="2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 بن إسماعيل المعروف بأبي الحسن الأشعري كان معتزلياً ثم أعلن براءته من هذا المذهب والتحق بمذهب الإمام أحمد، ومع ذلك نرى أنّ الحنابلة</w:t>
      </w:r>
      <w:bookmarkStart w:id="297" w:name="pg16776_178922"/>
    </w:p>
    <w:p>
      <w:pPr>
        <w:pStyle w:val="BookText"/>
        <w:rPr/>
      </w:pPr>
      <w:bookmarkEnd w:id="297"/>
      <w:r>
        <w:rPr>
          <w:rFonts w:ascii="Amiri" w:hAnsi="Amiri" w:eastAsia="Amiri" w:cs="Amiri"/>
          <w:color w:val="111111"/>
          <w:sz w:val="28"/>
          <w:sz w:val="28"/>
          <w:szCs w:val="28"/>
          <w:rtl w:val="true"/>
          <w:lang w:bidi="ar-SA"/>
        </w:rPr>
        <w:t>لا يعدّونه من أهل السنّة كما لا يعدّون أتباعه الذين يمثّلون كثيراً منهم من أهل السنّة، والتاريخ حافل بوجود منازعات كثيرة بين الحنابلة والأشاعرة، إلى أن احتاج رئيس الأشاعرة في وقته إلى استفتاء أرسله إلى مشاهير العلماء في حال الإمام الأشعري، فكتب كلّ شيئاً في علمه وسيرته، ومع ذلك نرى أنّ نار الفتنة كانت تشتعل بين فينة وأُخرى، حتّى أنّ السبكي خصّص فصلاً يشرح فيه حال الفتنة الّتي وقعت في نيشابور، وآلت إلى خروج أكابر العلماء من تلك المنطقة، وكان ذلك في أيام سلطة طغرل بك السلجوقي ووزيره أبي نصر منصور بن محمد الكندري، وقد وصف السبكي هذه الفتنة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الفتنة الّتي طار شررها فملأ الآفاق، وطال ضررها فشمل خراسان، والشام، والحجاز، والعراق، وعظم خطبها وبلاؤها، وقام في سَبِّ أهل السنّة خطيبها وسفهاؤها، إذ أدّى هذا الأمر إلى التصريح بلعن أهل السنّة في الجُمَع، وتوظيف سبّهم على المنابر، وصار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أُسوة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زمن بغض بني أُمية، حيث استولت النواصب على المناصب، واستعلى أُولئك السفهاء في المجامع والمراتب</w:t>
      </w:r>
      <w:r>
        <w:rPr>
          <w:rFonts w:eastAsia="Amiri" w:cs="Amiri" w:ascii="Amiri" w:hAnsi="Amiri"/>
          <w:color w:val="111111"/>
          <w:sz w:val="28"/>
          <w:szCs w:val="28"/>
          <w:rtl w:val="true"/>
          <w:lang w:bidi="ar-SA"/>
        </w:rPr>
        <w:t>.</w:t>
      </w:r>
      <w:r>
        <w:rPr>
          <w:rStyle w:val="FootnoteAnchor"/>
          <w:rtl w:val="true"/>
        </w:rPr>
        <w:footnoteReference w:id="302"/>
      </w:r>
    </w:p>
    <w:p>
      <w:pPr>
        <w:pStyle w:val="Heading6"/>
        <w:numPr>
          <w:ilvl w:val="5"/>
          <w:numId w:val="1"/>
        </w:numPr>
        <w:rPr/>
      </w:pPr>
      <w:bookmarkStart w:id="298" w:name="__RefHeading___Toc7070891_73709187"/>
      <w:bookmarkStart w:id="299" w:name="_Toc113"/>
      <w:bookmarkEnd w:id="298"/>
      <w:r>
        <w:rPr/>
        <w:t>7</w:t>
      </w:r>
      <w:r>
        <w:rPr>
          <w:rtl w:val="true"/>
        </w:rPr>
        <w:t xml:space="preserve">. </w:t>
      </w:r>
      <w:r>
        <w:rPr>
          <w:rtl w:val="true"/>
        </w:rPr>
        <w:t>موت البوريّ بحلواء مسمومة</w:t>
      </w:r>
      <w:bookmarkEnd w:id="2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الجزري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فيها البوريّ‌، الفقيه الشافعيّ‌، تفقّه على محمد بن يحيى، وقدم بغداد ووعظ، وكان يذمّ الحنابلة، وكثرت أتباعه، فأصابه إسهال فمات هو وجماعة من أصحابه،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الحنابلة أهدوا له حلواء، فمات هو وكلّ مَن أكل منها</w:t>
      </w:r>
      <w:r>
        <w:rPr>
          <w:rFonts w:eastAsia="Amiri" w:cs="Amiri" w:ascii="Amiri" w:hAnsi="Amiri"/>
          <w:color w:val="111111"/>
          <w:sz w:val="28"/>
          <w:szCs w:val="28"/>
          <w:rtl w:val="true"/>
          <w:lang w:bidi="ar-SA"/>
        </w:rPr>
        <w:t>.</w:t>
      </w:r>
      <w:r>
        <w:rPr>
          <w:rStyle w:val="FootnoteAnchor"/>
          <w:rtl w:val="true"/>
        </w:rPr>
        <w:footnoteReference w:id="303"/>
      </w:r>
      <w:bookmarkStart w:id="300" w:name="pg16776_178923"/>
    </w:p>
    <w:p>
      <w:pPr>
        <w:pStyle w:val="Heading6"/>
        <w:numPr>
          <w:ilvl w:val="5"/>
          <w:numId w:val="1"/>
        </w:numPr>
        <w:rPr/>
      </w:pPr>
      <w:bookmarkStart w:id="301" w:name="__RefHeading___Toc7070893_73709187"/>
      <w:bookmarkStart w:id="302" w:name="_Toc114"/>
      <w:bookmarkEnd w:id="300"/>
      <w:bookmarkEnd w:id="301"/>
      <w:r>
        <w:rPr/>
        <w:t>8</w:t>
      </w:r>
      <w:r>
        <w:rPr>
          <w:rtl w:val="true"/>
        </w:rPr>
        <w:t xml:space="preserve">. </w:t>
      </w:r>
      <w:r>
        <w:rPr>
          <w:rtl w:val="true"/>
        </w:rPr>
        <w:t>قتل الأشاعرة في المدرسة النظامية</w:t>
      </w:r>
      <w:bookmarkEnd w:id="302"/>
    </w:p>
    <w:p>
      <w:pPr>
        <w:pStyle w:val="BookText"/>
        <w:rPr/>
      </w:pPr>
      <w:r>
        <w:rPr>
          <w:rFonts w:ascii="Amiri" w:hAnsi="Amiri" w:eastAsia="Amiri" w:cs="Amiri"/>
          <w:color w:val="111111"/>
          <w:sz w:val="28"/>
          <w:sz w:val="28"/>
          <w:szCs w:val="28"/>
          <w:rtl w:val="true"/>
          <w:lang w:bidi="ar-SA"/>
        </w:rPr>
        <w:t>كان أبو نصر بن أبي القاسم القشيري</w:t>
      </w:r>
      <w:r>
        <w:rPr>
          <w:rStyle w:val="FootnoteAnchor"/>
          <w:rtl w:val="true"/>
        </w:rPr>
        <w:footnoteReference w:id="304"/>
      </w:r>
      <w:r>
        <w:rPr>
          <w:rFonts w:ascii="Amiri" w:hAnsi="Amiri" w:eastAsia="Amiri" w:cs="Amiri"/>
          <w:color w:val="111111"/>
          <w:sz w:val="28"/>
          <w:sz w:val="28"/>
          <w:szCs w:val="28"/>
          <w:rtl w:val="true"/>
          <w:lang w:bidi="ar-SA"/>
        </w:rPr>
        <w:t>إماماً على مذهب الإمام الأشعري، فلمّا ورد بغداد حاجّاً جلس في المدرسة النظامية يعظ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له مع الحنابلة فتن، لأنّه تكلّم على مذهب الأشعري ونصرَه، وكثر أتباعه والمتعصّبون له، وقصد خصومه من الحنابلة ومن تبعهم سوق المدرسة النظامية وقتلوا جماعة، وكان من المتعصّبين للقشيري الشيخ أبو إسحاق، وشيخ الشيوخ وغيرهما من الأعيان، وجرت بين الطائفتين أُمور عظيمة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لم يكن الإمام الأشعري ولا أتباعه مختلفين مع الحنابلة في توحيده سبحانه ولا في رسالة نبينا محمد صلى الله عليه و آله و سلم ولا في معاوية، وإنّما كانوا يختلفون في التنزيه والتشبيه، أفيكون هذا مسوّغاً لإراقة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شيء قليل من أعمال المتطرّفين عبر قرون، وتحاملهم على رجال العلم والإصلاح من دون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بهذه الشواهد دون حاجة للاستطراد في ذكر الأعمال الإجرامية الّتي حدثت في القرون الوسطى‌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جهل المتعصّبين بمعايير الإيمان والكفر أنّهم كفّروا الأشاعرة أو قتلوهم في أُمور لا تمتّ إلى الإيمان والكفر وإنّما هي مسائل كلامية نظير الصفات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واليد والاستواء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فالحنابلة يأخذون بها في المعنى اللغوي كما مرّ في بيان الراضي العباسيّ‌، والأشاعرة من أهل التنزيه يفسّرونها بوجه لا يوجب التشبيه والتجسيم، وقد مرّ أنّهم آذوا إمام المسجد بحجّة أنّه يجهر بالبسملة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بها أو القنوت في صلاة الفجر </w:t>
      </w:r>
      <w:r>
        <w:rPr>
          <w:rFonts w:eastAsia="Amiri" w:cs="Amiri" w:ascii="Amiri" w:hAnsi="Amiri"/>
          <w:color w:val="111111"/>
          <w:sz w:val="28"/>
          <w:szCs w:val="28"/>
          <w:rtl w:val="true"/>
          <w:lang w:bidi="ar-SA"/>
        </w:rPr>
        <w:t>-</w:t>
      </w:r>
      <w:bookmarkStart w:id="303" w:name="pg16776_178924"/>
    </w:p>
    <w:p>
      <w:pPr>
        <w:pStyle w:val="BookText"/>
        <w:rPr/>
      </w:pPr>
      <w:bookmarkEnd w:id="303"/>
      <w:r>
        <w:rPr>
          <w:rFonts w:ascii="Amiri" w:hAnsi="Amiri" w:eastAsia="Amiri" w:cs="Amiri"/>
          <w:color w:val="111111"/>
          <w:sz w:val="28"/>
          <w:sz w:val="28"/>
          <w:szCs w:val="28"/>
          <w:rtl w:val="true"/>
          <w:lang w:bidi="ar-SA"/>
        </w:rPr>
        <w:t xml:space="preserve">اللّذين آذوا بسببهما إمام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فرعي خاضع للاجتهاد، فللمصيب أجران وللمخطئ أجر واحد، وإمام المسجد لم يكن خارجاً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7070895_73709187"/>
      <w:bookmarkStart w:id="305" w:name="_Toc115"/>
      <w:bookmarkEnd w:id="304"/>
      <w:r>
        <w:rPr>
          <w:rtl w:val="true"/>
        </w:rPr>
        <w:t>الفصل الثانى</w:t>
      </w:r>
      <w:r>
        <w:rPr>
          <w:rtl w:val="true"/>
        </w:rPr>
        <w:t xml:space="preserve">: </w:t>
      </w:r>
      <w:r>
        <w:rPr>
          <w:rtl w:val="true"/>
        </w:rPr>
        <w:t>إدانة تكفير أهل القبلة على لسان النبي صلى الله عليه و آله و سلم</w:t>
      </w:r>
      <w:bookmarkEnd w:id="305"/>
    </w:p>
    <w:p>
      <w:pPr>
        <w:pStyle w:val="BookText"/>
        <w:rPr/>
      </w:pPr>
      <w:r>
        <w:rPr>
          <w:rFonts w:ascii="Amiri" w:hAnsi="Amiri" w:eastAsia="Amiri" w:cs="Amiri"/>
          <w:color w:val="111111"/>
          <w:sz w:val="28"/>
          <w:sz w:val="28"/>
          <w:szCs w:val="28"/>
          <w:rtl w:val="true"/>
          <w:lang w:bidi="ar-SA"/>
        </w:rPr>
        <w:t>إنّ للإيمان والكفر معايير واضحة في الكتاب والسنّة، ولم تفوَّض تلك المعايير إلى أحد حتّى يكفّر من شاء ويعدّ من شاء مؤمناً، وإنّما يتبع كون الرجل مؤمناً أو كافراً تلك المعايير الّتي وردت في الكتاب والسنّة وحفلت بذكرها كتب علماء الفقه والتفسير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له أنّ أدعياء العلم والاجتهاد يكفّرون أُمّة كبيرة من المسلمين بلا دليل ولا برهان وإنّما يتّبعون الهوى، كما سيظهر من خلال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إدانة رسول اللّه صلى الله عليه و آله و سلم كلّ مَن يكفّر أهل التوحيد فتظهر من كلامه حول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صلى الله عليه و آله و سلم إلى الحُرَقة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فصبَّحْنا القوم فهزمناهم، ولحقت أنا ورجل من الأنصار رجلاً</w:t>
      </w:r>
    </w:p>
    <w:p>
      <w:pPr>
        <w:pStyle w:val="BookText"/>
        <w:rPr/>
      </w:pPr>
      <w:r>
        <w:rPr>
          <w:rFonts w:ascii="Amiri" w:hAnsi="Amiri" w:eastAsia="Amiri" w:cs="Amiri"/>
          <w:color w:val="111111"/>
          <w:sz w:val="28"/>
          <w:sz w:val="28"/>
          <w:szCs w:val="28"/>
          <w:rtl w:val="true"/>
          <w:lang w:bidi="ar-SA"/>
        </w:rPr>
        <w:t>منهم، فلمّا غشيناه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فكفّ الأنصاري، فطعنته برُمحي حتّى قتلته، فلمّا قدمنا بلغَ النبي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أقتلته بعد ما قال 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متعِّوذاً، فمازال يكرّرها حتّى تمنيّت أنّي لم أكن أسلمت قبل ذلك اليوم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يعلى الموصلي وغيره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إلى رسول اللّه من اليمن بذَهَبة في أدَمٍ مقروظ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تحصَّل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فقسمها بين 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الخيل، والأقرع بن حابس، وعُيَينة بن حِصْن، وعلقمة بن عُلاثة، فقال ناس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كنا أحقّ بهذا، فبلغه ذلك فشقّ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فقام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ألا أضرب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لعلّه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يصلّي يقول بلسانه ما ليس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أُومر أن أشقَّ‌</w:t>
      </w:r>
      <w:r>
        <w:rPr>
          <w:rStyle w:val="FootnoteAnchor"/>
          <w:rtl w:val="true"/>
        </w:rPr>
        <w:footnoteReference w:id="309"/>
      </w:r>
      <w:r>
        <w:rPr>
          <w:rFonts w:ascii="IRNazanin" w:hAnsi="IRNazanin" w:eastAsia="IRNazanin"/>
          <w:color w:val="111111"/>
          <w:sz w:val="28"/>
          <w:sz w:val="28"/>
          <w:szCs w:val="28"/>
          <w:rtl w:val="true"/>
          <w:lang w:bidi="fa-IR"/>
        </w:rPr>
        <w:t>عن قلوب الناس، ولا أشقّ بطونهم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أبو داود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مسلم أكفر رجلاً مسلماً، فإن كان كافراً وإلّا كان هو الكافر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ابن عمر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كفّر الرجل أخاه فقد باء بها أحدهما</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306" w:name="pg16776_178926"/>
    </w:p>
    <w:p>
      <w:pPr>
        <w:pStyle w:val="BookText"/>
        <w:rPr/>
      </w:pPr>
      <w:bookmarkEnd w:id="30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الترمذي في سننه عن ثابت بن الضحاك،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العبد نذر فيما لا يملك، ولاعن المؤمن كقاتله، ومَن قذف مؤمناً بكفر فهو كقاتله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الأحاديث المتضافرة والكلمات المضيئة عن الرسول صلى الله عليه و آله و سلم يعلم أنّ تكفير مسلم ليس بالأمر الهيّن بل هو من الموبقات،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كَالَّذِينَ تَفَرَّقُوا وَ اخْتَلَفُوا مِنْ بَعْدِ ما جاءَهُمُ الْبَيِّناتُ وَ أُولئِكَ لَهُمْ عَذابٌ عَظِيمٌ‌</w:t>
      </w:r>
      <w:r>
        <w:rPr>
          <w:rFonts w:eastAsia="Amiri" w:cs="Amiri" w:ascii="Amiri" w:hAnsi="Amiri"/>
          <w:color w:val="111111"/>
          <w:sz w:val="28"/>
          <w:szCs w:val="28"/>
          <w:rtl w:val="true"/>
          <w:lang w:bidi="ar-SA"/>
        </w:rPr>
        <w:t>)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ونؤكد مرّة أُخرى‌، أنّ المسلمين لم يزالوا منذ قرون غرضاً لأهداف المستعمرين ومخطّطاتهم في بثّ الفرقة بين صفوفهم وجعلهم فرقاً وأُمماً متناحرة ينهش بعضهم بعضاً، وكأنّهم ليسوا من أُمّة واحدة، كلّ ذلك ليكونوا فريسة سائغة للمستعمرين، وبالتالي ينهبون ثرواتهم ويقضون على عقيدتهم وثقافتهم الإسلاميّة بشتّى الوسائل، ولأجل ذلك نرى أنّهم ربما يُشعلون نيران الفتن لأجل مسائل فقهية لا تمتّ إلى العقيدة بصلة، فيكفّر بعضهم بعضاً مع أنّ المسائل الفقهية لم تزل مورد خلاف ونقاش بين الفقهاء</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7070897_73709187"/>
      <w:bookmarkStart w:id="308" w:name="_Toc116"/>
      <w:bookmarkEnd w:id="307"/>
      <w:r>
        <w:rPr>
          <w:rtl w:val="true"/>
        </w:rPr>
        <w:t>الفصل الثالث</w:t>
      </w:r>
      <w:r>
        <w:rPr>
          <w:rtl w:val="true"/>
        </w:rPr>
        <w:t xml:space="preserve">: </w:t>
      </w:r>
      <w:r>
        <w:rPr>
          <w:rtl w:val="true"/>
        </w:rPr>
        <w:t>إدانة علماء المسلمين تكفير أهل القبلة</w:t>
      </w:r>
      <w:bookmarkEnd w:id="308"/>
    </w:p>
    <w:p>
      <w:pPr>
        <w:pStyle w:val="Heading5"/>
        <w:numPr>
          <w:ilvl w:val="4"/>
          <w:numId w:val="1"/>
        </w:numPr>
        <w:rPr/>
      </w:pPr>
      <w:bookmarkStart w:id="309" w:name="__RefHeading___Toc7070899_73709187"/>
      <w:bookmarkStart w:id="310" w:name="_Toc117"/>
      <w:bookmarkEnd w:id="309"/>
      <w:r>
        <w:rPr>
          <w:rtl w:val="true"/>
        </w:rPr>
        <w:t>اشارة</w:t>
      </w:r>
      <w:bookmarkEnd w:id="31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رسول اللّه صلى الله عليه و آله و سلم هو القدوة والأُسوة للمسلمين عامّة وللعلماء</w:t>
      </w:r>
      <w:bookmarkStart w:id="311" w:name="pg16776_178927"/>
    </w:p>
    <w:p>
      <w:pPr>
        <w:pStyle w:val="BookText"/>
        <w:rPr/>
      </w:pPr>
      <w:bookmarkEnd w:id="311"/>
      <w:r>
        <w:rPr>
          <w:rFonts w:ascii="Amiri" w:hAnsi="Amiri" w:eastAsia="Amiri" w:cs="Amiri"/>
          <w:color w:val="111111"/>
          <w:sz w:val="28"/>
          <w:sz w:val="28"/>
          <w:szCs w:val="28"/>
          <w:rtl w:val="true"/>
          <w:lang w:bidi="ar-SA"/>
        </w:rPr>
        <w:t>الواعين المخلصين خاصّة، فقد قاموا بالدعوة إلى توحيد الكلمة ورصّ الصفوف وجمع عامّة المسلمين تحت خيمة الإسلام والإيمان، إلّامَن أنكر أحد الأُصول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والنبوة والمعاد، أو أنكر ما يلازم أحد هذه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كلماتهم</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070901_73709187"/>
      <w:bookmarkStart w:id="313" w:name="_Toc118"/>
      <w:bookmarkEnd w:id="312"/>
      <w:r>
        <w:rPr/>
        <w:t>1</w:t>
      </w:r>
      <w:r>
        <w:rPr>
          <w:rtl w:val="true"/>
        </w:rPr>
        <w:t xml:space="preserve">. </w:t>
      </w:r>
      <w:r>
        <w:rPr>
          <w:rtl w:val="true"/>
        </w:rPr>
        <w:t>كلمة الشيخ الجليل الأقدم الفضل بن شاذان الأزدي</w:t>
      </w:r>
      <w:r>
        <w:rPr>
          <w:rtl w:val="true"/>
        </w:rPr>
        <w:t>:</w:t>
      </w:r>
      <w:bookmarkEnd w:id="313"/>
    </w:p>
    <w:p>
      <w:pPr>
        <w:pStyle w:val="BookText"/>
        <w:rPr/>
      </w:pP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جعلتم للذين تسمّونهم الرافضة ما في الأرض من ذهب أو فضة على أن يستحلّوا قتل رجل مسلم، أو أخذ ماله، ما استحلّوا ذلك إلّامع إمام مثل عليّ صلوات اللّه عليه في علمه بما يأتي وما يذر، وهو المهدي الّذي تروون أنّه يعدل بين الناس</w:t>
      </w:r>
      <w:r>
        <w:rPr>
          <w:rFonts w:eastAsia="Amiri" w:cs="Amiri" w:ascii="Amiri" w:hAnsi="Amiri"/>
          <w:color w:val="111111"/>
          <w:sz w:val="28"/>
          <w:szCs w:val="28"/>
          <w:rtl w:val="true"/>
          <w:lang w:bidi="ar-SA"/>
        </w:rPr>
        <w:t>.</w:t>
      </w:r>
      <w:r>
        <w:rPr>
          <w:rStyle w:val="FootnoteAnchor"/>
          <w:rtl w:val="true"/>
        </w:rPr>
        <w:footnoteReference w:id="316"/>
      </w:r>
    </w:p>
    <w:p>
      <w:pPr>
        <w:pStyle w:val="Heading5"/>
        <w:numPr>
          <w:ilvl w:val="4"/>
          <w:numId w:val="1"/>
        </w:numPr>
        <w:rPr/>
      </w:pPr>
      <w:bookmarkStart w:id="314" w:name="__RefHeading___Toc7070903_73709187"/>
      <w:bookmarkStart w:id="315" w:name="_Toc119"/>
      <w:bookmarkEnd w:id="314"/>
      <w:r>
        <w:rPr/>
        <w:t>2</w:t>
      </w:r>
      <w:r>
        <w:rPr>
          <w:rtl w:val="true"/>
        </w:rPr>
        <w:t xml:space="preserve">. </w:t>
      </w:r>
      <w:r>
        <w:rPr>
          <w:rtl w:val="true"/>
        </w:rPr>
        <w:t>كلمة الإمام الأشعري</w:t>
      </w:r>
      <w:r>
        <w:rPr>
          <w:rtl w:val="true"/>
        </w:rPr>
        <w:t>:</w:t>
      </w:r>
      <w:bookmarkEnd w:id="315"/>
    </w:p>
    <w:p>
      <w:pPr>
        <w:pStyle w:val="BookText"/>
        <w:rPr/>
      </w:pPr>
      <w:r>
        <w:rPr>
          <w:rFonts w:ascii="Amiri" w:hAnsi="Amiri" w:eastAsia="Amiri" w:cs="Amiri"/>
          <w:color w:val="111111"/>
          <w:sz w:val="28"/>
          <w:sz w:val="28"/>
          <w:szCs w:val="28"/>
          <w:rtl w:val="true"/>
          <w:lang w:bidi="ar-SA"/>
        </w:rPr>
        <w:t>قال أحمد بن زاهر السرخسي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الوفاة لأبي الحسن الأشعري في داري ببغداد أمر بجمع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أنّني لا أُكفّر أحداً من أهل القبلة بذنب لأنّي رأيتهم كلّهم يشيرون إلى معبود واحد والإسلام يشملهم ويعمّهم</w:t>
      </w:r>
      <w:r>
        <w:rPr>
          <w:rFonts w:eastAsia="Amiri" w:cs="Amiri" w:ascii="Amiri" w:hAnsi="Amiri"/>
          <w:color w:val="111111"/>
          <w:sz w:val="28"/>
          <w:szCs w:val="28"/>
          <w:rtl w:val="true"/>
          <w:lang w:bidi="ar-SA"/>
        </w:rPr>
        <w:t>.</w:t>
      </w:r>
      <w:r>
        <w:rPr>
          <w:rStyle w:val="FootnoteAnchor"/>
          <w:rtl w:val="true"/>
        </w:rPr>
        <w:footnoteReference w:id="317"/>
      </w:r>
    </w:p>
    <w:p>
      <w:pPr>
        <w:pStyle w:val="Heading5"/>
        <w:numPr>
          <w:ilvl w:val="4"/>
          <w:numId w:val="1"/>
        </w:numPr>
        <w:rPr/>
      </w:pPr>
      <w:bookmarkStart w:id="316" w:name="__RefHeading___Toc7070905_73709187"/>
      <w:bookmarkStart w:id="317" w:name="_Toc120"/>
      <w:bookmarkEnd w:id="316"/>
      <w:r>
        <w:rPr/>
        <w:t>3</w:t>
      </w:r>
      <w:r>
        <w:rPr>
          <w:rtl w:val="true"/>
        </w:rPr>
        <w:t xml:space="preserve">. </w:t>
      </w:r>
      <w:r>
        <w:rPr>
          <w:rtl w:val="true"/>
        </w:rPr>
        <w:t>كلمة ابن حزم في المقام</w:t>
      </w:r>
      <w:bookmarkEnd w:id="3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حزم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إلى أنّه لا يُكفَّر ولا يفسَّق مسلم بقول قاله في اعتقاد أو فتيا، وإنّ كلّ مَن أجتهد في شيء من ذلك فدان بما رأى</w:t>
      </w:r>
      <w:bookmarkStart w:id="318" w:name="pg16776_178928"/>
    </w:p>
    <w:p>
      <w:pPr>
        <w:pStyle w:val="BookText"/>
        <w:rPr/>
      </w:pPr>
      <w:bookmarkEnd w:id="318"/>
      <w:r>
        <w:rPr>
          <w:rFonts w:ascii="Amiri" w:hAnsi="Amiri" w:eastAsia="Amiri" w:cs="Amiri"/>
          <w:color w:val="111111"/>
          <w:sz w:val="28"/>
          <w:sz w:val="28"/>
          <w:szCs w:val="28"/>
          <w:rtl w:val="true"/>
          <w:lang w:bidi="ar-SA"/>
        </w:rPr>
        <w:t>أنّه الحقّ فإنّه مأجور على كلّ حال، إن أصاب الحق فأجران، وإن أخطأ فأجر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ابن أبي ليلى‌، وأبي حنيفة، والشافعي، وسفيان الثوري، وداود، وعلي عليه السلام، وهو قول كلّ مَن عرفنا له قولاً في هذه المسألة من الصحابة، ما نعلم منهم في ذلك خلافاً أصلاً</w:t>
      </w:r>
      <w:r>
        <w:rPr>
          <w:rFonts w:eastAsia="Amiri" w:cs="Amiri" w:ascii="Amiri" w:hAnsi="Amiri"/>
          <w:color w:val="111111"/>
          <w:sz w:val="28"/>
          <w:szCs w:val="28"/>
          <w:rtl w:val="true"/>
          <w:lang w:bidi="ar-SA"/>
        </w:rPr>
        <w:t>.</w:t>
      </w:r>
      <w:r>
        <w:rPr>
          <w:rStyle w:val="FootnoteAnchor"/>
          <w:rtl w:val="true"/>
        </w:rPr>
        <w:footnoteReference w:id="318"/>
      </w:r>
    </w:p>
    <w:p>
      <w:pPr>
        <w:pStyle w:val="Heading5"/>
        <w:numPr>
          <w:ilvl w:val="4"/>
          <w:numId w:val="1"/>
        </w:numPr>
        <w:rPr/>
      </w:pPr>
      <w:bookmarkStart w:id="319" w:name="__RefHeading___Toc7070907_73709187"/>
      <w:bookmarkStart w:id="320" w:name="_Toc121"/>
      <w:bookmarkEnd w:id="319"/>
      <w:r>
        <w:rPr/>
        <w:t>4</w:t>
      </w:r>
      <w:r>
        <w:rPr>
          <w:rtl w:val="true"/>
        </w:rPr>
        <w:t xml:space="preserve">. </w:t>
      </w:r>
      <w:r>
        <w:rPr>
          <w:rtl w:val="true"/>
        </w:rPr>
        <w:t>كلمة القاضي الإيجي</w:t>
      </w:r>
      <w:bookmarkEnd w:id="320"/>
    </w:p>
    <w:p>
      <w:pPr>
        <w:pStyle w:val="BookText"/>
        <w:rPr/>
      </w:pPr>
      <w:r>
        <w:rPr>
          <w:rFonts w:ascii="Amiri" w:hAnsi="Amiri" w:eastAsia="Amiri" w:cs="Amiri"/>
          <w:color w:val="111111"/>
          <w:sz w:val="28"/>
          <w:sz w:val="28"/>
          <w:szCs w:val="28"/>
          <w:rtl w:val="true"/>
          <w:lang w:bidi="ar-SA"/>
        </w:rPr>
        <w:t>قال القاضي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جمهور المتكلّمين والفقهاء على أنّه لا يكفَّر أحد من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مختاره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التي اختلف فيها أهل القبلة من كون اللّه تعالى عالماً بعلم أو موجداً لفعل العبد أو غير متحيّز ولا في جهة ونحوها لم يبحث النبي عن اعتقاد من حكم بإسلامه فيها ولا الصحابة ولا التابعون، فعلم أنّ الخطأ فيها ليس قادحاً في حقيقة الإسلام</w:t>
      </w:r>
      <w:r>
        <w:rPr>
          <w:rFonts w:eastAsia="Amiri" w:cs="Amiri" w:ascii="Amiri" w:hAnsi="Amiri"/>
          <w:color w:val="111111"/>
          <w:sz w:val="28"/>
          <w:szCs w:val="28"/>
          <w:rtl w:val="true"/>
          <w:lang w:bidi="ar-SA"/>
        </w:rPr>
        <w:t>.</w:t>
      </w:r>
      <w:r>
        <w:rPr>
          <w:rStyle w:val="FootnoteAnchor"/>
          <w:rtl w:val="true"/>
        </w:rPr>
        <w:footnoteReference w:id="319"/>
      </w:r>
    </w:p>
    <w:p>
      <w:pPr>
        <w:pStyle w:val="Heading5"/>
        <w:numPr>
          <w:ilvl w:val="4"/>
          <w:numId w:val="1"/>
        </w:numPr>
        <w:rPr/>
      </w:pPr>
      <w:bookmarkStart w:id="321" w:name="__RefHeading___Toc7070909_73709187"/>
      <w:bookmarkStart w:id="322" w:name="_Toc122"/>
      <w:bookmarkEnd w:id="321"/>
      <w:r>
        <w:rPr/>
        <w:t>5</w:t>
      </w:r>
      <w:r>
        <w:rPr>
          <w:rtl w:val="true"/>
        </w:rPr>
        <w:t xml:space="preserve">. </w:t>
      </w:r>
      <w:r>
        <w:rPr>
          <w:rtl w:val="true"/>
        </w:rPr>
        <w:t>كلمة تقي الدين السبكي</w:t>
      </w:r>
      <w:bookmarkEnd w:id="322"/>
    </w:p>
    <w:p>
      <w:pPr>
        <w:pStyle w:val="BookText"/>
        <w:rPr/>
      </w:pPr>
      <w:r>
        <w:rPr>
          <w:rFonts w:ascii="Amiri" w:hAnsi="Amiri" w:eastAsia="Amiri" w:cs="Amiri"/>
          <w:color w:val="111111"/>
          <w:sz w:val="28"/>
          <w:sz w:val="28"/>
          <w:szCs w:val="28"/>
          <w:rtl w:val="true"/>
          <w:lang w:bidi="ar-SA"/>
        </w:rPr>
        <w:t>قال شيخ الإسلام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الإقدام على تكفير المؤمنين عسر جدّاً، وكلّ مَن في قلبه إيمان، يستعظم القول بتكفير أهل الأهواء والبدع مع قولهم لا إله إلّااللّه، محمد رسول اللّه، فإنّ التكفير أمر هائل عظيم الخطر</w:t>
      </w:r>
      <w:r>
        <w:rPr>
          <w:rFonts w:eastAsia="Amiri" w:cs="Amiri" w:ascii="Amiri" w:hAnsi="Amiri"/>
          <w:color w:val="111111"/>
          <w:sz w:val="28"/>
          <w:szCs w:val="28"/>
          <w:rtl w:val="true"/>
          <w:lang w:bidi="ar-SA"/>
        </w:rPr>
        <w:t>.</w:t>
      </w:r>
      <w:r>
        <w:rPr>
          <w:rStyle w:val="FootnoteAnchor"/>
          <w:rtl w:val="true"/>
        </w:rPr>
        <w:footnoteReference w:id="320"/>
      </w:r>
    </w:p>
    <w:p>
      <w:pPr>
        <w:pStyle w:val="Heading5"/>
        <w:numPr>
          <w:ilvl w:val="4"/>
          <w:numId w:val="1"/>
        </w:numPr>
        <w:rPr/>
      </w:pPr>
      <w:bookmarkStart w:id="323" w:name="__RefHeading___Toc7070911_73709187"/>
      <w:bookmarkStart w:id="324" w:name="_Toc123"/>
      <w:bookmarkEnd w:id="323"/>
      <w:r>
        <w:rPr/>
        <w:t>6</w:t>
      </w:r>
      <w:r>
        <w:rPr>
          <w:rtl w:val="true"/>
        </w:rPr>
        <w:t xml:space="preserve">. </w:t>
      </w:r>
      <w:r>
        <w:rPr>
          <w:rtl w:val="true"/>
        </w:rPr>
        <w:t>كلمة التفتازاني</w:t>
      </w:r>
      <w:bookmarkEnd w:id="3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 الحقّ من أهل القبلة ليس بكافر ما لم يخالف ما هو من ضروريات الدين كحدوث العالم وحشر الأجساد، واستدلّ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ومن بعده لم يكونوا يفتشون عن العقائد وينبهون على ما هو الحق</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هذا قليل من كثير من كلمات علماء الإسلام ممّن تنبض قلوبهم رغبة بوحدة المسلمين ورفض أي محاولة لتمزيقهم وهدم كيانهم، فلنذكر شيئاً من كلمات علمائنا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أفتى الشيخ عبداللّه بن عبدالرحمن الجبرين بتكفير أتباع أهل البيت وهدر دمائهم مقرونة بسيل من التهم الباطلة والشبهات المختلقة، قامت مجموعة من علماء أهل السنّة في مختلف أرجاء العالم الإسلامي باستنكار تلك الفتوى الشاذّة عن الكتاب والسنّة والّتي تفرّق الأُمة الإسلاميّة وتمزّق أوصالها، فلنذكر شيئاً من كلماتهم ضمن رسائلهم الّتي أرسلوها إلى العلّامة الحجّة الشيخ التسخيري الأمين العام للمجمع العالمي لأهل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الدكتور سامي 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المدير العام لمركز البحوث والاستشارات العالمية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أسفت لصدور مثل هذه الفتوى عمّن يدّعي العلم بالدين، وهو يخالف أمر اللّه للمسلمين بالوحدة والاعتصام بحبل اللّه المتين، وكأنّه لم يقرأ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عبداللّه بن عبد الرحمن البسّام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الدائرة الحقوقية الأُولى في محكمة التمييز في المنطقة الغربية، وزارة العدل، المملكة العربية السعودية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أشار إليه فضيلتكم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الشيخ التسخيري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الحق والصواب وهو الّذي نسأل اللّه تعالى أن يحقّقه لتجتمع الكلمة ويتوحّد الصّف، ويكون للإسلام قوّة في وجه أعدائه،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عصر نُبذ فيه</w:t>
      </w:r>
    </w:p>
    <w:p>
      <w:pPr>
        <w:pStyle w:val="BookText"/>
        <w:rPr/>
      </w:pPr>
      <w:r>
        <w:rPr>
          <w:rFonts w:ascii="Amiri" w:hAnsi="Amiri" w:eastAsia="Amiri" w:cs="Amiri"/>
          <w:color w:val="111111"/>
          <w:sz w:val="28"/>
          <w:sz w:val="28"/>
          <w:szCs w:val="28"/>
          <w:rtl w:val="true"/>
          <w:lang w:bidi="ar-SA"/>
        </w:rPr>
        <w:t>التعصّب، فدعونا نجتمع ونتوحّد على دين اللّه ونتعاون على إعلاء كلمة اللّه ونشر دينه ونشل البشرية الضالّة من حضيض الجهل بدين ربها إلى العلم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محمد كمال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مجلس العلماء في أثيوبيا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هذه الفتاوى مستنكرة لدى كلّ المسلمين عامّة ولدى كلّ العلماء المخلصين خاصّة، وإصدار مثل هذه الفتاوى الباطلة لا يحقّق إلّاالخدمة للمستكبرين، ومحاولة لتشتيت شمل المسلمين لكي لا يتّحدوا لمواجهة قوى الشر والباطل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محمد عبده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جمعية اقرأ الخيرية، في 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وحدة الأُمّة الإسلاميّة وتلاحمها بوجه أعدائها الذين يحيكون لها المؤمرات من أهم الضرورات، هذا أمر لا يختلف عليه عاقل ويجب أن تنسى الأُمّة كلّ خلافاتها الاجتهادية، الّتي لا تمس التوحيد وأُصول الإيمان، وتنصهر في بوتقة واحدة استجابة لأمر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أحمد 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العضو الخبير لمجمع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أسفت لما ذكّرتم به من صدور بعض الفتاوى ضد الشيعة بما لا دليل عليه، ووجهة نظري في المسألة أحد أمرين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الصبر والصمت وإهمال المسألة وعدم الاهتمام بها، وإمّا الرد عليها بالحجج والأدلّة الّتي تبطل الفتوى وتظهر أنّها مجرد دعوى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محمود علي السرطاوي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الأردنية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المفتي لم يستند فيما ادّعاه إلى مستند شرعي من الكتاب الكريم أو السنّة النبوية المطهّرة وعمل السلف وأقوالهم، بل كان دليله الهوى، ولا حول ولا قوة إلّاباللّه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عجباً عجباً، هل يستحلّ الأخ الكريم ذبيحة اليهود والنصارى، والزواج منهم، ويحرّم ذبيحة إخواننا من الشيعة الذين يؤمنون باللّه رباّ وبمحمد نبياً ورسولاً وبالقرآن الكريم كتاباً منزلاً من عند اللّه تعالى على قلب محمد صلى الله عليه و آله و سلم وباليوم الآخر، والقضاء والقدر خيره وشرّه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الدكتور محمد علي محجوب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الأوقاف المصري آنذاك، رئيس المجلس الأعلى للشؤون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تلقّيت كتابكم بشأن الرأي في صدور القتل الجماعي لأتباع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تعلمون أنّنا في مصر نعاني من مثل هذه الآراء الجافّة والتطرّف في الحكم والفتيا والّذي لن يخلص منه مجتمعنا المسلم إلّا حين تأخذ الوسطية الإسلاميّة طريقها إلى التمكّن ويفسح لها الجميع حتّى تسود وتعلو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الدكتور طه جابر العلواني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الفقه والأُصول في جامعة محمد بن سعود الإسلاميّة في الرياض</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عصر قد تكاثرت فيه الأُمم على المسلمين وتداعت عليهم كما تتداعى الأكلة على قصعتها، ونحن حريّون بأن نتذكر على الدوام قول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ونبذ ذلك التراث المفرّق لكلمة المسلمين المدّمر لوحدة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نعرفه عن عقائد الشيعة وما يصرّح به أئمتهم المعتبرون كما هو ظاهر في مؤلّفاتهم ويعلن به مشايخهم أنّهم يؤمنون باللّه ربّاً وبمحمّد صلى الله عليه و آله و سلم نبيّاً ورسولاً ويؤمنون باللّه وملائكته وكتبه ورسله واليوم الآخر، ويؤمنون بأنّ الإمامة منصب ديني بعد النبوة، وأنّ الأئمة من آل رسول اللّه صلى الله عليه و آله و سلم هم أئمة حق يوالونهم بالمودّة والمحبّة، ولكنّهم لا يؤمنون بألوهيّة الإمام علي عليه السلام أو نبوته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الشيخ أحمد حمد الخليلي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المفتي العام لسلطنة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اطّلعت على الفتوى الحمقاء الّتي تشرك طائفة لا يستهان بها من أُمّة الإسلام وتدعو إلى قتلهم وهذا ممّا يكون له أبلغ الأثر في إضعاف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صدور فتوى كهذه منهم لدليل واضح على ضيق أُفقهم وضحالة تفكيرهم وعدم تخلّقهم بأخلاق العلماء، وأنّهم دعاة فرقة لا وحدة، ودعاة شقاق لا وفاق، وإنْ هم إلّاأداة طيّعة في أيدي أعداء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 ذلك أم لم يعوه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يستغلّونهم في تفتيت الأُمة الإسلاميّة وتمزيق شملها وإبقائها في سبات عميق بعيدة عن فهم الإسلام والعمل بجوهره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الشيخ عبدالحميد السائح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المجلس الوطني الفلسطيني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طعام أهل الكتاب بنصّ القرآن حلالاً لنا، ويشمل ذلك الذبح فكيف نحرّم ذبيحة من هو معروف من المسلمين، ولم نتوضح عقيدته، أو لم يصرّح هو شخصه باعتقاده تلك التهم الّتي تستوجب التكفير، والأصل في</w:t>
      </w:r>
      <w:bookmarkStart w:id="325" w:name="pg16776_178933"/>
    </w:p>
    <w:p>
      <w:pPr>
        <w:pStyle w:val="BookText"/>
        <w:rPr/>
      </w:pPr>
      <w:bookmarkEnd w:id="325"/>
      <w:r>
        <w:rPr>
          <w:rFonts w:ascii="Amiri" w:hAnsi="Amiri" w:eastAsia="Amiri" w:cs="Amiri"/>
          <w:color w:val="111111"/>
          <w:sz w:val="28"/>
          <w:sz w:val="28"/>
          <w:szCs w:val="28"/>
          <w:rtl w:val="true"/>
          <w:lang w:bidi="ar-SA"/>
        </w:rPr>
        <w:t>الإسلام براءة الذمّة، ولذلك لا يجوز أن نحكم بأنّ فئة من المسلمين لا تؤكل ذبائحهم، بناء على تلك الأقاويل الّتي لا ترقى إلى درجة اليقين والقطع</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4"/>
        <w:numPr>
          <w:ilvl w:val="3"/>
          <w:numId w:val="1"/>
        </w:numPr>
        <w:rPr/>
      </w:pPr>
      <w:bookmarkStart w:id="326" w:name="__RefHeading___Toc7070913_73709187"/>
      <w:bookmarkStart w:id="327" w:name="_Toc124"/>
      <w:bookmarkEnd w:id="326"/>
      <w:r>
        <w:rPr>
          <w:rtl w:val="true"/>
        </w:rPr>
        <w:t>الفصل الرابع</w:t>
      </w:r>
      <w:r>
        <w:rPr>
          <w:rtl w:val="true"/>
        </w:rPr>
        <w:t xml:space="preserve">: </w:t>
      </w:r>
      <w:r>
        <w:rPr>
          <w:rtl w:val="true"/>
        </w:rPr>
        <w:t>أسباب نشوء ظاهرة التكفير</w:t>
      </w:r>
      <w:bookmarkEnd w:id="327"/>
    </w:p>
    <w:p>
      <w:pPr>
        <w:pStyle w:val="Heading5"/>
        <w:numPr>
          <w:ilvl w:val="4"/>
          <w:numId w:val="1"/>
        </w:numPr>
        <w:rPr/>
      </w:pPr>
      <w:bookmarkStart w:id="328" w:name="__RefHeading___Toc7070915_73709187"/>
      <w:bookmarkStart w:id="329" w:name="_Toc125"/>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من أسباب التكفير جهل المكّفر أو تجاهله لمذهب مَن يرميه بالكفر، وهذا هو الّذي جرّ البلاء على المسلمين طوال قرون، ولأجل أن يقف القارئ على نماذج من هذا النوع من التجاهل الّذي لا يغفر أبداً، نذكر ما يلي</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7070917_73709187"/>
      <w:bookmarkStart w:id="331" w:name="_Toc126"/>
      <w:bookmarkEnd w:id="330"/>
      <w:r>
        <w:rPr/>
        <w:t>1</w:t>
      </w:r>
      <w:r>
        <w:rPr>
          <w:rtl w:val="true"/>
        </w:rPr>
        <w:t xml:space="preserve">. </w:t>
      </w:r>
      <w:r>
        <w:rPr>
          <w:rtl w:val="true"/>
        </w:rPr>
        <w:t>اختلاق خيانة الأمين</w:t>
      </w:r>
      <w:bookmarkEnd w:id="331"/>
    </w:p>
    <w:p>
      <w:pPr>
        <w:pStyle w:val="BookText"/>
        <w:rPr/>
      </w:pPr>
      <w:r>
        <w:rPr>
          <w:rFonts w:ascii="Amiri" w:hAnsi="Amiri" w:eastAsia="Amiri" w:cs="Amiri"/>
          <w:color w:val="111111"/>
          <w:sz w:val="28"/>
          <w:sz w:val="28"/>
          <w:szCs w:val="28"/>
          <w:rtl w:val="true"/>
          <w:lang w:bidi="ar-SA"/>
        </w:rPr>
        <w:t>يزعمون أنّ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كانت لعلي عليه السلام ولكنّ جبرئيل خان الأمانة وأعطاها لمحمد صلى الله عليه و آله و سلم، وقد ألف القصيمي</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هذا القصيمي في الأغلال قد كفرا وفاه بالزيغ والإلحاد مشتهرا</w:t>
      </w:r>
    </w:p>
    <w:p>
      <w:pPr>
        <w:pStyle w:val="BookText"/>
        <w:rPr/>
      </w:pPr>
      <w:r>
        <w:rPr>
          <w:rFonts w:ascii="Amiri" w:hAnsi="Amiri" w:eastAsia="Amiri" w:cs="Amiri"/>
          <w:color w:val="111111"/>
          <w:sz w:val="28"/>
          <w:sz w:val="28"/>
          <w:szCs w:val="28"/>
          <w:rtl w:val="true"/>
          <w:lang w:bidi="ar-SA"/>
        </w:rPr>
        <w:t xml:space="preserve">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من الوثنية الشيعة الإمامية، وأتى آخر فقرّضه بشعره وعرّف الشيعة الإمامية بقوله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قلبهم بغضاً شنيعاً لخير الخلق ليس له دفاعُ‌</w:t>
      </w:r>
    </w:p>
    <w:p>
      <w:pPr>
        <w:pStyle w:val="BookText"/>
        <w:rPr/>
      </w:pPr>
      <w:r>
        <w:rPr>
          <w:rFonts w:ascii="Amiri" w:hAnsi="Amiri" w:eastAsia="Amiri" w:cs="Amiri"/>
          <w:color w:val="111111"/>
          <w:sz w:val="28"/>
          <w:sz w:val="28"/>
          <w:szCs w:val="28"/>
          <w:rtl w:val="true"/>
          <w:lang w:bidi="ar-SA"/>
        </w:rPr>
        <w:t>يقولون الأمين حبا بوحي وخان وما لهم عن ذا ارتداعُ</w:t>
      </w:r>
    </w:p>
    <w:p>
      <w:pPr>
        <w:pStyle w:val="BookText"/>
        <w:rPr/>
      </w:pPr>
      <w:r>
        <w:rPr>
          <w:rFonts w:ascii="Amiri" w:hAnsi="Amiri" w:eastAsia="Amiri" w:cs="Amiri"/>
          <w:color w:val="111111"/>
          <w:sz w:val="28"/>
          <w:sz w:val="28"/>
          <w:szCs w:val="28"/>
          <w:rtl w:val="true"/>
          <w:lang w:bidi="ar-SA"/>
        </w:rPr>
        <w:t>فهل في الأرض كفر بعد هذا وحرثُهمُ لمن يهوى متاعُ</w:t>
      </w:r>
    </w:p>
    <w:p>
      <w:pPr>
        <w:pStyle w:val="BookText"/>
        <w:rPr/>
      </w:pPr>
      <w:r>
        <w:rPr>
          <w:rFonts w:ascii="Amiri" w:hAnsi="Amiri" w:eastAsia="Amiri" w:cs="Amiri"/>
          <w:color w:val="111111"/>
          <w:sz w:val="28"/>
          <w:sz w:val="28"/>
          <w:szCs w:val="28"/>
          <w:rtl w:val="true"/>
          <w:lang w:bidi="ar-SA"/>
        </w:rPr>
        <w:t xml:space="preserve">فما للقوم دينٌ أو حياءٌ وحسبهمُ من الخزي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مبلغ علم إمام المسجد الحرام وخطيبه فما ظنّكم بحال من هم تحت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نسبه إلى الإمامية من أعظم التهم الّتي سمعت بها أُذن الدنيا بالنسبة إلى أُمّة يعبدون اللّه سبحانه وحده، ويؤمنون بأنبيائه وعلى رأسهم النبي الخاتم صلى الله عليه و آله و سلم وكتابه وشريعته وسننه، كما يؤمنون بأمانة أمين الوحي جبرئيل الّذي يصفه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عَدُوًّا لِلّهِ وَ مَلائِكَتِهِ وَ رُسُلِهِ وَ جِبْرِيلَ وَ مِيكالَ فَإِنَّ اللّهَ عَدُوٌّ لِلْكافِرِينَ‌</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والشيعة يتلون كتاب اللّه آناء الليل وأطراف النهار، فكيف يصفون الأمين بالخيانة‌؟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فهلمّ معي لنوقفك على مصدر التهمة، وهو رواية منقولة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واليهود تبغض جبرئيل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عدوّنا من الملائكة، وكذلك الرافضة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جبريل في الوحي إلى محمد بترك علي بن أبي طالب</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المنقولة عن الشعبي من السخافة بمكان، لأُمور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الشعبيّ يسمّي الشيعة بالرافضة، وهذا اللقب الّذي نُبز به الشيعة، ذكر مؤرّخو السنّة أنّه عُرف عند قيام زيد بثورته ضد الحكم الأُموي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وفاة الشعبي بنحو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فأمّا أن يكون هذا اللقب قد ورد قبل هذا، وهو ما لا تقول به رواياتهم، أو أنّ الرواية مخترعة، وهو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وقع في سند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مالك بن مِغْول، وهو مجروح عند نقّاد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وقد شاء اللّه تعالى أن يفتضح هذا الكذّاب، فقد روى زكريا بن يحيى الساجي بإسناده عنه، عن أبيه،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بزيديٍّ صغير أُخرج لك منه رافضياً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ذلك عنه الذهبيّ‌، وعلّق عليه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إنّما وُجدوا بعد الشعبيّ بمدّة</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تكفي آلاف المنائر والمساجد عند الشيعة، والّتي تصرخ ليل 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محمداً رسول اللّه، للتدليل على أنّ هذه القصة فرية مفتعلة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كتب عقائد وفقه الشيعة تملأ الدنيا، فهل يوجد في كتاب واحد منها ما يشير إلى هذه الفرية، ونرضى بأن يكون حتّى من المخرّفين ممّن نراهم عند</w:t>
      </w:r>
      <w:bookmarkStart w:id="332" w:name="pg16776_178936"/>
    </w:p>
    <w:p>
      <w:pPr>
        <w:pStyle w:val="BookText"/>
        <w:rPr/>
      </w:pPr>
      <w:bookmarkEnd w:id="332"/>
      <w:r>
        <w:rPr>
          <w:rFonts w:ascii="Amiri" w:hAnsi="Amiri" w:eastAsia="Amiri" w:cs="Amiri"/>
          <w:color w:val="111111"/>
          <w:sz w:val="28"/>
          <w:sz w:val="28"/>
          <w:szCs w:val="28"/>
          <w:rtl w:val="true"/>
          <w:lang w:bidi="ar-SA"/>
        </w:rPr>
        <w:t>فئة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نطالب بمصدر واحد اعتمد عليه هؤلاء في نقل ما نقلوه</w:t>
      </w:r>
      <w:r>
        <w:rPr>
          <w:rFonts w:eastAsia="Amiri" w:cs="Amiri" w:ascii="Amiri" w:hAnsi="Amiri"/>
          <w:color w:val="111111"/>
          <w:sz w:val="28"/>
          <w:szCs w:val="28"/>
          <w:rtl w:val="true"/>
          <w:lang w:bidi="ar-SA"/>
        </w:rPr>
        <w:t>.</w:t>
      </w:r>
      <w:r>
        <w:rPr>
          <w:rStyle w:val="FootnoteAnchor"/>
          <w:rtl w:val="true"/>
        </w:rPr>
        <w:footnoteReference w:id="334"/>
      </w:r>
    </w:p>
    <w:p>
      <w:pPr>
        <w:pStyle w:val="Heading5"/>
        <w:numPr>
          <w:ilvl w:val="4"/>
          <w:numId w:val="1"/>
        </w:numPr>
        <w:rPr/>
      </w:pPr>
      <w:bookmarkStart w:id="333" w:name="__RefHeading___Toc7070919_73709187"/>
      <w:bookmarkStart w:id="334" w:name="_Toc127"/>
      <w:bookmarkEnd w:id="333"/>
      <w:r>
        <w:rPr/>
        <w:t>2</w:t>
      </w:r>
      <w:r>
        <w:rPr>
          <w:rtl w:val="true"/>
        </w:rPr>
        <w:t xml:space="preserve">. </w:t>
      </w:r>
      <w:r>
        <w:rPr>
          <w:rtl w:val="true"/>
        </w:rPr>
        <w:t>نسخ الشريعة عن طريق البداء</w:t>
      </w:r>
      <w:bookmarkEnd w:id="334"/>
    </w:p>
    <w:p>
      <w:pPr>
        <w:pStyle w:val="BookText"/>
        <w:rPr/>
      </w:pPr>
      <w:r>
        <w:rPr>
          <w:rFonts w:ascii="Amiri" w:hAnsi="Amiri" w:eastAsia="Amiri" w:cs="Amiri"/>
          <w:color w:val="111111"/>
          <w:sz w:val="28"/>
          <w:sz w:val="28"/>
          <w:szCs w:val="28"/>
          <w:rtl w:val="true"/>
          <w:lang w:bidi="ar-SA"/>
        </w:rPr>
        <w:t>إنّ البداء حقيقة قرآنية تضافرت الآيات عليها وحقيقتها أنّه ليس للإنسان تقدير واحد لا يتغيّر، بل يمكن للإنسان أن يبدل تقديره بعمل صالح أو طالح،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تدلّ على أنّ للإنسان أن يبدل تقديره بعمله إمّا إلى صالح أو طالح، وإلى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هذه هي حقيقة البداء، ولو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اقتدوا في ذلك بالنبي الأكرم صلى الله عليه و آله و سلم، روى البخاري في صحيحه عن أبي هريرة أنّه سمع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ثلاثة في بني إسرائيل أبرص وأقرع وأعمى بدا للّه أن يبتليهم فبعث إليهم ملكاً فأتى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بمعناه الحقيقي أي ظهر له بعد ما خفي، وإلّا تعارض مع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يَخْفى عَلَى اللّهِ مِنْ شَيْ‌ءٍ فِي الْأَرْضِ وَ لا فِي السَّماءِ‌</w:t>
      </w:r>
      <w:r>
        <w:rPr>
          <w:rFonts w:eastAsia="Amiri" w:cs="Amiri" w:ascii="Amiri" w:hAnsi="Amiri"/>
          <w:color w:val="111111"/>
          <w:sz w:val="28"/>
          <w:szCs w:val="28"/>
          <w:rtl w:val="true"/>
          <w:lang w:bidi="ar-SA"/>
        </w:rPr>
        <w:t>) .</w:t>
      </w:r>
      <w:r>
        <w:rPr>
          <w:rStyle w:val="FootnoteAnchor"/>
          <w:rtl w:val="true"/>
        </w:rPr>
        <w:footnoteReference w:id="33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هو تعبير مجازي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أَكِيدُ</w:t>
      </w:r>
    </w:p>
    <w:p>
      <w:pPr>
        <w:pStyle w:val="BookText"/>
        <w:rPr/>
      </w:pPr>
      <w:r>
        <w:rPr>
          <w:rFonts w:ascii="Amiri" w:hAnsi="Amiri" w:eastAsia="Amiri" w:cs="Amiri"/>
          <w:color w:val="111111"/>
          <w:sz w:val="28"/>
          <w:sz w:val="28"/>
          <w:szCs w:val="28"/>
          <w:rtl w:val="true"/>
          <w:lang w:bidi="ar-SA"/>
        </w:rPr>
        <w:t>كَيْداً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وهذا من باب المشاكلة في التعبير، أو بضرب من التشبيه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حقيقة البداء على وجه الإجمال الّذي هو أمر متفق عليه بين الفرق الإسلاميّة، ولكن نرى أن أبا القاسم البلخي المتكلّم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البداء إلى الشيعة، ويفسره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المنصوص عليهم بزعمهم مفوّض إليهم نسخ القرآن وتبديله</w:t>
      </w:r>
      <w:r>
        <w:rPr>
          <w:rStyle w:val="FootnoteAnchor"/>
          <w:rtl w:val="true"/>
        </w:rPr>
        <w:footnoteReference w:id="341"/>
      </w:r>
      <w:r>
        <w:rPr>
          <w:rFonts w:ascii="Amiri" w:hAnsi="Amiri" w:eastAsia="Amiri" w:cs="Amiri"/>
          <w:color w:val="111111"/>
          <w:sz w:val="28"/>
          <w:sz w:val="28"/>
          <w:szCs w:val="28"/>
          <w:rtl w:val="true"/>
          <w:lang w:bidi="ar-SA"/>
        </w:rPr>
        <w:t>، وتجاوَزَ بعضهم حتّى خرج من الدين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قد يجوز على وجه البداء وهو أن يأمر اللّه عزّ وجلّ عندهم بالشيء ولا يبدو له، ثم يبدو له فيغيّره، ولا يريد في وقت أمره به أن يغيّره هو ويبدّله وينسخه، لأنّه عندهم لا يعلم الشيء حتّى يكون إلّاما يقدّره فيعلمه علم تقدير، وتعجرفوا فزعموا أنّ ما نزل بالمدينة ناسخ لما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الشيخ الطوسي عنه هذا الكلام،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أنّه عنى بهذا أصحابنا الإماميّة، لأنّه ليس في الأُمّة من يقول بالنص على الأئمة عليهم السلام سواهم، فإن كان عناهم فجميع ما حكاه عنهم باطل وكذب عليهم لأنّهم لا يجيزون النسخ على أحد من الأئمة عليهم السلام ولا أحد منم يقول بحدوث العلم</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هذا وقد سرى الجهل بعقائد الشيعة في أمر البداء إلى كتب المتأخّرين من السنّة ولا نريد التذكير به، والحق أنّ النزاع في البداء لفظي وليس معنوياً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سألني أحد علماء السنّة عن حقيقة البداء، فدفعت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عقائد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فأخذ الكتابين وطالعهما وجاء بهما بعد ستة أيام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بهذا المعنى الموجود</w:t>
      </w:r>
      <w:bookmarkStart w:id="335" w:name="pg16776_178938"/>
    </w:p>
    <w:p>
      <w:pPr>
        <w:pStyle w:val="BookText"/>
        <w:rPr/>
      </w:pPr>
      <w:bookmarkEnd w:id="335"/>
      <w:r>
        <w:rPr>
          <w:rFonts w:ascii="Amiri" w:hAnsi="Amiri" w:eastAsia="Amiri" w:cs="Amiri"/>
          <w:color w:val="111111"/>
          <w:sz w:val="28"/>
          <w:sz w:val="28"/>
          <w:szCs w:val="28"/>
          <w:rtl w:val="true"/>
          <w:lang w:bidi="ar-SA"/>
        </w:rPr>
        <w:t>في الكتابين ممّا اتّفق عليه علماء السنّة</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7070921_73709187"/>
      <w:bookmarkStart w:id="337" w:name="_Toc128"/>
      <w:bookmarkEnd w:id="336"/>
      <w:r>
        <w:rPr/>
        <w:t>3</w:t>
      </w:r>
      <w:r>
        <w:rPr>
          <w:rtl w:val="true"/>
        </w:rPr>
        <w:t xml:space="preserve">. </w:t>
      </w:r>
      <w:r>
        <w:rPr>
          <w:rtl w:val="true"/>
        </w:rPr>
        <w:t>رمي الشيعة بتهم زائفة</w:t>
      </w:r>
      <w:bookmarkEnd w:id="337"/>
    </w:p>
    <w:p>
      <w:pPr>
        <w:pStyle w:val="BookText"/>
        <w:rPr/>
      </w:pPr>
      <w:r>
        <w:rPr>
          <w:rFonts w:ascii="Amiri" w:hAnsi="Amiri" w:eastAsia="Amiri" w:cs="Amiri"/>
          <w:color w:val="111111"/>
          <w:sz w:val="28"/>
          <w:sz w:val="28"/>
          <w:szCs w:val="28"/>
          <w:rtl w:val="true"/>
          <w:lang w:bidi="ar-SA"/>
        </w:rPr>
        <w:t xml:space="preserve">لم تزل الشيعة تُرمى بالتُّهم الباطلة، من عهد بني أُميّة، وإلى يومنا هذا، ومن أبرز من نسب إليهم تلك الأكاذيب ابن تيمية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ذكرنا شيئاً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 فكراً ومنهجاً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ولو أردنا استقصاءها لطال بنا المقام، ونذكر منها هنا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حماقاتهم كون بعضهم لا يشرب من نهر حفره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كتاب ولم أسمع من شيخ أنّ الشيعة لا يشربون من نهر حفره يزيد، فمن أين جاء ابن تيمية بذلك‌؟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حماقاتهم كونهم يكرهون التلفظ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شيء يكون عشرة حتّى في البناء لا يبنون على عشرة أعمدة، ولا بعشرة جذوع ونحو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ونحن لا نعلّق على ذلك بشيء، إلّابقوله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خابَ مَنِ افْتَرى‌</w:t>
      </w:r>
      <w:r>
        <w:rPr>
          <w:rFonts w:eastAsia="Amiri" w:cs="Amiri" w:ascii="Amiri" w:hAnsi="Amiri"/>
          <w:color w:val="111111"/>
          <w:sz w:val="28"/>
          <w:szCs w:val="28"/>
          <w:rtl w:val="true"/>
          <w:lang w:bidi="ar-SA"/>
        </w:rPr>
        <w:t>) .</w:t>
      </w:r>
      <w:r>
        <w:rPr>
          <w:rStyle w:val="FootnoteAnchor"/>
          <w:rtl w:val="true"/>
        </w:rPr>
        <w:footnoteReference w:id="344"/>
      </w:r>
    </w:p>
    <w:p>
      <w:pPr>
        <w:pStyle w:val="Heading4"/>
        <w:numPr>
          <w:ilvl w:val="3"/>
          <w:numId w:val="1"/>
        </w:numPr>
        <w:rPr/>
      </w:pPr>
      <w:bookmarkStart w:id="338" w:name="__RefHeading___Toc7070923_73709187"/>
      <w:bookmarkStart w:id="339" w:name="_Toc129"/>
      <w:bookmarkEnd w:id="338"/>
      <w:r>
        <w:rPr>
          <w:rtl w:val="true"/>
        </w:rPr>
        <w:t>الفصل الخامس</w:t>
      </w:r>
      <w:r>
        <w:rPr>
          <w:rtl w:val="true"/>
        </w:rPr>
        <w:t xml:space="preserve">: </w:t>
      </w:r>
      <w:r>
        <w:rPr>
          <w:rtl w:val="true"/>
        </w:rPr>
        <w:t>الجهل بالمفاهيم الإسلاميّة</w:t>
      </w:r>
      <w:bookmarkEnd w:id="339"/>
    </w:p>
    <w:p>
      <w:pPr>
        <w:pStyle w:val="Heading5"/>
        <w:numPr>
          <w:ilvl w:val="4"/>
          <w:numId w:val="1"/>
        </w:numPr>
        <w:rPr/>
      </w:pPr>
      <w:bookmarkStart w:id="340" w:name="__RefHeading___Toc7070925_73709187"/>
      <w:bookmarkStart w:id="341" w:name="_Toc130"/>
      <w:bookmarkEnd w:id="340"/>
      <w:r>
        <w:rPr>
          <w:rtl w:val="true"/>
        </w:rPr>
        <w:t>اشارة</w:t>
      </w:r>
      <w:bookmarkEnd w:id="34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الداعي الأول هو التجاهل، فهناك سبب آخر وهو الجهل ببعض المفاهيم الإسلاميّة الّتي صارت سبباً لتكفير قوم، وعلى رأس هذا الأمر العنوانان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كثيراً من الوهابيين إنّما يكفّرون الأُمّة الإسلاميّة جمعاء لأجل جهلهم بمعاني هذين اللفظين، حيث قاموا بتفسير التوحيد في العبادة من عند أنفسهم بشكل لا ينطبق حتّى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رفع الحجاب عن وجه الحقيقة نذكر شيئاً عن هذا الموضوع على وجه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لاشكّ أنّ التوحيد في العبادة من مراتب التوحيد، فالإنسان الموحِّد من يوحِّد اللّه سبحانه ذاتاً وأنّه واحد لا نظير له، وخلقاً وأنّه لا خالق إلّاهو، وتدبيراً وأنّه لا مدبّر إلّاهو، وعبادة وأنّه لا معبود سواه، فمن لم يوحّد اللّه في شيء من هذه المراتب فليس بموحِّد فضلاً عن أن يكون مسلماً أو مؤمناً، وقد بلغ التوحيد في العبادة منزلة كبيرة بحيث صار العلّة الغائية لبعث الأنبياء،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فلا نزاع في الكبرى، وأنّ العبادة تختصّ باللّه سبحانه،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إنّما الكلام في تحديدها تحديداً منطقياً يكون جامعاً للأفراد ومانعاً للأغيار، وممّا يؤسف له أنّ القوم لم يحدّدوها بحدّ تتميّز به العبادة عن غيرها، وإليك التعاريف الواردة في كتب اللغة والتفسير</w:t>
      </w:r>
      <w:r>
        <w:rPr>
          <w:rFonts w:eastAsia="Amiri" w:cs="Amiri" w:ascii="Amiri" w:hAnsi="Amiri"/>
          <w:color w:val="111111"/>
          <w:sz w:val="28"/>
          <w:szCs w:val="28"/>
          <w:rtl w:val="true"/>
          <w:lang w:bidi="ar-SA"/>
        </w:rPr>
        <w:t>:</w:t>
      </w:r>
      <w:bookmarkStart w:id="342" w:name="pg16776_178940"/>
    </w:p>
    <w:p>
      <w:pPr>
        <w:pStyle w:val="Heading5"/>
        <w:numPr>
          <w:ilvl w:val="4"/>
          <w:numId w:val="1"/>
        </w:numPr>
        <w:rPr/>
      </w:pPr>
      <w:bookmarkStart w:id="343" w:name="__RefHeading___Toc7070927_73709187"/>
      <w:bookmarkStart w:id="344" w:name="_Toc131"/>
      <w:bookmarkEnd w:id="342"/>
      <w:bookmarkEnd w:id="343"/>
      <w:r>
        <w:rPr>
          <w:rtl w:val="true"/>
        </w:rPr>
        <w:t>كلمات اللغويين</w:t>
      </w:r>
      <w:bookmarkEnd w:id="344"/>
    </w:p>
    <w:p>
      <w:pPr>
        <w:pStyle w:val="BookText"/>
        <w:rPr/>
      </w:pPr>
      <w:r>
        <w:rPr>
          <w:rFonts w:ascii="Amiri" w:hAnsi="Amiri" w:eastAsia="Amiri" w:cs="Amiri"/>
          <w:color w:val="111111"/>
          <w:sz w:val="28"/>
          <w:sz w:val="28"/>
          <w:szCs w:val="28"/>
          <w:rtl w:val="true"/>
          <w:lang w:bidi="ar-SA"/>
        </w:rPr>
        <w:t>إن أئمة اللغة العربية فسّروا العبادة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العبودية الخضوع والتذلّل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العبودية إظهار التذلّل، والعبادة أبلغ منها لأنّها غاية التذلّل</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فلو رجعت إلى سائر القواميس، تجد تعابير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لو كانت العبادة هي الخضوع لعمّ البلاء جميع البشر، حيث إنّه يخضع بعضهم لبعض، كالولد أمام الوالدين، والجندي أمام الضابط، والتلميذ أمام الأُستاذ، وعلى هذا فلا يوجد على أديم الأرض موحّد، حتّى الوهابيّ نفسه</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7070929_73709187"/>
      <w:bookmarkStart w:id="346" w:name="_Toc132"/>
      <w:bookmarkEnd w:id="345"/>
      <w:r>
        <w:rPr>
          <w:rtl w:val="true"/>
        </w:rPr>
        <w:t>كلمات المفسّرين</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الخضوع، بالغ حد النهاية، ناشئٌ عن استشعار القلب عظمة المعبود لا يُعرف منشؤها، واعتقاد بسلطة لا يدرك كنهها وماهيتها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 يخفى أنّ التعريف غير جامع ولا مانع، أمّا الأوّل فإنّ بعض مصاديق العبادة يفقد الخضوع الشديد ولا يكون بالغاً حدّ النهاية، كصلوات الناس العاديّين والعوام منهم، مع أنّ عملهم عبادة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فربّما يكون خضوع العاشق أمام معشوقته والجندي أمام ضابطه، أشدّ خضوعاً ممّا يقوم به كثير من المؤمنين تجاه ربّ العالمين، ولا</w:t>
      </w:r>
      <w:bookmarkStart w:id="347" w:name="pg16776_178941"/>
    </w:p>
    <w:p>
      <w:pPr>
        <w:pStyle w:val="BookText"/>
        <w:rPr/>
      </w:pPr>
      <w:bookmarkEnd w:id="347"/>
      <w:r>
        <w:rPr>
          <w:rFonts w:ascii="Amiri" w:hAnsi="Amiri" w:eastAsia="Amiri" w:cs="Amiri"/>
          <w:color w:val="111111"/>
          <w:sz w:val="28"/>
          <w:sz w:val="28"/>
          <w:szCs w:val="28"/>
          <w:rtl w:val="true"/>
          <w:lang w:bidi="ar-SA"/>
        </w:rPr>
        <w:t>يوصف خضوعه بالعبادة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خضوع لا يحدّ لعظمة لا تحدّ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ويرد عليه ما أُورد على التعريف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التعاريف الّتي لا تنطبق على واقع الأمر، وهؤلاء هم ملائكة اللّه قد سجدوا لآدم وخضعوا له نهاية الخضوع، ومع ذلك لم يخرجوا عن حدّ التوحيد قيد شعرة، وهؤلاء أبناء يعقوب ووالداهم سجدوا ليوسف عليه السلام،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خَرُّوا لَهُ سُجَّداً</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ولم يشركوا بربّهم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فلابدّ أن تحدَّد العبادة حدّاً منطقياً جامعاً للأفراد ومانعاً للأغيار، حتّى يقطع كلّ عذر للوهابيّين حيث يعدّون كلّ خضوع وخشوع للأنبياء والأولياء أو أيّ دعاء لهم، عبادة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زرت الحرمين الشريفين فستقرع سمعك كلمات الشرك والبدعة أكثر من كلّ الكلمات، وكأنّه ليس في جعبة القوم إلّاأمران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والبدعة</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7070931_73709187"/>
      <w:bookmarkStart w:id="349" w:name="_Toc133"/>
      <w:bookmarkEnd w:id="348"/>
      <w:r>
        <w:rPr>
          <w:rtl w:val="true"/>
        </w:rPr>
        <w:t>التعريف الصحيح للعبادة</w:t>
      </w:r>
      <w:bookmarkEnd w:id="349"/>
    </w:p>
    <w:p>
      <w:pPr>
        <w:pStyle w:val="Heading6"/>
        <w:numPr>
          <w:ilvl w:val="5"/>
          <w:numId w:val="1"/>
        </w:numPr>
        <w:rPr/>
      </w:pPr>
      <w:bookmarkStart w:id="350" w:name="__RefHeading___Toc7070933_73709187"/>
      <w:bookmarkStart w:id="351" w:name="_Toc134"/>
      <w:bookmarkEnd w:id="350"/>
      <w:r>
        <w:rPr>
          <w:rtl w:val="true"/>
        </w:rPr>
        <w:t>اشارة</w:t>
      </w:r>
      <w:bookmarkEnd w:id="35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وقفت على أن التعاريف السابقة ليست بجامعة ولا مانعة، واللازم في تعريف العبادة هو التعرّف على القيود المأخوذة في تعريفها، إذ ليست العبادة مجرّد الخضوع بل الخضوع النابع عن اعتقاد خاص، وهذا هو الّذي يميّز العبادة عن التكريم والاحترام، فنقول</w:t>
      </w:r>
      <w:r>
        <w:rPr>
          <w:rFonts w:eastAsia="Amiri" w:cs="Amiri" w:ascii="Amiri" w:hAnsi="Amiri"/>
          <w:color w:val="111111"/>
          <w:sz w:val="28"/>
          <w:szCs w:val="28"/>
          <w:rtl w:val="true"/>
          <w:lang w:bidi="ar-SA"/>
        </w:rPr>
        <w:t>:</w:t>
      </w:r>
      <w:bookmarkStart w:id="352" w:name="pg16776_178942"/>
    </w:p>
    <w:p>
      <w:pPr>
        <w:pStyle w:val="Heading6"/>
        <w:numPr>
          <w:ilvl w:val="5"/>
          <w:numId w:val="1"/>
        </w:numPr>
        <w:rPr/>
      </w:pPr>
      <w:bookmarkStart w:id="353" w:name="__RefHeading___Toc7070935_73709187"/>
      <w:bookmarkStart w:id="354" w:name="_Toc135"/>
      <w:bookmarkEnd w:id="352"/>
      <w:bookmarkEnd w:id="353"/>
      <w:r>
        <w:rPr/>
        <w:t>1</w:t>
      </w:r>
      <w:r>
        <w:rPr>
          <w:rtl w:val="true"/>
        </w:rPr>
        <w:t xml:space="preserve">. </w:t>
      </w:r>
      <w:r>
        <w:rPr>
          <w:rtl w:val="true"/>
        </w:rPr>
        <w:t>العبادة هي الخضوع الناشئ عن الاعتقاد بأُلوهية المعبود</w:t>
      </w:r>
      <w:bookmarkEnd w:id="354"/>
    </w:p>
    <w:p>
      <w:pPr>
        <w:pStyle w:val="BookText"/>
        <w:rPr/>
      </w:pPr>
      <w:r>
        <w:rPr>
          <w:rFonts w:ascii="Amiri" w:hAnsi="Amiri" w:eastAsia="Amiri" w:cs="Amiri"/>
          <w:color w:val="111111"/>
          <w:sz w:val="28"/>
          <w:sz w:val="28"/>
          <w:szCs w:val="28"/>
          <w:rtl w:val="true"/>
          <w:lang w:bidi="ar-SA"/>
        </w:rPr>
        <w:t>فالذي يميّز العبادة عمّا يشابهها هو الاعتقاد الخاصّ بأنّ المعبود إلهٌ‌، سواء أكان إله العالمين أو إلهاً مختلقاً في الواقع وإن لم يكن كذلك في نظر مَن يعبده، وهذا القيد يُدخل كلّ عبادة صحيحة وباطلة تحت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الصحيحة فواضحة لأنّ المؤمن يخضع عن اعتقاد بأنّ المخضوع له إله العالمين، وأمّا عبادة الوثني فهو يخضع بتصوّر أنّ الوثن إله صغير، مخلوق لإله أكبر، ولذلك لمّا دعا النبي صلى الله عليه و آله و سلم إلى الإله الواحد، استغرب المشركون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 الْآلِهَةَ إِلهاً واحِداً إِنَّ هذا لَشَيْ‌ءٌ عُجابٌ‌</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ما ذكرنا من القيد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وهو أنّ العبادة خاصّة للإله ولا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أثبتنا في محلّه أنّ الإله يساوق لفظ الجلالة في المعنى غير أنّ الثاني علَم، والإله اسم جنس يعمّ الإله الصادق والإله الكاذب، وأنّ ما اشتهر بأنّ الإله بمعنى المعبود فإنّما هو تفسير باللازم لا أنّه معناه، بل المتبادر منه ما هو المتبادر من لفظ الجلالة ويفترقان بالكلّية والعلَمية</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7070937_73709187"/>
      <w:bookmarkStart w:id="356" w:name="_Toc136"/>
      <w:bookmarkEnd w:id="355"/>
      <w:r>
        <w:rPr/>
        <w:t>2</w:t>
      </w:r>
      <w:r>
        <w:rPr>
          <w:rtl w:val="true"/>
        </w:rPr>
        <w:t xml:space="preserve">. </w:t>
      </w:r>
      <w:r>
        <w:rPr>
          <w:rtl w:val="true"/>
        </w:rPr>
        <w:t>العبادة</w:t>
      </w:r>
      <w:r>
        <w:rPr>
          <w:rtl w:val="true"/>
        </w:rPr>
        <w:t xml:space="preserve">: </w:t>
      </w:r>
      <w:r>
        <w:rPr>
          <w:rtl w:val="true"/>
        </w:rPr>
        <w:t>هي الخضوع لشيء على أنّه ربّ‌</w:t>
      </w:r>
      <w:bookmarkEnd w:id="3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عبارة عن الخضوع النابع عن أنّ المخضوع له ربّ الخاضع، المالك لشؤونه، المتكفّل بتدبيره وتربيته، وهما من صفات الربّ‌، فربّ الدار وربّ الضَّيعة وربُّ الفرس مسؤول عن تربية المربوب وتدبيره</w:t>
      </w:r>
      <w:r>
        <w:rPr>
          <w:rFonts w:eastAsia="Amiri" w:cs="Amiri" w:ascii="Amiri" w:hAnsi="Amiri"/>
          <w:color w:val="111111"/>
          <w:sz w:val="28"/>
          <w:szCs w:val="28"/>
          <w:rtl w:val="true"/>
          <w:lang w:bidi="ar-SA"/>
        </w:rPr>
        <w:t>.</w:t>
      </w:r>
      <w:bookmarkStart w:id="357" w:name="pg16776_178943"/>
    </w:p>
    <w:p>
      <w:pPr>
        <w:pStyle w:val="BookText"/>
        <w:rPr/>
      </w:pPr>
      <w:bookmarkEnd w:id="357"/>
      <w:r>
        <w:rPr>
          <w:rFonts w:ascii="Amiri" w:hAnsi="Amiri" w:eastAsia="Amiri" w:cs="Amiri"/>
          <w:color w:val="111111"/>
          <w:sz w:val="28"/>
          <w:sz w:val="28"/>
          <w:szCs w:val="28"/>
          <w:rtl w:val="true"/>
          <w:lang w:bidi="ar-SA"/>
        </w:rPr>
        <w:t>ويدلّ على ما ذكرنا من القيد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التعليل للعبادة، ويثبت أنّها من شؤون الربّ‌، ولا ربّ إلّااللّه سبحانه فهو ربّ العالمين وربّ الآلهة المكذوبة</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7070939_73709187"/>
      <w:bookmarkStart w:id="359" w:name="_Toc137"/>
      <w:bookmarkEnd w:id="358"/>
      <w:r>
        <w:rPr/>
        <w:t>3</w:t>
      </w:r>
      <w:r>
        <w:rPr>
          <w:rtl w:val="true"/>
        </w:rPr>
        <w:t xml:space="preserve">. </w:t>
      </w:r>
      <w:r>
        <w:rPr>
          <w:rtl w:val="true"/>
        </w:rPr>
        <w:t>العبادة</w:t>
      </w:r>
      <w:r>
        <w:rPr>
          <w:rtl w:val="true"/>
        </w:rPr>
        <w:t xml:space="preserve">: </w:t>
      </w:r>
      <w:r>
        <w:rPr>
          <w:rtl w:val="true"/>
        </w:rPr>
        <w:t>هي الخضوع أمام من يعتقد بأنّه يملك شأناً من شؤون وجوده</w:t>
      </w:r>
      <w:bookmarkEnd w:id="359"/>
    </w:p>
    <w:p>
      <w:pPr>
        <w:pStyle w:val="BookText"/>
        <w:rPr/>
      </w:pPr>
      <w:r>
        <w:rPr>
          <w:rFonts w:ascii="Amiri" w:hAnsi="Amiri" w:eastAsia="Amiri" w:cs="Amiri"/>
          <w:color w:val="111111"/>
          <w:sz w:val="28"/>
          <w:sz w:val="28"/>
          <w:szCs w:val="28"/>
          <w:rtl w:val="true"/>
          <w:lang w:bidi="ar-SA"/>
        </w:rPr>
        <w:t>ليس مجرد الخضوع عبادة إلّاإذا كان نابعاً من الاعتقاد الخاصّ بأنّ المخضوع له يملك شأناً من شؤون حياة الخاضع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فالعبادة قائمة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يرجع إلى الجوارح وهو الخضوع بالرأس واليد والكلام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يرجع إلى الجوانح وهو الاعتقاد الخاصّ بأنّ المخضوع له إله أو رب أو بيده شأن من شؤون حياته في الدنيا والآخرة</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7070941_73709187"/>
      <w:bookmarkStart w:id="361" w:name="_Toc138"/>
      <w:bookmarkEnd w:id="360"/>
      <w:r>
        <w:rPr/>
        <w:t>4</w:t>
      </w:r>
      <w:r>
        <w:rPr>
          <w:rtl w:val="true"/>
        </w:rPr>
        <w:t xml:space="preserve">. </w:t>
      </w:r>
      <w:r>
        <w:rPr>
          <w:rtl w:val="true"/>
        </w:rPr>
        <w:t>العبادة على رأي ابن عاشور</w:t>
      </w:r>
      <w:bookmarkEnd w:id="361"/>
    </w:p>
    <w:p>
      <w:pPr>
        <w:pStyle w:val="BookText"/>
        <w:rPr/>
      </w:pPr>
      <w:r>
        <w:rPr>
          <w:rFonts w:ascii="Amiri" w:hAnsi="Amiri" w:eastAsia="Amiri" w:cs="Amiri"/>
          <w:color w:val="111111"/>
          <w:sz w:val="28"/>
          <w:sz w:val="28"/>
          <w:szCs w:val="28"/>
          <w:rtl w:val="true"/>
          <w:lang w:bidi="ar-SA"/>
        </w:rPr>
        <w:t>ومن أفضل ما عُرّفت به العبادة هو ما ذكره ابن عاشور،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الخضوع للمعبود واعتقاد أنّه يملك نفع العابد وضُرّه ملكاً ذاتياً مستمراً، فالمعبود إله كما حكى اللّه قول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قَوْمُهُما لَنا عابِدُونَ‌</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p>
    <w:p>
      <w:pPr>
        <w:pStyle w:val="Heading5"/>
        <w:numPr>
          <w:ilvl w:val="4"/>
          <w:numId w:val="1"/>
        </w:numPr>
        <w:rPr/>
      </w:pPr>
      <w:bookmarkStart w:id="362" w:name="__RefHeading___Toc7070943_73709187"/>
      <w:bookmarkStart w:id="363" w:name="_Toc139"/>
      <w:bookmarkEnd w:id="362"/>
      <w:r>
        <w:rPr>
          <w:rtl w:val="true"/>
        </w:rPr>
        <w:t>دعاء الصالحين ليس عبادة لهم</w:t>
      </w:r>
      <w:bookmarkEnd w:id="363"/>
    </w:p>
    <w:p>
      <w:pPr>
        <w:pStyle w:val="BookText"/>
        <w:rPr/>
      </w:pPr>
      <w:r>
        <w:rPr>
          <w:rFonts w:ascii="Amiri" w:hAnsi="Amiri" w:eastAsia="Amiri" w:cs="Amiri"/>
          <w:color w:val="111111"/>
          <w:sz w:val="28"/>
          <w:sz w:val="28"/>
          <w:szCs w:val="28"/>
          <w:rtl w:val="true"/>
          <w:lang w:bidi="ar-SA"/>
        </w:rPr>
        <w:t>إنّ دعاء الصالحين على قسمين وإن كان أوّلهما غير موجود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دعاؤهم والخضوع لهم بما أنّهم آلهة أو أرباب أو أنّ بيدهم مصير</w:t>
      </w:r>
    </w:p>
    <w:p>
      <w:pPr>
        <w:pStyle w:val="BookText"/>
        <w:rPr/>
      </w:pPr>
      <w:r>
        <w:rPr>
          <w:rFonts w:ascii="Amiri" w:hAnsi="Amiri" w:eastAsia="Amiri" w:cs="Amiri"/>
          <w:color w:val="111111"/>
          <w:sz w:val="28"/>
          <w:sz w:val="28"/>
          <w:szCs w:val="28"/>
          <w:rtl w:val="true"/>
          <w:lang w:bidi="ar-SA"/>
        </w:rPr>
        <w:t>الداعي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الدعاء بهذا القيد عبادة لهم، ولكن لا تجد على أديم الأرض مسلماً يدعو الصالحين بأحد هذه الأوصاف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دعاؤهم بما أنّهم عباد صالحون وبما أنّ لهم منزلة عند اللّه، يستجاب دعاؤهم وتقبل شفاعتهم، والدعاء بهذا المعنى نوع توسّل بأحد الأسباب الّتي دعا إليها القرآن الكريم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ناظرة إلى حياة النبي صلى الله عليه و آله و سلم ولا صلة لها بما بعد موته‌؟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اختصاص الآية بحياة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تشتمل الآية لما بعد الرحيل بشهادة السيرة المستمرة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أنّها راجعة إلى حياة النبي صلى الله عليه و آله و سلم لكن الكلام في مجال آخر وهو أنّ دعاء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أنّهم عباد اللّه المكرمون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عبادة لهم لكان كذلك عند حياتهم أيضاً فإنّ الحياة والموت ليستا ميزاناً للتوحيد والشرك، ولو فرض كونهما ميزاناً لكانا ميزاناً في الانتفاع وعدمه فيكون دعاء الحيّ مجدياً، ودعاء الميّت غير مجد، وأين هذا من الشرك‌؟</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أنّ ما قاله ابن جبرين في وصف الشيعة الإمامية، نابع عن جهله بمفهوم العبادة،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غالباً مشركون حيث يدعون عليّ بن أبي طالب دائماً في الشدّة والرخاء حتّى في عرفات والطواف والسعي ويدعون أبناءه وأئمتهم كما سمعناهم مراراً، وهذا شرك أكبر وردّة عن الإسلام يستحقّون القتل عليها كما سمعناهم في عرفات وهم بذلك مرتدّون حيث جعلوه ربّاً وخالقاً ومتصرّفاً في الكون</w:t>
      </w:r>
      <w:r>
        <w:rPr>
          <w:rFonts w:eastAsia="Amiri" w:cs="Amiri" w:ascii="Amiri" w:hAnsi="Amiri"/>
          <w:color w:val="111111"/>
          <w:sz w:val="28"/>
          <w:szCs w:val="28"/>
          <w:rtl w:val="true"/>
          <w:lang w:bidi="ar-SA"/>
        </w:rPr>
        <w:t>.</w:t>
      </w:r>
      <w:bookmarkStart w:id="364" w:name="pg16776_178945"/>
    </w:p>
    <w:p>
      <w:pPr>
        <w:pStyle w:val="BookText"/>
        <w:rPr/>
      </w:pPr>
      <w:bookmarkEnd w:id="36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ذكره من القيود ناظر إلى الصورة الأُولى ولا تجد أحداً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الشيعة الذين يوحِّدون اللّه تعالى بأفضل صور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أنّ علي بن أبي طالب ربٌ أو خالق أو متصرّف في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 إِنْ يَقُولُونَ إِلاّ كَذِباً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وبمثل هذه الفتاوى الباطلة المبنية على شفا جرف هارٍ يبيح الشيخ ابن جبرين وغيره من شيوخ الوهابيّة، القتل الجماعي لأُمّة مسلمة موحِّدة يتجاوز عددها المائتي مليون، ويعدّون ثلث المسلمين أو ربعهم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الصخب والضوضاء والصراخ الذي يُسمع من أئمة المسجد النبوي أو في المسجد الحرام وأطرافهما، وهم يكِّفرون بملء أفواهم المسلمين عامّة والشيعة خاصّة، ناشئ من الجهل بمفاد الشرك في العبادة، حيث زعموا أنّ الخضوع أمام ضريح النبي الأكرم عبادة للنبي صلى الله عليه و آله و سلم ولكنّ هؤلاء ذوي العقول الجامدة لم يفرّقوا بين عبادة النبي وبين تكريم النبي صلى الله عليه و آله و سلم الّذي أمر اللّه تعالى المسلمين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فالضمائر الثلاثة ترجع إلى النبي صلى الله عليه و آله و سلم والمراد من التعزير هو تكريمه وتوقيره، لا نصرته؛ لأنّ الإخبار عنها ورد صريحاً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نَصَرُوهُ‌</w:t>
      </w:r>
      <w:r>
        <w:rPr>
          <w:rFonts w:eastAsia="Amiri" w:cs="Amiri" w:ascii="Amiri" w:hAnsi="Amiri"/>
          <w:color w:val="111111"/>
          <w:sz w:val="28"/>
          <w:szCs w:val="28"/>
          <w:rtl w:val="true"/>
          <w:lang w:bidi="ar-SA"/>
        </w:rPr>
        <w:t>) .</w:t>
      </w:r>
    </w:p>
    <w:p>
      <w:pPr>
        <w:pStyle w:val="Heading5"/>
        <w:numPr>
          <w:ilvl w:val="4"/>
          <w:numId w:val="1"/>
        </w:numPr>
        <w:rPr/>
      </w:pPr>
      <w:bookmarkStart w:id="365" w:name="__RefHeading___Toc7070945_73709187"/>
      <w:bookmarkStart w:id="366" w:name="_Toc140"/>
      <w:bookmarkEnd w:id="365"/>
      <w:r>
        <w:rPr>
          <w:rtl w:val="true"/>
        </w:rPr>
        <w:t>دعاء الصالحين في حديث النبي الأكرم صلى الله عليه و آله و سلم</w:t>
      </w:r>
      <w:bookmarkEnd w:id="36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يلهج ابن جبرين وغيره بأنّ دعاء الصالحين شرك وعبادة لهم مع أنّ النبي صلى الله عليه و آله و سلم علّم ضريراً بأن يتوسّل في دعائه بنفس النبي وشخصه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عثمان ابن حنيف،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ضريراً أتى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دعوتُ‌، وإن شئتَ صبرتَ وهو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 فأمره صلى الله عليه و آله و سلم أن يتوضّأ فيحسن وضوءه ويصلّي ركعتين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بنبيّك نبيّ الرحمة، يا محمّد إنّي أتوجّه بك إلى ربّي في حاجتي لتُقضى‌،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تفرّقنا وطال بنا الحديث حتّى دخل علينا كأن لم يكن به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صحّة سند الحديث ولم يشك أحدٌ إلى الآن في صحّته، حتّى أنّ الكاتب الوهابي المعاصر الرفاعي الّذي يسعى دوماً إلى تضعيف الأحاديث الخاصّة بالتوسّل أذعن بصحّة الحديث،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هذا الحديث صحيح ومشهور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كيف لا يكون صحيحاً مشهوراً عندهم وقد رواه أحمد بن حنبل</w:t>
      </w:r>
      <w:r>
        <w:rPr>
          <w:rStyle w:val="FootnoteAnchor"/>
          <w:rtl w:val="true"/>
        </w:rPr>
        <w:footnoteReference w:id="361"/>
      </w:r>
      <w:r>
        <w:rPr>
          <w:rFonts w:ascii="Amiri" w:hAnsi="Amiri" w:eastAsia="Amiri" w:cs="Amiri"/>
          <w:color w:val="111111"/>
          <w:sz w:val="28"/>
          <w:sz w:val="28"/>
          <w:szCs w:val="28"/>
          <w:rtl w:val="true"/>
          <w:lang w:bidi="ar-SA"/>
        </w:rPr>
        <w:t>، وابن ماجة</w:t>
      </w:r>
      <w:r>
        <w:rPr>
          <w:rStyle w:val="FootnoteAnchor"/>
          <w:rtl w:val="true"/>
        </w:rPr>
        <w:footnoteReference w:id="362"/>
      </w:r>
      <w:r>
        <w:rPr>
          <w:rFonts w:ascii="Amiri" w:hAnsi="Amiri" w:eastAsia="Amiri" w:cs="Amiri"/>
          <w:color w:val="111111"/>
          <w:sz w:val="28"/>
          <w:sz w:val="28"/>
          <w:szCs w:val="28"/>
          <w:rtl w:val="true"/>
          <w:lang w:bidi="ar-SA"/>
        </w:rPr>
        <w:t>، والترمذي</w:t>
      </w:r>
      <w:r>
        <w:rPr>
          <w:rStyle w:val="FootnoteAnchor"/>
          <w:rtl w:val="true"/>
        </w:rPr>
        <w:footnoteReference w:id="363"/>
      </w:r>
      <w:r>
        <w:rPr>
          <w:rFonts w:ascii="Amiri" w:hAnsi="Amiri" w:eastAsia="Amiri" w:cs="Amiri"/>
          <w:color w:val="111111"/>
          <w:sz w:val="28"/>
          <w:sz w:val="28"/>
          <w:szCs w:val="28"/>
          <w:rtl w:val="true"/>
          <w:lang w:bidi="ar-SA"/>
        </w:rPr>
        <w:t>، والنسائي</w:t>
      </w:r>
      <w:r>
        <w:rPr>
          <w:rStyle w:val="FootnoteAnchor"/>
          <w:rtl w:val="true"/>
        </w:rPr>
        <w:footnoteReference w:id="364"/>
      </w:r>
      <w:r>
        <w:rPr>
          <w:rFonts w:ascii="Amiri" w:hAnsi="Amiri" w:eastAsia="Amiri" w:cs="Amiri"/>
          <w:color w:val="111111"/>
          <w:sz w:val="28"/>
          <w:sz w:val="28"/>
          <w:szCs w:val="28"/>
          <w:rtl w:val="true"/>
          <w:lang w:bidi="ar-SA"/>
        </w:rPr>
        <w:t>، والطبراني</w:t>
      </w:r>
      <w:r>
        <w:rPr>
          <w:rStyle w:val="FootnoteAnchor"/>
          <w:rtl w:val="true"/>
        </w:rPr>
        <w:footnoteReference w:id="365"/>
      </w:r>
      <w:r>
        <w:rPr>
          <w:rFonts w:ascii="Amiri" w:hAnsi="Amiri" w:eastAsia="Amiri" w:cs="Amiri"/>
          <w:color w:val="111111"/>
          <w:sz w:val="28"/>
          <w:sz w:val="28"/>
          <w:szCs w:val="28"/>
          <w:rtl w:val="true"/>
          <w:lang w:bidi="ar-SA"/>
        </w:rPr>
        <w:t>، والحاكم النيسابوري</w:t>
      </w:r>
      <w:r>
        <w:rPr>
          <w:rStyle w:val="FootnoteAnchor"/>
          <w:rtl w:val="true"/>
        </w:rPr>
        <w:footnoteReference w:id="366"/>
      </w:r>
      <w:r>
        <w:rPr>
          <w:rFonts w:ascii="Amiri" w:hAnsi="Amiri" w:eastAsia="Amiri" w:cs="Amiri"/>
          <w:color w:val="111111"/>
          <w:sz w:val="28"/>
          <w:sz w:val="28"/>
          <w:szCs w:val="28"/>
          <w:rtl w:val="true"/>
          <w:lang w:bidi="ar-SA"/>
        </w:rPr>
        <w:t>، ابن خزيمة</w:t>
      </w:r>
      <w:r>
        <w:rPr>
          <w:rFonts w:eastAsia="Amiri" w:cs="Amiri" w:ascii="Amiri" w:hAnsi="Amiri"/>
          <w:color w:val="111111"/>
          <w:sz w:val="28"/>
          <w:szCs w:val="28"/>
          <w:rtl w:val="true"/>
          <w:lang w:bidi="ar-SA"/>
        </w:rPr>
        <w:t>.</w:t>
      </w:r>
      <w:r>
        <w:rPr>
          <w:rStyle w:val="FootnoteAnchor"/>
          <w:rtl w:val="true"/>
        </w:rPr>
        <w:footnoteReference w:id="36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دلالة الحديث فهي واضحة، فلو قدّمت هذا الحديث إلى من يُحسن اللُّغة العربية جيّداً ويتمتّع بصفاء فكر، بعيد عن مجادلات الوهابييّن وشُبهاتهم ثم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أمر النبيّ صلى الله عليه و آله و سلم ذلك الأعمى عندما علّمه ذلك الدعاء؟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bookmarkStart w:id="367" w:name="pg16776_178947"/>
    </w:p>
    <w:p>
      <w:pPr>
        <w:pStyle w:val="BookText"/>
        <w:rPr/>
      </w:pPr>
      <w:bookmarkEnd w:id="367"/>
      <w:r>
        <w:rPr>
          <w:rFonts w:ascii="Amiri" w:hAnsi="Amiri" w:eastAsia="Amiri" w:cs="Amiri"/>
          <w:color w:val="111111"/>
          <w:sz w:val="28"/>
          <w:sz w:val="28"/>
          <w:szCs w:val="28"/>
          <w:rtl w:val="true"/>
          <w:lang w:bidi="ar-SA"/>
        </w:rPr>
        <w:t>النبي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أتوجّه بك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نداءً للصالحين ودعاء لهم، فكيف علّم نبي التوحيد أُمّته بدعائه وندائه‌؟</w:t>
      </w:r>
    </w:p>
    <w:p>
      <w:pPr>
        <w:pStyle w:val="BookText"/>
        <w:rPr/>
      </w:pPr>
      <w:r>
        <w:rPr>
          <w:rFonts w:ascii="Amiri" w:hAnsi="Amiri" w:eastAsia="Amiri" w:cs="Amiri"/>
          <w:color w:val="111111"/>
          <w:sz w:val="28"/>
          <w:sz w:val="28"/>
          <w:szCs w:val="28"/>
          <w:rtl w:val="true"/>
          <w:lang w:bidi="ar-SA"/>
        </w:rPr>
        <w:t>والعجب أنّ عثمان بن حنيف علّم هذا الدعاء لشخص آخر كان يختلف على عثمان بن عفان في حاجة له، فكان عثمان لا يلتفت إليه ولا ينظر في حاجته، فلمّا علّمه ابن حنيف ذلك الدعاء وعمل بما فيه، قُضيت حاجته، عندما ذهب إليه</w:t>
      </w:r>
      <w:r>
        <w:rPr>
          <w:rFonts w:eastAsia="Amiri" w:cs="Amiri" w:ascii="Amiri" w:hAnsi="Amiri"/>
          <w:color w:val="111111"/>
          <w:sz w:val="28"/>
          <w:szCs w:val="28"/>
          <w:rtl w:val="true"/>
          <w:lang w:bidi="ar-SA"/>
        </w:rPr>
        <w:t>.</w:t>
      </w:r>
      <w:r>
        <w:rPr>
          <w:rStyle w:val="FootnoteAnchor"/>
          <w:rtl w:val="true"/>
        </w:rPr>
        <w:footnoteReference w:id="368"/>
      </w:r>
    </w:p>
    <w:p>
      <w:pPr>
        <w:pStyle w:val="Heading5"/>
        <w:numPr>
          <w:ilvl w:val="4"/>
          <w:numId w:val="1"/>
        </w:numPr>
        <w:rPr/>
      </w:pPr>
      <w:bookmarkStart w:id="368" w:name="__RefHeading___Toc7070947_73709187"/>
      <w:bookmarkStart w:id="369" w:name="_Toc141"/>
      <w:bookmarkEnd w:id="368"/>
      <w:r>
        <w:rPr>
          <w:rtl w:val="true"/>
        </w:rPr>
        <w:t>مفاد قولهم</w:t>
      </w:r>
      <w:r>
        <w:rPr>
          <w:rtl w:val="true"/>
        </w:rPr>
        <w:t xml:space="preserve">: </w:t>
      </w:r>
      <w:r>
        <w:rPr>
          <w:rtl w:val="true"/>
        </w:rPr>
        <w:t>الدعاء مُخّ العبادة</w:t>
      </w:r>
      <w:bookmarkEnd w:id="369"/>
    </w:p>
    <w:p>
      <w:pPr>
        <w:pStyle w:val="BookText"/>
        <w:rPr/>
      </w:pPr>
      <w:r>
        <w:rPr>
          <w:rFonts w:ascii="Amiri" w:hAnsi="Amiri" w:eastAsia="Amiri" w:cs="Amiri"/>
          <w:color w:val="111111"/>
          <w:sz w:val="28"/>
          <w:sz w:val="28"/>
          <w:szCs w:val="28"/>
          <w:rtl w:val="true"/>
          <w:lang w:bidi="ar-SA"/>
        </w:rPr>
        <w:t>وهناك من الوهابيين مَن يدلّس ويشوّش الأفكار ويقول بأنّ الدعاء يرادف العبادة، ويروي أنّ الدعاء مخّ العبادة، فدعاء الصالح بأيّ معنى كان، يكون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مغالطاتهم الواضحة فإنّ الدعاء تارة يستعمل في العبادة وأُخرى بمعنى الطلب، فهذا هو مؤمن آل فرعون يدعو قومه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قَوْمِ ما لِي أَدْعُوكُمْ إِلَى النَّجاةِ وَ تَدْعُونَنِي إِلَى النّارِ</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وقال سبحانه حاكياً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إلى عشرات الموارد الّتي استعمل فيها الدعاء بمعنى الطلب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من أنَّ الدعاء مخّ العبادة، فالمراد أنّ دعاء اللّه مخّ العبادة، لا دعاء الصبي أُمّه، والمخدوم خادمه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المجال لا يسع لأن نذكر سائر الأدلّة الّتي تدل على جواز التوسل بالصالحين ودعائهم، اكتفينا برواية واحدة وفيها غنىً وكفاية</w:t>
      </w:r>
      <w:r>
        <w:rPr>
          <w:rFonts w:eastAsia="Amiri" w:cs="Amiri" w:ascii="Amiri" w:hAnsi="Amiri"/>
          <w:color w:val="111111"/>
          <w:sz w:val="28"/>
          <w:szCs w:val="28"/>
          <w:rtl w:val="true"/>
          <w:lang w:bidi="ar-SA"/>
        </w:rPr>
        <w:t>.</w:t>
      </w:r>
      <w:bookmarkStart w:id="370" w:name="pg16776_178948"/>
    </w:p>
    <w:p>
      <w:pPr>
        <w:pStyle w:val="Heading5"/>
        <w:numPr>
          <w:ilvl w:val="4"/>
          <w:numId w:val="1"/>
        </w:numPr>
        <w:rPr/>
      </w:pPr>
      <w:bookmarkStart w:id="371" w:name="__RefHeading___Toc7070949_73709187"/>
      <w:bookmarkStart w:id="372" w:name="_Toc142"/>
      <w:bookmarkEnd w:id="370"/>
      <w:bookmarkEnd w:id="371"/>
      <w:r>
        <w:rPr>
          <w:rtl w:val="true"/>
        </w:rPr>
        <w:t>البدعة مفهومها وحدّها</w:t>
      </w:r>
      <w:bookmarkEnd w:id="372"/>
    </w:p>
    <w:p>
      <w:pPr>
        <w:pStyle w:val="Heading6"/>
        <w:numPr>
          <w:ilvl w:val="5"/>
          <w:numId w:val="1"/>
        </w:numPr>
        <w:rPr/>
      </w:pPr>
      <w:bookmarkStart w:id="373" w:name="__RefHeading___Toc7070951_73709187"/>
      <w:bookmarkStart w:id="374" w:name="_Toc143"/>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قد تقدّم أنّ الجهل بمفهوم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والبدعة، وعدم تحديد مفهوم كلٍّ منهما، صار سبباً لمسلسل التكفير، وقد مرّ الكلام في مفهوم العبادة وعرفت أنّ المسلمين عامّة لا يعبدون سوى اللّه تبارك وتعالى، وأنّ توسّلهم أو نداءهم للصالحين لا يمتّ إلى العبادة بصلة، وبقي الكلام في مفهوم البدعة، فإنّ الجهل بها وبحدودها صار سبباً لرمي كثير من الأعمال والسنن والمراسم والشعائر الدينية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أنّ البدعة في الدين من كبائر المعاصي وعظائم المحرّمات وقد دلّ على حرمتها الكتاب والسنّة، وأُوعد صاحبها بالنار على لسان النبي الأكرم صلى الله عليه و آله و سلم؛ لأنّ المبتدع ينازع سلطان اللّه تبارك وتعالى في التشريع والتقنين، ويتدخّل في دينه فيزيد عليه وينقص منه شيئاً، كلّ ذلك افتراء على اللّه، وهذا أمر اتّفق عليه المسلمون، إنّما الكلام في تحديد مفهوم البدعة</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7070953_73709187"/>
      <w:bookmarkStart w:id="376" w:name="_Toc144"/>
      <w:bookmarkEnd w:id="375"/>
      <w:r>
        <w:rPr>
          <w:rtl w:val="true"/>
        </w:rPr>
        <w:t>تعريف البدعة</w:t>
      </w:r>
      <w:bookmarkEnd w:id="376"/>
    </w:p>
    <w:p>
      <w:pPr>
        <w:pStyle w:val="BookText"/>
        <w:rPr/>
      </w:pPr>
      <w:r>
        <w:rPr>
          <w:rFonts w:ascii="Amiri" w:hAnsi="Amiri" w:eastAsia="Amiri" w:cs="Amiri"/>
          <w:color w:val="111111"/>
          <w:sz w:val="28"/>
          <w:sz w:val="28"/>
          <w:szCs w:val="28"/>
          <w:rtl w:val="true"/>
          <w:lang w:bidi="ar-SA"/>
        </w:rPr>
        <w:t>يمكن تعريف البدعة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التدخّل في الدين في الأُصول والفروع،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وحكماً بزيادة أو نقيصة لكن 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هناك إشاعة ودعوى إلى فعل المبتدع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هناك دليل في الشرع على جواز الشيء، لا بالخصوص ولا بالعموم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التعريف فتعلم صحّته من الآيات الذامّة لعمل المشركين وأحبار</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الشرط الأوّل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فتدلّ على أنّ كلّ شيء إذا لم يأذن به، ومع ذلك نُسب إليه سبحانه، يكون من مقولة الافتراء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الثاني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أنّهم كانوا يتدخّلون في الشريعة الإلهية فيعرِّفون ما ليس من عند اللّه على أنّه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أنّ الموضوع في هذه الآية وأمثالها هو البدعة في الدين لا مطلقها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 كلّ أمر مستحدث إذا لم يُنسَب إلى الدين وإلى ما أنزله اللّه فليس ببدعة، وإن اندرج في الحلال تارة والحرام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أنّه قد ظهرت في مجتمعاتنا أُمور جديدة، ومع ذلك لا يمكن وصفها بالبدعة، ولا يشملها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كلّ بدعة في الدين، لا كلّ أمر جديد، فالمبتدع هو المتدخِّل في الشريعة لا المتدخّل في شؤون الحياة بغير صبغة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جرت العادات في بعض المجتمعات على اختلاط النساء بالرجال، في حفلات الاستقبال من دون حجاب ولا عفاف، فلاشكّ في أنّ ذلك حرام جدّاً ولكنّه ليس بدعة في الدين، لأنّ هؤلاء خاضعون للهوى ولم ينسبوا عملهم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فالأُمور العادية بين مباح ومكروه وحرام، فلا توصف بالبدعة إذا لم تُنسب إلى الدين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لكل قوم سُنناً وآداباً خاصة ترسم طبيعة المعاشرة ونوع العلاقات الاجتماعية، كما أنّ لهم أساليبهم الخاصّة في الأُمور العمرانية وفي كيفية استغلال الطبيعة، وغير ذلك، فمثلاً قد تقتضي تقاليد وأعراف قوم تخصيص</w:t>
      </w:r>
    </w:p>
    <w:p>
      <w:pPr>
        <w:pStyle w:val="BookText"/>
        <w:rPr/>
      </w:pPr>
      <w:r>
        <w:rPr>
          <w:rFonts w:ascii="Amiri" w:hAnsi="Amiri" w:eastAsia="Amiri" w:cs="Amiri"/>
          <w:color w:val="111111"/>
          <w:sz w:val="28"/>
          <w:sz w:val="28"/>
          <w:szCs w:val="28"/>
          <w:rtl w:val="true"/>
          <w:lang w:bidi="ar-SA"/>
        </w:rPr>
        <w:t>يوم واحد لتكريم زعيم لهم باعتباره رمزاً تاريخياً، أو للاحتفال بذكرى حادثة جليلة ساهمت في صنع أمجادهم، وقد توجب المصالح التطوير في الأُمور العمرانية وما شاكلها، أو في استغلال الطبيعة عن طريق الأجهزة الحديثة، فهذه الأُمور وغيرها قد ترك الشارع طريقة التعامل معها إلى الناس وفق أساليب حياتهم والتجديد الحاصل فيها، ولم يتدخل فيها إلّابوضع الأُطر العامّة لها، وهي أن لا تكون طريقة التعامل مخالفة للقواعد والضوابط الشرعيّة العامّة، ولولا هذه المرونة لما كان الإسلام ديناً عالمياً سائداً، ولتوقّفت حركته منذ أقدم العصور، ونأتي لمزيد من التوضيح بمثال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حدثت في العصور الأخيرة عدّة تقاليد في ميدان الألعاب الرياضية ككرة القدم والسلّة، والطائرة والمصارعة والملاكمة وغير ذلك، فبما أنّها أُمور عادية محدثة فلا تعدُّ بدعة في الدين، ولو صحّ إطلاق البدعة فإنّما هو باعتبار المعنى اللغوي أي الشيء الجديد في ميادين الحياة، لا في الأُمور الشرعية، غاية الأمر يجب أن تحدّد شرعيتها بالضوابط الكلّية بأن لا يكون هناك اختلاط بين اللاعبين نساءً ورجالاً وأن لا يكون هناك ضرر وإضرار كما هو المحتمل في الملاكمة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العادات من قول أو فعل محكوم بالإباحة 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يدلّ دليل على حرمة بخصوصها، في 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ينطبق عليه أحد العناوين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تقوية شوكة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الإضرار بالنفس والنفيس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العناوين الثانوية المغيّرة لحكم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فإنّ جميع الأجهزة الحديثة الّتي هي من نتائج التقدّم الحضاري التكنولوجي مثل الهاتف والتلفاز والسيارة والطائرة وما شابهها، هي من هذا القبيل، لعدم وجود دليل خاص على حرمتها وعدم انطباق دليل على تحريمها</w:t>
      </w:r>
    </w:p>
    <w:p>
      <w:pPr>
        <w:pStyle w:val="BookText"/>
        <w:rPr/>
      </w:pPr>
      <w:r>
        <w:rPr>
          <w:rFonts w:ascii="Amiri" w:hAnsi="Amiri" w:eastAsia="Amiri" w:cs="Amiri"/>
          <w:color w:val="111111"/>
          <w:sz w:val="28"/>
          <w:sz w:val="28"/>
          <w:szCs w:val="28"/>
          <w:rtl w:val="true"/>
          <w:lang w:bidi="ar-SA"/>
        </w:rPr>
        <w:t>من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جهالات المتطرّفين في الأُمور العادية ما يقضى منه العجب، وهذا النوع من التزمّت هو الّذي يعرقل عجلة تبليغ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السلف من يرشد كلامه إلى أنّ العاديات كالعباديات، فكما أنّا مأمورون في العبادات بأن لا نحدث فيها، فكذلك العاديات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كلام 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أيضاً من كلام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أحدث الناس بعد رسول اللّه صلى الله عليه و آله و سلم المناخل</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وأضاف الشاطبي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عن الربيع بن أبي راشد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أخاف من كان قبلي لكانت الجبّانة مسكني إلى أن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الترتيب يكون قسم العادات داخلاً في قسم العبادات، فدخول الابتداع فيه ظاهر، والأكثرون على خلاف هذا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وإليك بعض هذه الموارد الدالَّة على هذا الفهم المغلوط للبدعة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لأبي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فما أجابه،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من هذه البدعة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حمد ابن الحاج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 علماؤنا رحمة اللّه عليهم المراوح، إذ أنّ اتخاذها في المساجد بدعة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الحاج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يذكر ما يسمّيه البدع المحدثة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وليحذر أن يفرش السجّادة على المنبر لأنّ ذلك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w:t>
      </w:r>
      <w:bookmarkStart w:id="377" w:name="pg16776_178952"/>
    </w:p>
    <w:p>
      <w:pPr>
        <w:pStyle w:val="BookText"/>
        <w:rPr/>
      </w:pPr>
      <w:bookmarkEnd w:id="377"/>
      <w:r>
        <w:rPr>
          <w:rFonts w:ascii="Amiri" w:hAnsi="Amiri" w:eastAsia="Amiri" w:cs="Amiri"/>
          <w:color w:val="111111"/>
          <w:sz w:val="28"/>
          <w:sz w:val="28"/>
          <w:szCs w:val="28"/>
          <w:rtl w:val="true"/>
          <w:lang w:bidi="ar-SA"/>
        </w:rPr>
        <w:t>ينبغي أن يُمنع ما يُفرش على درج المنبر يوم الجمعة، فإنّه من باب الترفّه، ولم يكن من فعل مَن مضى‌، فهو بدعة أيضاً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وقد ذكر كلٌّ من الشاطبي وابن الحاج نظائر من هذه الأُمور الّتي أدخلت تحت عنوان الابتداع في الدين، فلا نطيل فيها الكلام</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أهؤلاء هم الذين صاروا زيناً لخير القرون وأصبحوا أدّلاء على الإسلام في عامة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ولا المنجم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يرجع إلى القيد الأوّل وأنّ حقيقة البدعة هي إدخال ما ليس من الدين فيه، بزيادة أو نقيصة، وأنّ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الأُمور محدثاتها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ناظر إلى الأُمور المنسوبة إلى الدين وهي ليست منه، وأنّ الاستدلال بالحديث على ذم العادات المحدثة استدلال باطل، وإنّما يستنبط حكم المحدثات من ناحية الحلال والحرام من الكتاب العزيز والسنّة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القيدين الأخيرين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الإشاعة في المجتمع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هناك دليل في الشرع على جوازها لا بالخصوص ولا بالعموم</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7070955_73709187"/>
      <w:bookmarkStart w:id="379" w:name="_Toc145"/>
      <w:bookmarkEnd w:id="378"/>
      <w:r>
        <w:rPr>
          <w:rtl w:val="true"/>
        </w:rPr>
        <w:t>الإشاعة ودعوة الآخرين إلى ما أُحدث</w:t>
      </w:r>
      <w:bookmarkEnd w:id="37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أحد مقوّمات البدعة، فلو جلس أحدٌ في البيت وزاد أو نقص شيئاً في الدين فقد ارتكب أمراً حراماً لكن لا يوصف قوله أو فعله بالبدعة، لأنّ عمل المبتدعين عبر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 بالذكر عمل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عملاً شخصياً في الخفاء بل كان مقروناً بدعوة الناس إليه كما لا يخفى</w:t>
      </w:r>
      <w:r>
        <w:rPr>
          <w:rFonts w:eastAsia="Amiri" w:cs="Amiri" w:ascii="Amiri" w:hAnsi="Amiri"/>
          <w:color w:val="111111"/>
          <w:sz w:val="28"/>
          <w:szCs w:val="28"/>
          <w:rtl w:val="true"/>
          <w:lang w:bidi="ar-SA"/>
        </w:rPr>
        <w:t>.</w:t>
      </w:r>
      <w:bookmarkStart w:id="380" w:name="pg16776_178953"/>
    </w:p>
    <w:p>
      <w:pPr>
        <w:pStyle w:val="Heading6"/>
        <w:numPr>
          <w:ilvl w:val="5"/>
          <w:numId w:val="1"/>
        </w:numPr>
        <w:rPr/>
      </w:pPr>
      <w:bookmarkStart w:id="381" w:name="__RefHeading___Toc7070957_73709187"/>
      <w:bookmarkStart w:id="382" w:name="_Toc146"/>
      <w:bookmarkEnd w:id="380"/>
      <w:bookmarkEnd w:id="381"/>
      <w:r>
        <w:rPr>
          <w:rtl w:val="true"/>
        </w:rPr>
        <w:t>عدم وجود أصل لها في الكتاب والسنّة</w:t>
      </w:r>
      <w:bookmarkEnd w:id="382"/>
    </w:p>
    <w:p>
      <w:pPr>
        <w:pStyle w:val="BookText"/>
        <w:rPr/>
      </w:pPr>
      <w:r>
        <w:rPr>
          <w:rFonts w:ascii="Amiri" w:hAnsi="Amiri" w:eastAsia="Amiri" w:cs="Amiri"/>
          <w:color w:val="111111"/>
          <w:sz w:val="28"/>
          <w:sz w:val="28"/>
          <w:szCs w:val="28"/>
          <w:rtl w:val="true"/>
          <w:lang w:bidi="ar-SA"/>
        </w:rPr>
        <w:t>هذا هو الأمر المهم الّذي يجب التركيز عليه في مقابل المتزمّتين حيث لا يميّزون بين البدعة لغة وبينها شرعاً، فلو أمسك شخص إلى غسق الليل ناوياً به الصوم المفروض فقد ابتدع لغة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إذا كان لعمله المحدَث أصل في الشريعة وإن لم يكن عليه دليل بالخصوص فلا يوصف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وليس له أصل في الشرع، وما كان له أصل يدلّ عليه الشرع فليس ببدعة</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وقال ابن رجب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ممّا لا أصل له في الشريعة يدلّ عليه، أمّا ما كان له أصل في الشرع يدلّ عليه فليس ببدعة شرعاً وإن كان بدعة لغة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 الرسول صلى الله عليه و آله و سلم ولم يرد فيه نصّ على الخصوص ولا يكون داخلاً في بعض العمومات أو ورد نهي عنه خصوصاً أو عموماً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ونأتي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الْخَيْلِ تُرْهِبُونَ بِهِ عَدُوَّ اللّهِ وَ عَدُوَّكُمْ‌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كلّي يشمل عامّة القوى الّتي تحقّق هذا الهدف</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فالتسلّح بالغوّاصات والأساطيل البحرية والطائرات المقاتلة،</w:t>
      </w:r>
    </w:p>
    <w:p>
      <w:pPr>
        <w:pStyle w:val="BookText"/>
        <w:rPr/>
      </w:pPr>
      <w:r>
        <w:rPr>
          <w:rFonts w:ascii="Amiri" w:hAnsi="Amiri" w:eastAsia="Amiri" w:cs="Amiri"/>
          <w:color w:val="111111"/>
          <w:sz w:val="28"/>
          <w:sz w:val="28"/>
          <w:szCs w:val="28"/>
          <w:rtl w:val="true"/>
          <w:lang w:bidi="ar-SA"/>
        </w:rPr>
        <w:t>من مصاديق القوّة ولا يُعدّ بدعة، بل يُعدّ تجسيداً لهذا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تقف على أنّ كثيراً من الأُمور الّتي يصفها الوهابيون بأنّها من البدعة ليس منها، فإنّ لها أُصولاً في الكتاب والسنّة، ونشير إلى بعض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محمد حامد الفقي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والمواليد والذكريات الّتي ملأت البلاد باسم الأولياء هي نوع من العبادة لهم وتعظيمهم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تبع الرجل مبدع مسلكه، قال ابن تيمية حول الاحتفال بالمولد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 يفعله السلف مع قيام المقتضي وعدم المانع منه، ولو كان هذا خيراً محضاً أو راجحاً، لكان السلف أحقّ به منّا، فإنّهم كانوا أشدّ محبّة لرسول اللّه صلى الله عليه و آله و سلم وتعظيماً له منّا وهم على الخير أحرص</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وقد تخبّط الرجلان، أمّا الأوّل فقد عدّ الاحتفال بمولد النبي صلى الله عليه و آله و سلم عبادة للنبي صلى الله عليه و آله و سلم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مقوّمات العبادة الاعتقاد بأُلوهية النبيّ صلى الله عليه و آله و سلم أو ربوبيته أو كون مصير المحتفل بيده، وليس شيء من ذلك في الاحتفالات وإنّما يقام الاحتفال لتكريم رجل ضحّى بنفسه ونفيسه في طريق توحيده سبحانه، فكيف يكون 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ابتدع في تعريف البدعة حيث جعل الميزان في الحلال والحرام عمل السلف، وهذا هو البدعة بعينها، فإنّ الميزان هو الكتاب والسنّة لا عمل السلف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الاحتفال بمولد النبي صلى الله عليه و آله و سلم تجسيد لحبّه الّذي دعا إليه الكتاب والسنّة؛ أمّا الكتاب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 أَبْناؤُكُمْ‌</w:t>
      </w:r>
    </w:p>
    <w:p>
      <w:pPr>
        <w:pStyle w:val="BookText"/>
        <w:rPr/>
      </w:pPr>
      <w:r>
        <w:rPr>
          <w:rFonts w:ascii="Amiri" w:hAnsi="Amiri" w:eastAsia="Amiri" w:cs="Amiri"/>
          <w:color w:val="111111"/>
          <w:sz w:val="28"/>
          <w:sz w:val="28"/>
          <w:szCs w:val="28"/>
          <w:rtl w:val="true"/>
          <w:lang w:bidi="ar-SA"/>
        </w:rPr>
        <w:t>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أكون أحبّ إليه من ولده والناس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تضافرت الروايات على حبّ النبي صلى الله عليه و آله و سلم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ولاشكّ أنّ الاتّباع من مظاهر الحبّ‌، ولكنّه لا يختصّ بالاتّباع بل له آثار في حياة المحبّ كأن يزور محبوبه ويكرمه ويعظّمه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المطلوب ليس الحبّ الكامن في القلب من دون أن يُرى أثره في الحياة الواقعية، وعلى هذا يجوز للمسلم القيام بكلّ ما يُعدّ مظهراً لحب النبي صلى الله عليه و آله و سلم شريطة أن يكون عملاً حلالاً بالذات ولا يكون منكراً في الشريعة، ويمكن أن يتجلّى الحب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مدح الرسول صلى الله عليه و آله و سلم نظماً ونثراً، وقد تفجّرت قرائح الشعراء بمدح النبي ضمن قصيدة وقصائد لو جمعت في كتاب لصار موسوعة، وهذا هو كعب بن زهير بن أبي سلمى ينشئ قصيدة مطوّلة في مدح الرسول صلى الله عليه و آله و سلم منطلقاً من حبّه له ويلقيها على روؤس الأشهاد والنبي صلى الله عليه و آله و سلم بينهم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 متيّم إثرها لم يُفدَ مكبولُ‌</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الرسول لنور يستضاء به مهنَّد من سيوف اللّه مسلولُ‌</w:t>
      </w:r>
      <w:r>
        <w:rPr>
          <w:rStyle w:val="FootnoteAnchor"/>
          <w:rtl w:val="true"/>
        </w:rPr>
        <w:footnoteReference w:id="387"/>
      </w:r>
      <w:bookmarkStart w:id="383" w:name="pg16776_178956"/>
    </w:p>
    <w:p>
      <w:pPr>
        <w:pStyle w:val="BookText"/>
        <w:rPr/>
      </w:pPr>
      <w:bookmarkEnd w:id="3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تقبيل كلّ ما يمتّ إلى النبي صلى الله عليه و آله و سلم بصلة كباب داره وضريحه وأستار قبره، انطلاقاً من مبدأ الحب الّذي عرفته، وهذا أمر طبيعي فكلّ مَن يقبّلون ضرائح الأولياء وأبواب قبورهم فإنّما ينطلقون من مبدأ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يأخذ شعرة من شعر النبيّ صلى الله عليه و آله و سلم، فيضعها على فيه يُقبّلها، وأحسب أنّي رأيته يضعها على عينه، ويغمسها في الماء ويشربه يستشفي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الحافظ الذهبي على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المتنطع المنكر على أحمد، وقد ثبت أنّ عبداللّه سأل أباه عمّن يلمس رُمّانة منبر النبيّ صلى الله عليه و آله و سلم، ويمسّ الحجرة النبوية،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 أعاذنا اللّه من رأي الخوارج، ومن البدع</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الاحتفال بميلاد النبي صلى الله عليه و آله و سلم وكلّ من دعا إلى الاحتفال بمولد النبي صلى الله عليه و آله و سلم في أي قرن من القرون، فقد انطلق من حبّ النبي صلى الله عليه و آله و سلم الّذي أمر به القرآن وأكدّت عليه السنّة، وها نحن نذكر كلمة واحدة من الكلمات الكثيرة لعلماء أهل السنّة، حول الاحتفال بميلاد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أهل الإسلام يحتفلون بشهر مولده، ويعملون الولائم، ويتصدّقون في لياليه بأنواع الصدقات، ويظهرون السرور، ويزيدون في المبرّات، ويعتنون بقراءة المولد الشريف، ويظهر عليهم من كراماته كلّ فضل عظيم</w:t>
      </w:r>
      <w:r>
        <w:rPr>
          <w:rFonts w:eastAsia="Amiri" w:cs="Amiri" w:ascii="Amiri" w:hAnsi="Amiri"/>
          <w:color w:val="111111"/>
          <w:sz w:val="28"/>
          <w:szCs w:val="28"/>
          <w:rtl w:val="true"/>
          <w:lang w:bidi="ar-SA"/>
        </w:rPr>
        <w:t>.</w:t>
      </w:r>
      <w:r>
        <w:rPr>
          <w:rStyle w:val="FootnoteAnchor"/>
          <w:rtl w:val="true"/>
        </w:rPr>
        <w:footnoteReference w:id="389"/>
      </w:r>
    </w:p>
    <w:p>
      <w:pPr>
        <w:pStyle w:val="Heading6"/>
        <w:numPr>
          <w:ilvl w:val="5"/>
          <w:numId w:val="1"/>
        </w:numPr>
        <w:rPr/>
      </w:pPr>
      <w:bookmarkStart w:id="384" w:name="__RefHeading___Toc7070959_73709187"/>
      <w:bookmarkStart w:id="385" w:name="_Toc147"/>
      <w:bookmarkEnd w:id="384"/>
      <w:r>
        <w:rPr/>
        <w:t>4</w:t>
      </w:r>
      <w:r>
        <w:rPr>
          <w:rtl w:val="true"/>
        </w:rPr>
        <w:t xml:space="preserve">. </w:t>
      </w:r>
      <w:r>
        <w:rPr>
          <w:rtl w:val="true"/>
        </w:rPr>
        <w:t>شدّ الرحال لزيارة قبر النبي صلى الله عليه و آله و سلم</w:t>
      </w:r>
      <w:bookmarkEnd w:id="38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يثير غضب الوهابيين وأخصّ بالذكر الفئة التكفيرية، شدّ الرحال</w:t>
      </w:r>
    </w:p>
    <w:p>
      <w:pPr>
        <w:pStyle w:val="BookText"/>
        <w:rPr/>
      </w:pPr>
      <w:r>
        <w:rPr>
          <w:rFonts w:ascii="Amiri" w:hAnsi="Amiri" w:eastAsia="Amiri" w:cs="Amiri"/>
          <w:color w:val="111111"/>
          <w:sz w:val="28"/>
          <w:sz w:val="28"/>
          <w:szCs w:val="28"/>
          <w:rtl w:val="true"/>
          <w:lang w:bidi="ar-SA"/>
        </w:rPr>
        <w:t>لزيارة قبر النبي الأكرم صلى الله عليه و آله و سلم الّذي سار عليه المسلمون بعد وفاة النبي صلى الله عليه و آله و سلم إلى يومنا هذا، وأنّ الناس لم يزالوا في كلّ عام إذا قضوا مناسك الحجّ يتوجهون إلى المدينة لزيارة قبر النبي صلى الله عليه و آله و سلم وهذا شيء لا ينكره إلّاالمكابر، ثم إنّ الفئة التكفيرية تستدلّ على التحريم بالحديث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هذا، والمسجد الحرام، والمسجد الأقصى</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المتزّمتون حُرموا فهم الحديث، فإنّه لا صلة له بالسفر لزيارة النبي صلى الله عليه و آله و سلم، وذلك لأنّ المستثنى منه محذوف وتقدير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إلى مسجد من المساجد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في المستثنى منه والمستثنى هو المسجد لا غير، ونحن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إلّاإلى ثلاثة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هو من شدّ الرحال إلى زيارة النبي صلى الله عليه و آله و سلم أو أحد الأولياء، أو شدّ الرحال إلى صلة الأرحام أو الدراسة في الجامعات‌؟ فكلّ هذا خارج عن مدلول الحديث من غير فرق بين المستثنى والمستثنى منه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عبدالملك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شدّ الرحال إلى المساجد الأُخرى لأجل أنّ فيه إتعاب النفس دون جدوى أو زيادة ثواب لأنّه في الثواب سواء، بخلاف الثلاثة لأنّ العبادة في المسجد الحرام بمائة ألف، وفي المسجد النبوي بألف، وفي المسجد الأقصى بخمسمائة، فزيادة الثواب تحبّب السفر إليها وهي غير موجودة في بقية المساجد</w:t>
      </w:r>
      <w:r>
        <w:rPr>
          <w:rFonts w:eastAsia="Amiri" w:cs="Amiri" w:ascii="Amiri" w:hAnsi="Amiri"/>
          <w:color w:val="111111"/>
          <w:sz w:val="28"/>
          <w:szCs w:val="28"/>
          <w:rtl w:val="true"/>
          <w:lang w:bidi="ar-SA"/>
        </w:rPr>
        <w:t>.</w:t>
      </w:r>
      <w:r>
        <w:rPr>
          <w:rStyle w:val="FootnoteAnchor"/>
          <w:rtl w:val="true"/>
        </w:rPr>
        <w:footnoteReference w:id="391"/>
      </w:r>
      <w:bookmarkStart w:id="386" w:name="pg16776_178958"/>
    </w:p>
    <w:p>
      <w:pPr>
        <w:pStyle w:val="Heading6"/>
        <w:numPr>
          <w:ilvl w:val="5"/>
          <w:numId w:val="1"/>
        </w:numPr>
        <w:rPr/>
      </w:pPr>
      <w:bookmarkStart w:id="387" w:name="__RefHeading___Toc7070961_73709187"/>
      <w:bookmarkStart w:id="388" w:name="_Toc148"/>
      <w:bookmarkEnd w:id="386"/>
      <w:bookmarkEnd w:id="387"/>
      <w:r>
        <w:rPr/>
        <w:t>5</w:t>
      </w:r>
      <w:r>
        <w:rPr>
          <w:rtl w:val="true"/>
        </w:rPr>
        <w:t xml:space="preserve">. </w:t>
      </w:r>
      <w:r>
        <w:rPr>
          <w:rtl w:val="true"/>
        </w:rPr>
        <w:t>قبض اليد اليمنى باليسرى في الصلاة</w:t>
      </w:r>
      <w:bookmarkEnd w:id="388"/>
    </w:p>
    <w:p>
      <w:pPr>
        <w:pStyle w:val="BookText"/>
        <w:rPr/>
      </w:pPr>
      <w:r>
        <w:rPr>
          <w:rFonts w:ascii="Amiri" w:hAnsi="Amiri" w:eastAsia="Amiri" w:cs="Amiri"/>
          <w:color w:val="111111"/>
          <w:sz w:val="28"/>
          <w:sz w:val="28"/>
          <w:szCs w:val="28"/>
          <w:rtl w:val="true"/>
          <w:lang w:bidi="ar-SA"/>
        </w:rPr>
        <w:t xml:space="preserve">اتّفق فقهاء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القبض سنّة وليس بفريضة،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إسدال اليدين في الصلاة، ونقل عن الأوزاعي التخيير بين القبض والسَّدل</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ومع ذلك ترى أنّ المتزمّتين يؤاخذون مَن ترك القبض، مع أنّ أبا حُميد الساعدي أحد أصحاب الرسول صلى الله عليه و آله و سلم عرض صلاة النبي صلى الله عليه و آله و سلم على أصحابه وذكر عامّة خصوصيات صلاته ولم يذكر فيها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البيهقي عن أبي 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بصلاة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كنت أكثرنا له تبعاً ولا أقدمنا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إذا قام إلى الصلاة رفع يديه حتّى يحاذي بهما منكبيه، ثم يكبّر حتّى يقرّ كلّ عضو منه في موضعه معتدلاً، ثم يقرأ، ثم يكبّر ويرفع يديه حتّى يحاذي بها منكبيه، ثم يركع ويضع راحتيه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عرض صلاة رسول اللّه صلى الله عليه و آله و سلم على أصحابه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هكذا كان يصلّي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إلى هنا تمّ الكلام في البدعة وقد أشبعنا الكلام فيها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حدّها 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فليرجع إليه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الغرض هنا الإشارة إلى العوامل الّتي صارت سبباً لتكفير المسلمين</w:t>
      </w:r>
      <w:r>
        <w:rPr>
          <w:rFonts w:eastAsia="Amiri" w:cs="Amiri" w:ascii="Amiri" w:hAnsi="Amiri"/>
          <w:color w:val="111111"/>
          <w:sz w:val="28"/>
          <w:szCs w:val="28"/>
          <w:rtl w:val="true"/>
          <w:lang w:bidi="ar-SA"/>
        </w:rPr>
        <w:t>.</w:t>
      </w:r>
      <w:bookmarkStart w:id="389" w:name="pg16776_178959"/>
    </w:p>
    <w:p>
      <w:pPr>
        <w:pStyle w:val="Heading4"/>
        <w:numPr>
          <w:ilvl w:val="3"/>
          <w:numId w:val="1"/>
        </w:numPr>
        <w:rPr/>
      </w:pPr>
      <w:bookmarkStart w:id="390" w:name="__RefHeading___Toc7070963_73709187"/>
      <w:bookmarkStart w:id="391" w:name="_Toc149"/>
      <w:bookmarkEnd w:id="389"/>
      <w:bookmarkEnd w:id="390"/>
      <w:r>
        <w:rPr>
          <w:rtl w:val="true"/>
        </w:rPr>
        <w:t>الفصل السادس</w:t>
      </w:r>
      <w:r>
        <w:rPr>
          <w:rtl w:val="true"/>
        </w:rPr>
        <w:t xml:space="preserve">: </w:t>
      </w:r>
      <w:r>
        <w:rPr>
          <w:rtl w:val="true"/>
        </w:rPr>
        <w:t>ما هو ملاك الكفر والإيمان‌؟</w:t>
      </w:r>
      <w:bookmarkEnd w:id="391"/>
    </w:p>
    <w:p>
      <w:pPr>
        <w:pStyle w:val="Heading5"/>
        <w:numPr>
          <w:ilvl w:val="4"/>
          <w:numId w:val="1"/>
        </w:numPr>
        <w:rPr/>
      </w:pPr>
      <w:bookmarkStart w:id="392" w:name="__RefHeading___Toc7070965_73709187"/>
      <w:bookmarkStart w:id="393" w:name="_Toc150"/>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إذا كان النبي الأكرم صلى الله عليه و آله و سلم مبعوثاً من قبل اللّه سبحانه وموحى إليه، فيجب الإيمان بكلّ ما جاء به، ولا يصحّ التبعيض بأن يؤمَن ببعض ويُكفر ببعض، فإنّ ذلك تكذيب للوحي، غير أنّ ما جاء به النبي صلى الله عليه و آله و سلم في مجال المعارف والأحكام لمّا كان واسعاً مترامي الأطراف لا يمكن استحضاره في الضمير ثم التصديق به، فلذلك ينقسم ما جاء به النبي صلى الله عليه و آله و سلم إلى قسمين؛ قسم منه معلوم بالتفصيل كتوحيده سبحانه والحشر يوم المعاد ووجوب الصلاة والزكاة، وقسم آخر معلوم بالإجمال وهو موجود بين ثنايا الكتاب وسنّة النبي الأكرم صلى الله عليه و آله و سلم، فلا محيص من الإيمان بما علم تفصيلاً بالتفصيل، وبما علم إجمالاً بالإجمال، هذا هو الموافق للتحقيق وما عليه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عندنا وعند الأئمة كالقاضي</w:t>
      </w:r>
      <w:r>
        <w:rPr>
          <w:rStyle w:val="FootnoteAnchor"/>
          <w:rtl w:val="true"/>
        </w:rPr>
        <w:footnoteReference w:id="394"/>
      </w:r>
      <w:r>
        <w:rPr>
          <w:rFonts w:ascii="Amiri" w:hAnsi="Amiri" w:eastAsia="Amiri" w:cs="Amiri"/>
          <w:color w:val="111111"/>
          <w:sz w:val="28"/>
          <w:sz w:val="28"/>
          <w:szCs w:val="28"/>
          <w:rtl w:val="true"/>
          <w:lang w:bidi="ar-SA"/>
        </w:rPr>
        <w:t>والأُستاذ</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للرسول فيما علم مجيئه به ضرورة، فتفصيلاً فيما علم تفصيلاً، وإجمالاً فيما علم إجمالاً</w:t>
      </w:r>
      <w:r>
        <w:rPr>
          <w:rFonts w:eastAsia="Amiri" w:cs="Amiri" w:ascii="Amiri" w:hAnsi="Amiri"/>
          <w:color w:val="111111"/>
          <w:sz w:val="28"/>
          <w:szCs w:val="28"/>
          <w:rtl w:val="true"/>
          <w:lang w:bidi="ar-SA"/>
        </w:rPr>
        <w:t>.</w:t>
      </w:r>
      <w:r>
        <w:rPr>
          <w:rStyle w:val="FootnoteAnchor"/>
          <w:rtl w:val="true"/>
        </w:rPr>
        <w:footnoteReference w:id="39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السَّعد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تصديق النبيّ فيما علم مجيئه به بالضرورة أي فيما اشتهر كونه من الدين بحيث يعلمه من غير افتقار إلى نظر واستدلال كوحدة الصانع ووجوب الصلاة وحرمة الخمر ونحو ذلك، ويكفي الإجمال فيما يلاحظ إجمالاً، ويشترط التفصيل فيما يلاحظ تفصيلاً</w:t>
      </w:r>
      <w:bookmarkStart w:id="394" w:name="pg16776_178960"/>
    </w:p>
    <w:p>
      <w:pPr>
        <w:pStyle w:val="BookText"/>
        <w:rPr/>
      </w:pPr>
      <w:bookmarkEnd w:id="394"/>
      <w:r>
        <w:rPr>
          <w:rFonts w:ascii="Amiri" w:hAnsi="Amiri" w:eastAsia="Amiri" w:cs="Amiri"/>
          <w:color w:val="111111"/>
          <w:sz w:val="28"/>
          <w:sz w:val="28"/>
          <w:szCs w:val="28"/>
          <w:rtl w:val="true"/>
          <w:lang w:bidi="ar-SA"/>
        </w:rPr>
        <w:t>حتّى لو لم يصدّق بوجوب الصلاة عند السؤال عنه وبحرمة الخمر عند السؤال عنه كان كافراً، وهذا هو المشهور وعليه الجمهور</w:t>
      </w:r>
      <w:r>
        <w:rPr>
          <w:rFonts w:eastAsia="Amiri" w:cs="Amiri" w:ascii="Amiri" w:hAnsi="Amiri"/>
          <w:color w:val="111111"/>
          <w:sz w:val="28"/>
          <w:szCs w:val="28"/>
          <w:rtl w:val="true"/>
          <w:lang w:bidi="ar-SA"/>
        </w:rPr>
        <w:t>.</w:t>
      </w:r>
      <w:r>
        <w:rPr>
          <w:rStyle w:val="FootnoteAnchor"/>
          <w:rtl w:val="true"/>
        </w:rPr>
        <w:footnoteReference w:id="397"/>
      </w:r>
    </w:p>
    <w:p>
      <w:pPr>
        <w:pStyle w:val="Heading5"/>
        <w:numPr>
          <w:ilvl w:val="4"/>
          <w:numId w:val="1"/>
        </w:numPr>
        <w:rPr/>
      </w:pPr>
      <w:bookmarkStart w:id="395" w:name="__RefHeading___Toc7070967_73709187"/>
      <w:bookmarkStart w:id="396" w:name="_Toc151"/>
      <w:bookmarkEnd w:id="395"/>
      <w:r>
        <w:rPr>
          <w:rtl w:val="true"/>
        </w:rPr>
        <w:t>ما يجب الإيمان به تفصيلاً</w:t>
      </w:r>
      <w:bookmarkEnd w:id="396"/>
    </w:p>
    <w:p>
      <w:pPr>
        <w:pStyle w:val="BookText"/>
        <w:rPr/>
      </w:pPr>
      <w:r>
        <w:rPr>
          <w:rFonts w:ascii="Amiri" w:hAnsi="Amiri" w:eastAsia="Amiri" w:cs="Amiri"/>
          <w:color w:val="111111"/>
          <w:sz w:val="28"/>
          <w:sz w:val="28"/>
          <w:szCs w:val="28"/>
          <w:rtl w:val="true"/>
          <w:lang w:bidi="ar-SA"/>
        </w:rPr>
        <w:t>إن الّذي يجب الإيمان به تفصيلاً هو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وتقدّست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وتوحيده وأنّه واحد لاندّ له ولا مثل، وقد تمثّل هذا النوع من التوحيد في سورة الإخلاص،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متفرّد في الخالقية، فلا خالق للعالم وما فيه إلّااللّه سبحانه، وقد أكّد القرآن على ذلك في آيات كثيرة،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متفرّد في الربوبية والتدبير، فلا مدبّر للعالم وما فيه سواه، وقد ركّز القرآن على هذا الأمر في مختلف الآيات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التوحيد في التدبير لا ينافي الاعتقاد بسائر المدبّرات الّتي تدبّر العالم بإذنه سبحانه والّتي تُعد من جنود اللّه، كما لا ينافي أيضاً القول بتأثير الأسباب الطبيعية في المسبّبات إذ كلّ ذلك بإذنه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جاء التصريح به في آيات عديدة</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العبادة الّذي هو الهدف المهم من بعث الأنبياء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 فَسِيرُوا فِي الْأَرْضِ فَانْظُرُوا كَيْفَ كانَ عاقِبَةُ الْمُكَذِّبِينَ‌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التوحيد في العبادة من شؤون التوحيد في الخالقية والربوبية، فبما أنّ مصير العالم والإنسان آجلاً وعاجلاً بيده سبحانه، فلا يعبد إلّاإيّاه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نبوّة الأنبياء العظام عليهم السلام ونبوّة الرسول الأكرم صلى الله عليه و آله و سلم ورسالته العالمية الخاتمة،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إلى غير ذلك من الآيات الدالّة على نبوّة الأنبياء عليهم السلام ونبوّة الرسول الأكرم صلى الله عليه و آله و سلم وكونه خاتم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المعاد، والاعتراف بأنّه من أركان الإيمان، وإن غفل عنه أكثر المتكلّمين الباحثين في الإيمان والكفر، ولا يتحقّق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ما لم يوجد فيه عنصر العقيدة بيوم المعاد، ولا تتسم العقيدة بسمة الدين إلّابه، ولأجل ذلك قُرن الإيمان به، بالإيمان باللّه سبحانه في غير واحدة من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تُؤْمِنُونَ بِاللّهِ وَ الْيَوْمِ الْآخِرِ</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العقائد، وأمّا الفروع فالإيمان بالضروريات من مقوّمات الإيمان، كالإيمان بوجوب الصلاة والزكاة والحج وصوم شهر رمضان، بمعنى أنّ منكر وجوب هذه العبادات يخرج من الإيمان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هو حصيلة الروايات المتضافرة الّتي جاءت على صنفين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اقتصر على إظهار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فيه الاعتقاد ببعض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الأوّل فنذكر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عمر بن الخطاب أنّ عليّاً عليه السلام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الناس‌؟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الله إلّااللّه وأنّ محمّداً رسول اللّه، فإذا فعلوا ذلك فقد مَنعوا منك دماءهم وأموالهم إلّابحقّها، وحسابهم على اللّه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المروي عن الإمام الصادق عليه السلام حيث روى البرقي مسنداً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شهادة أن لا إله إلّااللّه والتصديق برسول اللّه، به حقنت الدماء وعليه جرت المناكح والمواريث</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نظيره عن الإمام الرضا عليه السلام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 لا إله إلّااللّه، فإذا قالوها فقد حرم عليّ دماؤهم وأموالهم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حسن الحظ أنّ أئمة الفقه من السنّة صرّحوا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رسول اللّه صلى الله عليه و آله و سلم أنّه سبحانه فرض أن يقاتلهم حتّى يظهروا أن لا إله إلّااللّه، فإذا فعلوا منعوا دماءهم وأموالهم إلّابحقّها</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عصم النفس والمال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تعبير عن الإجابة عن الإيمان، أو أنّ المراد بهذا مشركو العرب وأهل الأوثان ومن لا يوحّد، وهم كانوا أوّل من دُعي إلى الإسلام وقوتل عليه، فأمّا غيرهم</w:t>
      </w:r>
    </w:p>
    <w:p>
      <w:pPr>
        <w:pStyle w:val="BookText"/>
        <w:rPr/>
      </w:pPr>
      <w:r>
        <w:rPr>
          <w:rFonts w:ascii="Amiri" w:hAnsi="Amiri" w:eastAsia="Amiri" w:cs="Amiri"/>
          <w:color w:val="111111"/>
          <w:sz w:val="28"/>
          <w:sz w:val="28"/>
          <w:szCs w:val="28"/>
          <w:rtl w:val="true"/>
          <w:lang w:bidi="ar-SA"/>
        </w:rPr>
        <w:t>ممّن يقرّ بالتوحيد فلا يكفي في عصمته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إذا كان يقولها في كفره وهي من اعتقاده، ولذلك جاء في الحديث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 رسول اللّه، ويقيم الصلاة ويؤتي الزكاة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بأنّ ما تحقن به الدماء وتصان به الأعراض ويدخل به الإنسان في عداد المسلمين ويستظلُّ بخيمة الإسلام، هو الاعتقاد بتوحيده سبحانه ورسالة الرسول، وهذا ما نعبّر عنه ببساطة العقيدة وسهولة التكاليف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الصنف الثاني فنأتي ببعض نصوصه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البخاري عن عبد اللّه بن عباس أنّ رسول اللّه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يبيّن معنى الإيمان باللّه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أن لا إله إلّااللّه، وأنّ محمداً رسول اللّه، وإقام الصلاة، وإيتاء الزكاة، وصيام رمضان وأن تُعطوا من المغنم الخُمُس</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تضافر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أن لا إله إلّااللّه، واستقبل قبلتنا، وصلّى صلاتنا، وأكل ذبيحتنا، فذلك المسلم، له ما للمسلم وعليه ما على المسلم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يشهدوا أن لا إله إلّااللّه وأنّ محمداً رسول اللّه، ويقيموا الصلاة، ويؤتوا الزكاة، فإذا فعلوا ذلك عصموا منّي دماءهم وأموالهم إلّابحقّ الإسلام، وحسابهم على اللّه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هذين الصنفين من الروايات فاعلم أنّ الجميع يهدف إلى أمر واحد وهو أنّ الدخول في الإسلام والتظلّل تحت مظلّته ليس بأمر عسير بل سهل جدّاً، وليس في الإسلام ما هو معقّد في المعارف، ولا معسور في الأحكام، وشتّان بين بساطة العقيدة فيه، والتعقيد الموجود في المسيحية من القول بالتثليث وفي الوقت نفسه من الاعتقاد بكونه سبحانه إلهاً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الاختلاف بين الصنفين فيمكن رفع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موقف الصنف الأوّل غير موقف الصنف الثاني، فالأوّل بصدد بيان ما تُصان به الدماء وتحلّ به الذبائح، وتجوز به المناكحة، فيكفي في ذلك الإقرار بالشهادتين المعربتين عن التصديق بهما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فهو بصدد بيان ما ينجي الإنسان من عذاب الآخرة وهو رهن العمل بالأحكام، وقد ذكرنا نماذج منه، لتكون إشارة إلى غيرها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جاء به النبي صلى الله عليه و آله و سلم ينقسم إلى ضروري يعلم من غير نظر واستدلال، ويعرفه كلّ مَن ورد حظيرة الإسلام، كوجوب الصلاة والزكاة وصوم شهر رمضان؛ وإلى غير ضروري يقف عليه مَن عمّر في الإسلام وعاش بين المسلمين وخالط العلماء والوعاظ، أو نظر في الكتاب والسنّة، فإنّ إنكار القسم الأوّل إنكار لنفس الرسالة، بحيث لا يمكن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الشهادة على الرسالة وإنكار وجوب الصلاة والزكاة، ولأجل ذلك لا يعذر فيه ادّعاء الجهل عند الإنكار إلّاإذا دلّت القرائن على جهل المنكر بأنّه ضروريّ‌، كما إذا كان جديد عهد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منافاة بين الصنفين، فلعلّ عدم ذكرها في الصنف الأوّل للاستغناء عنها بالاعتراف بالرسالة الّذي لا ينفكّ عن الاعتراف بها</w:t>
      </w:r>
      <w:r>
        <w:rPr>
          <w:rFonts w:eastAsia="Amiri" w:cs="Amiri" w:ascii="Amiri" w:hAnsi="Amiri"/>
          <w:color w:val="111111"/>
          <w:sz w:val="28"/>
          <w:szCs w:val="28"/>
          <w:rtl w:val="true"/>
          <w:lang w:bidi="ar-SA"/>
        </w:rPr>
        <w:t>.</w:t>
      </w:r>
      <w:bookmarkStart w:id="397" w:name="pg16776_178965"/>
    </w:p>
    <w:p>
      <w:pPr>
        <w:pStyle w:val="BookText"/>
        <w:rPr/>
      </w:pPr>
      <w:bookmarkEnd w:id="397"/>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الفرعية والأُصولية الكلامية وإن كانت من صميم الإسلام لكن لا يجب الإذعان القلبي بها تفصيلاً، بل يكفي الإيمان بها إجمالاً حسب ما جاء به النبي صلى الله عليه و آله فيكفي في الإيمان، الإذعان بأنّ القرآن نزل من اللّه، من دون لزوم عقد القلب بقِدَمِه أو حدوثه، وأنّ اللّه عالم وقادر من دون لزوم تبيين موقع الصفات وأنّها عين الذات أو زائدة عليها، وقس على ذلك جميع المسائل الكلامية والفقهية إلّاما خرج بالدليل</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7070969_73709187"/>
      <w:bookmarkStart w:id="399" w:name="_Toc152"/>
      <w:bookmarkEnd w:id="398"/>
      <w:r>
        <w:rPr>
          <w:rtl w:val="true"/>
        </w:rPr>
        <w:t>المرونة في قبول الإسلام</w:t>
      </w:r>
      <w:bookmarkEnd w:id="399"/>
    </w:p>
    <w:p>
      <w:pPr>
        <w:pStyle w:val="Heading6"/>
        <w:numPr>
          <w:ilvl w:val="5"/>
          <w:numId w:val="1"/>
        </w:numPr>
        <w:rPr/>
      </w:pPr>
      <w:bookmarkStart w:id="400" w:name="__RefHeading___Toc7070971_73709187"/>
      <w:bookmarkStart w:id="401" w:name="_Toc153"/>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إذا عرفت هذه السنن والكلمات فاعلم أنّ النبي الأكرم صلى الله عليه و آله و سلم كان يقبل إسلام كلّ إنسان يُقرّ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الإقرار بهما كان يلازم الإقرار بيوم الجزاء، ولم يكن رسول اللّه يسأل أحداً عن سائر الأُمور الكلامية الّتي ظهرت بعد رحلته صلى الله عليه و آله و سلم وتداولتها ألسن المحدِّثين والمتكلِّمين، وما ذلك إلّالأن هذه المسائل لا تمتّ إلى جوهر الإيمان وقوامه بصلة، وإن كان الحق في كلّ مسألة في وجه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يحضرون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زرافات ووحداناً ويتشرّفون بالإسلام بكلمتين أو بكلمة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تلازم الكلمتين الأُخريين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النبي صلى الله عليه و آله و سلم يسألهم عن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تعترف بأنّ صفاته سبحانه عين ذاته أو زائدة عليها؟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تعترف بأنّ الصفات الخبرية في القرآن كالرجل واليد بنفس معانيها، أو هي كناية عن معانٍ أُخرى‌؟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تقول بأنّ القرآن قديم أو محدث‌؟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 تعترف بأنّ أفعال العباد مخلوقة للّه أو لا؟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تعتقد بعصمة الأنبياء قبل البعثة أو بعدها؟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تعتقد برؤية اللّه في الآخرة‌؟</w:t>
      </w:r>
    </w:p>
    <w:p>
      <w:pPr>
        <w:pStyle w:val="BookText"/>
        <w:rPr/>
      </w:pPr>
      <w:r>
        <w:rPr>
          <w:rFonts w:ascii="Amiri" w:hAnsi="Amiri" w:eastAsia="Amiri" w:cs="Amiri"/>
          <w:color w:val="111111"/>
          <w:sz w:val="28"/>
          <w:sz w:val="28"/>
          <w:szCs w:val="28"/>
          <w:rtl w:val="true"/>
          <w:lang w:bidi="ar-SA"/>
        </w:rPr>
        <w:t>إلى غير ذلك من عشرات الأسئلة الّتي صارت ذريعة لتكفير المسلمين، بسبب الاعتقاد بهذه المسائل خصوصاً الصفات الخبرية وحدوث القرآن وقِدَمه أو رؤية اللّه تعالى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صارت عدّة مسائل كلامية ذريعة للتكفير أحدثها محمد بن عبدالوهاب إمام الفرقة الوهابية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بالأولياء وطلب الشفاعة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على القبور الّذي وصفوه بالوثنية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المسائل الكلامية أو الفقهية الّتي لا تناط بالإيمان والكفر ولم يكن النبيّ صلى الله عليه و آله و سلم يسأل عنها كلّ مَن يدخل في حظيرة الإيمان، بل كان يصهر الجميع في بوتقة واحدة ويدخلهم في خيمة الإسلام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زاد في الطين بلّة، أنّهم يفترون على الشيعة أُموراً مكذوبة، ثم يكفِّرونهم بها،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تأليه الشيعة لعليٍّ وأولاده، وأنّهم يعبدونهم ويعتقدون بإلوهيتهم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إنكارهم ختم النبوة برحيل سيدنا محمد صلى الله عليه و آله و سلم وأنّ الوحي لم يزل ينزل على عليّ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أصحاب النبي صلى الله عليه و آله و سلم وسبّهم ولعنهم وأنّهم أعداء الصحابة من أوّلهم إلى آخرهم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القرآن الكريم وأنّه حُذف منه أكثر ممّا هو الموجود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نسبة الخيانة لأمين الوحي وأنّه بعث إلى عليٍّ عليه السلام فخان فذهب إلى محمد صلى الله عليه و آله و سلم</w:t>
      </w:r>
      <w:r>
        <w:rPr>
          <w:rFonts w:eastAsia="Amiri" w:cs="Amiri" w:ascii="Amiri" w:hAnsi="Amiri"/>
          <w:color w:val="111111"/>
          <w:sz w:val="28"/>
          <w:szCs w:val="28"/>
          <w:rtl w:val="true"/>
          <w:lang w:bidi="ar-SA"/>
        </w:rPr>
        <w:t>.</w:t>
      </w:r>
      <w:bookmarkStart w:id="402" w:name="pg16776_178967"/>
    </w:p>
    <w:p>
      <w:pPr>
        <w:pStyle w:val="BookText"/>
        <w:rPr/>
      </w:pPr>
      <w:bookmarkEnd w:id="402"/>
      <w:r>
        <w:rPr>
          <w:rFonts w:ascii="Amiri" w:hAnsi="Amiri" w:eastAsia="Amiri" w:cs="Amiri"/>
          <w:color w:val="111111"/>
          <w:sz w:val="28"/>
          <w:sz w:val="28"/>
          <w:szCs w:val="28"/>
          <w:rtl w:val="true"/>
          <w:lang w:bidi="ar-SA"/>
        </w:rPr>
        <w:t>نعم للشيعة الإمامية مسائل كلامية تختصّ بها وربما يكون ذلك سبباً لبعض التُّهم، ومن ذلك</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7070973_73709187"/>
      <w:bookmarkStart w:id="404" w:name="_Toc154"/>
      <w:bookmarkEnd w:id="403"/>
      <w:r>
        <w:rPr/>
        <w:t>1</w:t>
      </w:r>
      <w:r>
        <w:rPr>
          <w:rtl w:val="true"/>
        </w:rPr>
        <w:t xml:space="preserve">. </w:t>
      </w:r>
      <w:r>
        <w:rPr>
          <w:rtl w:val="true"/>
        </w:rPr>
        <w:t>الإيمان بخلافة الخلفاء</w:t>
      </w:r>
      <w:bookmarkEnd w:id="404"/>
    </w:p>
    <w:p>
      <w:pPr>
        <w:pStyle w:val="BookText"/>
        <w:rPr/>
      </w:pPr>
      <w:r>
        <w:rPr>
          <w:rFonts w:ascii="Amiri" w:hAnsi="Amiri" w:eastAsia="Amiri" w:cs="Amiri"/>
          <w:color w:val="111111"/>
          <w:sz w:val="28"/>
          <w:sz w:val="28"/>
          <w:szCs w:val="28"/>
          <w:rtl w:val="true"/>
          <w:lang w:bidi="ar-SA"/>
        </w:rPr>
        <w:t>إنّ هذا الأمر ليس من الأُصول بل هو من الأحكام الفرعية الّتي لا يضر الاختلاف فيها، ويشهد لِما قلناه كلمات أئمة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أنّ مباحث الإمامة بعلم الفروع أليق، لرجوعها إلى أنّ القيام بالإمامة ونصب الإمام الموصوف بالصفات المخصوصة من فروض الكفايات، وهي أُمور كلّية تتعلّق بها مصالح دينية أو دنيوية، لا ينتظم الأمر إلّابحصولها فيقصد الشارع تحصيلها في الجملة من غير أن يقصد حصولها من كلّ أحد، ولا خفاء في أنّ ذلك من الأحكام العملية دون الاعتقادية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ومباحثها عندنا من الفروع وإنّما ذكرناها في علم الكلام تأسيّاً بمن قبلنا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ليست من أُصول الديانات والعقائد، بل هي عندنا من الفروع المتعلّقة بأفعال المكلّفين، إذ نصب الإمام عندنا واجب على الأُمّة سمعاً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كانت الإمامة من الفروع فما أكثر الاختلاف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الاختلاف موجباً للكفر؟</w:t>
      </w:r>
      <w:bookmarkStart w:id="405" w:name="pg16776_178968"/>
    </w:p>
    <w:p>
      <w:pPr>
        <w:pStyle w:val="Heading6"/>
        <w:numPr>
          <w:ilvl w:val="5"/>
          <w:numId w:val="1"/>
        </w:numPr>
        <w:rPr/>
      </w:pPr>
      <w:bookmarkStart w:id="406" w:name="__RefHeading___Toc7070975_73709187"/>
      <w:bookmarkStart w:id="407" w:name="_Toc155"/>
      <w:bookmarkEnd w:id="405"/>
      <w:bookmarkEnd w:id="406"/>
      <w:r>
        <w:rPr/>
        <w:t>2</w:t>
      </w:r>
      <w:r>
        <w:rPr>
          <w:rtl w:val="true"/>
        </w:rPr>
        <w:t xml:space="preserve">. </w:t>
      </w:r>
      <w:r>
        <w:rPr>
          <w:rtl w:val="true"/>
        </w:rPr>
        <w:t>علم الأئمة عليهم السلام بالغيب</w:t>
      </w:r>
      <w:bookmarkEnd w:id="407"/>
    </w:p>
    <w:p>
      <w:pPr>
        <w:pStyle w:val="BookText"/>
        <w:rPr/>
      </w:pPr>
      <w:r>
        <w:rPr>
          <w:rFonts w:ascii="Amiri" w:hAnsi="Amiri" w:eastAsia="Amiri" w:cs="Amiri"/>
          <w:color w:val="111111"/>
          <w:sz w:val="28"/>
          <w:sz w:val="28"/>
          <w:szCs w:val="28"/>
          <w:rtl w:val="true"/>
          <w:lang w:bidi="ar-SA"/>
        </w:rPr>
        <w:t>لاشكّ أنّ العلم بالغيب علماً ذاتياً غير مكتسب وغير محدّد بحدٍّ، يختصّ باللّه سبحانه، ولكن لا مانع من أن يُعلِّم سبحانه شيئاً من الغيب لبعض أوليائه فيخبر عن الملاحم لأجل كونهم محدّثين، والمحدّث يسمع صوت الملك ولا يراه، وهو ليس أمراً بدعيّاً في مجال العقيدة، فقد رواه البخاري في صحيحه عن أبي هريرة،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يُكلّمون من غير أن يكونوا أنبياء</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تضافرت الروايات عن النبيّ صلى الله عليه و آله و سلم في حقّ المحدّثين، فأئمة أهل البيت عليهم السلام عند الشيعة من المحدَّثين، فأي إشكال في ذلك‌؟ وهل هو يوجب مشاركتهم اللّه في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العلم بالغيب مكتسباً من اللّه محدوداً بحدّ خاص، من علمه الواسع غير المكتسب ولا المحدود؟</w:t>
      </w:r>
    </w:p>
    <w:p>
      <w:pPr>
        <w:pStyle w:val="Heading6"/>
        <w:numPr>
          <w:ilvl w:val="5"/>
          <w:numId w:val="1"/>
        </w:numPr>
        <w:rPr/>
      </w:pPr>
      <w:bookmarkStart w:id="408" w:name="__RefHeading___Toc7070977_73709187"/>
      <w:bookmarkStart w:id="409" w:name="_Toc156"/>
      <w:bookmarkEnd w:id="408"/>
      <w:r>
        <w:rPr/>
        <w:t>3</w:t>
      </w:r>
      <w:r>
        <w:rPr>
          <w:rtl w:val="true"/>
        </w:rPr>
        <w:t xml:space="preserve">. </w:t>
      </w:r>
      <w:r>
        <w:rPr>
          <w:rtl w:val="true"/>
        </w:rPr>
        <w:t>التقيّة من المسلم</w:t>
      </w:r>
      <w:bookmarkEnd w:id="409"/>
    </w:p>
    <w:p>
      <w:pPr>
        <w:pStyle w:val="BookText"/>
        <w:rPr/>
      </w:pPr>
      <w:r>
        <w:rPr>
          <w:rFonts w:ascii="Amiri" w:hAnsi="Amiri" w:eastAsia="Amiri" w:cs="Amiri"/>
          <w:color w:val="111111"/>
          <w:sz w:val="28"/>
          <w:sz w:val="28"/>
          <w:szCs w:val="28"/>
          <w:rtl w:val="true"/>
          <w:lang w:bidi="ar-SA"/>
        </w:rPr>
        <w:t>وممّا يخطِّئون به الشيعة هو تقيّتهم من المخالف المسلم، بناءً على اختصاص التقيّة بالكافر مع أنّه أمر صرّح بجوازه غير واحد من أئمة السنّة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يدلّ أنّ التقيّة إنّما تحلّ مع الكفّار الغالبين، إلّاأنّ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الحالة بين المسلمين إذا شاكلت الحالة بين المسلمين والكافرين حلّت التقيّة محاماة عن النفس</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وقال ابن الوزير اليمانيّ‌</w:t>
      </w:r>
      <w:r>
        <w:rPr>
          <w:rStyle w:val="FootnoteAnchor"/>
          <w:rtl w:val="true"/>
        </w:rPr>
        <w:footnoteReference w:id="41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الحق غموضاً وخفاءً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السوء وسلاطين الجور وشياطين الخلق مع جواز التقيّة عند ذلك بنصّ القرآن، وإجماع أهل الإسلام، وما زال الخوف مانعاً من إظهار الحقّ‌، ولا برح المحقّ عدوّاً لأكثر الخلق، وقد صحّ عن أبي هريرة أنّه قال، في ذلك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من رسول اللّه صلى الله عليه و آله و سلم وعاءين، أمّا أحدهما فبثثته في الناس، وأمّا الآخر فلو أبثّه لقطع هذا البلعوم</w:t>
      </w:r>
      <w:r>
        <w:rPr>
          <w:rFonts w:eastAsia="Amiri" w:cs="Amiri" w:ascii="Amiri" w:hAnsi="Amiri"/>
          <w:color w:val="111111"/>
          <w:sz w:val="28"/>
          <w:szCs w:val="28"/>
          <w:rtl w:val="true"/>
          <w:lang w:bidi="ar-SA"/>
        </w:rPr>
        <w:t>.</w:t>
      </w:r>
      <w:r>
        <w:rPr>
          <w:rStyle w:val="FootnoteAnchor"/>
          <w:rtl w:val="true"/>
        </w:rPr>
        <w:footnoteReference w:id="41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أمراً مبتدعاً، فقد عمل به أربعة وعشرون محدِّثاً في مقابل السلطان الجائر المسلم،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وقد نقل تفصيل القصة الطبري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رسالة المأمون إلى إسحاق بن إبراهيم فأحضر لفيفاً من المحدِّثين والذين يربو عددهم على ستة وعشرين محدّثاً فقرأ عليهم رسالة المأمون مرتين حتّى فهموها، ثم سأل كلّ واحد منهم عن رأيه في خلق القرآن، وقد كانت عقيدة المحدّثين بأنّ القرآن غير مخلوق أو غير حادث، فلمّا شعروا بالخطر وقرئت عليهم رسالة المأمون ثانياً وأمره بالتضييق عليهم وأن توثق أيديهم ويرسلوا إليه، أجاب القوم الممتنعون كلّهم وقالوا بخلق القرآن إلّاأربعة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وسجّادة، والقواريري، ومحمد بن نوح؛ فلمّا كان من الغد أظهر سجّادة الموافقة وقال بأنّ القرآن مخلوق وخلّي سبيله، ثم تبعه بعد غد القواريري وقال بأن القرآن مخلوق، فخلّي سبيله، وبقي أحمد بن حنبل ومحمّد بن نوح، وللقصة تكملة</w:t>
      </w:r>
      <w:bookmarkStart w:id="410" w:name="pg16776_178970"/>
    </w:p>
    <w:p>
      <w:pPr>
        <w:pStyle w:val="BookText"/>
        <w:rPr/>
      </w:pPr>
      <w:bookmarkEnd w:id="410"/>
      <w:r>
        <w:rPr>
          <w:rFonts w:ascii="Amiri" w:hAnsi="Amiri" w:eastAsia="Amiri" w:cs="Amiri"/>
          <w:color w:val="111111"/>
          <w:sz w:val="28"/>
          <w:sz w:val="28"/>
          <w:szCs w:val="28"/>
          <w:rtl w:val="true"/>
          <w:lang w:bidi="ar-SA"/>
        </w:rPr>
        <w:t>ذكرناها بتفاصيلها في كتابنا بحوث في الملل والنحل، فلاحظ</w:t>
      </w:r>
      <w:r>
        <w:rPr>
          <w:rFonts w:eastAsia="Amiri" w:cs="Amiri" w:ascii="Amiri" w:hAnsi="Amiri"/>
          <w:color w:val="111111"/>
          <w:sz w:val="28"/>
          <w:szCs w:val="28"/>
          <w:rtl w:val="true"/>
          <w:lang w:bidi="ar-SA"/>
        </w:rPr>
        <w:t>.</w:t>
      </w:r>
      <w:r>
        <w:rPr>
          <w:rStyle w:val="FootnoteAnchor"/>
          <w:rtl w:val="true"/>
        </w:rPr>
        <w:footnoteReference w:id="420"/>
      </w:r>
    </w:p>
    <w:p>
      <w:pPr>
        <w:pStyle w:val="Heading6"/>
        <w:numPr>
          <w:ilvl w:val="5"/>
          <w:numId w:val="1"/>
        </w:numPr>
        <w:rPr/>
      </w:pPr>
      <w:bookmarkStart w:id="411" w:name="__RefHeading___Toc7070979_73709187"/>
      <w:bookmarkStart w:id="412" w:name="_Toc157"/>
      <w:bookmarkEnd w:id="411"/>
      <w:r>
        <w:rPr/>
        <w:t>4</w:t>
      </w:r>
      <w:r>
        <w:rPr>
          <w:rtl w:val="true"/>
        </w:rPr>
        <w:t xml:space="preserve">. </w:t>
      </w:r>
      <w:r>
        <w:rPr>
          <w:rtl w:val="true"/>
        </w:rPr>
        <w:t>تكفير الصحابة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إنّ تكفير الصحابة من الافتراءات الّتي تشهد الضرورة ببطلانها، كيف‌؟ وثمّة طائفة من الصحابة هم من رواد التشيّع، ثم كيف‌؟ وهذا إمامهم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يقتدون به ويقتفون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إمام المسلمين عامّة،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يقول في حق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 مَضَوْا عَلَى الْحَقِّ؟ أَيْنَ عَمَّارٌ؟ وَأَيْنَ ابْنُ التَّيِّهَانِ؟ وَأَيْنَ ذُو الشَّهَادَتَيْنِ؟ وَأَيْنَ نُظَرَاؤُهُمْ مِنْ إِخْوَانِهِمُ الَّذِينَ تَعَاقَدُوا عَلَى الْمَنِيَّةِ‌، وَأُبْرِدَ بِرُؤُوسِهِمْ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الإمام علي بن الحسين زين العابدين عليه السلام 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وأصحابُ محمّد خاصّةً‌، الذين أحَسنوا الصحابة، والذين أبلَوُا البلاءَ الحسَن في نصرهِ‌، وكانَفُوه، وأسرعوا إلى وِفادتهِ‌، وسابقوا 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تنسَ لَهُمُ اللهمّ ما تركوا لك وفيك، وأَرضِهِم من رضوانك</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لعضد الدين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وشارحه السيد الجرجاني في شرحها كلاماً في عدم جواز تكفير الشيعة بمعتقداتهم نأتي بنصهما متناً وشرحاً، فقد ذكرا الوجوه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القدح في أكابر الصحابة الذين شهد لهم القرآن والأحاديث الصحيحة بالتزكية والإيمان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حيث أثنى عليهم وعظّمهم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ثناء عليهم خاصّة، أي لا ثناء في القرآن على واحد من الصحابة بخصوصه، وهؤلاء قد اعتقدوا أنّ مَن قدحوا فيه ليس داخلاً في الثناء العام الوارد فيه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ولاهم داخلون فيه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قدحهم تكذيباً للقرآن، وأمّا الأحاديث الواردة في تزكية بعض معيّن من الصحابة والشهادة لهم بالجنّة فمن قبيل الآحاد، فلا يكفَّر المسلم بإنكارها؛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الثناء عليهم، وتلك الشهادة لهم مقيّدان، بشرط سلامة العاقبة ولم توجد عندهم، فلا يلزم تكذيبهم للرسول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منعقد من الأُمّة، على تكفير من كفّر عظماء الصحابة، وكلّ واحد من الفريقين يكفّر بعض هؤلاء العظماء فيكون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أي من كفّر جماعة مخصوصة من الصحابة، لا يسلّمون كونهم من أكابر الصحابة وعظمائهم، فلا يلزم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لأخيه المسلم يا كافر، فقد باء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وقد أجمعت الأُمّة على أنّ إنكار الآحاد ليس كفراً، ومع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مع اعتقاد أنّه مسلم، فإنّ من ظن بمسلم أنّه يهودي أو نصراني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ياكافر، لم يكن ذلك كفراً بالإجماع</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كلامهما ونحن نقول ليس هنا من يكفر الصحابة بل الموجود هو</w:t>
      </w:r>
      <w:bookmarkStart w:id="413" w:name="pg16776_178972"/>
    </w:p>
    <w:p>
      <w:pPr>
        <w:pStyle w:val="BookText"/>
        <w:rPr/>
      </w:pPr>
      <w:bookmarkEnd w:id="413"/>
      <w:r>
        <w:rPr>
          <w:rFonts w:ascii="Amiri" w:hAnsi="Amiri" w:eastAsia="Amiri" w:cs="Amiri"/>
          <w:color w:val="111111"/>
          <w:sz w:val="28"/>
          <w:sz w:val="28"/>
          <w:szCs w:val="28"/>
          <w:rtl w:val="true"/>
          <w:lang w:bidi="ar-SA"/>
        </w:rPr>
        <w:t>دراسة حياة الصحابة بعد رحلة النبي الأكرم صلى الله عليه و آله و سلم وهو أمر درج عليه السلف من أصحاب السيرة والتاريخ والرجال كدراسة حال التابعين لهم، وأخذ الدين عنهم لا يصدّنا عن تلك الدراسة العلمية بل يدفعنا إلى أخذها من أُناس صادقين عادلين، فمن زعم أنّ دراسة حياة الصحابي يورث الضعف في الدين أو يوجب الخلل في الإسلام فقد أتى بكلام غير مقبول ولا معقول، وهؤلاء هم علماء الرجال قد ألّفوا موسوعات في أحوال رجال الحديث مبتدئين من التابعين، ونحن نعطف الصحابة على التابعين أيضاً، ونكيل لكلّ من قال الحق وعمل به، المدح العظيم والثناء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حدّ الإيمان والكفر وحدّ الشرك والبدعة قد وقفت عليها عن كثب، وأنّ فِرَق الإسلام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الغلاة والنواصب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داخلون في حظيرة الإسلام، فيجب أن تُحقَن دماؤهم وتُصان أموالهم وأعراضهم وكل ما يمتّ إليهم بصلة، وأنّ مَن يقوم بتكفير أُمّة أو أُمم من المسلمين فإنّما يصدر عن عصبية وعناد، أو عن غرض خبيث يخدم به قوى الكفر والاستبداد والاستكبار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هو الهادي إلى الطريق الحقّ‌</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7070981_73709187"/>
      <w:bookmarkStart w:id="415" w:name="_Toc158"/>
      <w:bookmarkEnd w:id="414"/>
      <w:r>
        <w:rPr>
          <w:rtl w:val="true"/>
        </w:rPr>
        <w:t>بيان واقتراح</w:t>
      </w:r>
      <w:bookmarkEnd w:id="415"/>
    </w:p>
    <w:p>
      <w:pPr>
        <w:pStyle w:val="BookText"/>
        <w:rPr/>
      </w:pPr>
      <w:r>
        <w:rPr>
          <w:rFonts w:ascii="Amiri" w:hAnsi="Amiri" w:eastAsia="Amiri" w:cs="Amiri"/>
          <w:color w:val="111111"/>
          <w:sz w:val="28"/>
          <w:sz w:val="28"/>
          <w:szCs w:val="28"/>
          <w:rtl w:val="true"/>
          <w:lang w:bidi="ar-SA"/>
        </w:rPr>
        <w:t>وبعد هذه الجولة العلمية الخاطفة لمناقشة بعض أُسس ومبررات الاتجاهات التكفيرية، لابُدّ لنا أن نعيد التأكيد على ما تمّثله هذه الاتجاهات من خطورة بالغة على مستقبل الإسلام والأُمّة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فالتكفير اليوم لم يعد مجرد فتوى أو رأي نظري، وليس اتجاهاً لمجموعة محدودة كما كان في العهود السابقة، بل تحوّل إلى تيار فاعل يستقطب الاتباع في بلدان ومجتمعات كثيرة، ويخرّج أجيالاً من ابناء الأُمّة تحمل فكر التطرّف والتشدّد، وتتجه لممارسة العنف والإرهاب، ورأينا ضمن اتباع هذا التيار</w:t>
      </w:r>
    </w:p>
    <w:p>
      <w:pPr>
        <w:pStyle w:val="BookText"/>
        <w:rPr/>
      </w:pPr>
      <w:r>
        <w:rPr>
          <w:rFonts w:ascii="Amiri" w:hAnsi="Amiri" w:eastAsia="Amiri" w:cs="Amiri"/>
          <w:color w:val="111111"/>
          <w:sz w:val="28"/>
          <w:sz w:val="28"/>
          <w:szCs w:val="28"/>
          <w:rtl w:val="true"/>
          <w:lang w:bidi="ar-SA"/>
        </w:rPr>
        <w:t>التكفيري بعض من اعتنقوا الإسلام حديثاً من الشباب الغربيين والذين قتل بعضهم في معارك الصراع والفتن في مناطق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أصبح لهذا التيار التكفيري وسائل إعلام متطورة ضمن عالم التواصل الاجتماعي الحديث، ولهم معسكراتهم وقدراتهم الحربية الهائلة، وشبكاتهم التنظيمية الواسعة، وامكاناتهم المالية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يدلّ على أنّ قوىً عالمية كبرى تدعمهم لخدمة اغراضها ومخططاتها ضد الإسلام والمسلمين، وواضح ان بعض الدول والقوى الاقليمية تستفيد منهم في صراعاتها ضد الأنظمة والجهات المنافسة لها، فتدعمهم، ممّا يمنحهم فرص التجديد والتطوير لقدراتهم وفاعليتهم المرعبة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لابدّ من إعلان النفير العام في جميع أوساط الأُمة، وخاصّة العلماء والقيادات الفكرية والاجتماعية، ضد هذا الخطر الماحق، والوباء الفتّاك، ولا يصح أبداً أن تتاح للتكفيريين فرصة الاستفادة من مجال الاختلافات المذهبية والسياسية، للعبث بواقع الأُمّة، وتهديد مستقبلها، وتشويه صورة الإسلام أمام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وأُطالب جميع المخلصين من علماء الأُمّة، وقياداتها الواعية، بتحمّل المسؤولية أمام اللّه والتاريخ تجاه هذا التحدي والخطر الكبير، ضمن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الموقف الشرعي الواضح والصريح بإدانة التكفير لأحد من أهل القبلة على أساس الاختلافات المذهبية والعقدية المعروفة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وتحريم وتجريم ممارسات العنف والإرهاب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تحذير أبناء الأُمّة وتوعيتهم عبر مناهج التعليم، ووسائل الإعلام، ومنابر الخطاب الديني، من شر وخطر هذه الاتجاهات التكفيرية، فهي أعظم منكر يجب النهي عنه والوقوف أمامه في هذا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ثقافة الإسلام، وتعاليمه السامية، في التآخي والرحمة والمحبة والتسامح، بين المسلمين، بل بين أبناء البشرية جمعاء، فالناس صنفان إمّا أخ لك في الدين، أو نظير لك في الخلق، كما قال أمير المؤمنين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الجدّية في الحوار والتقارب والتواصل بين قادة المذاهب الإسلامية، وزعامات الأُمّة، وفاعليات مجتمعات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استمرار بذل الجهود وتضافر القوى لمواجهة تيارات التكفير عبر انعقاد المؤتمرات، والنشاط العلمي والإعلامي، وتشكيل لجان المتابعة للقرارات والمقترحات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425"/>
      </w:r>
      <w:bookmarkStart w:id="416" w:name="pg16776_178975"/>
    </w:p>
    <w:p>
      <w:pPr>
        <w:pStyle w:val="Heading3"/>
        <w:numPr>
          <w:ilvl w:val="2"/>
          <w:numId w:val="1"/>
        </w:numPr>
        <w:rPr/>
      </w:pPr>
      <w:bookmarkStart w:id="417" w:name="__RefHeading___Toc7070983_73709187"/>
      <w:bookmarkStart w:id="418" w:name="_Toc159"/>
      <w:bookmarkEnd w:id="416"/>
      <w:bookmarkEnd w:id="417"/>
      <w:r>
        <w:rPr/>
        <w:t>11</w:t>
      </w:r>
      <w:r>
        <w:rPr>
          <w:rtl w:val="true"/>
        </w:rPr>
        <w:t xml:space="preserve">. </w:t>
      </w:r>
      <w:r>
        <w:rPr>
          <w:rtl w:val="true"/>
        </w:rPr>
        <w:t>البهائية وتحريف الآية الخامسة من سورة السجدة</w:t>
      </w:r>
      <w:bookmarkEnd w:id="418"/>
    </w:p>
    <w:p>
      <w:pPr>
        <w:pStyle w:val="Heading4"/>
        <w:numPr>
          <w:ilvl w:val="3"/>
          <w:numId w:val="1"/>
        </w:numPr>
        <w:rPr/>
      </w:pPr>
      <w:bookmarkStart w:id="419" w:name="__RefHeading___Toc7070985_73709187"/>
      <w:bookmarkStart w:id="420" w:name="_Toc160"/>
      <w:bookmarkEnd w:id="419"/>
      <w:r>
        <w:rPr>
          <w:rtl w:val="true"/>
        </w:rPr>
        <w:t>تحريف مفاد الآية</w:t>
      </w:r>
      <w:bookmarkEnd w:id="420"/>
    </w:p>
    <w:p>
      <w:pPr>
        <w:pStyle w:val="BookText"/>
        <w:rPr/>
      </w:pPr>
      <w:r>
        <w:rPr>
          <w:rFonts w:ascii="Amiri" w:hAnsi="Amiri" w:eastAsia="Amiri" w:cs="Amiri"/>
          <w:color w:val="111111"/>
          <w:sz w:val="28"/>
          <w:sz w:val="28"/>
          <w:szCs w:val="28"/>
          <w:rtl w:val="true"/>
          <w:lang w:bidi="ar-SA"/>
        </w:rPr>
        <w:t xml:space="preserve">البهائية مسلك سياسي صنعه الاستعمار في القرن الثالث عشر لغاية تمزيق الأُمّة الإسلامية خصوصاً الشعب الإيراني المتمسّك بولاية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الإمام علي عليه السلام وآخرهم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وعد اللّه به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إلّايوم لطوّل اللّه ذلك اليوم حتى يبعث رجلاً منّي يملأها قسطاً وعدلاً كما ملئت ظلماً وجوراً</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وقد ألّف علماء الإسلام عشرات الموسوعات ومئات الكتب حول الإمام المهدي عليه السلام وسجّلوا كلّ دقيق وجليل ممّا يتعلّق بحياته من ولادته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آن ظهوره، فلم يبقوا لمشكّك شكّاً ولا لمريب ريباً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وضوح هذه الحقائق إلّاأنّه قد ظهر رجل يُدعى علي محمد من مواليد عام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شيراز، وقد ادّعى في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أنّه باب الإمام الثاني عشر، ثم بالغ وقال إنّه نفس الإمام، إلى أن آل أمره إلى ادّعائه النبوّة الناسخة لنبوّة خاتم الأنبياء صلى الله عليه و آله، وقد استجاب لدعوته زمرة قليلة بين جاهل لا يميّز الحقّ عن</w:t>
      </w:r>
    </w:p>
    <w:p>
      <w:pPr>
        <w:pStyle w:val="BookText"/>
        <w:rPr/>
      </w:pPr>
      <w:r>
        <w:rPr>
          <w:rFonts w:ascii="Amiri" w:hAnsi="Amiri" w:eastAsia="Amiri" w:cs="Amiri"/>
          <w:color w:val="111111"/>
          <w:sz w:val="28"/>
          <w:sz w:val="28"/>
          <w:szCs w:val="28"/>
          <w:rtl w:val="true"/>
          <w:lang w:bidi="ar-SA"/>
        </w:rPr>
        <w:t>الباطل، ومغرض عميل مرتزق،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الجرفادقاني فصار داعية من دعاتهم وألّف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ونشره في مصر، فخبط خبط عشواء، تقف على مقدار علمه وتعميته الأمر على الجهلة من أتباع مسلكه، فيما نذكره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استدلّ على نبوّة ذلك الرجل الذي ادّعى النبوّة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التالية من الأدلّة القاطعة على صحّة الادّعاء،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وأوضح دلالتها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الدين المبين من السماء إلى الأرض ثم بعد نزوله وكماله بالنبيّ والأئمة المعصومين يزول شيئاً فشيئاً ويصعد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ذكره فيكون معنى الآية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ينزل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ما كَمُلَ وأخذ الدين بالزوال والضعف ضمن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كانَ مِقْدارُهُ أَلْفَ سَنَةٍ‌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حاول تطبيقه على دعوة إمام مسلكه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الإلهية أي الوحي النازل على قلب سيد المرسلين والإلهامات الواردة على قلوب الأئمّة الطاهرين كملت ضمن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وبعد ما توفّي الإمام العسكري عليه السلام وأُحيل أمر الدين إلى الفقهاء فصار الدين لأجل اختلاف الآراء يضعف تدريجياً، وصاعداً إلى اللّه شيئاً فشيئاً حتى بلغ الأمر إلى أنّه لم يبق من الإسلام إلّاالاسم، فعندئذٍ ظهر عام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أُفق فارس شمس الهداية، وتحقق ما بشّر به القرآن الكريم</w:t>
      </w:r>
      <w:r>
        <w:rPr>
          <w:rFonts w:eastAsia="Amiri" w:cs="Amiri" w:ascii="Amiri" w:hAnsi="Amiri"/>
          <w:color w:val="111111"/>
          <w:sz w:val="28"/>
          <w:szCs w:val="28"/>
          <w:rtl w:val="true"/>
          <w:lang w:bidi="ar-SA"/>
        </w:rPr>
        <w:t>.</w:t>
      </w:r>
      <w:r>
        <w:rPr>
          <w:rStyle w:val="FootnoteAnchor"/>
          <w:rtl w:val="true"/>
        </w:rPr>
        <w:footnoteReference w:id="4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الأغاليط والتحريفات، وهي أفضل دليل على أنّ‌</w:t>
      </w:r>
    </w:p>
    <w:p>
      <w:pPr>
        <w:pStyle w:val="BookText"/>
        <w:rPr/>
      </w:pPr>
      <w:r>
        <w:rPr>
          <w:rFonts w:ascii="Amiri" w:hAnsi="Amiri" w:eastAsia="Amiri" w:cs="Amiri"/>
          <w:color w:val="111111"/>
          <w:sz w:val="28"/>
          <w:sz w:val="28"/>
          <w:szCs w:val="28"/>
          <w:rtl w:val="true"/>
          <w:lang w:bidi="ar-SA"/>
        </w:rPr>
        <w:t>الرجل اتّخذ لنفسه عقيدة مسبقة ثم حاول أن يستدلّ عليها بشيء من القرآن حتى يقنع الرعرعة الدهماء، وإلّا فالعالم باللغة العربية وقواعدها يقف على أنّه ليس لهذا الاستدلال مسحة من الحق، ولا لمسة من الصدق، وأنّ الجميع أُغلوطة بعد أُغلوطة، وإليك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ينزل الشريعة، مع أنّ تلك الفقرة وردت في القرآن الكريم أربع مرّات وأُريد بها في الجميع تدبير أمر الخلقة من السماء إلى الأرض،</w:t>
      </w:r>
      <w:r>
        <w:rPr>
          <w:rStyle w:val="FootnoteAnchor"/>
          <w:rtl w:val="true"/>
        </w:rPr>
        <w:footnoteReference w:id="429"/>
      </w:r>
      <w:r>
        <w:rPr>
          <w:rFonts w:ascii="Amiri" w:hAnsi="Amiri" w:eastAsia="Amiri" w:cs="Amiri"/>
          <w:color w:val="111111"/>
          <w:sz w:val="28"/>
          <w:sz w:val="28"/>
          <w:szCs w:val="28"/>
          <w:rtl w:val="true"/>
          <w:lang w:bidi="ar-SA"/>
        </w:rPr>
        <w:t>لا نزول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سبحانه تنزيل الشريعة فكان من اللازم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عَلَيْكَ الْقُرْآنَ تَنْزِيلاً</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إلى غير ذلك من الآيات، ولم يُرَ في القرآن الكريم تعبير عن نزول الوحي بتدبير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الاستدلال بأنّه سبحانه ينزل شريعته وينسخها بعد ألف عام، يجب أن ينسخها بعد مضي ألف عام من نزول القرآن الكريم أو من هجرة النبي أو وفاته، وكلّ ذلك لا ينطبق على ألف ومائتين وستين، بل ينقص عنه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أن يتخلّص من هذا الإشكال بإدخال حياة الأئمّة الممتدة إلى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ويجعلها جزءاً من كمال الشريعة وتمامها، وهي تمّت عنده بوفاة الإمام العسكري عليه السلام، وهو كما ترى‌، فإنّ الشريعة تمّت بوفاة النبيّ وكمل الدين في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الضابطة لا ينطبق على سائر الأنبياء، فإنّ الفاصلة الزمانية بين النبيّ موسى والمسيح عليهما السلام أزيد من ألف سنة فهي تناهز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أنّ الفاصل الزماني بين المسيح عليه السلام ونبي الإسلام صلى الله عليه و آله أقلّ من ألف سنة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كتاب عربي نزل بأوضح العبارات وأبلغها، فلو كان المقصود نزول كلّ شريعة ألف سنة ثم نسخها لكان عليه أن يبيّن ذلك بعبارة واضحة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ينزل كلّ شريعة وتدوم ألف سنة ثم تنسخ بعد الألف حتى لا يشتبه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الرجل من مصاديق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w:t>
      </w:r>
    </w:p>
    <w:p>
      <w:pPr>
        <w:pStyle w:val="BookText"/>
        <w:rPr/>
      </w:pPr>
      <w:r>
        <w:rPr>
          <w:rFonts w:ascii="Amiri" w:hAnsi="Amiri" w:eastAsia="Amiri" w:cs="Amiri"/>
          <w:color w:val="111111"/>
          <w:sz w:val="28"/>
          <w:sz w:val="28"/>
          <w:szCs w:val="28"/>
          <w:rtl w:val="true"/>
          <w:lang w:bidi="ar-SA"/>
        </w:rPr>
        <w:t>هذا مِنْ عِنْدِ اللّهِ لِيَشْتَرُوا بِهِ ثَمَناً</w:t>
      </w:r>
    </w:p>
    <w:p>
      <w:pPr>
        <w:pStyle w:val="BookText"/>
        <w:rPr/>
      </w:pPr>
      <w:r>
        <w:rPr>
          <w:rFonts w:ascii="Amiri" w:hAnsi="Amiri" w:eastAsia="Amiri" w:cs="Amiri"/>
          <w:color w:val="111111"/>
          <w:sz w:val="28"/>
          <w:sz w:val="28"/>
          <w:szCs w:val="28"/>
          <w:rtl w:val="true"/>
          <w:lang w:bidi="ar-SA"/>
        </w:rPr>
        <w:t>قَلِيلاً فَوَيْلٌ لَهُمْ مِمّا كَتَبَتْ أَيْدِيهِمْ‌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وَيْلٌ لَهُمْ مِمّا يَكْسِبُونَ‌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bookmarkStart w:id="421" w:name="pg16776_178979"/>
    </w:p>
    <w:p>
      <w:pPr>
        <w:pStyle w:val="Heading2"/>
        <w:numPr>
          <w:ilvl w:val="1"/>
          <w:numId w:val="1"/>
        </w:numPr>
        <w:rPr/>
      </w:pPr>
      <w:bookmarkStart w:id="422" w:name="__RefHeading___Toc7070987_73709187"/>
      <w:bookmarkStart w:id="423" w:name="_Toc161"/>
      <w:bookmarkEnd w:id="421"/>
      <w:bookmarkEnd w:id="422"/>
      <w:r>
        <w:rPr>
          <w:rtl w:val="true"/>
        </w:rPr>
        <w:t>الفصل الثاني مقالات في الأُصول والفقه والرجال</w:t>
      </w:r>
      <w:bookmarkEnd w:id="423"/>
    </w:p>
    <w:p>
      <w:pPr>
        <w:pStyle w:val="Heading3"/>
        <w:numPr>
          <w:ilvl w:val="2"/>
          <w:numId w:val="1"/>
        </w:numPr>
        <w:rPr/>
      </w:pPr>
      <w:bookmarkStart w:id="424" w:name="__RefHeading___Toc7070989_73709187"/>
      <w:bookmarkStart w:id="425" w:name="_Toc162"/>
      <w:bookmarkEnd w:id="424"/>
      <w:r>
        <w:rPr>
          <w:rtl w:val="true"/>
        </w:rPr>
        <w:t>اشارة</w:t>
      </w:r>
      <w:bookmarkEnd w:id="4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أُصول الفقه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الخطابات القانونية ودورها في المسائل الأُصولية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آراء المحقّق النائيني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أبي عمير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الوزير المغربي تفسيره ومذهبه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الكر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المساجد الشيعية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صوم مَن به داء العطش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مِنى التاريخ والتشريع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الزوجين في دوام العقد</w:t>
      </w:r>
      <w:bookmarkStart w:id="426" w:name="pg16776_178981"/>
    </w:p>
    <w:p>
      <w:pPr>
        <w:pStyle w:val="Heading3"/>
        <w:numPr>
          <w:ilvl w:val="2"/>
          <w:numId w:val="1"/>
        </w:numPr>
        <w:rPr/>
      </w:pPr>
      <w:bookmarkStart w:id="427" w:name="__RefHeading___Toc7070991_73709187"/>
      <w:bookmarkStart w:id="428" w:name="_Toc163"/>
      <w:bookmarkEnd w:id="426"/>
      <w:bookmarkEnd w:id="427"/>
      <w:r>
        <w:rPr/>
        <w:t>1</w:t>
      </w:r>
      <w:r>
        <w:rPr>
          <w:rtl w:val="true"/>
        </w:rPr>
        <w:t xml:space="preserve">. </w:t>
      </w:r>
      <w:r>
        <w:rPr>
          <w:rtl w:val="true"/>
        </w:rPr>
        <w:t>فلسفة أُصول الفقه</w:t>
      </w:r>
      <w:bookmarkEnd w:id="428"/>
    </w:p>
    <w:p>
      <w:pPr>
        <w:pStyle w:val="Heading4"/>
        <w:numPr>
          <w:ilvl w:val="3"/>
          <w:numId w:val="1"/>
        </w:numPr>
        <w:rPr/>
      </w:pPr>
      <w:bookmarkStart w:id="429" w:name="__RefHeading___Toc7070993_73709187"/>
      <w:bookmarkStart w:id="430" w:name="_Toc164"/>
      <w:bookmarkEnd w:id="429"/>
      <w:r>
        <w:rPr>
          <w:rtl w:val="true"/>
        </w:rPr>
        <w:t>اشارة</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فلسفة أُصول الفقه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أكثر ما يتناقل على ألسنة أهل العلم هو إطلاق لفظ الفلسفة مجردة دون أن يضاف إلى شيء آخر، وربما يطلق مضافاً إلى شيء ما، نظير فلسفة التاريخ أو فلسفة الفقه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منه الفن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العامّة وهو العلم الباحث عن أحوال الموجود بما هو موجود دون أن يكون متحيّثاً بحيثية طبيعية أو رياضية، وربما يعرّف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نعوت كلية تعرض للموجود من حيث هوهو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المضاف إلى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طال التشاجر في تبيين مفهومه، ونحن نعرض عن تلك الآراء ونذكر ما هو المقصود من هذا اللفظ المضاف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العلم الذي يقع في خدمة علم آخر بتبيينه وتوضيحه، مثلاً أُصول الفقه يلاحظ على وجهين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يلاحظ بما فيه من بحوث ومسائل نظير الأوامر والنواهي</w:t>
      </w:r>
    </w:p>
    <w:p>
      <w:pPr>
        <w:pStyle w:val="BookText"/>
        <w:rPr/>
      </w:pPr>
      <w:r>
        <w:rPr>
          <w:rFonts w:ascii="Amiri" w:hAnsi="Amiri" w:eastAsia="Amiri" w:cs="Amiri"/>
          <w:color w:val="111111"/>
          <w:sz w:val="28"/>
          <w:sz w:val="28"/>
          <w:szCs w:val="28"/>
          <w:rtl w:val="true"/>
          <w:lang w:bidi="ar-SA"/>
        </w:rPr>
        <w:t>والمفاهيم والعموم والخصوص والمطلق والمقيّد، والحجج الشرعية، ففي هذه النظرة يكون الملحوظ عند الباحث هو نفس العلم بما هوهو، ولا يخرج عنه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ذاك العلم من الخارج، ففي هذه النظرة يكون الملحوظ الأُمور التي لها صلة بهذا العلم وتكون مجيبة لكثير من الأسئلة حول هذا العلم، نظير البحوث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الغاية من تأسيس علم أُصول الفقه‌؟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الأُسس التي بُني عليها علم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علم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الطرق المختلفة في تدوين علم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علم الأُصول أي الجهة الجامعة بين موضوعات مسائله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ماهية علم الأُصول ومكانته، فهل هو علم حقيقي أو اعتباري‌؟ وتدرس هنا آفات ذلك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علم الأُصول تعريفاً جامعاً ومانعاً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الأدوار التي مرّ بها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يجب التنبيه عليه أنّ قسماً كبيراً من هذه الأُمور داخل في الرؤوس الثمانية التي كان القدماء يذكرونها في مطالع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ولتبيين هاتين النظرتين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إلى العلم من صميمه، والنظرة إليه من الخارج نأتي بمثال يوضّح لنا واقع النظرتين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نفترض أنّ ظاهرة صناعية كسفينة مشحونة بالركاب والبضائع تسير في البحر وتقطع أمواجه العاتية، فهناك من يريد تسجيل خصوصيات السفينة من داخلها، وهناك شخص آخر يريد تسجيلها خصوصيات السفينة من خارجها</w:t>
      </w:r>
      <w:r>
        <w:rPr>
          <w:rFonts w:eastAsia="Amiri" w:cs="Amiri" w:ascii="Amiri" w:hAnsi="Amiri"/>
          <w:color w:val="111111"/>
          <w:sz w:val="28"/>
          <w:szCs w:val="28"/>
          <w:rtl w:val="true"/>
          <w:lang w:bidi="ar-SA"/>
        </w:rPr>
        <w:t>.</w:t>
      </w:r>
      <w:bookmarkStart w:id="431" w:name="pg16776_178983"/>
    </w:p>
    <w:p>
      <w:pPr>
        <w:pStyle w:val="BookText"/>
        <w:rPr/>
      </w:pPr>
      <w:bookmarkEnd w:id="431"/>
      <w:r>
        <w:rPr>
          <w:rFonts w:ascii="Amiri" w:hAnsi="Amiri" w:eastAsia="Amiri" w:cs="Amiri"/>
          <w:color w:val="111111"/>
          <w:sz w:val="28"/>
          <w:sz w:val="28"/>
          <w:szCs w:val="28"/>
          <w:rtl w:val="true"/>
          <w:lang w:bidi="ar-SA"/>
        </w:rPr>
        <w:t>أمّا الأوّل فلا يتجاوز نظره عن داخلها فيسجّل ما تشتمل عليه السفينة في طبقاتها المختلفة، وغرفها المتعدّدة وما فيها من قاعات الطعام والاستراحة ومحرّكاتها وغرفة القيادة وأبراج المراقبة والحراسة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أي الناظر إليها من الخارج فيقع نظره على هيئة السفينة وشكلها وإلى المواد التي صنعت منها، وإلى مكان صنعها، وينظر إلى سرعتها واتّجاهها، وغير ذلك ممّا يقع عليه النظر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فموقف العلم هو موقف الناظر من الداخل، وموقف فلسفة العلم هو موقف الناظر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ما ذكرنا فلنبدأ ببيان البحوث التي أشرنا إليها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7070995_73709187"/>
      <w:bookmarkStart w:id="433" w:name="_Toc165"/>
      <w:bookmarkEnd w:id="432"/>
      <w:r>
        <w:rPr>
          <w:rtl w:val="true"/>
        </w:rPr>
        <w:t>الأوّل</w:t>
      </w:r>
      <w:r>
        <w:rPr>
          <w:rtl w:val="true"/>
        </w:rPr>
        <w:t xml:space="preserve">: </w:t>
      </w:r>
      <w:r>
        <w:rPr>
          <w:rtl w:val="true"/>
        </w:rPr>
        <w:t>ما هي الغاية من تأسيس علم أُصول الفقه‌؟</w:t>
      </w:r>
      <w:bookmarkEnd w:id="433"/>
    </w:p>
    <w:p>
      <w:pPr>
        <w:pStyle w:val="BookText"/>
        <w:rPr/>
      </w:pPr>
      <w:r>
        <w:rPr>
          <w:rFonts w:ascii="Amiri" w:hAnsi="Amiri" w:eastAsia="Amiri" w:cs="Amiri"/>
          <w:color w:val="111111"/>
          <w:sz w:val="28"/>
          <w:sz w:val="28"/>
          <w:szCs w:val="28"/>
          <w:rtl w:val="true"/>
          <w:lang w:bidi="ar-SA"/>
        </w:rPr>
        <w:t>قد وقف غير واحد من الفقهاء خلال القرن الثاني من الهجرة النبوية على أنّ استنباط قسم من الأحكام الشرعية من الكتاب والسنّة رهن ثبوت عدّة من القضايا قبل عملية الاستنباط، وبعبارة أُخرى رهن تسليم فروض لا غنى للفقيه عن قبولها قبله، مثلاً ما لم يثبت أنّ الأمر الحاضر أو الغائب وضعا للوجوب؛ لا يمكن إثبات وجوب الكتابة عند المداينة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لْيَكْتُبْ بَيْنَكُمْ كاتِبٌ بِالْعَدْلِ‌</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أو ما لم يثبت أنّ النهي موضوع للحرمة؛ لا يمكن استخراج حرمة الأكل بالباطل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إلى غير ذلك من المسائل التي لا يمكن استخراجها من مصادرها ما لم تثبت أُمور تُعدّ أُسساً للاستنباط، وقد سمّيت هذه الأُمور بأُصول الفقه التي هي مبادئ تصديقية لمسائل علم الفقه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من خصائص علم الفقه بل يعمّ سائر العلوم،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bookmarkStart w:id="434" w:name="pg16776_178984"/>
    </w:p>
    <w:p>
      <w:pPr>
        <w:pStyle w:val="BookText"/>
        <w:rPr/>
      </w:pPr>
      <w:bookmarkEnd w:id="434"/>
      <w:r>
        <w:rPr>
          <w:rFonts w:ascii="Amiri" w:hAnsi="Amiri" w:eastAsia="Amiri" w:cs="Amiri"/>
          <w:color w:val="111111"/>
          <w:sz w:val="28"/>
          <w:sz w:val="28"/>
          <w:szCs w:val="28"/>
          <w:rtl w:val="true"/>
          <w:lang w:bidi="ar-SA"/>
        </w:rPr>
        <w:t>بالقواعد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فاعل مرفوع، كلّ مفعول منصوب، كلّ مضاف إليه مجرور، رهن ثبوت أُمور تسبّب التصديق بها ولولاها لما حصل التصديق والجزم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وتتلخّص تلك الأُمور في التتبع في كلمات البلغاء وخطبهم وأشعارهم وقبل ذلك القرآن الكريم وخطب النبي صلى الله عليه و آله و سلم وكلمات المعصومين عليهم السلام بما أنّهم من أهل اللسان، فهذه الأُمور تُعدّ مبادئ تصديقية لعلم النحو</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7070997_73709187"/>
      <w:bookmarkStart w:id="436" w:name="_Toc166"/>
      <w:bookmarkEnd w:id="435"/>
      <w:r>
        <w:rPr>
          <w:rtl w:val="true"/>
        </w:rPr>
        <w:t>الثاني</w:t>
      </w:r>
      <w:r>
        <w:rPr>
          <w:rtl w:val="true"/>
        </w:rPr>
        <w:t xml:space="preserve">: </w:t>
      </w:r>
      <w:r>
        <w:rPr>
          <w:rtl w:val="true"/>
        </w:rPr>
        <w:t>الأُسس الّتي بُني عليها علم أُصول الفقه</w:t>
      </w:r>
      <w:bookmarkEnd w:id="436"/>
    </w:p>
    <w:p>
      <w:pPr>
        <w:pStyle w:val="Heading5"/>
        <w:numPr>
          <w:ilvl w:val="4"/>
          <w:numId w:val="1"/>
        </w:numPr>
        <w:rPr/>
      </w:pPr>
      <w:bookmarkStart w:id="437" w:name="__RefHeading___Toc7070999_73709187"/>
      <w:bookmarkStart w:id="438" w:name="_Toc167"/>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إنّ القواعد الأُصولية، وإن كانت مبادئ تصديقية لمسائل علم الفقه، ولكنّها في حدّ نفسها مسائل نظرية لا بديهية فلا تثبت إلّابالدليل والبرهان، ولذلك لا غنى للفقيه من التعرّف على الأُسس الّتي تستمدّ منها مسائل أُصول الفقه وتوصف بالمباني، وهي في بادئ النظر لا تعدو عن مبانٍ سبعة نشير إليها باختصار</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7071001_73709187"/>
      <w:bookmarkStart w:id="440" w:name="_Toc168"/>
      <w:bookmarkEnd w:id="439"/>
      <w:r>
        <w:rPr>
          <w:rtl w:val="true"/>
        </w:rPr>
        <w:t>أ</w:t>
      </w:r>
      <w:r>
        <w:rPr>
          <w:rtl w:val="true"/>
        </w:rPr>
        <w:t xml:space="preserve">. </w:t>
      </w:r>
      <w:r>
        <w:rPr>
          <w:rtl w:val="true"/>
        </w:rPr>
        <w:t>المداليل اللغوية</w:t>
      </w:r>
      <w:bookmarkEnd w:id="440"/>
    </w:p>
    <w:p>
      <w:pPr>
        <w:pStyle w:val="BookText"/>
        <w:rPr/>
      </w:pPr>
      <w:r>
        <w:rPr>
          <w:rFonts w:ascii="Amiri" w:hAnsi="Amiri" w:eastAsia="Amiri" w:cs="Amiri"/>
          <w:color w:val="111111"/>
          <w:sz w:val="28"/>
          <w:sz w:val="28"/>
          <w:szCs w:val="28"/>
          <w:rtl w:val="true"/>
          <w:lang w:bidi="ar-SA"/>
        </w:rPr>
        <w:t>بما أنّ قسماً من مسائل أُصول الفقه تعدّ مباحث لفظية كدراسة مفاهيم الأمر والنهي والعام والخاص والمطلق والمقيّد، فالتعرّف على مفاهيمها رهن الوقوف على قواعد لغوية استنبطها أهل اللغة أو نفس الفقيه من كلام العرب ودواوينهم وخطبهم، وربما يستمدّ في تعيين مفاهيم هذه الألفاظ بالتبادر، وعدم صحّة السلب، والاطّراد، وإن كان الأخير عندنا هو الأرجح</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7071003_73709187"/>
      <w:bookmarkStart w:id="442" w:name="_Toc169"/>
      <w:bookmarkEnd w:id="441"/>
      <w:r>
        <w:rPr>
          <w:rtl w:val="true"/>
        </w:rPr>
        <w:t>ب</w:t>
      </w:r>
      <w:r>
        <w:rPr>
          <w:rtl w:val="true"/>
        </w:rPr>
        <w:t xml:space="preserve">. </w:t>
      </w:r>
      <w:r>
        <w:rPr>
          <w:rtl w:val="true"/>
        </w:rPr>
        <w:t>حكم العقل النظري في باب الملازمات</w:t>
      </w:r>
      <w:bookmarkEnd w:id="44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قسماً من مسائل أُصول الفقه يرجع إلى الملازمة بين وجوب الشيء ووجوب مقدّمته، أو بين حرمة الشيء وحرمة مقدّمته، أو الملازمة بين وجوب</w:t>
      </w:r>
      <w:bookmarkStart w:id="443" w:name="pg16776_178985"/>
    </w:p>
    <w:p>
      <w:pPr>
        <w:pStyle w:val="BookText"/>
        <w:rPr/>
      </w:pPr>
      <w:bookmarkEnd w:id="443"/>
      <w:r>
        <w:rPr>
          <w:rFonts w:ascii="Amiri" w:hAnsi="Amiri" w:eastAsia="Amiri" w:cs="Amiri"/>
          <w:color w:val="111111"/>
          <w:sz w:val="28"/>
          <w:sz w:val="28"/>
          <w:szCs w:val="28"/>
          <w:rtl w:val="true"/>
          <w:lang w:bidi="ar-SA"/>
        </w:rPr>
        <w:t>الشيء وحرمة ضدّه، إلى غير ذلك ممّا يبحث عنه في باب الملازمات، والحاكم فيها هو العقل النظري إيجاباً أو سلباً، ونظير ما ذكرنا الحكم بثبوت الشيء عند ثبوت شرطه أو وصفه، وارتفاعه عند ارتفاعهما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7071005_73709187"/>
      <w:bookmarkStart w:id="445" w:name="_Toc170"/>
      <w:bookmarkEnd w:id="444"/>
      <w:r>
        <w:rPr>
          <w:rtl w:val="true"/>
        </w:rPr>
        <w:t>ج</w:t>
      </w:r>
      <w:r>
        <w:rPr>
          <w:rtl w:val="true"/>
        </w:rPr>
        <w:t xml:space="preserve">. </w:t>
      </w:r>
      <w:r>
        <w:rPr>
          <w:rtl w:val="true"/>
        </w:rPr>
        <w:t>الأحكام البديهيّة للعقل النظري</w:t>
      </w:r>
      <w:bookmarkEnd w:id="445"/>
    </w:p>
    <w:p>
      <w:pPr>
        <w:pStyle w:val="BookText"/>
        <w:rPr/>
      </w:pPr>
      <w:r>
        <w:rPr>
          <w:rFonts w:ascii="Amiri" w:hAnsi="Amiri" w:eastAsia="Amiri" w:cs="Amiri"/>
          <w:color w:val="111111"/>
          <w:sz w:val="28"/>
          <w:sz w:val="28"/>
          <w:szCs w:val="28"/>
          <w:rtl w:val="true"/>
          <w:lang w:bidi="ar-SA"/>
        </w:rPr>
        <w:t>إنّ قسماً من قواعد علم الأُصول يبتني على امتناع اجتماع الضدّين أو امتناع الأمر بغير المقدور، فيعدّ هذا النوع من الحكم أساساً لبعض الأحكام، وعلى هذا بُني قسمٌ من المسائل الأُصولية نظير امتناع تعلّق الأمر والنهي بعنوانين متّحدين في الخارج، لأنّ الأمر يكشف عن الإرادة، والنهي يكشف عن الكراهة وهما متضادّان يستحيل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القول بامتناع الترتّب، حيث إنّ لازم تجويزه، طلب الضدين في ظرف واحد، المستلزم للأمر بغير المقدور، وهل الاستلزام صحيح أو لا؟ فلسنا في مقام تقويمه</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7071007_73709187"/>
      <w:bookmarkStart w:id="447" w:name="_Toc171"/>
      <w:bookmarkEnd w:id="446"/>
      <w:r>
        <w:rPr>
          <w:rtl w:val="true"/>
        </w:rPr>
        <w:t>د</w:t>
      </w:r>
      <w:r>
        <w:rPr>
          <w:rtl w:val="true"/>
        </w:rPr>
        <w:t xml:space="preserve">. </w:t>
      </w:r>
      <w:r>
        <w:rPr>
          <w:rtl w:val="true"/>
        </w:rPr>
        <w:t>حكم العقل العملي في باب التحسين والتقبيح</w:t>
      </w:r>
      <w:bookmarkEnd w:id="447"/>
    </w:p>
    <w:p>
      <w:pPr>
        <w:pStyle w:val="BookText"/>
        <w:rPr/>
      </w:pPr>
      <w:r>
        <w:rPr>
          <w:rFonts w:ascii="Amiri" w:hAnsi="Amiri" w:eastAsia="Amiri" w:cs="Amiri"/>
          <w:color w:val="111111"/>
          <w:sz w:val="28"/>
          <w:sz w:val="28"/>
          <w:szCs w:val="28"/>
          <w:rtl w:val="true"/>
          <w:lang w:bidi="ar-SA"/>
        </w:rPr>
        <w:t>تستمدّ بعض مسائل أُصول الفقه من حكم العقل العملي بالتحسين والتقبيح، ولذلك بنوا البراءة العقلية على قبح العقاب بلا بيان، كما بنوا لزوم الموافقة القطعية في مورد العلم الإجمالي بوجوب أحد المتباينين، على صحّة العقوبة إذا اقتصر بالامتثال الاحتمالي ولم يصادف الواقع</w:t>
      </w:r>
      <w:r>
        <w:rPr>
          <w:rFonts w:eastAsia="Amiri" w:cs="Amiri" w:ascii="Amiri" w:hAnsi="Amiri"/>
          <w:color w:val="111111"/>
          <w:sz w:val="28"/>
          <w:szCs w:val="28"/>
          <w:rtl w:val="true"/>
          <w:lang w:bidi="ar-SA"/>
        </w:rPr>
        <w:t>.</w:t>
      </w:r>
    </w:p>
    <w:p>
      <w:pPr>
        <w:pStyle w:val="Heading5"/>
        <w:numPr>
          <w:ilvl w:val="4"/>
          <w:numId w:val="1"/>
        </w:numPr>
        <w:rPr/>
      </w:pPr>
      <w:bookmarkStart w:id="448" w:name="__RefHeading___Toc7071009_73709187"/>
      <w:bookmarkStart w:id="449" w:name="_Toc172"/>
      <w:bookmarkEnd w:id="448"/>
      <w:r>
        <w:rPr>
          <w:rtl w:val="true"/>
        </w:rPr>
        <w:t>ه‍</w:t>
      </w:r>
      <w:r>
        <w:rPr>
          <w:rtl w:val="true"/>
        </w:rPr>
        <w:t xml:space="preserve">. </w:t>
      </w:r>
      <w:r>
        <w:rPr>
          <w:rtl w:val="true"/>
        </w:rPr>
        <w:t>سيرة العقلاء</w:t>
      </w:r>
      <w:bookmarkEnd w:id="44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سيرة العقلاء التي يعبر عنها ببناء العقلاء أيضاً، من مباني أُصول الفقه، مثلاً يحتجّ على حجّية الظواهر أو على حجّية قول الثقة بسيرة العقلاء الجارية في عصر المعصومين عليهم السلام، إذا كانت السيرة بمرأى ومسمع منهم ولم يصدر عنهم أي ردّ فيها</w:t>
      </w:r>
      <w:r>
        <w:rPr>
          <w:rFonts w:eastAsia="Amiri" w:cs="Amiri" w:ascii="Amiri" w:hAnsi="Amiri"/>
          <w:color w:val="111111"/>
          <w:sz w:val="28"/>
          <w:szCs w:val="28"/>
          <w:rtl w:val="true"/>
          <w:lang w:bidi="ar-SA"/>
        </w:rPr>
        <w:t>.</w:t>
      </w:r>
      <w:bookmarkStart w:id="450" w:name="pg16776_178986"/>
    </w:p>
    <w:p>
      <w:pPr>
        <w:pStyle w:val="Heading5"/>
        <w:numPr>
          <w:ilvl w:val="4"/>
          <w:numId w:val="1"/>
        </w:numPr>
        <w:rPr/>
      </w:pPr>
      <w:bookmarkStart w:id="451" w:name="__RefHeading___Toc7071011_73709187"/>
      <w:bookmarkStart w:id="452" w:name="_Toc173"/>
      <w:bookmarkEnd w:id="450"/>
      <w:bookmarkEnd w:id="451"/>
      <w:r>
        <w:rPr>
          <w:rtl w:val="true"/>
        </w:rPr>
        <w:t>و</w:t>
      </w:r>
      <w:r>
        <w:rPr>
          <w:rtl w:val="true"/>
        </w:rPr>
        <w:t xml:space="preserve">. </w:t>
      </w:r>
      <w:r>
        <w:rPr>
          <w:rtl w:val="true"/>
        </w:rPr>
        <w:t>كتاب اللّه العزيز</w:t>
      </w:r>
      <w:bookmarkEnd w:id="452"/>
    </w:p>
    <w:p>
      <w:pPr>
        <w:pStyle w:val="BookText"/>
        <w:rPr/>
      </w:pPr>
      <w:r>
        <w:rPr>
          <w:rFonts w:ascii="Amiri" w:hAnsi="Amiri" w:eastAsia="Amiri" w:cs="Amiri"/>
          <w:color w:val="111111"/>
          <w:sz w:val="28"/>
          <w:sz w:val="28"/>
          <w:szCs w:val="28"/>
          <w:rtl w:val="true"/>
          <w:lang w:bidi="ar-SA"/>
        </w:rPr>
        <w:t>إنّ كتاب اللّه العزيز من مصادر الفقه وفي الوقت نفسه فهو يُعدّ أساساً لقسم من المسائل الأُصولية، مثلاً البراءة الشرعية فهي مبنيّة على ما تضافر في الكتاب من أنّه سبحانه لا يعذّب أُمّة قبل البيان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رَبُّكَ مُهْلِكَ الْقُرى حَتّى يَبْعَثَ فِي أُمِّها رَسُولاً</w:t>
      </w:r>
      <w:r>
        <w:rPr>
          <w:rFonts w:eastAsia="Amiri" w:cs="Amiri" w:ascii="Amiri" w:hAnsi="Amiri"/>
          <w:color w:val="111111"/>
          <w:sz w:val="28"/>
          <w:szCs w:val="28"/>
          <w:rtl w:val="true"/>
          <w:lang w:bidi="ar-SA"/>
        </w:rPr>
        <w:t>) .</w:t>
      </w:r>
      <w:r>
        <w:rPr>
          <w:rStyle w:val="FootnoteAnchor"/>
          <w:rtl w:val="true"/>
        </w:rPr>
        <w:footnoteReference w:id="436"/>
      </w:r>
    </w:p>
    <w:p>
      <w:pPr>
        <w:pStyle w:val="Heading5"/>
        <w:numPr>
          <w:ilvl w:val="4"/>
          <w:numId w:val="1"/>
        </w:numPr>
        <w:rPr/>
      </w:pPr>
      <w:bookmarkStart w:id="453" w:name="__RefHeading___Toc7071013_73709187"/>
      <w:bookmarkStart w:id="454" w:name="_Toc174"/>
      <w:bookmarkEnd w:id="453"/>
      <w:r>
        <w:rPr>
          <w:rtl w:val="true"/>
        </w:rPr>
        <w:t>ز</w:t>
      </w:r>
      <w:r>
        <w:rPr>
          <w:rtl w:val="true"/>
        </w:rPr>
        <w:t xml:space="preserve">. </w:t>
      </w:r>
      <w:r>
        <w:rPr>
          <w:rtl w:val="true"/>
        </w:rPr>
        <w:t>السنّة الشريفة</w:t>
      </w:r>
      <w:bookmarkEnd w:id="454"/>
    </w:p>
    <w:p>
      <w:pPr>
        <w:pStyle w:val="Heading6"/>
        <w:numPr>
          <w:ilvl w:val="5"/>
          <w:numId w:val="1"/>
        </w:numPr>
        <w:rPr/>
      </w:pPr>
      <w:bookmarkStart w:id="455" w:name="__RefHeading___Toc7071015_73709187"/>
      <w:bookmarkStart w:id="456" w:name="_Toc175"/>
      <w:bookmarkEnd w:id="455"/>
      <w:r>
        <w:rPr>
          <w:rtl w:val="true"/>
        </w:rPr>
        <w:t>اشارة</w:t>
      </w:r>
      <w:bookmarkEnd w:id="456"/>
    </w:p>
    <w:p>
      <w:pPr>
        <w:pStyle w:val="BookText"/>
        <w:rPr/>
      </w:pPr>
      <w:r>
        <w:rPr>
          <w:rFonts w:ascii="Amiri" w:hAnsi="Amiri" w:eastAsia="Amiri" w:cs="Amiri"/>
          <w:color w:val="111111"/>
          <w:sz w:val="28"/>
          <w:sz w:val="28"/>
          <w:szCs w:val="28"/>
          <w:rtl w:val="true"/>
          <w:lang w:bidi="ar-SA"/>
        </w:rPr>
        <w:t>إنّ قسماً من مسائل أُصول الفقه تستمدّ من السنّة الشريفة ونشير إلى موردين منها</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7071017_73709187"/>
      <w:bookmarkStart w:id="458" w:name="_Toc176"/>
      <w:bookmarkEnd w:id="457"/>
      <w:r>
        <w:rPr/>
        <w:t>1</w:t>
      </w:r>
      <w:r>
        <w:rPr>
          <w:rtl w:val="true"/>
        </w:rPr>
        <w:t xml:space="preserve">. </w:t>
      </w:r>
      <w:r>
        <w:rPr>
          <w:rtl w:val="true"/>
        </w:rPr>
        <w:t>الاستصحاب</w:t>
      </w:r>
      <w:bookmarkEnd w:id="458"/>
    </w:p>
    <w:p>
      <w:pPr>
        <w:pStyle w:val="BookText"/>
        <w:rPr/>
      </w:pPr>
      <w:r>
        <w:rPr>
          <w:rFonts w:ascii="Amiri" w:hAnsi="Amiri" w:eastAsia="Amiri" w:cs="Amiri"/>
          <w:color w:val="111111"/>
          <w:sz w:val="28"/>
          <w:sz w:val="28"/>
          <w:szCs w:val="28"/>
          <w:rtl w:val="true"/>
          <w:lang w:bidi="ar-SA"/>
        </w:rPr>
        <w:t>فهي قاعدة أُصولية في الشبهات الحكمية تعتمد في حجيّتها على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7071019_73709187"/>
      <w:bookmarkStart w:id="460" w:name="_Toc177"/>
      <w:bookmarkEnd w:id="459"/>
      <w:r>
        <w:rPr/>
        <w:t>2</w:t>
      </w:r>
      <w:r>
        <w:rPr>
          <w:rtl w:val="true"/>
        </w:rPr>
        <w:t xml:space="preserve">. </w:t>
      </w:r>
      <w:r>
        <w:rPr>
          <w:rtl w:val="true"/>
        </w:rPr>
        <w:t>مرجّحات باب التعارض</w:t>
      </w:r>
      <w:bookmarkEnd w:id="46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وردت روايتان متعارضتان فالقاعدة الأوّلية هي سقوط الروايتين عن الحجيّة، والرجوع إلى قواعد أُخرى في نفس المسألة، غير أنّ قسماً من الروايات ذكر مرجّحات لتقديم إحداهما على الأُخرى، وبالتالي أضفى الحجّية لذي المزيّة كموافقة الكتاب ومخالفة العامّة</w:t>
      </w:r>
      <w:r>
        <w:rPr>
          <w:rFonts w:eastAsia="Amiri" w:cs="Amiri" w:ascii="Amiri" w:hAnsi="Amiri"/>
          <w:color w:val="111111"/>
          <w:sz w:val="28"/>
          <w:szCs w:val="28"/>
          <w:rtl w:val="true"/>
          <w:lang w:bidi="ar-SA"/>
        </w:rPr>
        <w:t>.</w:t>
      </w:r>
      <w:bookmarkStart w:id="461" w:name="pg16776_178987"/>
    </w:p>
    <w:p>
      <w:pPr>
        <w:pStyle w:val="BookText"/>
        <w:rPr/>
      </w:pPr>
      <w:bookmarkEnd w:id="461"/>
      <w:r>
        <w:rPr>
          <w:rFonts w:ascii="Amiri" w:hAnsi="Amiri" w:eastAsia="Amiri" w:cs="Amiri"/>
          <w:color w:val="111111"/>
          <w:sz w:val="28"/>
          <w:sz w:val="28"/>
          <w:szCs w:val="28"/>
          <w:rtl w:val="true"/>
          <w:lang w:bidi="ar-SA"/>
        </w:rPr>
        <w:t>هذه هي الأُسس السبعة والتي تبتني عليها مسائل أُصول الفقه</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7071021_73709187"/>
      <w:bookmarkStart w:id="463" w:name="_Toc178"/>
      <w:bookmarkEnd w:id="462"/>
      <w:r>
        <w:rPr>
          <w:rtl w:val="true"/>
        </w:rPr>
        <w:t>الثالث</w:t>
      </w:r>
      <w:r>
        <w:rPr>
          <w:rtl w:val="true"/>
        </w:rPr>
        <w:t xml:space="preserve">: </w:t>
      </w:r>
      <w:r>
        <w:rPr>
          <w:rtl w:val="true"/>
        </w:rPr>
        <w:t>تاريخ علم أُصول الفقه</w:t>
      </w:r>
      <w:bookmarkEnd w:id="463"/>
    </w:p>
    <w:p>
      <w:pPr>
        <w:pStyle w:val="BookText"/>
        <w:rPr/>
      </w:pPr>
      <w:r>
        <w:rPr>
          <w:rFonts w:ascii="Amiri" w:hAnsi="Amiri" w:eastAsia="Amiri" w:cs="Amiri"/>
          <w:color w:val="111111"/>
          <w:sz w:val="28"/>
          <w:sz w:val="28"/>
          <w:szCs w:val="28"/>
          <w:rtl w:val="true"/>
          <w:lang w:bidi="ar-SA"/>
        </w:rPr>
        <w:t xml:space="preserve">المشهور عند أهل السنّة أنّ الشافعي بتأليف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أوّل من ألّف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الرسالة كتاب ممتع غير أنّ محتوياته لا تختصّ بعلم الأُصول فهو يبحث عن الفقه والحديث وشيء من مسائل أُصول الفقه كالإجماع والقياس والاستحسان والنسخ والعام والخاص، ولعلّ الشيء القليل من محتوياته يختص بأُصول الفقه، وأمّا أوّل مَن عطف نظر الفقهاء إلى قواعد هذا العلم هم أئمّة أهل البيت عليهم السلام وأخصّ بالذكر الإمامين الباقر والصادق عليهما السلام فقد أمليا على أصحابهما قواعد كلّيّة فقهية وأُصولية، وقد جمعها صاحب الوسائل في كتاب خاص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بعض المتأخّرين بشرح ما في هذا الكتاب من القواعد</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7071023_73709187"/>
      <w:bookmarkStart w:id="465" w:name="_Toc179"/>
      <w:bookmarkEnd w:id="464"/>
      <w:r>
        <w:rPr>
          <w:rtl w:val="true"/>
        </w:rPr>
        <w:t>الرابع</w:t>
      </w:r>
      <w:r>
        <w:rPr>
          <w:rtl w:val="true"/>
        </w:rPr>
        <w:t xml:space="preserve">: </w:t>
      </w:r>
      <w:r>
        <w:rPr>
          <w:rtl w:val="true"/>
        </w:rPr>
        <w:t>الطرق المختلفة في تدوين أُصول الفقه</w:t>
      </w:r>
      <w:bookmarkEnd w:id="465"/>
    </w:p>
    <w:p>
      <w:pPr>
        <w:pStyle w:val="Heading5"/>
        <w:numPr>
          <w:ilvl w:val="4"/>
          <w:numId w:val="1"/>
        </w:numPr>
        <w:rPr/>
      </w:pPr>
      <w:bookmarkStart w:id="466" w:name="__RefHeading___Toc7071025_73709187"/>
      <w:bookmarkStart w:id="467" w:name="_Toc180"/>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إنّ الرسالة للشافعي صارت نواة للتأليف حول أُصول الفقه، ثمّ قام بالتدوين بعده طائفتان هما المتكلّمون والفقهاء، من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 كانت تمثّل مذهب الإمام الشافعي الذي ألّف في أُصول الفقه رسالته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 كانت تمثّل المذهب الحنفي في الفقه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تميّز تأليف كلّ طائفة عن الأُخرى ببعض الوجوه، وإليك بعض الميزات التي تمتعت بها طريقة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أُصول الفقه نظرة استقلالية حتى تكون ذريعة لاستنباط الفروع الفقهية، فأخذوا بالفروع إذا وافقت الأُصول وتركوا ما لم يوافقها، وبذلك صار أُصول الفقه علماً مستقلاً غير خاضع للفروع التي ربّما يستنبطها الفقيه من دون رعاية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تميّزت كتب هذه الطريقة بطابَع عقلي واستدلالي استخدمت فيها أُصول مسلّمة في علم الكلام، فترى فيها البحث عن الحسن والقبح العقليين، وجواز تكليف ما لا يطاق وعدمه،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التأليف على هذه الطريقة في أوائل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شيئاً من أسماء تلك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المعتمد، تأليف أبي الحسين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البرهان في أُصول الفقه، تأليف إمام الحرمين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المستصفى في أُصول الفقه، تأليف أبي حامد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المحصول في علم أُصول الفقه، تأليف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الإحكام في أُصول الأحكام، تأليف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السؤل والأمل في علمي الأُصول والجدل، تأليف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اشتهر مختصره باسم مختصر ابن الحاجب في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التحصيل من المحصول، تأليف محمود بن أبي بكر الأرموي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الوصول إلى علم الأُصول، تأليف عبد اللّه بن عمر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68" w:name="pg16776_178989"/>
    </w:p>
    <w:p>
      <w:pPr>
        <w:pStyle w:val="BookText"/>
        <w:rPr/>
      </w:pPr>
      <w:bookmarkEnd w:id="468"/>
      <w:r>
        <w:rPr>
          <w:rFonts w:ascii="Amiri" w:hAnsi="Amiri" w:eastAsia="Amiri" w:cs="Amiri"/>
          <w:color w:val="111111"/>
          <w:sz w:val="28"/>
          <w:sz w:val="28"/>
          <w:szCs w:val="28"/>
          <w:rtl w:val="true"/>
          <w:lang w:bidi="ar-SA"/>
        </w:rPr>
        <w:t>هذه نماذج من الكتب التي ألّفت على طريقة المتكلّمين التي لوحظت فيها المسائل الأُصولية بصورة مستقلّة</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7071027_73709187"/>
      <w:bookmarkStart w:id="470" w:name="_Toc181"/>
      <w:bookmarkEnd w:id="469"/>
      <w:r>
        <w:rPr>
          <w:rtl w:val="true"/>
        </w:rPr>
        <w:t>القواعد الأُصولية المنتزعة من الفروع الفقهية</w:t>
      </w:r>
      <w:bookmarkEnd w:id="470"/>
    </w:p>
    <w:p>
      <w:pPr>
        <w:pStyle w:val="BookText"/>
        <w:rPr/>
      </w:pPr>
      <w:r>
        <w:rPr>
          <w:rFonts w:ascii="Amiri" w:hAnsi="Amiri" w:eastAsia="Amiri" w:cs="Amiri"/>
          <w:color w:val="111111"/>
          <w:sz w:val="28"/>
          <w:sz w:val="28"/>
          <w:szCs w:val="28"/>
          <w:rtl w:val="true"/>
          <w:lang w:bidi="ar-SA"/>
        </w:rPr>
        <w:t>تقدّم أنّ طريقة المتكلّمين من أتباع الإمام الشافعي هي النظرة إلى القواعد الأُصولية نظرة استقلالية، حتى تتفرع عليها الفروع الفقهية، غير أنّ طريقة الفقهاء الأحناف على خلاف ذلك ولها ميزات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أُصول الفقه نظرة آلية، بمعنى أنّ الملاك في صحّة الأُصول وعدمها هو مطابقتها للفروع التي عليها إمام المذهب، فكانوا يقرّرون القواعد الأُصولية طبقاً لما قرّره أئمّة المذاهب في فروعهم الاجتهادية الفقهية، ولابدّ أن تكون القاعدة الأُصولية منسجمة مع الفروع الفقهية، فلو خالفتها لما قام لها وزن وإن أيدها البرهان وعضدها الدليل، فتجد كثرة التخريج تشكل الطابع العام في كتبهم التي أُلّفت على هذه 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هذه الطريقة من الأساليب العقلية والقواعد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هذه الطريقة في أوائل القرن الثالث، وأوّل من ألّف على هذا الأُسلوب هو عيسى بن أبان بن صدقة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الفقهاء الذين كتبوا على هذه الطريقة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بكر أحمد بن علي الجصّاص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الجصّاص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الإسلام البزدوي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الوصول إلى معرفة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الأنوار في أُصول الفقه</w:t>
      </w:r>
      <w:r>
        <w:rPr>
          <w:rFonts w:eastAsia="Amiri" w:cs="Amiri" w:ascii="Amiri" w:hAnsi="Amiri"/>
          <w:color w:val="111111"/>
          <w:sz w:val="28"/>
          <w:szCs w:val="28"/>
          <w:rtl w:val="true"/>
          <w:lang w:bidi="ar-SA"/>
        </w:rPr>
        <w:t>».</w:t>
      </w:r>
      <w:bookmarkStart w:id="471" w:name="pg16776_178990"/>
    </w:p>
    <w:p>
      <w:pPr>
        <w:pStyle w:val="Heading5"/>
        <w:numPr>
          <w:ilvl w:val="4"/>
          <w:numId w:val="1"/>
        </w:numPr>
        <w:rPr/>
      </w:pPr>
      <w:bookmarkStart w:id="472" w:name="__RefHeading___Toc7071029_73709187"/>
      <w:bookmarkStart w:id="473" w:name="_Toc182"/>
      <w:bookmarkEnd w:id="471"/>
      <w:bookmarkEnd w:id="472"/>
      <w:r>
        <w:rPr>
          <w:rtl w:val="true"/>
        </w:rPr>
        <w:t>الجمع بين الطريقتين</w:t>
      </w:r>
      <w:bookmarkEnd w:id="473"/>
    </w:p>
    <w:p>
      <w:pPr>
        <w:pStyle w:val="BookText"/>
        <w:rPr/>
      </w:pPr>
      <w:r>
        <w:rPr>
          <w:rFonts w:ascii="Amiri" w:hAnsi="Amiri" w:eastAsia="Amiri" w:cs="Amiri"/>
          <w:color w:val="111111"/>
          <w:sz w:val="28"/>
          <w:sz w:val="28"/>
          <w:szCs w:val="28"/>
          <w:rtl w:val="true"/>
          <w:lang w:bidi="ar-SA"/>
        </w:rPr>
        <w:t>يوجد بين فقهاء السنّة مَن جمع بين الطريقتين أي طرح كلّ قاعدة أُصولية ثم ذكر الفروع المترتّبة عليها، وبذلك خرج علم الأُصول من كونه قواعد جامدة،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الساعاتي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البديع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الذي ألّف على الطريقة الأُولى‌،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لفخر الإسلام البزدوي الذي ألّف على الطريقة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صدر الشريعة عبيد اللّه بن مسعود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ابن الهمّام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الذين جمعوا بين الطريقتين</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7071031_73709187"/>
      <w:bookmarkStart w:id="475" w:name="_Toc183"/>
      <w:bookmarkEnd w:id="474"/>
      <w:r>
        <w:rPr>
          <w:rtl w:val="true"/>
        </w:rPr>
        <w:t>طريقة التأليف عند فقهاء الشيعة</w:t>
      </w:r>
      <w:bookmarkEnd w:id="475"/>
    </w:p>
    <w:p>
      <w:pPr>
        <w:pStyle w:val="BookText"/>
        <w:rPr/>
      </w:pPr>
      <w:r>
        <w:rPr>
          <w:rFonts w:ascii="Amiri" w:hAnsi="Amiri" w:eastAsia="Amiri" w:cs="Amiri"/>
          <w:color w:val="111111"/>
          <w:sz w:val="28"/>
          <w:sz w:val="28"/>
          <w:szCs w:val="28"/>
          <w:rtl w:val="true"/>
          <w:lang w:bidi="ar-SA"/>
        </w:rPr>
        <w:t xml:space="preserve">الطريقة المألوفة لفقهاء الشيعة في تدوين ذلك العلم هي الطريقة الأُولى، وهي النظرة الاستقلالية إلى القواعد الأُصولية، وهذا هو الظاهر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وعلى هذا المنهج سار المتأخّرون إلى عصرنا هذا، نعم قام الشهيد الثاني في القرن العاشر بابتكار طريقة ثانية وهي الجمع بين القاعدة والتفريع، فألّف كتاباً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 قاعدة أُصولية مع الفروع التي تترتّب عليها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 اللّه مساعي الجميع</w:t>
      </w:r>
      <w:r>
        <w:rPr>
          <w:rFonts w:eastAsia="Amiri" w:cs="Amiri" w:ascii="Amiri" w:hAnsi="Amiri"/>
          <w:color w:val="111111"/>
          <w:sz w:val="28"/>
          <w:szCs w:val="28"/>
          <w:rtl w:val="true"/>
          <w:lang w:bidi="ar-SA"/>
        </w:rPr>
        <w:t>.</w:t>
      </w:r>
      <w:bookmarkStart w:id="476" w:name="pg16776_178991"/>
    </w:p>
    <w:p>
      <w:pPr>
        <w:pStyle w:val="Heading4"/>
        <w:numPr>
          <w:ilvl w:val="3"/>
          <w:numId w:val="1"/>
        </w:numPr>
        <w:rPr/>
      </w:pPr>
      <w:bookmarkStart w:id="477" w:name="__RefHeading___Toc7071033_73709187"/>
      <w:bookmarkStart w:id="478" w:name="_Toc184"/>
      <w:bookmarkEnd w:id="476"/>
      <w:bookmarkEnd w:id="477"/>
      <w:r>
        <w:rPr>
          <w:rtl w:val="true"/>
        </w:rPr>
        <w:t>الخامس</w:t>
      </w:r>
      <w:r>
        <w:rPr>
          <w:rtl w:val="true"/>
        </w:rPr>
        <w:t xml:space="preserve">: </w:t>
      </w:r>
      <w:r>
        <w:rPr>
          <w:rtl w:val="true"/>
        </w:rPr>
        <w:t>موضوع علم الأُصول</w:t>
      </w:r>
      <w:bookmarkEnd w:id="478"/>
    </w:p>
    <w:p>
      <w:pPr>
        <w:pStyle w:val="BookText"/>
        <w:rPr/>
      </w:pPr>
      <w:r>
        <w:rPr>
          <w:rFonts w:ascii="Amiri" w:hAnsi="Amiri" w:eastAsia="Amiri" w:cs="Amiri"/>
          <w:color w:val="111111"/>
          <w:sz w:val="28"/>
          <w:sz w:val="28"/>
          <w:szCs w:val="28"/>
          <w:rtl w:val="true"/>
          <w:lang w:bidi="ar-SA"/>
        </w:rPr>
        <w:t xml:space="preserve">لو قلنا بلزوم وجود موضوعٍ لكلّ علم، فالذي يمكن أن يكون موضوعاً لهذا العلم ويكون جامعاً لموضوعات مسائله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والعوارض التي يبحث عنها في ذلك العلم عوارض تحليلية نعبّر عنها بالتعيّنات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إجمال النظرية وإليك تبيينها وهو رهن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في الفقه هو الموضوع لذلك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التعيّنات بحثٌ عن عوارض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أنّ الداعي إلى تأسيس ذلك العلم ما مرّ من أنّ الفقيه يعلم علماً قطعيّاً أنّ الشريعة الإسلامية شريعة خاتمة، وقد أغنت المجتمع الإسلامي عن كلّ حكم وضعي، ولها في كلّ موضوع حكم شرعي مقرون بالحجّة بحيث لو رجع إليه المجتهد لعثر عليه، فهذا العلم المرتكز هو الذي حفّز الفقهاء إلى تدوين ذلك العلم، فضالّته المنشودة هي التعرّف على الحجج التي تقع في طريق الاستنباط، وهذا أوضح دليل على أنّ بحوثه تدور حول هذا الموضوع لا غير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هي العوارض التي تعرض على ذلك الموضوع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الأعراض الذاتية التي يبحث عنها في كلّ علم أعمّ من أعراض خارجية وأعراض تحليلية، ألا ترى أنّ موضوع الفنّ الأعلى هو الوجود أو الموجود بما هو موجود، ومباحثه هي تعيّناته التي هي الماهيّات، وليس نسبة الماهيات إلى الوجود نسبة العرض الخارجي إلى الموضوع، بل العارضية والمعروضية يتحقّقان بتحليل عقلي، فإنّ الماهيّات بحسب الواقع تعيّنات الوجود، ومتّحدات معه ومن عوارضه التحليلية، فإن قيل الوجود عارض الماهية ذهناً فهو صحيح، وإن قيل الماهية عارضة الوجود وهي تعيّنه، فهو صحيح أيضاً</w:t>
      </w:r>
      <w:r>
        <w:rPr>
          <w:rFonts w:eastAsia="Amiri" w:cs="Amiri" w:ascii="Amiri" w:hAnsi="Amiri"/>
          <w:color w:val="111111"/>
          <w:sz w:val="28"/>
          <w:szCs w:val="28"/>
          <w:rtl w:val="true"/>
          <w:lang w:bidi="ar-SA"/>
        </w:rPr>
        <w:t>.</w:t>
      </w:r>
      <w:bookmarkStart w:id="479" w:name="pg16776_178992"/>
    </w:p>
    <w:p>
      <w:pPr>
        <w:pStyle w:val="BookText"/>
        <w:rPr/>
      </w:pPr>
      <w:bookmarkEnd w:id="479"/>
      <w:r>
        <w:rPr>
          <w:rFonts w:ascii="Amiri" w:hAnsi="Amiri" w:eastAsia="Amiri" w:cs="Amiri"/>
          <w:color w:val="111111"/>
          <w:sz w:val="28"/>
          <w:sz w:val="28"/>
          <w:szCs w:val="28"/>
          <w:rtl w:val="true"/>
          <w:lang w:bidi="ar-SA"/>
        </w:rPr>
        <w:t>إذا عرفت ذلك فاعلم أنّ موضوع علم الأُصول هو الحجّة في الفقه، فإنّ الفقيه لمّا رأى احتياجه في الفقه إلى الحجّة توجّه إليها، وجعلها نصب عينيه وبحث عن تعيّناتها التي هي الأعراض الذاتية التحليلية لها، فالحجّة بما هي حجّة، موضوع بحثه، وتعيّناتها التي هي خبر الواحد والظواهر والاستصحاب وسائر المسائل الأُصولية من العوارض الذاتية لها، بالمعنى الذي ذكرنا، فعلى هذا يكون البحث عن حجّية خبر الواحد وغيره بحثاً عن العرض الذاتي التحليلي للحجّة، وتكون روح المسألة أنّ الحجّة هل هي متعيّنة بخبر الواحد أو لا؟ وبالجملة بعد ما علم الأُصولي أنّ للّه تعالى حجّة على عباده في الفقه يتفحّص عن تعيّناتها التي هي العوارض التحليلية لها، فالموضوع هو الحجّة بوصف اللا بشرطية والمحمولات هي تعيّناتها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إذا كانت الحجّة هي الموضوع، والتعيّن بخبر الواحد وغيره هو المحمول، فاللازم في تنظيم المسائل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هي خبر الواحد، مع أنّ القضية المعقودة في الكتب الأُصولية هي العكس‌؟</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لأجل السهولة في التعليم، فإنّ المحمول مهما كان أوسع كان أسهل للتعليم نظير ذلك مسائل الفن الأعلى، وقد عرفت أنّ الموضوع هو الوجود بما هوهو، والأعراض تعيّنه بالواجب والممكن، والمجرّد والمادي، مع أنّ المسائل المعقودة على العكس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عقل أو جسم،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أو الجسم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إليها الحكماء في كتبهم</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7071035_73709187"/>
      <w:bookmarkStart w:id="481" w:name="_Toc185"/>
      <w:bookmarkEnd w:id="480"/>
      <w:r>
        <w:rPr>
          <w:rtl w:val="true"/>
        </w:rPr>
        <w:t>السادس</w:t>
      </w:r>
      <w:r>
        <w:rPr>
          <w:rtl w:val="true"/>
        </w:rPr>
        <w:t xml:space="preserve">: </w:t>
      </w:r>
      <w:r>
        <w:rPr>
          <w:rtl w:val="true"/>
        </w:rPr>
        <w:t>ماهية علم الأُصول ومكانته</w:t>
      </w:r>
      <w:bookmarkEnd w:id="48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المهمّة تبيين مكانة كلّ علم يريد الباحث دراسته، فهل هو علم</w:t>
      </w:r>
    </w:p>
    <w:p>
      <w:pPr>
        <w:pStyle w:val="BookText"/>
        <w:rPr/>
      </w:pPr>
      <w:r>
        <w:rPr>
          <w:rFonts w:ascii="Amiri" w:hAnsi="Amiri" w:eastAsia="Amiri" w:cs="Amiri"/>
          <w:color w:val="111111"/>
          <w:sz w:val="28"/>
          <w:sz w:val="28"/>
          <w:szCs w:val="28"/>
          <w:rtl w:val="true"/>
          <w:lang w:bidi="ar-SA"/>
        </w:rPr>
        <w:t>حقيقي كوني، أو هو علم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وبمعرفة مكانة العلم تُعرف آفات البراهين أو صحّتها التي تقام عليها مسائل العلم، وأمّا القسم الأوّل فلمسائل ذلك العلم مصاديق واقعية تطابقها تارة وتخالفها أُخرى، ويصحّ الاستدلال عليها بالدور والتسلسل واجتماع النقيضين أو اجتماع الضدين إلى غير ذلك،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هذا للزم الدور، أو التسلسل، أو يلزم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فمسائل تلك العلوم أُمور واقعية لا تختلف هويتها مع اختلاف اللحاظ والاعتبار، فالقواعد الرياضية أو الهندسية أو الفيزيائية قواعد كلّية ثابتة عبر الدهور والقرون، فزوايا المثلث تساوي قائمتين سواء اعتبرها المعتبر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العلوم الاعتبارية وهي مسائل قائمة بلحاظ الملاحظ واعتبار المعتبر، فالاستدلال على صحّتها أو فسادها لا يخضع للدور والتسلسل، والذي يشترط في صحّة الأُمور الاعتبارية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للاعتبار أثر عقلائي وإلّا يلزم اللغو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يعتبر خلاف ما اعتبره إذ عندئذٍ يلزم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الأسف أنّ المتأخرين غفلوا عن ماهية علم الأُصول فتلقوه علماً كونياً فاستدلّوا عليه بالبراهين التي يستدلّ بها في العلوم الطبيعية والرياضية والهندسية، حتى الفلسفية، وإليك بيان نظائر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الخراساني إلى وجود الجامع بين أفراد الصحيح للصلاة، واستدلّ على ذلك بقاعدة الواحد لا يصدر إلّاعن الواحد،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 واحد جامع بين أفراد الصلاة، فيستكشف ذلك الجامع من أثره وإن لم نعلم اسمه</w:t>
      </w:r>
      <w:r>
        <w:rPr>
          <w:rFonts w:eastAsia="Amiri" w:cs="Amiri" w:ascii="Amiri" w:hAnsi="Amiri"/>
          <w:color w:val="111111"/>
          <w:sz w:val="28"/>
          <w:szCs w:val="28"/>
          <w:rtl w:val="true"/>
          <w:lang w:bidi="ar-SA"/>
        </w:rPr>
        <w:t>.</w:t>
      </w:r>
      <w:bookmarkStart w:id="482" w:name="pg16776_178994"/>
    </w:p>
    <w:p>
      <w:pPr>
        <w:pStyle w:val="BookText"/>
        <w:rPr/>
      </w:pPr>
      <w:bookmarkEnd w:id="482"/>
      <w:r>
        <w:rPr>
          <w:rFonts w:ascii="Amiri" w:hAnsi="Amiri" w:eastAsia="Amiri" w:cs="Amiri"/>
          <w:color w:val="111111"/>
          <w:sz w:val="28"/>
          <w:sz w:val="28"/>
          <w:szCs w:val="28"/>
          <w:rtl w:val="true"/>
          <w:lang w:bidi="ar-SA"/>
        </w:rPr>
        <w:t xml:space="preserve">وأنت خبير بأنّ مصبّ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البسيط من جميع الجهات، مع أنّ النهي عن الفحشاء كثير، فكيف يكون مصداقاً للقاعدة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أقام المحقّق الخراساني براهين كثيرة على امتناع أخذ الأمر في متعلّقه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بداعي أمرها، قائلاً بأنّه يستلزم الدور أو التسلسل مع أنّهما من خصائص العلم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المسائل التي استدلّ عليها ببراهين كونية، فالباحث الحقيقي هو مَن يعرف مكانة العلم ويستدلّ على مسائله بالطرق التي تنسجم معها</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7071037_73709187"/>
      <w:bookmarkStart w:id="484" w:name="_Toc186"/>
      <w:bookmarkEnd w:id="483"/>
      <w:r>
        <w:rPr>
          <w:rtl w:val="true"/>
        </w:rPr>
        <w:t>السابع</w:t>
      </w:r>
      <w:r>
        <w:rPr>
          <w:rtl w:val="true"/>
        </w:rPr>
        <w:t xml:space="preserve">: </w:t>
      </w:r>
      <w:r>
        <w:rPr>
          <w:rtl w:val="true"/>
        </w:rPr>
        <w:t>تعريف علم الأُصول تعريفاً جامعاً ومانعاً</w:t>
      </w:r>
      <w:bookmarkEnd w:id="484"/>
    </w:p>
    <w:p>
      <w:pPr>
        <w:pStyle w:val="BookText"/>
        <w:rPr/>
      </w:pPr>
      <w:r>
        <w:rPr>
          <w:rFonts w:ascii="Amiri" w:hAnsi="Amiri" w:eastAsia="Amiri" w:cs="Amiri"/>
          <w:color w:val="111111"/>
          <w:sz w:val="28"/>
          <w:sz w:val="28"/>
          <w:szCs w:val="28"/>
          <w:rtl w:val="true"/>
          <w:lang w:bidi="ar-SA"/>
        </w:rPr>
        <w:t>عُرّف علم الأُصول في الآونة الأخيرة بتعاريف مختلفة، فصارت مثاراً للنقاش والجدل، 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الجامع هو عبارة عمّا يشتمل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التي يستدلّ بها على الحكم الواقعي ويعبّر عنها بالأمارات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الحجج التي تحدّد وظيفة المكلّف عند الشكّ‌، وهذا ما يعبّر عنه بالأُصول العملية كالاستصحاب والبراءة والتخيير والاشتغال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الأمران هما ضالتا المستنبط، فالتعريف الحقيقي لهذا العلم لا ينفكّ من الإشارة إلى ذينك الأمرين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تعرف بها الحجج الشرعية على الأحكام الكلّية أو ما تعرف بها وظيفة المكلّف عند الشكّ في الحكم الشرعي الواقعي</w:t>
      </w:r>
      <w:r>
        <w:rPr>
          <w:rFonts w:eastAsia="Amiri" w:cs="Amiri" w:ascii="Amiri" w:hAnsi="Amiri"/>
          <w:color w:val="111111"/>
          <w:sz w:val="28"/>
          <w:szCs w:val="28"/>
          <w:rtl w:val="true"/>
          <w:lang w:bidi="ar-SA"/>
        </w:rPr>
        <w:t>.</w:t>
      </w:r>
      <w:bookmarkStart w:id="485" w:name="pg16776_178995"/>
    </w:p>
    <w:p>
      <w:pPr>
        <w:pStyle w:val="Heading4"/>
        <w:numPr>
          <w:ilvl w:val="3"/>
          <w:numId w:val="1"/>
        </w:numPr>
        <w:rPr/>
      </w:pPr>
      <w:bookmarkStart w:id="486" w:name="__RefHeading___Toc7071039_73709187"/>
      <w:bookmarkStart w:id="487" w:name="_Toc187"/>
      <w:bookmarkEnd w:id="485"/>
      <w:bookmarkEnd w:id="486"/>
      <w:r>
        <w:rPr>
          <w:rtl w:val="true"/>
        </w:rPr>
        <w:t>الثامن</w:t>
      </w:r>
      <w:r>
        <w:rPr>
          <w:rtl w:val="true"/>
        </w:rPr>
        <w:t xml:space="preserve">: </w:t>
      </w:r>
      <w:r>
        <w:rPr>
          <w:rtl w:val="true"/>
        </w:rPr>
        <w:t>الأدوار التي مرّ بها علم أُصول الفقه</w:t>
      </w:r>
      <w:bookmarkEnd w:id="487"/>
    </w:p>
    <w:p>
      <w:pPr>
        <w:pStyle w:val="Heading5"/>
        <w:numPr>
          <w:ilvl w:val="4"/>
          <w:numId w:val="1"/>
        </w:numPr>
        <w:rPr/>
      </w:pPr>
      <w:bookmarkStart w:id="488" w:name="__RefHeading___Toc7071041_73709187"/>
      <w:bookmarkStart w:id="489" w:name="_Toc188"/>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مرّ علم الأُصول في مراحل حتى بلغ القمة من التكامل ويمكن بيان هذه المراحل بالعناوين التالية</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7071043_73709187"/>
      <w:bookmarkStart w:id="491" w:name="_Toc189"/>
      <w:bookmarkEnd w:id="490"/>
      <w:r>
        <w:rPr>
          <w:rtl w:val="true"/>
        </w:rPr>
        <w:t>أ</w:t>
      </w:r>
      <w:r>
        <w:rPr>
          <w:rtl w:val="true"/>
        </w:rPr>
        <w:t xml:space="preserve">. </w:t>
      </w:r>
      <w:r>
        <w:rPr>
          <w:rtl w:val="true"/>
        </w:rPr>
        <w:t>مرحلة النشأة</w:t>
      </w:r>
      <w:bookmarkEnd w:id="491"/>
    </w:p>
    <w:p>
      <w:pPr>
        <w:pStyle w:val="BookText"/>
        <w:rPr/>
      </w:pPr>
      <w:r>
        <w:rPr>
          <w:rFonts w:ascii="Amiri" w:hAnsi="Amiri" w:eastAsia="Amiri" w:cs="Amiri"/>
          <w:color w:val="111111"/>
          <w:sz w:val="28"/>
          <w:sz w:val="28"/>
          <w:szCs w:val="28"/>
          <w:rtl w:val="true"/>
          <w:lang w:bidi="ar-SA"/>
        </w:rPr>
        <w:t>قد قام غير واحد من متكلّمي وفقهاء الشيعة بتدوين بعض مسائل أُصول الفقه فصارت نواة للتبلور،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 الرحمن مؤلّف كتاب علل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سهل النوبختي مؤلّف كتاب الخصوص والعموم وإبطال 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موسى النوبختي مؤلّف كتاب خبر الواحد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قام به الحسن بن علي العُماني المعاصر للشيخ الكليني أو أبو علي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إدغام بعض المسائل الأُصولية في كتبهما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هذه المرحلة فيما بين القرن الثالث والرابع الهجري</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7071045_73709187"/>
      <w:bookmarkStart w:id="493" w:name="_Toc190"/>
      <w:bookmarkEnd w:id="492"/>
      <w:r>
        <w:rPr>
          <w:rtl w:val="true"/>
        </w:rPr>
        <w:t>ب</w:t>
      </w:r>
      <w:r>
        <w:rPr>
          <w:rtl w:val="true"/>
        </w:rPr>
        <w:t xml:space="preserve">. </w:t>
      </w:r>
      <w:r>
        <w:rPr>
          <w:rtl w:val="true"/>
        </w:rPr>
        <w:t>مرحلة التبلور والتفتح</w:t>
      </w:r>
      <w:bookmarkEnd w:id="49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بدأت هذه المرحلة منذ عصر الشيخ المفيد إلى أوائل القرن العاشر، وأوّل من كتب كتاباً جامعاً لكافة مسائل أُصول الفقه هو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 في أُصول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يصل إلينا وإنّما الواصل خلاصته التي أوردها تلميذه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وأدرجها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عدّة مرّات، وأمّا العلماء الذين ساهموا في بلورة هذا العلم وانفتاحه حيث صارت كتب أُصول الفقه معادلة لكتب الآخرين في الاشتمال على أغلب المسائل، فيمكن أن نذكر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بتحقيق مؤسستنا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سلّار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 إلى علم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 وطبع في مؤسستنا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سديد الدين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 في أُصول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كتب كثيرة في ذلك العلم أوسعها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حقّق وطبع في مؤسستنا في خمسة أجزاء، طبع الجزء الأخير منه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عميد الدين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اللبيب في شرح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حقّق وطبع في مؤسستنا مؤسسة الإمام الصادق عليه السلام في جزأين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الدين الأعرجي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كان حياً سنة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النقول في شرح تهذيب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 الدين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السؤول في شرح تهذيب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w:t>
      </w:r>
      <w:bookmarkStart w:id="494" w:name="pg16776_178997"/>
    </w:p>
    <w:p>
      <w:pPr>
        <w:pStyle w:val="BookText"/>
        <w:rPr/>
      </w:pPr>
      <w:bookmarkEnd w:id="494"/>
      <w:r>
        <w:rPr>
          <w:rFonts w:ascii="Amiri" w:hAnsi="Amiri" w:eastAsia="Amiri" w:cs="Amiri"/>
          <w:color w:val="111111"/>
          <w:sz w:val="28"/>
          <w:sz w:val="28"/>
          <w:szCs w:val="28"/>
          <w:rtl w:val="true"/>
          <w:lang w:bidi="ar-SA"/>
        </w:rPr>
        <w:t>هؤلاء من أبرز الشخصيات الذين بذلوا جهودهم في تبسيط هذا العلم ودراسة عامّة المسائل التي كانت مطروحة في كتب الأُصول عند أهل السنّة، ولا يتوهّم أنّ هؤلاء استنسخوا تلك المسائل وإنّما أخذوا العناوين ودرسوا المسائل دراسة معمّقة فربما وافقوهم وربما خالفوهم فيها</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7071047_73709187"/>
      <w:bookmarkStart w:id="496" w:name="_Toc191"/>
      <w:bookmarkEnd w:id="495"/>
      <w:r>
        <w:rPr>
          <w:rtl w:val="true"/>
        </w:rPr>
        <w:t>ج</w:t>
      </w:r>
      <w:r>
        <w:rPr>
          <w:rtl w:val="true"/>
        </w:rPr>
        <w:t xml:space="preserve">. </w:t>
      </w:r>
      <w:r>
        <w:rPr>
          <w:rtl w:val="true"/>
        </w:rPr>
        <w:t>مرحلة الإبداع والابتكار</w:t>
      </w:r>
      <w:bookmarkEnd w:id="496"/>
    </w:p>
    <w:p>
      <w:pPr>
        <w:pStyle w:val="BookText"/>
        <w:rPr/>
      </w:pPr>
      <w:r>
        <w:rPr>
          <w:rFonts w:ascii="Amiri" w:hAnsi="Amiri" w:eastAsia="Amiri" w:cs="Amiri"/>
          <w:color w:val="111111"/>
          <w:sz w:val="28"/>
          <w:sz w:val="28"/>
          <w:szCs w:val="28"/>
          <w:rtl w:val="true"/>
          <w:lang w:bidi="ar-SA"/>
        </w:rPr>
        <w:t xml:space="preserve">ظهر المذهب الأخباري في أوائل القرن العاشر وامتدّ إلى أواخر القرن الثاني عشر، ورُفع علم المخالفة لهذا العلم بجد وحماس، وأوجد خمولاً وجموداً في تطوّر هذا العلم، وقلّما يتّفق لفقيه أن يؤلّف كتاباً حوله في تلك الفترة إلّانادراً، نظير 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وآقا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وآقا جمال الدين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استثنينا هؤلاء فنحن لم نقف على شخص ألّف كتاباً في أُصول الفقه خلال تلك الأدوار التي كان الشجار والنقاش بين الأخباريين والأُصوليين محتدماً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أواخر القرن الثاني عشر ظهر الضعف في المدرسة الأخبارية بسبب قوّة احتجاجات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أقنع رئيس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النزاع في كثير من المسائل لفظي لا حقيقي وفي قسم منها الحق مع الأُصوليين، وقد اعترف بأكثر ما ذكره ذلك المحدّث فانقلب الأمر وبزغ نجم علم الأُصول، فعند ذلك قام المحقّق البهبهاني وجملة من تلاميذه أو تلاميذهم بإبداعات وابتكارات لم يكن لها وجود في كتب السابقين من السنّة أو الشيعة، ولذلك توصف هذه المرحلة بمرحلة الإبداع التي كانت ثمرة ناضجة لجهود ذلك الأُستاذ الكبير وتلاميذه</w:t>
      </w:r>
      <w:bookmarkStart w:id="497" w:name="pg16776_178998"/>
    </w:p>
    <w:p>
      <w:pPr>
        <w:pStyle w:val="BookText"/>
        <w:rPr/>
      </w:pPr>
      <w:bookmarkEnd w:id="497"/>
      <w:r>
        <w:rPr>
          <w:rFonts w:ascii="Amiri" w:hAnsi="Amiri" w:eastAsia="Amiri" w:cs="Amiri"/>
          <w:color w:val="111111"/>
          <w:sz w:val="28"/>
          <w:sz w:val="28"/>
          <w:szCs w:val="28"/>
          <w:rtl w:val="true"/>
          <w:lang w:bidi="ar-SA"/>
        </w:rPr>
        <w:t xml:space="preserve">كالشيخ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قوانين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علي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 رياض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علم الأُصول عند الشيعة علماً متكامل الأركان، شاملاً لمسائل جديدة لم تسبق إليها أفكار المتقدّمين من السنّة والشيعة</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7071049_73709187"/>
      <w:bookmarkStart w:id="499" w:name="_Toc192"/>
      <w:bookmarkEnd w:id="498"/>
      <w:r>
        <w:rPr>
          <w:rtl w:val="true"/>
        </w:rPr>
        <w:t>د</w:t>
      </w:r>
      <w:r>
        <w:rPr>
          <w:rtl w:val="true"/>
        </w:rPr>
        <w:t xml:space="preserve">. </w:t>
      </w:r>
      <w:r>
        <w:rPr>
          <w:rtl w:val="true"/>
        </w:rPr>
        <w:t>مرحلة التكامل</w:t>
      </w:r>
      <w:bookmarkEnd w:id="499"/>
    </w:p>
    <w:p>
      <w:pPr>
        <w:pStyle w:val="BookText"/>
        <w:rPr/>
      </w:pPr>
      <w:r>
        <w:rPr>
          <w:rFonts w:ascii="Amiri" w:hAnsi="Amiri" w:eastAsia="Amiri" w:cs="Amiri"/>
          <w:color w:val="111111"/>
          <w:sz w:val="28"/>
          <w:sz w:val="28"/>
          <w:szCs w:val="28"/>
          <w:rtl w:val="true"/>
          <w:lang w:bidi="ar-SA"/>
        </w:rPr>
        <w:t>وروّاد هذه النهضة العلمية عدّة من نوابغ العصر وفطاحل الدهر،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شريف العلماء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تقي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محمد حسين بن محمد رحيم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نحو صار علم الأُصول لدى الشيعة يغاير ما عند السنّة بكثرة المسائل الإبداعية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7071051_73709187"/>
      <w:bookmarkStart w:id="501" w:name="_Toc193"/>
      <w:bookmarkEnd w:id="500"/>
      <w:r>
        <w:rPr>
          <w:rtl w:val="true"/>
        </w:rPr>
        <w:t>ه‍</w:t>
      </w:r>
      <w:r>
        <w:rPr>
          <w:rtl w:val="true"/>
        </w:rPr>
        <w:t xml:space="preserve">. </w:t>
      </w:r>
      <w:r>
        <w:rPr>
          <w:rtl w:val="true"/>
        </w:rPr>
        <w:t>مرحلة قمّة التكامل</w:t>
      </w:r>
      <w:bookmarkEnd w:id="501"/>
    </w:p>
    <w:p>
      <w:pPr>
        <w:pStyle w:val="BookText"/>
        <w:rPr/>
      </w:pPr>
      <w:r>
        <w:rPr>
          <w:rFonts w:ascii="Amiri" w:hAnsi="Amiri" w:eastAsia="Amiri" w:cs="Amiri"/>
          <w:color w:val="111111"/>
          <w:sz w:val="28"/>
          <w:sz w:val="28"/>
          <w:szCs w:val="28"/>
          <w:rtl w:val="true"/>
          <w:lang w:bidi="ar-SA"/>
        </w:rPr>
        <w:t>ولو أنّا أسمينا المرحلة السابقة بالتكامل ويحقّ لنا أن نصف هذه المرحلة بمرحلة قمّة التكامل، فقد تحقّقت بجهود تلاميذ الشيخ الأنصاري الذين أضفوا على هذا العلم مكانة رفيعة، ونذكر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الأساتذة العظام أمثال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502" w:name="pg16776_178999"/>
    </w:p>
    <w:p>
      <w:pPr>
        <w:pStyle w:val="BookText"/>
        <w:rPr/>
      </w:pPr>
      <w:bookmarkEnd w:id="50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الشيخ محمد حسين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زيّن هذا المحفل باسمه وبيان نظريّاته وجهوده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السيد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المحقّق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هم فطاحل هذه المرحلة وأعاظمهم، وبقيت هناك شخصيات بارزة أُخرى ساهموا في رفع منار هذا العلم حفلت بهم كتب التراجم، ونحن نعتذر لمقاماتهم السامية عن ترك ذكر أسمائهم لأنّ الرسالة ضاقت عن التبسّط</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7071053_73709187"/>
      <w:bookmarkStart w:id="504" w:name="_Toc194"/>
      <w:bookmarkEnd w:id="503"/>
      <w:r>
        <w:rPr>
          <w:rtl w:val="true"/>
        </w:rPr>
        <w:t>المنهج الأُصولي للمحقّق الإصفهاني</w:t>
      </w:r>
      <w:bookmarkEnd w:id="504"/>
    </w:p>
    <w:p>
      <w:pPr>
        <w:pStyle w:val="Heading5"/>
        <w:numPr>
          <w:ilvl w:val="4"/>
          <w:numId w:val="1"/>
        </w:numPr>
        <w:rPr/>
      </w:pPr>
      <w:bookmarkStart w:id="505" w:name="__RefHeading___Toc7071055_73709187"/>
      <w:bookmarkStart w:id="506" w:name="_Toc195"/>
      <w:bookmarkEnd w:id="505"/>
      <w:r>
        <w:rPr>
          <w:rtl w:val="true"/>
        </w:rPr>
        <w:t>اشارة</w:t>
      </w:r>
      <w:bookmarkEnd w:id="506"/>
    </w:p>
    <w:p>
      <w:pPr>
        <w:pStyle w:val="BookText"/>
        <w:rPr/>
      </w:pPr>
      <w:r>
        <w:rPr>
          <w:rFonts w:ascii="Amiri" w:hAnsi="Amiri" w:eastAsia="Amiri" w:cs="Amiri"/>
          <w:color w:val="111111"/>
          <w:sz w:val="28"/>
          <w:sz w:val="28"/>
          <w:szCs w:val="28"/>
          <w:rtl w:val="true"/>
          <w:lang w:bidi="ar-SA"/>
        </w:rPr>
        <w:t xml:space="preserve">الشيخ محمد حسين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عظيمة، والتعريف الفني لا يفي ببيان مكانته، فهو نابغة الدهر وفيلسوف الزمان وفقيه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البحر من أي النواحي أتيته فنائله الإفضال والعلم ساحله</w:t>
      </w:r>
    </w:p>
    <w:p>
      <w:pPr>
        <w:pStyle w:val="BookText"/>
        <w:rPr/>
      </w:pPr>
      <w:r>
        <w:rPr>
          <w:rFonts w:ascii="Amiri" w:hAnsi="Amiri" w:eastAsia="Amiri" w:cs="Amiri"/>
          <w:color w:val="111111"/>
          <w:sz w:val="28"/>
          <w:sz w:val="28"/>
          <w:szCs w:val="28"/>
          <w:rtl w:val="true"/>
          <w:lang w:bidi="ar-SA"/>
        </w:rPr>
        <w:t>كان قدس سره متخصّصاً في علوم ومشاركاً في علوم أُخرى، ومتحلّياً بمآثر جمّة وملكات فاضلة حتى في الشعر والأدب والتاريخ، وكأنّ وجوده قدس سره واقع في مركز الدائرة فخطوط العلوم والفضائل إليه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في الأُصول والفقه على نابغتين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الأكبر السيد محمد الإصفهاني الفشاركي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النظريات العالية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الأكبر المولى محمد كاظم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bookmarkStart w:id="507" w:name="pg16776_179000"/>
    </w:p>
    <w:p>
      <w:pPr>
        <w:pStyle w:val="BookText"/>
        <w:rPr/>
      </w:pPr>
      <w:bookmarkEnd w:id="507"/>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المحقّق الفذ في مستوى العلوم، فقد حضر دروسه مدة ثلاثة عشر عاماً فقهاً وأُصولاً حتى ارتحل الأُستاذ فاستقلّ هو بالتدريس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نشير إلى آرائه الأُصولية نذكر شيئاً من إبداعاته، فقد كان بصدد الإبداع في أُصول الفقه وتنظيم مباحثه بشكل آخر يختلف تماماً عن المنهج الدارج، وقد بنى أساس تنظيمه على أركان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 اللفظية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الملازمات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الحجج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شرع في كتابة مشروعه ولكن الأجل لم يمهله، غير أنّ تلميذه الجليل الشيخ محمد رضا المظفر رحمه الله مشى على نهجه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فلنشر إلى بعض آرائه</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7071057_73709187"/>
      <w:bookmarkStart w:id="509" w:name="_Toc196"/>
      <w:bookmarkEnd w:id="508"/>
      <w:r>
        <w:rPr/>
        <w:t>1</w:t>
      </w:r>
      <w:r>
        <w:rPr>
          <w:rtl w:val="true"/>
        </w:rPr>
        <w:t xml:space="preserve">. </w:t>
      </w:r>
      <w:r>
        <w:rPr>
          <w:rtl w:val="true"/>
        </w:rPr>
        <w:t>أداة الشرط تقع موقع الفرض</w:t>
      </w:r>
      <w:bookmarkEnd w:id="509"/>
    </w:p>
    <w:p>
      <w:pPr>
        <w:pStyle w:val="BookText"/>
        <w:rPr/>
      </w:pPr>
      <w:r>
        <w:rPr>
          <w:rFonts w:ascii="Amiri" w:hAnsi="Amiri" w:eastAsia="Amiri" w:cs="Amiri"/>
          <w:color w:val="111111"/>
          <w:sz w:val="28"/>
          <w:sz w:val="28"/>
          <w:szCs w:val="28"/>
          <w:rtl w:val="true"/>
          <w:lang w:bidi="ar-SA"/>
        </w:rPr>
        <w:t>المعروف بين الأُصوليين أنّ أداة الشرط موضوعة للربط بين الشرط والجزاء، وبينهما صلة قوية، مردّدة بين كون الشرط تمام العلّة أو جزئها، ولكنّه قدس سره أصرّ على أنّ أداة الشرط لإفادة أنّ مدخولها واقع موقع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فرضنا كذا لكان كذا</w:t>
      </w:r>
      <w:r>
        <w:rPr>
          <w:rFonts w:eastAsia="Amiri" w:cs="Amiri" w:ascii="Amiri" w:hAnsi="Amiri"/>
          <w:color w:val="111111"/>
          <w:sz w:val="28"/>
          <w:szCs w:val="28"/>
          <w:rtl w:val="true"/>
          <w:lang w:bidi="ar-SA"/>
        </w:rPr>
        <w:t>.</w:t>
      </w:r>
      <w:r>
        <w:rPr>
          <w:rStyle w:val="FootnoteAnchor"/>
          <w:rtl w:val="true"/>
        </w:rPr>
        <w:footnoteReference w:id="437"/>
      </w:r>
    </w:p>
    <w:p>
      <w:pPr>
        <w:pStyle w:val="Heading5"/>
        <w:numPr>
          <w:ilvl w:val="4"/>
          <w:numId w:val="1"/>
        </w:numPr>
        <w:rPr/>
      </w:pPr>
      <w:bookmarkStart w:id="510" w:name="__RefHeading___Toc7071059_73709187"/>
      <w:bookmarkStart w:id="511" w:name="_Toc197"/>
      <w:bookmarkEnd w:id="510"/>
      <w:r>
        <w:rPr/>
        <w:t>2</w:t>
      </w:r>
      <w:r>
        <w:rPr>
          <w:rtl w:val="true"/>
        </w:rPr>
        <w:t xml:space="preserve">. </w:t>
      </w:r>
      <w:r>
        <w:rPr>
          <w:rtl w:val="true"/>
        </w:rPr>
        <w:t>عدم وجوب المقدّمة</w:t>
      </w:r>
      <w:bookmarkEnd w:id="51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تلميذه الشيخ المظفر أنّ أُستاذه أوّل من تنبّه إلى عدم وجوب</w:t>
      </w:r>
      <w:bookmarkStart w:id="512" w:name="pg16776_179001"/>
    </w:p>
    <w:p>
      <w:pPr>
        <w:pStyle w:val="BookText"/>
        <w:rPr/>
      </w:pPr>
      <w:bookmarkEnd w:id="512"/>
      <w:r>
        <w:rPr>
          <w:rFonts w:ascii="Amiri" w:hAnsi="Amiri" w:eastAsia="Amiri" w:cs="Amiri"/>
          <w:color w:val="111111"/>
          <w:sz w:val="28"/>
          <w:sz w:val="28"/>
          <w:szCs w:val="28"/>
          <w:rtl w:val="true"/>
          <w:lang w:bidi="ar-SA"/>
        </w:rPr>
        <w:t>المقدّمة، وأقام برهانه بأُسلوبه الخاص</w:t>
      </w:r>
      <w:r>
        <w:rPr>
          <w:rFonts w:eastAsia="Amiri" w:cs="Amiri" w:ascii="Amiri" w:hAnsi="Amiri"/>
          <w:color w:val="111111"/>
          <w:sz w:val="28"/>
          <w:szCs w:val="28"/>
          <w:rtl w:val="true"/>
          <w:lang w:bidi="ar-SA"/>
        </w:rPr>
        <w:t>.</w:t>
      </w:r>
      <w:r>
        <w:rPr>
          <w:rStyle w:val="FootnoteAnchor"/>
          <w:rtl w:val="true"/>
        </w:rPr>
        <w:footnoteReference w:id="438"/>
      </w:r>
    </w:p>
    <w:p>
      <w:pPr>
        <w:pStyle w:val="Heading5"/>
        <w:numPr>
          <w:ilvl w:val="4"/>
          <w:numId w:val="1"/>
        </w:numPr>
        <w:rPr/>
      </w:pPr>
      <w:bookmarkStart w:id="513" w:name="__RefHeading___Toc7071061_73709187"/>
      <w:bookmarkStart w:id="514" w:name="_Toc198"/>
      <w:bookmarkEnd w:id="513"/>
      <w:r>
        <w:rPr/>
        <w:t>3</w:t>
      </w:r>
      <w:r>
        <w:rPr>
          <w:rtl w:val="true"/>
        </w:rPr>
        <w:t xml:space="preserve">. </w:t>
      </w:r>
      <w:r>
        <w:rPr>
          <w:rtl w:val="true"/>
        </w:rPr>
        <w:t>الحروف موضوعة لبيان الوجود الرابط</w:t>
      </w:r>
      <w:bookmarkEnd w:id="514"/>
    </w:p>
    <w:p>
      <w:pPr>
        <w:pStyle w:val="BookText"/>
        <w:rPr/>
      </w:pPr>
      <w:r>
        <w:rPr>
          <w:rFonts w:ascii="Amiri" w:hAnsi="Amiri" w:eastAsia="Amiri" w:cs="Amiri"/>
          <w:color w:val="111111"/>
          <w:sz w:val="28"/>
          <w:sz w:val="28"/>
          <w:szCs w:val="28"/>
          <w:rtl w:val="true"/>
          <w:lang w:bidi="ar-SA"/>
        </w:rPr>
        <w:t>الوجود منقسم إلى نفسي ورابطي ورابط، يقول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الوجود رابط ورابطي ثمة نفسي فهاك فاضبط</w:t>
      </w:r>
      <w:r>
        <w:rPr>
          <w:rStyle w:val="FootnoteAnchor"/>
          <w:rtl w:val="true"/>
        </w:rPr>
        <w:footnoteReference w:id="439"/>
      </w:r>
    </w:p>
    <w:p>
      <w:pPr>
        <w:pStyle w:val="Heading5"/>
        <w:numPr>
          <w:ilvl w:val="4"/>
          <w:numId w:val="1"/>
        </w:numPr>
        <w:rPr/>
      </w:pPr>
      <w:bookmarkStart w:id="515" w:name="__RefHeading___Toc7071063_73709187"/>
      <w:bookmarkStart w:id="516" w:name="_Toc199"/>
      <w:bookmarkEnd w:id="515"/>
      <w:r>
        <w:rPr/>
        <w:t>4</w:t>
      </w:r>
      <w:r>
        <w:rPr>
          <w:rtl w:val="true"/>
        </w:rPr>
        <w:t xml:space="preserve">. </w:t>
      </w:r>
      <w:r>
        <w:rPr>
          <w:rtl w:val="true"/>
        </w:rPr>
        <w:t>جريان البراءة قبل الفحص</w:t>
      </w:r>
      <w:bookmarkEnd w:id="516"/>
    </w:p>
    <w:p>
      <w:pPr>
        <w:pStyle w:val="BookText"/>
        <w:rPr/>
      </w:pPr>
      <w:r>
        <w:rPr>
          <w:rFonts w:ascii="Amiri" w:hAnsi="Amiri" w:eastAsia="Amiri" w:cs="Amiri"/>
          <w:color w:val="111111"/>
          <w:sz w:val="28"/>
          <w:sz w:val="28"/>
          <w:szCs w:val="28"/>
          <w:rtl w:val="true"/>
          <w:lang w:bidi="ar-SA"/>
        </w:rPr>
        <w:t>ذهب المحقّق الإصفهاني إلى أنّ قاعدة العقاب بلا بيان تجري قبل الفحص خلافاً للمشهور من القول بعدم جريانها إلّابعده</w:t>
      </w:r>
      <w:r>
        <w:rPr>
          <w:rFonts w:eastAsia="Amiri" w:cs="Amiri" w:ascii="Amiri" w:hAnsi="Amiri"/>
          <w:color w:val="111111"/>
          <w:sz w:val="28"/>
          <w:szCs w:val="28"/>
          <w:rtl w:val="true"/>
          <w:lang w:bidi="ar-SA"/>
        </w:rPr>
        <w:t>.</w:t>
      </w:r>
      <w:r>
        <w:rPr>
          <w:rStyle w:val="FootnoteAnchor"/>
          <w:rtl w:val="true"/>
        </w:rPr>
        <w:footnoteReference w:id="440"/>
      </w:r>
    </w:p>
    <w:p>
      <w:pPr>
        <w:pStyle w:val="Heading5"/>
        <w:numPr>
          <w:ilvl w:val="4"/>
          <w:numId w:val="1"/>
        </w:numPr>
        <w:rPr/>
      </w:pPr>
      <w:bookmarkStart w:id="517" w:name="__RefHeading___Toc7071065_73709187"/>
      <w:bookmarkStart w:id="518" w:name="_Toc200"/>
      <w:bookmarkEnd w:id="517"/>
      <w:r>
        <w:rPr/>
        <w:t>5</w:t>
      </w:r>
      <w:r>
        <w:rPr>
          <w:rtl w:val="true"/>
        </w:rPr>
        <w:t xml:space="preserve">. </w:t>
      </w:r>
      <w:r>
        <w:rPr>
          <w:rtl w:val="true"/>
        </w:rPr>
        <w:t>الصحّة في المعاملات ليست مجعولة</w:t>
      </w:r>
      <w:bookmarkEnd w:id="518"/>
    </w:p>
    <w:p>
      <w:pPr>
        <w:pStyle w:val="BookText"/>
        <w:rPr/>
      </w:pPr>
      <w:r>
        <w:rPr>
          <w:rFonts w:ascii="Amiri" w:hAnsi="Amiri" w:eastAsia="Amiri" w:cs="Amiri"/>
          <w:color w:val="111111"/>
          <w:sz w:val="28"/>
          <w:sz w:val="28"/>
          <w:szCs w:val="28"/>
          <w:rtl w:val="true"/>
          <w:lang w:bidi="ar-SA"/>
        </w:rPr>
        <w:t>ذهب الشيخ الإصفهاني رحمه الله إلى أنّ الصحّة في المعاملات كالصحّة في العبادات ليست من الأُمور المجعولة للشارع بل هما أمران اعتباريان</w:t>
      </w:r>
      <w:r>
        <w:rPr>
          <w:rFonts w:eastAsia="Amiri" w:cs="Amiri" w:ascii="Amiri" w:hAnsi="Amiri"/>
          <w:color w:val="111111"/>
          <w:sz w:val="28"/>
          <w:szCs w:val="28"/>
          <w:rtl w:val="true"/>
          <w:lang w:bidi="ar-SA"/>
        </w:rPr>
        <w:t>.</w:t>
      </w:r>
      <w:r>
        <w:rPr>
          <w:rStyle w:val="FootnoteAnchor"/>
          <w:rtl w:val="true"/>
        </w:rPr>
        <w:footnoteReference w:id="441"/>
      </w:r>
    </w:p>
    <w:p>
      <w:pPr>
        <w:pStyle w:val="Heading5"/>
        <w:numPr>
          <w:ilvl w:val="4"/>
          <w:numId w:val="1"/>
        </w:numPr>
        <w:rPr/>
      </w:pPr>
      <w:bookmarkStart w:id="519" w:name="__RefHeading___Toc7071067_73709187"/>
      <w:bookmarkStart w:id="520" w:name="_Toc201"/>
      <w:bookmarkEnd w:id="519"/>
      <w:r>
        <w:rPr/>
        <w:t>6</w:t>
      </w:r>
      <w:r>
        <w:rPr>
          <w:rtl w:val="true"/>
        </w:rPr>
        <w:t xml:space="preserve">. </w:t>
      </w:r>
      <w:r>
        <w:rPr>
          <w:rtl w:val="true"/>
        </w:rPr>
        <w:t>العدلان في الواجب التخييري، واجبان معاً</w:t>
      </w:r>
      <w:bookmarkEnd w:id="5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الشيخ الإصفهاني رحمه الله إلى أنّ الوجوب التخييري عبارة عن وجوب كلّ من العدلين والبدلين لوجود الملاك فيهما معاً، غير أنّ تحصيل ملاكهما معاً يعارض مصلحة التسهيل، ولذلك يرخّص المولى في ترك أحدهما على سبيل البدل</w:t>
      </w:r>
      <w:r>
        <w:rPr>
          <w:rFonts w:eastAsia="Amiri" w:cs="Amiri" w:ascii="Amiri" w:hAnsi="Amiri"/>
          <w:color w:val="111111"/>
          <w:sz w:val="28"/>
          <w:szCs w:val="28"/>
          <w:rtl w:val="true"/>
          <w:lang w:bidi="ar-SA"/>
        </w:rPr>
        <w:t>.</w:t>
      </w:r>
      <w:r>
        <w:rPr>
          <w:rStyle w:val="FootnoteAnchor"/>
          <w:rtl w:val="true"/>
        </w:rPr>
        <w:footnoteReference w:id="442"/>
      </w:r>
      <w:bookmarkStart w:id="521" w:name="pg16776_179002"/>
    </w:p>
    <w:p>
      <w:pPr>
        <w:pStyle w:val="Heading5"/>
        <w:numPr>
          <w:ilvl w:val="4"/>
          <w:numId w:val="1"/>
        </w:numPr>
        <w:rPr/>
      </w:pPr>
      <w:bookmarkStart w:id="522" w:name="__RefHeading___Toc7071069_73709187"/>
      <w:bookmarkStart w:id="523" w:name="_Toc202"/>
      <w:bookmarkEnd w:id="521"/>
      <w:bookmarkEnd w:id="522"/>
      <w:r>
        <w:rPr/>
        <w:t>7</w:t>
      </w:r>
      <w:r>
        <w:rPr>
          <w:rtl w:val="true"/>
        </w:rPr>
        <w:t xml:space="preserve">. </w:t>
      </w:r>
      <w:r>
        <w:rPr>
          <w:rtl w:val="true"/>
        </w:rPr>
        <w:t>العلم الإجمالي عند الإصفهاني علّة تامّة للامتثال القطعي</w:t>
      </w:r>
      <w:bookmarkEnd w:id="523"/>
    </w:p>
    <w:p>
      <w:pPr>
        <w:pStyle w:val="BookText"/>
        <w:rPr/>
      </w:pPr>
      <w:r>
        <w:rPr>
          <w:rFonts w:ascii="Amiri" w:hAnsi="Amiri" w:eastAsia="Amiri" w:cs="Amiri"/>
          <w:color w:val="111111"/>
          <w:sz w:val="28"/>
          <w:sz w:val="28"/>
          <w:szCs w:val="28"/>
          <w:rtl w:val="true"/>
          <w:lang w:bidi="ar-SA"/>
        </w:rPr>
        <w:t>اختلفت كلمة الأُصوليّين في أنّ العلم الإجمالي علّة تامّة للامتثال القطعي وحرمة المخالفة الاحتمالية فضلاً عن القطعية، أو مقتضٍ لهما، فاختار النظرية الأُولى</w:t>
      </w:r>
      <w:r>
        <w:rPr>
          <w:rFonts w:eastAsia="Amiri" w:cs="Amiri" w:ascii="Amiri" w:hAnsi="Amiri"/>
          <w:color w:val="111111"/>
          <w:sz w:val="28"/>
          <w:szCs w:val="28"/>
          <w:rtl w:val="true"/>
          <w:lang w:bidi="ar-SA"/>
        </w:rPr>
        <w:t>.</w:t>
      </w:r>
      <w:r>
        <w:rPr>
          <w:rStyle w:val="FootnoteAnchor"/>
          <w:rtl w:val="true"/>
        </w:rPr>
        <w:footnoteReference w:id="443"/>
      </w:r>
    </w:p>
    <w:p>
      <w:pPr>
        <w:pStyle w:val="Heading5"/>
        <w:numPr>
          <w:ilvl w:val="4"/>
          <w:numId w:val="1"/>
        </w:numPr>
        <w:rPr/>
      </w:pPr>
      <w:bookmarkStart w:id="524" w:name="__RefHeading___Toc7071071_73709187"/>
      <w:bookmarkStart w:id="525" w:name="_Toc203"/>
      <w:bookmarkEnd w:id="524"/>
      <w:r>
        <w:rPr/>
        <w:t>8</w:t>
      </w:r>
      <w:r>
        <w:rPr>
          <w:rtl w:val="true"/>
        </w:rPr>
        <w:t xml:space="preserve">. </w:t>
      </w:r>
      <w:r>
        <w:rPr>
          <w:rtl w:val="true"/>
        </w:rPr>
        <w:t>العرض الذاتي هو المأخوذ في تحديد المحمول</w:t>
      </w:r>
      <w:bookmarkEnd w:id="525"/>
    </w:p>
    <w:p>
      <w:pPr>
        <w:pStyle w:val="BookText"/>
        <w:rPr/>
      </w:pPr>
      <w:r>
        <w:rPr>
          <w:rFonts w:ascii="Amiri" w:hAnsi="Amiri" w:eastAsia="Amiri" w:cs="Amiri"/>
          <w:color w:val="111111"/>
          <w:sz w:val="28"/>
          <w:sz w:val="28"/>
          <w:szCs w:val="28"/>
          <w:rtl w:val="true"/>
          <w:lang w:bidi="ar-SA"/>
        </w:rPr>
        <w:t>العرض الذاتي عند المحقّق الخراساني تبعاً للحكيم السبزواري هو العارض على الموضوع بلا واسطة في العروض، سواء أكان واسطة في الثبوت أم لا، وسواء أكانت الواسطة أعمّ أو أخصّ من ذي الواسطة أو مبايناً له، ولكنّه عند المحقّق الإصفهاني عبارة عن كلّ عارض أخذ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إمّا واجب أو ممكن، والممكن إمّا جوهر أو عرض، فالجميع عارض ذاتي للوجود لأنّه مأخوذ في تحديد المحمول فالواجب هو الوجود الذي يجب وجوده، والممكن هو الوجود العاري عن الإيجابين، وهكذا الجوهر هو الوجود القائم بلا موضوع، والعرض هو الوجود القائم بغيره</w:t>
      </w:r>
      <w:r>
        <w:rPr>
          <w:rFonts w:eastAsia="Amiri" w:cs="Amiri" w:ascii="Amiri" w:hAnsi="Amiri"/>
          <w:color w:val="111111"/>
          <w:sz w:val="28"/>
          <w:szCs w:val="28"/>
          <w:rtl w:val="true"/>
          <w:lang w:bidi="ar-SA"/>
        </w:rPr>
        <w:t>.</w:t>
      </w:r>
      <w:r>
        <w:rPr>
          <w:rStyle w:val="FootnoteAnchor"/>
          <w:rtl w:val="true"/>
        </w:rPr>
        <w:footnoteReference w:id="444"/>
      </w:r>
    </w:p>
    <w:p>
      <w:pPr>
        <w:pStyle w:val="Heading5"/>
        <w:numPr>
          <w:ilvl w:val="4"/>
          <w:numId w:val="1"/>
        </w:numPr>
        <w:rPr/>
      </w:pPr>
      <w:bookmarkStart w:id="526" w:name="__RefHeading___Toc7071073_73709187"/>
      <w:bookmarkStart w:id="527" w:name="_Toc204"/>
      <w:bookmarkEnd w:id="526"/>
      <w:r>
        <w:rPr/>
        <w:t>9</w:t>
      </w:r>
      <w:r>
        <w:rPr>
          <w:rtl w:val="true"/>
        </w:rPr>
        <w:t xml:space="preserve">. </w:t>
      </w:r>
      <w:r>
        <w:rPr>
          <w:rtl w:val="true"/>
        </w:rPr>
        <w:t>أنّ المصدر ليس مادة المشتقّات</w:t>
      </w:r>
      <w:bookmarkEnd w:id="52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المصادر عنده مطلقاً لم توضع لنفس المعاني الخالية من جميع أنحاء النسب، بل المصدر من جملة المشتقّات لاشتماله على نسبة ناقصة ومبدأ من دون فرق بين المجرّد والمزيد فيه</w:t>
      </w:r>
      <w:r>
        <w:rPr>
          <w:rFonts w:eastAsia="Amiri" w:cs="Amiri" w:ascii="Amiri" w:hAnsi="Amiri"/>
          <w:color w:val="111111"/>
          <w:sz w:val="28"/>
          <w:szCs w:val="28"/>
          <w:rtl w:val="true"/>
          <w:lang w:bidi="ar-SA"/>
        </w:rPr>
        <w:t>.</w:t>
      </w:r>
      <w:r>
        <w:rPr>
          <w:rStyle w:val="FootnoteAnchor"/>
          <w:rtl w:val="true"/>
        </w:rPr>
        <w:footnoteReference w:id="445"/>
      </w:r>
      <w:bookmarkStart w:id="528" w:name="pg16776_179003"/>
    </w:p>
    <w:p>
      <w:pPr>
        <w:pStyle w:val="Heading5"/>
        <w:numPr>
          <w:ilvl w:val="4"/>
          <w:numId w:val="1"/>
        </w:numPr>
        <w:rPr/>
      </w:pPr>
      <w:bookmarkStart w:id="529" w:name="__RefHeading___Toc7071075_73709187"/>
      <w:bookmarkStart w:id="530" w:name="_Toc205"/>
      <w:bookmarkEnd w:id="528"/>
      <w:bookmarkEnd w:id="529"/>
      <w:r>
        <w:rPr/>
        <w:t>10</w:t>
      </w:r>
      <w:r>
        <w:rPr>
          <w:rtl w:val="true"/>
        </w:rPr>
        <w:t xml:space="preserve">. </w:t>
      </w:r>
      <w:r>
        <w:rPr>
          <w:rtl w:val="true"/>
        </w:rPr>
        <w:t>أعدام الملكات نظير الاستعدادات، له حظ من الوجود</w:t>
      </w:r>
      <w:bookmarkEnd w:id="530"/>
    </w:p>
    <w:p>
      <w:pPr>
        <w:pStyle w:val="BookText"/>
        <w:rPr/>
      </w:pPr>
      <w:r>
        <w:rPr>
          <w:rFonts w:ascii="Amiri" w:hAnsi="Amiri" w:eastAsia="Amiri" w:cs="Amiri"/>
          <w:color w:val="111111"/>
          <w:sz w:val="28"/>
          <w:sz w:val="28"/>
          <w:szCs w:val="28"/>
          <w:rtl w:val="true"/>
          <w:lang w:bidi="ar-SA"/>
        </w:rPr>
        <w:t>ذهب المحقّق الإصفهاني إلى أنّ لأعدام الملكات شأناً من الوجود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أعدام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كقابلية الموضوع من الحيثيات الانتزاعية منه، فكون الموضوع بحيث لا بياض له هو بحيث يكون قابلاً لعروض السواد، فمتمّم القابلية كنفس القابلية</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تلك عشرة كاملة من آرائه رحمه الله ودراستها في هذه المسائل موكولة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من شهور عام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31" w:name="pg16776_179004"/>
    </w:p>
    <w:p>
      <w:pPr>
        <w:pStyle w:val="Heading3"/>
        <w:numPr>
          <w:ilvl w:val="2"/>
          <w:numId w:val="1"/>
        </w:numPr>
        <w:rPr/>
      </w:pPr>
      <w:bookmarkStart w:id="532" w:name="__RefHeading___Toc7071077_73709187"/>
      <w:bookmarkStart w:id="533" w:name="_Toc206"/>
      <w:bookmarkEnd w:id="531"/>
      <w:bookmarkEnd w:id="532"/>
      <w:r>
        <w:rPr/>
        <w:t>2</w:t>
      </w:r>
      <w:r>
        <w:rPr>
          <w:rtl w:val="true"/>
        </w:rPr>
        <w:t xml:space="preserve">. </w:t>
      </w:r>
      <w:r>
        <w:rPr>
          <w:rtl w:val="true"/>
        </w:rPr>
        <w:t>الخطابات القانونية ودورها</w:t>
      </w:r>
      <w:bookmarkEnd w:id="533"/>
    </w:p>
    <w:p>
      <w:pPr>
        <w:pStyle w:val="Heading4"/>
        <w:numPr>
          <w:ilvl w:val="3"/>
          <w:numId w:val="1"/>
        </w:numPr>
        <w:rPr/>
      </w:pPr>
      <w:bookmarkStart w:id="534" w:name="__RefHeading___Toc7071079_73709187"/>
      <w:bookmarkStart w:id="535" w:name="_Toc207"/>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في المسائل الأُصوليّة</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اتّفق العلماء على أنّ للّه سبحانه أحكاماً مشتركة بين العالم والجاهل والمؤمن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والمجتهد بين مصيب ومخطئ، فإن أصاب فله أجران وإن أخطأ فله أجر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نسب إلى الأشاعرة إنكار حكم اللّه المشترك بين الجميع وأنّ أحكام اللّه سبحانه تابعة لآراء المجتهدين، وأُورد عليهم بأنّه مستلزم للدور، فإنّ الاجتهاد فرع وجود الحكم حتى يطلبه المجتهد، فلو كان تابعاً لاجتهاده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تحمّس المحقّق النائيني في نسبة هذا إلى الأشاعرة ولكن الظاهر أنّ النسبة غير صحيحة، وتشهد على ذلك كتبهم الأُصولية،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 وغيرها، فهم يتّفقون مع سائر الفقهاء في القول بالحكم المشترك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ما لم يرد فيه نصّ في القرآن والسنّة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اللّه تابع لآراء المجتهدين</w:t>
      </w:r>
      <w:r>
        <w:rPr>
          <w:rFonts w:eastAsia="Amiri" w:cs="Amiri" w:ascii="Amiri" w:hAnsi="Amiri"/>
          <w:color w:val="111111"/>
          <w:sz w:val="28"/>
          <w:szCs w:val="28"/>
          <w:rtl w:val="true"/>
          <w:lang w:bidi="ar-SA"/>
        </w:rPr>
        <w:t>.</w:t>
      </w:r>
      <w:bookmarkStart w:id="536" w:name="pg16776_179005"/>
    </w:p>
    <w:p>
      <w:pPr>
        <w:pStyle w:val="BookText"/>
        <w:rPr/>
      </w:pPr>
      <w:bookmarkEnd w:id="536"/>
      <w:r>
        <w:rPr>
          <w:rFonts w:ascii="Amiri" w:hAnsi="Amiri" w:eastAsia="Amiri" w:cs="Amiri"/>
          <w:color w:val="111111"/>
          <w:sz w:val="28"/>
          <w:sz w:val="28"/>
          <w:szCs w:val="28"/>
          <w:rtl w:val="true"/>
          <w:lang w:bidi="ar-SA"/>
        </w:rPr>
        <w:t>وعلى كلّ تقدير فالإمامية قاطبة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تفسير الحكم المشترك بوجود خطابات كثيرة حسب عدد المكلّفين، فالخطاب الواحد عندهم ينحلّ إلى خطابات،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ينحل إلى خطابات لكلّ مكلّف عبر الزمان، فعلى هذا التفسير رتّبوا أُموراً نذكرها</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7071081_73709187"/>
      <w:bookmarkStart w:id="538" w:name="_Toc208"/>
      <w:bookmarkEnd w:id="537"/>
      <w:r>
        <w:rPr/>
        <w:t>1</w:t>
      </w:r>
      <w:r>
        <w:rPr>
          <w:rtl w:val="true"/>
        </w:rPr>
        <w:t xml:space="preserve">. </w:t>
      </w:r>
      <w:r>
        <w:rPr>
          <w:rtl w:val="true"/>
        </w:rPr>
        <w:t>تقسيم الحكم المشترك إلى إنشائي وفعليّ‌</w:t>
      </w:r>
      <w:bookmarkEnd w:id="538"/>
    </w:p>
    <w:p>
      <w:pPr>
        <w:pStyle w:val="BookText"/>
        <w:rPr/>
      </w:pPr>
      <w:r>
        <w:rPr>
          <w:rFonts w:ascii="Amiri" w:hAnsi="Amiri" w:eastAsia="Amiri" w:cs="Amiri"/>
          <w:color w:val="111111"/>
          <w:sz w:val="28"/>
          <w:sz w:val="28"/>
          <w:szCs w:val="28"/>
          <w:rtl w:val="true"/>
          <w:lang w:bidi="ar-SA"/>
        </w:rPr>
        <w:t>لا شكّ أنّ لفعليّة الحكم وانبعاث المكلّف إلى المكلّف به، شرائط عامة من البلوغ والعلم والقدرة، فلو كان المكلّف حائزاً لها فالحكم فيه فعليّ وإن كان فاقداً لبعض منها فالخطاب في حقّه شأني، وذلك لأنّ الغاية من البعث هو الانبعاث وهو لا يتصوّر إلّافي الواجد للشرائط، وأمّا الفاقد لها فيخلو عن الانبعاث، وبالتالي يكون البعث الفعلي في حقّه أمراً لغواً ولا محيص من تصوير البعث في مورده بعثاً إنشائياً</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7071083_73709187"/>
      <w:bookmarkStart w:id="540" w:name="_Toc209"/>
      <w:bookmarkEnd w:id="539"/>
      <w:r>
        <w:rPr/>
        <w:t>2</w:t>
      </w:r>
      <w:r>
        <w:rPr>
          <w:rtl w:val="true"/>
        </w:rPr>
        <w:t xml:space="preserve">. </w:t>
      </w:r>
      <w:r>
        <w:rPr>
          <w:rtl w:val="true"/>
        </w:rPr>
        <w:t>شرطية الابتلاء في صحّة التكليف</w:t>
      </w:r>
      <w:bookmarkEnd w:id="54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لكلّ مكلّف خطاب شخصيّ فلصيانته عن اللغويّة يشترط كون المكلّف به مورداً للابتلاء وإلّا يستهجن الخطاب عندئذٍ، فلو كان الخمر في أقاصي البلاد الذي لا تصل إليه يد المكلّف عادة، فخطابه بالاجتناب عنه يصير أمراً مستهجناً، وبذلك يختلف حكم المكلّف به حسب اختلاف الأفراد بالنسبة إلى المكلّف به، فلو كان موردَ ابتلاءٍ لزيد فالحكم فيه فعليّ وفي مورد غيره شأنيّ‌</w:t>
      </w:r>
      <w:r>
        <w:rPr>
          <w:rFonts w:eastAsia="Amiri" w:cs="Amiri" w:ascii="Amiri" w:hAnsi="Amiri"/>
          <w:color w:val="111111"/>
          <w:sz w:val="28"/>
          <w:szCs w:val="28"/>
          <w:rtl w:val="true"/>
          <w:lang w:bidi="ar-SA"/>
        </w:rPr>
        <w:t>.</w:t>
      </w:r>
      <w:bookmarkStart w:id="541" w:name="pg16776_179006"/>
    </w:p>
    <w:p>
      <w:pPr>
        <w:pStyle w:val="Heading4"/>
        <w:numPr>
          <w:ilvl w:val="3"/>
          <w:numId w:val="1"/>
        </w:numPr>
        <w:rPr/>
      </w:pPr>
      <w:bookmarkStart w:id="542" w:name="__RefHeading___Toc7071085_73709187"/>
      <w:bookmarkStart w:id="543" w:name="_Toc210"/>
      <w:bookmarkEnd w:id="541"/>
      <w:bookmarkEnd w:id="542"/>
      <w:r>
        <w:rPr/>
        <w:t>3</w:t>
      </w:r>
      <w:r>
        <w:rPr>
          <w:rtl w:val="true"/>
        </w:rPr>
        <w:t xml:space="preserve">. </w:t>
      </w:r>
      <w:r>
        <w:rPr>
          <w:rtl w:val="true"/>
        </w:rPr>
        <w:t>عدم وجوب الاجتناب عن الطرف الآخر في العلم الإجمالي</w:t>
      </w:r>
      <w:bookmarkEnd w:id="543"/>
    </w:p>
    <w:p>
      <w:pPr>
        <w:pStyle w:val="BookText"/>
        <w:rPr/>
      </w:pPr>
      <w:r>
        <w:rPr>
          <w:rFonts w:ascii="Amiri" w:hAnsi="Amiri" w:eastAsia="Amiri" w:cs="Amiri"/>
          <w:color w:val="111111"/>
          <w:sz w:val="28"/>
          <w:sz w:val="28"/>
          <w:szCs w:val="28"/>
          <w:rtl w:val="true"/>
          <w:lang w:bidi="ar-SA"/>
        </w:rPr>
        <w:t>رتّبوا على النتيجة الثانية أنّه إذا خرج بعض أطراف العلم الإجمالي عن محلّ الابتلاء قبل تعلّق العلم بالموضوع فلا يكون مثل ذلك العلم منجزاً في الطرف الذي وقع مورداً للابتلاء، مثلاً إذا فرضنا إنائين أحدهما خمر والآخر ماء والمكلّف غير عارف بحالهما، ثم خرج أحد الإنائين عن محلّ الابتلاء وحدث العلم الإجمالي بخمرية أحدهما، فلا يجب الاجتناب عن الإناء الموجود، لماذا؟ لأجل أنّه يستهجن خطاب المكلّف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هذا الإناء أو الإناء الذي خرج عن محلّ الابتلاء</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7071087_73709187"/>
      <w:bookmarkStart w:id="545" w:name="_Toc211"/>
      <w:bookmarkEnd w:id="544"/>
      <w:r>
        <w:rPr/>
        <w:t>4</w:t>
      </w:r>
      <w:r>
        <w:rPr>
          <w:rtl w:val="true"/>
        </w:rPr>
        <w:t xml:space="preserve">. </w:t>
      </w:r>
      <w:r>
        <w:rPr>
          <w:rtl w:val="true"/>
        </w:rPr>
        <w:t>القدرة شرط التكليف لكلّ مكلّف</w:t>
      </w:r>
      <w:bookmarkEnd w:id="545"/>
    </w:p>
    <w:p>
      <w:pPr>
        <w:pStyle w:val="BookText"/>
        <w:rPr/>
      </w:pPr>
      <w:r>
        <w:rPr>
          <w:rFonts w:ascii="Amiri" w:hAnsi="Amiri" w:eastAsia="Amiri" w:cs="Amiri"/>
          <w:color w:val="111111"/>
          <w:sz w:val="28"/>
          <w:sz w:val="28"/>
          <w:szCs w:val="28"/>
          <w:rtl w:val="true"/>
          <w:lang w:bidi="ar-SA"/>
        </w:rPr>
        <w:t>لمّا كان الحكم المشترك ظاهراً بصورة الخطاب الشخصي، فيشترط في فعلية الخطاب وجود الشرائط العامة في كلّ مكلّف على حدة وإلّا عاد الحكم إنشائياً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الآثار المترتّبة على تفسير الحكم المشترك بالخطاب الشخصيّ‌، وعلى ذلك جرى الشيخ الأنصاري في فرائده والمعلّقون على كتابه، والمحقّق الخراساني وتلاميذه وعامّة مشايخنا رحم اللّه الماضين منهم وحفظ اللّه الباقين</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7071089_73709187"/>
      <w:bookmarkStart w:id="547" w:name="_Toc212"/>
      <w:bookmarkEnd w:id="546"/>
      <w:r>
        <w:rPr>
          <w:rtl w:val="true"/>
        </w:rPr>
        <w:t>الخطاب القانوني مكان الخطاب الشخصي</w:t>
      </w:r>
      <w:bookmarkEnd w:id="547"/>
    </w:p>
    <w:p>
      <w:pPr>
        <w:pStyle w:val="Heading5"/>
        <w:numPr>
          <w:ilvl w:val="4"/>
          <w:numId w:val="1"/>
        </w:numPr>
        <w:rPr/>
      </w:pPr>
      <w:bookmarkStart w:id="548" w:name="__RefHeading___Toc7071091_73709187"/>
      <w:bookmarkStart w:id="549" w:name="_Toc213"/>
      <w:bookmarkEnd w:id="548"/>
      <w:r>
        <w:rPr>
          <w:rtl w:val="true"/>
        </w:rPr>
        <w:t>اشارة</w:t>
      </w:r>
      <w:bookmarkEnd w:id="5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الرأي العام هو ما ذكرنا في تفسير الحكم المشترك إلى أن وصلت النوبة إلى سيدنا الأُستاذ الإمام الخميني قدس سره فأبدى نظراً خاصّاً، أوجد انقلاباً في الأحكام الأربعة المترتّبة على الخطاب الشخصي، وحاصل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خطابات الشارع في الكتاب العزيز والسنّة المطهّرة خطابات قانونية وحجج عقلائية،</w:t>
      </w:r>
      <w:bookmarkStart w:id="550" w:name="pg16776_179007"/>
    </w:p>
    <w:p>
      <w:pPr>
        <w:pStyle w:val="BookText"/>
        <w:rPr/>
      </w:pPr>
      <w:bookmarkEnd w:id="550"/>
      <w:r>
        <w:rPr>
          <w:rFonts w:ascii="Amiri" w:hAnsi="Amiri" w:eastAsia="Amiri" w:cs="Amiri"/>
          <w:color w:val="111111"/>
          <w:sz w:val="28"/>
          <w:sz w:val="28"/>
          <w:szCs w:val="28"/>
          <w:rtl w:val="true"/>
          <w:lang w:bidi="ar-SA"/>
        </w:rPr>
        <w:t>فالخطاب واحد وإن كان المخاطب متعدّداً، لكن الخطاب الواحد بوحده حجّة على كلّ مكلّف كان مصداقاً للعنوان، من دون حاجة إلى تعدّد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استئناس ذلك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وضع القانون الوضعي في المجامع التقنينية، فالمقنّن أو القوّة التقنينيّة، ينشئ الحكم على عنوان ليكون حجّة على كلّ مَن يكون مصداقاً له، مثلاً التجنيد الإجباري لكلّ مَن بلغ العشرين، فإذا تمّ التشريع يصير دور الإبلاغ إلى الشعب بالطرق المألوفة في كلّ زمان، فيكون الخطاب في حقّ عامّة المكلّفين فعلياً دون أن يوجد في ذهن المقنّن ولا فريق التقنين خطابات متعدّدة حسب مصاديق العنوان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صحّ الانحلال في الإنشاء كما عليه الأُصوليّون لزمت صحّة الانحلال في الإخبار، فلو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باردة، يلزم أن يتّهم بأنّه كذب في صميم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أكاذيب كثيرة حسب عدد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لمّا بنى على أنّ وجود الحكم المشترك بمعنى وجود الحجّة المشتركة بين عامّة المكلّفين، رتّب على هذا المبنى أُموراً تخالف الرأي العام في الأُمور الماضية بين الأُصوليّين</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7071093_73709187"/>
      <w:bookmarkStart w:id="552" w:name="_Toc214"/>
      <w:bookmarkEnd w:id="551"/>
      <w:r>
        <w:rPr>
          <w:rtl w:val="true"/>
        </w:rPr>
        <w:t>ألف</w:t>
      </w:r>
      <w:r>
        <w:rPr>
          <w:rtl w:val="true"/>
        </w:rPr>
        <w:t xml:space="preserve">. </w:t>
      </w:r>
      <w:r>
        <w:rPr>
          <w:rtl w:val="true"/>
        </w:rPr>
        <w:t>تفسير الحكم الإنشائي والفعلي</w:t>
      </w:r>
      <w:bookmarkEnd w:id="55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تفسير الحكم الإنشائي والفعلي حسب نظر المشهور، وهو صحيح على مختارهم، ولمّا كان المختار عند سيدنا الأُستاذ وحدة الخطاب فسّر الحكم الإنشائي بالحكم الذي تمّ تشريعه ولكن لم يتمّ إبلاغه، وذلك نظير الأحكام المخزونة عند صاحب الأمر فهي أحكام إنشائية وليست فعليّة، وأمّا ما سواها فبما أنّه تمّ تشريعه وابلاغه عن طريق النبي صلى الله عليه و آله وأئمّة أهل البيت عليهم السلام فالأحكام</w:t>
      </w:r>
      <w:bookmarkStart w:id="553" w:name="pg16776_179008"/>
    </w:p>
    <w:p>
      <w:pPr>
        <w:pStyle w:val="BookText"/>
        <w:rPr/>
      </w:pPr>
      <w:bookmarkEnd w:id="553"/>
      <w:r>
        <w:rPr>
          <w:rFonts w:ascii="Amiri" w:hAnsi="Amiri" w:eastAsia="Amiri" w:cs="Amiri"/>
          <w:color w:val="111111"/>
          <w:sz w:val="28"/>
          <w:sz w:val="28"/>
          <w:szCs w:val="28"/>
          <w:rtl w:val="true"/>
          <w:lang w:bidi="ar-SA"/>
        </w:rPr>
        <w:t>كلّها أحكام فعليّة لا إنشائية، فلا تجد في الكتاب والسنّة ولا في مورد المكلّفين حكماً إنشائياً بل الجميع فعلي أي تمّ تشريعه وإبلاغه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لا يكون الحكم منجّزاً إلّافي ظرف وجود الشرائط، وإلّا يكون غير منجّز، فالعاجز عن امتثال المكلّف به، محكوم بحكم فعليّ بمعنى شمول الحجّة له، لأجل صدق العنوان عليه، غاية الأمر عند فقد الشرائط فهو يحتجّ على المولى في ترك الامتثال بالعجز</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7071095_73709187"/>
      <w:bookmarkStart w:id="555" w:name="_Toc215"/>
      <w:bookmarkEnd w:id="554"/>
      <w:r>
        <w:rPr>
          <w:rtl w:val="true"/>
        </w:rPr>
        <w:t>ب</w:t>
      </w:r>
      <w:r>
        <w:rPr>
          <w:rtl w:val="true"/>
        </w:rPr>
        <w:t xml:space="preserve">. </w:t>
      </w:r>
      <w:r>
        <w:rPr>
          <w:rtl w:val="true"/>
        </w:rPr>
        <w:t>عدم شرطية الابتلاء في التكليف</w:t>
      </w:r>
      <w:bookmarkEnd w:id="555"/>
    </w:p>
    <w:p>
      <w:pPr>
        <w:pStyle w:val="BookText"/>
        <w:rPr/>
      </w:pPr>
      <w:r>
        <w:rPr>
          <w:rFonts w:ascii="Amiri" w:hAnsi="Amiri" w:eastAsia="Amiri" w:cs="Amiri"/>
          <w:color w:val="111111"/>
          <w:sz w:val="28"/>
          <w:sz w:val="28"/>
          <w:szCs w:val="28"/>
          <w:rtl w:val="true"/>
          <w:lang w:bidi="ar-SA"/>
        </w:rPr>
        <w:t>لو كان الخطاب شخصيّاً صحّت شرطية الابتلاء في توجيه الخطاب إلى المكلّف، وأمّا إذا كان الخطاب قانونياً وخطاباً واحداً وحجّة فريدة فلا يشترط وجود الابتلاء بالمكلّف به في كلّ واحد منهم، بل يكفي وجود الابتلاء في جم غفير منهم، وهذا النوع من الابتلاء يصحّح تكليف عامّة المكلّفين ولا يعدّ الخطاب للجميع خطاباً مستهجناً</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7071097_73709187"/>
      <w:bookmarkStart w:id="557" w:name="_Toc216"/>
      <w:bookmarkEnd w:id="556"/>
      <w:r>
        <w:rPr>
          <w:rtl w:val="true"/>
        </w:rPr>
        <w:t>ج</w:t>
      </w:r>
      <w:r>
        <w:rPr>
          <w:rtl w:val="true"/>
        </w:rPr>
        <w:t xml:space="preserve">. </w:t>
      </w:r>
      <w:r>
        <w:rPr>
          <w:rtl w:val="true"/>
        </w:rPr>
        <w:t>وجوب الاجتناب عن الطرف الآخر</w:t>
      </w:r>
      <w:bookmarkEnd w:id="5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الخطاب شخصيّاً صحّ القول بعدم تنجيز العلم الإجمالي فيما إذا خرج الطرف الآخر عن مورد الابتلاء قبل تعلّق العلم الإجمالي، وأمّا على القول بأنّ الخطاب واحد متعلّق بالعنوان فيكفي وجود الابتلاء عند أكثر المكلّفين لا كلّ واحد منهم، فقد تمّت الحجّة على وجوب الاجتناب عن النجس من غير فرق بين تعلّق العلم قبل الخروج عن محلّ الابتلاء أو بعده وكون الخطاب مستهجناً لازم للخطاب الشخصي لا الخطاب القانوني، وعندئذٍ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اليقيني يستلزم البراءة اليقينية ولا يحصل إلّاباجتناب مورد الابتلاء</w:t>
      </w:r>
      <w:r>
        <w:rPr>
          <w:rFonts w:eastAsia="Amiri" w:cs="Amiri" w:ascii="Amiri" w:hAnsi="Amiri"/>
          <w:color w:val="111111"/>
          <w:sz w:val="28"/>
          <w:szCs w:val="28"/>
          <w:rtl w:val="true"/>
          <w:lang w:bidi="ar-SA"/>
        </w:rPr>
        <w:t>.</w:t>
      </w:r>
      <w:bookmarkStart w:id="558" w:name="pg16776_179009"/>
    </w:p>
    <w:p>
      <w:pPr>
        <w:pStyle w:val="BookText"/>
        <w:rPr/>
      </w:pPr>
      <w:bookmarkEnd w:id="558"/>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الخروج عن محلّ الابتلاء سبباً لاختصاص الحكم التكليفي بمن ابتلي بالمكلّف به دون مَن خرج عن ابتلائه، لزم القول بذلك في الأحكام الوضعية فيكون الخمر نجساً لمن ابتلى به دون من لم يكن كذلك، وهذا ممّا لا يلتزم به فقيه</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7071099_73709187"/>
      <w:bookmarkStart w:id="560" w:name="_Toc217"/>
      <w:bookmarkEnd w:id="559"/>
      <w:r>
        <w:rPr>
          <w:rtl w:val="true"/>
        </w:rPr>
        <w:t>د</w:t>
      </w:r>
      <w:r>
        <w:rPr>
          <w:rtl w:val="true"/>
        </w:rPr>
        <w:t xml:space="preserve">. </w:t>
      </w:r>
      <w:r>
        <w:rPr>
          <w:rtl w:val="true"/>
        </w:rPr>
        <w:t>كفاية وجود الشرائط في جمع من المكلّفين</w:t>
      </w:r>
      <w:bookmarkEnd w:id="560"/>
    </w:p>
    <w:p>
      <w:pPr>
        <w:pStyle w:val="BookText"/>
        <w:rPr/>
      </w:pPr>
      <w:r>
        <w:rPr>
          <w:rFonts w:ascii="Amiri" w:hAnsi="Amiri" w:eastAsia="Amiri" w:cs="Amiri"/>
          <w:color w:val="111111"/>
          <w:sz w:val="28"/>
          <w:sz w:val="28"/>
          <w:szCs w:val="28"/>
          <w:rtl w:val="true"/>
          <w:lang w:bidi="ar-SA"/>
        </w:rPr>
        <w:t>لو كان التكليف بالخطاب الشخصي يستهجن لمن فقد الشرائط، وأمّا لو كان الخطاب قانونيّاً فيكفي وجود الشرائط في جمّ غفير من المكلّفين وإن كان البعض الآخر فاقداً، ومع ذلك فالخطاب عام يعمّ الحائز والفاقد، غير أنّ الثاني يحتجّ على المولى بالعذر، وهذا غير القول بعدم شمول التكليف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صحّة خطاب العاصي المتمرّد والكافر الجاحد؛ وذلك لأنّ الخطاب قانوني والحكم موضوع على العنوان العام شامل للعاصي والكافر من دون أخذ خصوصيات المكلّف في الموضوع حتى يستهجن الخطاب بالنسبة إليهما، وهذا من أحد المشاكل في القول بالخطاب الشخصي في مورد العاصي المتمرّد والكافر الجاحد، حيث يستهجن خطاب الكافر بإقامة الصلاة بخطاب شخصي</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7071101_73709187"/>
      <w:bookmarkStart w:id="562" w:name="_Toc218"/>
      <w:bookmarkEnd w:id="561"/>
      <w:r>
        <w:rPr>
          <w:rtl w:val="true"/>
        </w:rPr>
        <w:t>تصحيح الترتّب بخطابين عرضيّين</w:t>
      </w:r>
      <w:bookmarkEnd w:id="562"/>
    </w:p>
    <w:p>
      <w:pPr>
        <w:pStyle w:val="BookText"/>
        <w:rPr/>
      </w:pPr>
      <w:r>
        <w:rPr>
          <w:rFonts w:ascii="Amiri" w:hAnsi="Amiri" w:eastAsia="Amiri" w:cs="Amiri"/>
          <w:color w:val="111111"/>
          <w:sz w:val="28"/>
          <w:sz w:val="28"/>
          <w:szCs w:val="28"/>
          <w:rtl w:val="true"/>
          <w:lang w:bidi="ar-SA"/>
        </w:rPr>
        <w:t>لمّا ذهب القوم إلى الخطاب الشخصي، التجأوا في تصحيح الترتّب إلى تقييد الخطاب بالمهم بقيد العصيان على نحو الشرط المتأخّر حتى يكون الخطاب بالمهم في طول الخطاب بالأهم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سيدنا الأُستاذ أنكر القول بالترتّب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الأمرين في الرتبة لا يصحّح الخطاب بأمرين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ذلك بردّ المقدّمات</w:t>
      </w:r>
    </w:p>
    <w:p>
      <w:pPr>
        <w:pStyle w:val="BookText"/>
        <w:rPr/>
      </w:pPr>
      <w:r>
        <w:rPr>
          <w:rFonts w:ascii="Amiri" w:hAnsi="Amiri" w:eastAsia="Amiri" w:cs="Amiri"/>
          <w:color w:val="111111"/>
          <w:sz w:val="28"/>
          <w:sz w:val="28"/>
          <w:szCs w:val="28"/>
          <w:rtl w:val="true"/>
          <w:lang w:bidi="ar-SA"/>
        </w:rPr>
        <w:t xml:space="preserve">الخمس التي أقامها المحقّق النائيني على تصحيح الترتّب، فمن أراد التفصيل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صحّح مورد الترتّب بأمرين عرضيّين على نحو وجود حجّتين مطلقتين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فريضة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قائلاً بأنّ الخطاب فيهما قانوني لا شخصي، فالمصلّي أمام حجّتين شرعيّتين يمكن أن يمتثل الأهم ويحتجّ على المولى في ترك الأمر بالمهم بصرف القدرة في الأهم، كما أنّه يمكن له أن يمتثل الأمر بالمهم ولكن يثاب من جهة ويعاقب من جهة ترك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أنّه ترك كلا الأمرين لتعدّد عقابه؛ وذلك لأنّه كان في إمكان المكلّف أن يقوم بعمل يحتجّ به على المولى بأن يأتي بالأهم، ولمّا تركه يحتجّ عليه المولى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الأمر بالإزالة‌؟ فيعاقب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الأمر بالصلاة‌؟ فيعاقب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أنّه كيف يعاقب بعقابين مع وجود قدرة واحدة والتي لا تكفي إلّا لواحد من الواجبين؛ مدفوع بأنّ الملاك في صحّة العقاب هو تمكّن المكلّف من إقامة الحجّة على المولى وامتثال أوامره بنحو يكون له الحجّة على المولى، والمفروض أنّه كان متمكّناً منها بأن يأتي بالأهم ويكتسب رضا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ترك ذلك كان له الاحتجاج على ترك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لما قرّر صحة خطابين عرضيّين بترتيب مقدّمات، ولمّا تمّ كلامه أوردنا عليه الإشكال التالي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الإهمال في عالم الثبوت غير معقول، فحينئذٍ عجز المكلّف، والمطاردة والتزاحم وإن كانت بوجودها متأخّرة عن رتبة الجعل والتشريع إلّاأنّ‌</w:t>
      </w:r>
    </w:p>
    <w:p>
      <w:pPr>
        <w:pStyle w:val="BookText"/>
        <w:rPr/>
      </w:pPr>
      <w:r>
        <w:rPr>
          <w:rFonts w:ascii="Amiri" w:hAnsi="Amiri" w:eastAsia="Amiri" w:cs="Amiri"/>
          <w:color w:val="111111"/>
          <w:sz w:val="28"/>
          <w:sz w:val="28"/>
          <w:szCs w:val="28"/>
          <w:rtl w:val="true"/>
          <w:lang w:bidi="ar-SA"/>
        </w:rPr>
        <w:t>الحاكم يمكن أن يتصوّر حين إرادة التشريع تزاحم هذا الحكم الكلّي مع الكلّي الآخر إذا أراد المكلّف إيجادهما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يتصوّر تزاحم الحكمين الكلّيين في مقام الامتثال فحينئذٍ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المتعلّقة على هذا العنوان هل هي باقية على سعتها وعمومها بالنسبة إلى حال التزاحم التي فرضنا أنّ المولى توجّه إليها حين تعلّق الإرادة أولا؟</w:t>
      </w:r>
    </w:p>
    <w:p>
      <w:pPr>
        <w:pStyle w:val="BookText"/>
        <w:rPr/>
      </w:pPr>
      <w:r>
        <w:rPr>
          <w:rFonts w:ascii="Amiri" w:hAnsi="Amiri" w:eastAsia="Amiri" w:cs="Amiri"/>
          <w:color w:val="111111"/>
          <w:sz w:val="28"/>
          <w:sz w:val="28"/>
          <w:szCs w:val="28"/>
          <w:rtl w:val="true"/>
          <w:lang w:bidi="ar-SA"/>
        </w:rPr>
        <w:t>فعلى الأوّل يلزم تعلّق الإرادة التشريعية بشيء محال، وعلى الثاني يلزم التقييد في جانب الإرادة، ولازمه التقييد في جانب الخطاب، وليس الكلام في مفاد اللفظ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ليس معناه التسوية في جميع الحالات، بل في الإرادة المولوية التي لا تقبل الإجمال والإهمال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كتب بخطّه الشريف الجواب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معنى عدم الإهمال الثبوتي أنّ الحاكم حين الحكم يلاحظ جميع الحالات الطارئة على التكليف والمكلّف، ويقايس التكليف مع سائر تكاليفه جمعاً ومزاحمة، ضرورة بطلان ذلك، بل المراد من عدم الإهمال هو أنّ الأمر بحسب اللّبّ إمّا أن تتعلّق إرادته وحكمه بنفس الطبيعة بلا قيد، فتكون الطبيعة بنفسها تمام الموضوع، وإمّا أن تتعلّق بها مع قيد أو قيود، فيكون موضوعها هو المقيّد، والإهمال إنّما هو في مقام البيان لا في مقام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الحالات الطارئة للمكلّف أو للتكليف بعد جعله، فهي ليست دخيلة في الموضوع حتى يتقيّد بها أو يكون الحاكم ناظراً إليها، فالحاكم في مقام الحكم لا ينظر إلّاإلى موضوع حكمه وكلّ ما هو دخيل فيه لا غير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موجز ما شرحه قدس سره في عدّة مجالس من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أقترح على الحضّار الكرام دراسة تلك النظرية بإمعان ودقّة لتطوير علم الأُصول و تكامله، وكان قدس سره يحثّ تلاميذه على نقد الآراء ودراستها، وأن لا يقتصروا على تحرير آراء الأُستاذ بل يعلّقوا عليه في الهامش بما يخطر ببالهم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الحقيقة بنت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أختم الكلام بالشكر الجزيل للمقيمين لهذه الندوة الأُصولية وحضّارها، ونرجو أن يأتي بعدها ندوات أُخرى بإذن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ذي الحجة الحرام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563" w:name="pg16776_179013"/>
    </w:p>
    <w:p>
      <w:pPr>
        <w:pStyle w:val="Heading3"/>
        <w:numPr>
          <w:ilvl w:val="2"/>
          <w:numId w:val="1"/>
        </w:numPr>
        <w:rPr/>
      </w:pPr>
      <w:bookmarkStart w:id="564" w:name="__RefHeading___Toc7071103_73709187"/>
      <w:bookmarkStart w:id="565" w:name="_Toc219"/>
      <w:bookmarkEnd w:id="563"/>
      <w:bookmarkEnd w:id="564"/>
      <w:r>
        <w:rPr/>
        <w:t>3</w:t>
      </w:r>
      <w:r>
        <w:rPr>
          <w:rtl w:val="true"/>
        </w:rPr>
        <w:t xml:space="preserve">. </w:t>
      </w:r>
      <w:r>
        <w:rPr>
          <w:rtl w:val="true"/>
        </w:rPr>
        <w:t>أُسس آراء المحقّق النائيني</w:t>
      </w:r>
      <w:bookmarkEnd w:id="565"/>
    </w:p>
    <w:p>
      <w:pPr>
        <w:pStyle w:val="Heading4"/>
        <w:numPr>
          <w:ilvl w:val="3"/>
          <w:numId w:val="1"/>
        </w:numPr>
        <w:rPr/>
      </w:pPr>
      <w:bookmarkStart w:id="566" w:name="__RefHeading___Toc7071105_73709187"/>
      <w:bookmarkStart w:id="567" w:name="_Toc220"/>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إنّ للمحقق النائيني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آراءً وأفكاراً نشير إلى رؤوسها على وجه الإجمال ويطلب التفصيل من محالّها</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071107_73709187"/>
      <w:bookmarkStart w:id="569" w:name="_Toc221"/>
      <w:bookmarkEnd w:id="568"/>
      <w:r>
        <w:rPr/>
        <w:t>1</w:t>
      </w:r>
      <w:r>
        <w:rPr>
          <w:rtl w:val="true"/>
        </w:rPr>
        <w:t xml:space="preserve">. </w:t>
      </w:r>
      <w:r>
        <w:rPr>
          <w:rtl w:val="true"/>
        </w:rPr>
        <w:t>حلّ المشاكل عن طريق القضايا الحقيقية والخارجية</w:t>
      </w:r>
      <w:bookmarkEnd w:id="569"/>
    </w:p>
    <w:p>
      <w:pPr>
        <w:pStyle w:val="BookText"/>
        <w:rPr/>
      </w:pPr>
      <w:r>
        <w:rPr>
          <w:rFonts w:ascii="Amiri" w:hAnsi="Amiri" w:eastAsia="Amiri" w:cs="Amiri"/>
          <w:color w:val="111111"/>
          <w:sz w:val="28"/>
          <w:sz w:val="28"/>
          <w:szCs w:val="28"/>
          <w:rtl w:val="true"/>
          <w:lang w:bidi="ar-SA"/>
        </w:rPr>
        <w:t>إنّ تقسيم القضايا إلى حقيقية وخارجية تقسيم معروف في المنطق، وإن وقع الاختلاف في تفسيرهما بين الحكيم السبزواري والشيخ الرئيس، لكن المحقّق النائيني قبل ما هو المعروف من عهد الحكيم السبزواري إلى يومنا هذا، فبنى عليه معالجة قسم من مشاكل علم الأُصول،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الخطابات القرآنية للغائبين والمعدومين،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موضوعة على غرار القضايا الحقيقية التي يحكم فيها بالحكم على الأفراد المحقّقة أو المقدّرة، والغائب والمعدوم بين محقّق ومقدّر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وتقسيم القضايا إلى القسمين أداة طيّعة بيد النائيني يستعملها في كثير من الموارد وهي بمنزلة تقسيم القضايا إلى مشروطة وحينية أو الحصة التوأمة، في مدرسة المحقّق النراقي، وهما بمنزلة إطلاق المادّة في مدرسة شيخ مشايخنا المحقّق الحائري في درره، وكلّاً وعد اللّه الحسنى</w:t>
      </w:r>
      <w:r>
        <w:rPr>
          <w:rFonts w:eastAsia="Amiri" w:cs="Amiri" w:ascii="Amiri" w:hAnsi="Amiri"/>
          <w:color w:val="111111"/>
          <w:sz w:val="28"/>
          <w:szCs w:val="28"/>
          <w:rtl w:val="true"/>
          <w:lang w:bidi="ar-SA"/>
        </w:rPr>
        <w:t>.</w:t>
      </w:r>
      <w:bookmarkStart w:id="570" w:name="pg16776_179014"/>
    </w:p>
    <w:p>
      <w:pPr>
        <w:pStyle w:val="Heading4"/>
        <w:numPr>
          <w:ilvl w:val="3"/>
          <w:numId w:val="1"/>
        </w:numPr>
        <w:rPr/>
      </w:pPr>
      <w:bookmarkStart w:id="571" w:name="__RefHeading___Toc7071109_73709187"/>
      <w:bookmarkStart w:id="572" w:name="_Toc222"/>
      <w:bookmarkEnd w:id="570"/>
      <w:bookmarkEnd w:id="571"/>
      <w:r>
        <w:rPr/>
        <w:t>2</w:t>
      </w:r>
      <w:r>
        <w:rPr>
          <w:rtl w:val="true"/>
        </w:rPr>
        <w:t xml:space="preserve">. </w:t>
      </w:r>
      <w:r>
        <w:rPr>
          <w:rtl w:val="true"/>
        </w:rPr>
        <w:t>إرجاع الشروط إلى الموضوع</w:t>
      </w:r>
      <w:bookmarkEnd w:id="572"/>
    </w:p>
    <w:p>
      <w:pPr>
        <w:pStyle w:val="BookText"/>
        <w:rPr/>
      </w:pPr>
      <w:r>
        <w:rPr>
          <w:rFonts w:ascii="Amiri" w:hAnsi="Amiri" w:eastAsia="Amiri" w:cs="Amiri"/>
          <w:color w:val="111111"/>
          <w:sz w:val="28"/>
          <w:sz w:val="28"/>
          <w:szCs w:val="28"/>
          <w:rtl w:val="true"/>
          <w:lang w:bidi="ar-SA"/>
        </w:rPr>
        <w:t>من أفكاره إرجاع الشروط إلى الموضوع وبالتالي إرجاع القضايا الشرطية إلى الحملية،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موضوع شرط وكلّ شرط موضوع، فالموضوع لوجوب الحج هو العاقل البالغ المستطيع، وبذلك تخلّص من البحث في إرجاع القيود إلى الهيئة كما عليه المحقّق الخراساني، أو إلى المادة كما عليه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7071111_73709187"/>
      <w:bookmarkStart w:id="574" w:name="_Toc223"/>
      <w:bookmarkEnd w:id="573"/>
      <w:r>
        <w:rPr/>
        <w:t>3</w:t>
      </w:r>
      <w:r>
        <w:rPr>
          <w:rtl w:val="true"/>
        </w:rPr>
        <w:t xml:space="preserve">. </w:t>
      </w:r>
      <w:r>
        <w:rPr>
          <w:rtl w:val="true"/>
        </w:rPr>
        <w:t>نتيجة الإطلاق والتقييد</w:t>
      </w:r>
      <w:bookmarkEnd w:id="574"/>
    </w:p>
    <w:p>
      <w:pPr>
        <w:pStyle w:val="BookText"/>
        <w:rPr/>
      </w:pPr>
      <w:r>
        <w:rPr>
          <w:rFonts w:ascii="Amiri" w:hAnsi="Amiri" w:eastAsia="Amiri" w:cs="Amiri"/>
          <w:color w:val="111111"/>
          <w:sz w:val="28"/>
          <w:sz w:val="28"/>
          <w:szCs w:val="28"/>
          <w:rtl w:val="true"/>
          <w:lang w:bidi="ar-SA"/>
        </w:rPr>
        <w:t>لمّا كان العلم بالحكم من الانقسامات اللاحقة له فلا يمكن فيه الإطلاق ولا التقييد اللحاظيين لاستلزامه الدور، ولذلك قال بامتناع أخذ العلم قيداً، جزءاً أو شرطاً، في مقام الجعل، كما هو الحال في عامّة الانقسامات اللاحقة للمتعلّق باعتبار تعلّق الحكم به، كقصد التعبّد والتقرّب في العبادات، وإذا امتنع التقييد امتنع الإطلاق أيضاً؛ لأنّ التقابل بين الإطلاق والتقييد تقابل العدم والملكة، ولكن الإهمال الثبوتي أيضاً لا يعقل بل لابدّ إمّا من نتيجة الإطلاق بدليل آخر أو من نتيجة التقييد بدليل آخر أيضاً؛ وذلك لأنّ الملاك الذي اقتضى تشريع الحكم إمّا أن يكون في كلتا حالتي الجهل والعلم، فلابدّ من نتيجة الإطلاق، وإمّا أن يكون محفوظاً في حالة العلم فلابدّ من 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يمكن أن يكون الجعل الأوّلي متكفّلاً لبيان ذلك، فلابدّ منه من جعل آخر تستفاد منه إمّا نتيجة الإطلاق أو نتيجة التقييد، وهو المصطلح عليه بمتم الجعل، فاستكشاف كلّ من نتيجتي الإطلاق والتقييد يكون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رتّب أُموراً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الأحكام في حقّ العالم والجاهل</w:t>
      </w:r>
      <w:r>
        <w:rPr>
          <w:rFonts w:eastAsia="Amiri" w:cs="Amiri" w:ascii="Amiri" w:hAnsi="Amiri"/>
          <w:color w:val="111111"/>
          <w:sz w:val="28"/>
          <w:szCs w:val="28"/>
          <w:rtl w:val="true"/>
          <w:lang w:bidi="ar-SA"/>
        </w:rPr>
        <w:t>.</w:t>
      </w:r>
      <w:bookmarkStart w:id="575" w:name="pg16776_179015"/>
    </w:p>
    <w:p>
      <w:pPr>
        <w:pStyle w:val="BookText"/>
        <w:rPr/>
      </w:pPr>
      <w:bookmarkEnd w:id="575"/>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أخذ ما يقع تحت دائرة الطلب في المتعلّق كقصد التعبّد وقصد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توجيه مقالة الأخباريّين من تقييد الأحكام الواقعية بما أدّى إليه الكتاب والسنّة، كلّ ذلك بدليل ثان خارج عن الجعل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صحّة الترتّب؛ لأنّ العصيان والطاعة من الانقسامات اللاحقة للأحكام فعصيان الأمر بالأهم متأخّر عنه، وهو موضوع للأمر بالمهم، فيكون الأمر به متأخّراً عن الأمر بالأهم بمرتبتين</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7071113_73709187"/>
      <w:bookmarkStart w:id="577" w:name="_Toc224"/>
      <w:bookmarkEnd w:id="576"/>
      <w:r>
        <w:rPr/>
        <w:t>4</w:t>
      </w:r>
      <w:r>
        <w:rPr>
          <w:rtl w:val="true"/>
        </w:rPr>
        <w:t xml:space="preserve">. </w:t>
      </w:r>
      <w:r>
        <w:rPr>
          <w:rtl w:val="true"/>
        </w:rPr>
        <w:t>اختصاص الأمر بالحصّة المقدورة</w:t>
      </w:r>
      <w:bookmarkEnd w:id="577"/>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الأمر هو إيجاد الداعي والتحريك في المكلّف، فيكون شموله للعاجز لغواً، فلازم ذلك عدم شمول الأحكام للعاجز لعدم وجود الداعي فيه</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7071115_73709187"/>
      <w:bookmarkStart w:id="579" w:name="_Toc225"/>
      <w:bookmarkEnd w:id="578"/>
      <w:r>
        <w:rPr/>
        <w:t>5</w:t>
      </w:r>
      <w:r>
        <w:rPr>
          <w:rtl w:val="true"/>
        </w:rPr>
        <w:t xml:space="preserve">. </w:t>
      </w:r>
      <w:r>
        <w:rPr>
          <w:rtl w:val="true"/>
        </w:rPr>
        <w:t>تفسير الحجّية في الأمارات بجعل الطريقية</w:t>
      </w:r>
      <w:bookmarkEnd w:id="579"/>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الأمارات هي الطريقية والكاشفية، فبما أنّ كاشفيتها كانت ناقصة فالشارع أتمّ كاشفيتها وطريقيتها فتلقاها كاشفاً تامّاً في عالم التشريع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يقوم مقام العلم في القطع الموضوعي لأنّه وإن لم يكن قطعاً تكوينياً بل قطعاً تشريعياً لكن الشارع نزله منزلة القطع، في مقابل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الأمارات هو الحكم المماثل لما تؤدّي إليه الأمارات، وفي مقابل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مورد الأمارات أي جعل سوى إمضاء ما بيد العرف</w:t>
      </w:r>
      <w:r>
        <w:rPr>
          <w:rFonts w:eastAsia="Amiri" w:cs="Amiri" w:ascii="Amiri" w:hAnsi="Amiri"/>
          <w:color w:val="111111"/>
          <w:sz w:val="28"/>
          <w:szCs w:val="28"/>
          <w:rtl w:val="true"/>
          <w:lang w:bidi="ar-SA"/>
        </w:rPr>
        <w:t>.</w:t>
      </w:r>
      <w:bookmarkStart w:id="580" w:name="pg16776_179016"/>
    </w:p>
    <w:p>
      <w:pPr>
        <w:pStyle w:val="Heading4"/>
        <w:numPr>
          <w:ilvl w:val="3"/>
          <w:numId w:val="1"/>
        </w:numPr>
        <w:rPr/>
      </w:pPr>
      <w:bookmarkStart w:id="581" w:name="__RefHeading___Toc7071117_73709187"/>
      <w:bookmarkStart w:id="582" w:name="_Toc226"/>
      <w:bookmarkEnd w:id="580"/>
      <w:bookmarkEnd w:id="581"/>
      <w:r>
        <w:rPr/>
        <w:t>6</w:t>
      </w:r>
      <w:r>
        <w:rPr>
          <w:rtl w:val="true"/>
        </w:rPr>
        <w:t xml:space="preserve">. </w:t>
      </w:r>
      <w:r>
        <w:rPr>
          <w:rtl w:val="true"/>
        </w:rPr>
        <w:t>عدم تبعية الدلالة الالتزامية للمطابقية في الحجّية</w:t>
      </w:r>
      <w:bookmarkEnd w:id="582"/>
    </w:p>
    <w:p>
      <w:pPr>
        <w:pStyle w:val="BookText"/>
        <w:rPr/>
      </w:pPr>
      <w:r>
        <w:rPr>
          <w:rFonts w:ascii="Amiri" w:hAnsi="Amiri" w:eastAsia="Amiri" w:cs="Amiri"/>
          <w:color w:val="111111"/>
          <w:sz w:val="28"/>
          <w:sz w:val="28"/>
          <w:szCs w:val="28"/>
          <w:rtl w:val="true"/>
          <w:lang w:bidi="ar-SA"/>
        </w:rPr>
        <w:t>المعروف أنّه إذا سقطت الدلالة المطابقية عن الحجّية لأجل التعارض تسقط الدلالة الالتزامية لكلّ من المتعارضين التي تتفقان في نفي الثالث ولكنّه رحمه الله يعتقد بعدم التبعية ويأخذ بلوازم الخبرين المتعارضين وهي نفي صحّة الثالث</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7071119_73709187"/>
      <w:bookmarkStart w:id="584" w:name="_Toc227"/>
      <w:bookmarkEnd w:id="583"/>
      <w:r>
        <w:rPr/>
        <w:t>7</w:t>
      </w:r>
      <w:r>
        <w:rPr>
          <w:rtl w:val="true"/>
        </w:rPr>
        <w:t xml:space="preserve">. </w:t>
      </w:r>
      <w:r>
        <w:rPr>
          <w:rtl w:val="true"/>
        </w:rPr>
        <w:t>الموضوع غير المتعلّق</w:t>
      </w:r>
      <w:bookmarkEnd w:id="584"/>
    </w:p>
    <w:p>
      <w:pPr>
        <w:pStyle w:val="BookText"/>
        <w:rPr/>
      </w:pPr>
      <w:r>
        <w:rPr>
          <w:rFonts w:ascii="Amiri" w:hAnsi="Amiri" w:eastAsia="Amiri" w:cs="Amiri"/>
          <w:color w:val="111111"/>
          <w:sz w:val="28"/>
          <w:sz w:val="28"/>
          <w:szCs w:val="28"/>
          <w:rtl w:val="true"/>
          <w:lang w:bidi="ar-SA"/>
        </w:rPr>
        <w:t>يُستعمل كثيراً الموضوع مكان المتعلّق وبالعكس، ولكنّه قدس سره يخصّص كلّاً منهما بمعنى خاص، فالمكلّف نفسه عنده هو الموضوع وما تعلّق به الوجوب والحرمة هو المتعلّق</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7071121_73709187"/>
      <w:bookmarkStart w:id="586" w:name="_Toc228"/>
      <w:bookmarkEnd w:id="585"/>
      <w:r>
        <w:rPr/>
        <w:t>8</w:t>
      </w:r>
      <w:r>
        <w:rPr>
          <w:rtl w:val="true"/>
        </w:rPr>
        <w:t xml:space="preserve">. </w:t>
      </w:r>
      <w:r>
        <w:rPr>
          <w:rtl w:val="true"/>
        </w:rPr>
        <w:t>تقسيم العقود إلى أقسام</w:t>
      </w:r>
      <w:bookmarkEnd w:id="586"/>
    </w:p>
    <w:p>
      <w:pPr>
        <w:pStyle w:val="BookText"/>
        <w:rPr/>
      </w:pPr>
      <w:r>
        <w:rPr>
          <w:rFonts w:ascii="Amiri" w:hAnsi="Amiri" w:eastAsia="Amiri" w:cs="Amiri"/>
          <w:color w:val="111111"/>
          <w:sz w:val="28"/>
          <w:sz w:val="28"/>
          <w:szCs w:val="28"/>
          <w:rtl w:val="true"/>
          <w:lang w:bidi="ar-SA"/>
        </w:rPr>
        <w:t>إنّ المحقق النائيني هو البطل العلمي في حلبة فقه المعاملات، فكأنّ متاجر الشيخ أُقفل في صندوق أُعطيت مفاتحه بيده، فهو يشرحها في محاضراته التي جمعها وحرّرها الشيخ موسى الخوانساري بنحو رائع، ومن ابتكاراته تقسيم العقود إلى عقود إذنية وعقود عهدية؛ والعقود العهدية إلى عقود عهدية تنجيزية، وعقود عهدية 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والعقود التنجيزية إلى تمليكية وغير 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التقسيم بنى قسماً من آرائه في باب المعاملات</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7071123_73709187"/>
      <w:bookmarkStart w:id="588" w:name="_Toc229"/>
      <w:bookmarkEnd w:id="587"/>
      <w:r>
        <w:rPr/>
        <w:t>9</w:t>
      </w:r>
      <w:r>
        <w:rPr>
          <w:rtl w:val="true"/>
        </w:rPr>
        <w:t xml:space="preserve">. </w:t>
      </w:r>
      <w:r>
        <w:rPr>
          <w:rtl w:val="true"/>
        </w:rPr>
        <w:t>ابتناء القول بالإشاعة على القول ببطلان قول الجزء لا يتجزّأ</w:t>
      </w:r>
      <w:bookmarkEnd w:id="588"/>
    </w:p>
    <w:p>
      <w:pPr>
        <w:pStyle w:val="BookText"/>
        <w:rPr/>
      </w:pPr>
      <w:r>
        <w:rPr>
          <w:rFonts w:ascii="Amiri" w:hAnsi="Amiri" w:eastAsia="Amiri" w:cs="Amiri"/>
          <w:color w:val="111111"/>
          <w:sz w:val="28"/>
          <w:sz w:val="28"/>
          <w:szCs w:val="28"/>
          <w:rtl w:val="true"/>
          <w:lang w:bidi="ar-SA"/>
        </w:rPr>
        <w:t>يذكر عند البحث في قاعدة اليد وأنّها أمارة الملكية وينتهي كلامه حول الملك المفروز والملك المشاع إلى أنّ القول بالثاني مبني على بطلان الجزء لا يتجزّأ في مقابل القول بالجوهر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الحكيم السبزواري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تفكك الرحى ونفي الدائرة وحجج أُخرى لديهم دائرة</w:t>
      </w:r>
      <w:bookmarkStart w:id="589" w:name="pg16776_179017"/>
    </w:p>
    <w:p>
      <w:pPr>
        <w:pStyle w:val="Heading4"/>
        <w:numPr>
          <w:ilvl w:val="3"/>
          <w:numId w:val="1"/>
        </w:numPr>
        <w:rPr/>
      </w:pPr>
      <w:bookmarkStart w:id="590" w:name="__RefHeading___Toc7071125_73709187"/>
      <w:bookmarkStart w:id="591" w:name="_Toc230"/>
      <w:bookmarkEnd w:id="589"/>
      <w:bookmarkEnd w:id="590"/>
      <w:r>
        <w:rPr/>
        <w:t>10</w:t>
      </w:r>
      <w:r>
        <w:rPr>
          <w:rtl w:val="true"/>
        </w:rPr>
        <w:t xml:space="preserve">. </w:t>
      </w:r>
      <w:r>
        <w:rPr>
          <w:rtl w:val="true"/>
        </w:rPr>
        <w:t>جواز الاجتماع وكيفية تركيب المادّة والصورة</w:t>
      </w:r>
      <w:bookmarkEnd w:id="591"/>
    </w:p>
    <w:p>
      <w:pPr>
        <w:pStyle w:val="BookText"/>
        <w:rPr/>
      </w:pPr>
      <w:r>
        <w:rPr>
          <w:rFonts w:ascii="Amiri" w:hAnsi="Amiri" w:eastAsia="Amiri" w:cs="Amiri"/>
          <w:color w:val="111111"/>
          <w:sz w:val="28"/>
          <w:sz w:val="28"/>
          <w:szCs w:val="28"/>
          <w:rtl w:val="true"/>
          <w:lang w:bidi="ar-SA"/>
        </w:rPr>
        <w:t>القول بجواز اجتماع الأمر والنهي وامتناعه مبني عنده على تركيب المادّة والصورة في الخارج تركيب انضمامي لا اتّحادي، فيكون مركّب الأمر غير مركّب النهي على خلاف القول بأنّ التركيب بينهما اتحادي، فيكون المتعلّق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آرائه في الأُصول والفقه ولنذكر شيئاً من آرائه الفلسفية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7071127_73709187"/>
      <w:bookmarkStart w:id="593" w:name="_Toc231"/>
      <w:bookmarkEnd w:id="592"/>
      <w:r>
        <w:rPr/>
        <w:t>1</w:t>
      </w:r>
      <w:r>
        <w:rPr>
          <w:rtl w:val="true"/>
        </w:rPr>
        <w:t xml:space="preserve">. </w:t>
      </w:r>
      <w:r>
        <w:rPr>
          <w:rtl w:val="true"/>
        </w:rPr>
        <w:t>بطلان قاعدة الشيء ما لم يجب لم يوجد</w:t>
      </w:r>
      <w:bookmarkEnd w:id="593"/>
    </w:p>
    <w:p>
      <w:pPr>
        <w:pStyle w:val="BookText"/>
        <w:rPr/>
      </w:pPr>
      <w:r>
        <w:rPr>
          <w:rFonts w:ascii="Amiri" w:hAnsi="Amiri" w:eastAsia="Amiri" w:cs="Amiri"/>
          <w:color w:val="111111"/>
          <w:sz w:val="28"/>
          <w:sz w:val="28"/>
          <w:szCs w:val="28"/>
          <w:rtl w:val="true"/>
          <w:lang w:bidi="ar-SA"/>
        </w:rPr>
        <w:t>يعتقد بأنّ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ما لم يجب لم يوجد، غير جارية في أفعال الإنسان، فإنّ فعله حتى عندما تمّت الإرادة مع مبادئها واقع في حيّز الإمكان وتساويه إلى الفاعل، وإنّما يترجّح أحد طرفي الشيء بترجيح من الفاعل، وكأنّه من قبيل تخصيص القاعدة العقلية</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7071129_73709187"/>
      <w:bookmarkStart w:id="595" w:name="_Toc232"/>
      <w:bookmarkEnd w:id="594"/>
      <w:r>
        <w:rPr/>
        <w:t>2</w:t>
      </w:r>
      <w:r>
        <w:rPr>
          <w:rtl w:val="true"/>
        </w:rPr>
        <w:t xml:space="preserve">. </w:t>
      </w:r>
      <w:r>
        <w:rPr>
          <w:rtl w:val="true"/>
        </w:rPr>
        <w:t>تفسير الإرادة بوجه خاص</w:t>
      </w:r>
      <w:bookmarkEnd w:id="595"/>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تمت مبادئها، يصدر من الإنسان أمر نفساني،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سمح به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تقدّم من علمائنا وحفظ اللّه الباقين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bookmarkStart w:id="596" w:name="pg16776_179018"/>
    </w:p>
    <w:p>
      <w:pPr>
        <w:pStyle w:val="Heading3"/>
        <w:numPr>
          <w:ilvl w:val="2"/>
          <w:numId w:val="1"/>
        </w:numPr>
        <w:rPr/>
      </w:pPr>
      <w:bookmarkStart w:id="597" w:name="__RefHeading___Toc7071131_73709187"/>
      <w:bookmarkStart w:id="598" w:name="_Toc233"/>
      <w:bookmarkEnd w:id="596"/>
      <w:bookmarkEnd w:id="597"/>
      <w:r>
        <w:rPr/>
        <w:t>4</w:t>
      </w:r>
      <w:r>
        <w:rPr>
          <w:rtl w:val="true"/>
        </w:rPr>
        <w:t xml:space="preserve">. </w:t>
      </w:r>
      <w:r>
        <w:rPr>
          <w:rtl w:val="true"/>
        </w:rPr>
        <w:t>مسند ابن أبي عمير</w:t>
      </w:r>
      <w:bookmarkEnd w:id="598"/>
    </w:p>
    <w:p>
      <w:pPr>
        <w:pStyle w:val="Heading4"/>
        <w:numPr>
          <w:ilvl w:val="3"/>
          <w:numId w:val="1"/>
        </w:numPr>
        <w:rPr/>
      </w:pPr>
      <w:bookmarkStart w:id="599" w:name="__RefHeading___Toc7071133_73709187"/>
      <w:bookmarkStart w:id="600" w:name="_Toc234"/>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وصفاً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اتّصل اسناده من راويه إلى منتهاه</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ويطلق عليه المتصل وربما يفرّق بينهما بملاحظة الرفع في المسند، فهو مرفوع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المتصل فما اتّصل سنده بسماع كلّ راو من رواته عمّن فوقه، سواء أكان مرفوعاً إلى النبي صلى الله عليه و آله أم موقوفاً على التابعي</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وأُخرى يطلق على الحديث المدوّن، حيث يجمع المؤلّف أحاديث صحابي في موضوعات مختلفة دون ترتيب بينها، كمسند عبد اللّه بن العباس أو عبد اللّه بن مسعود أو أُبيّ بن كعب</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7071135_73709187"/>
      <w:bookmarkStart w:id="602" w:name="_Toc235"/>
      <w:bookmarkEnd w:id="601"/>
      <w:r>
        <w:rPr>
          <w:rtl w:val="true"/>
        </w:rPr>
        <w:t>المسانيد في عصر الأئمّة عليهم السلام</w:t>
      </w:r>
      <w:bookmarkEnd w:id="60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تضافر النقل على أنّه روى عن الإمام الصادق عليه السلام من مشهوري أهل العلم، أربعة آلاف إنسان، وصُنِّف من جواباته في المسائل أربعمائة كتاب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أصحابه وأصحاب ابنه موسى الكاظم عليه السلام، يقول المحقّق</w:t>
      </w:r>
    </w:p>
    <w:p>
      <w:p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أجوبة مسائل جعفر بن محمد عليه السلام أربعمائة مصنَّف لأربعمائة مصنِّف سمّوها أُصولاً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وقال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جعفر بن محمّد الصادق عليه السلام كُتب من أجوبة مسائله أربعمائة مصنَّف لأربعمائة مصنِّف، ودوّن من رجاله المعروفين أربعة آلاف رجل من أهل العراق والحجاز وخراسان والشام، وكذلك عن مولانا الباقر عليه السلام، ورجال باقي الأئمّة معروفون مشهورون، أُولو مصنّفات مشتهرة ومباحث متكثّرة، قد ذكر كثيراً منهم العامّة في رجالهم، ونسبوا بعضهم إلى التمسّك بأهل البيت عليهم السلام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إلى غير ذلك من الكلمات المماثلة، وهذه الأُصول كلّها كانت مسانيد لمؤلّفيها، حيث جمع الراوي ما سمعه من الإمام بلا واسطة أو ممن سمعه كذلك، في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لهذه الأُصول ترتيب خاص في نقل الروايات حسب الكتب والأبواب؛ وما ذلك إلّالأنّ جلّها من إملاءات المجالس وأجوبة المسائل المختلفة، ويشهد على ذلك ما هو الموجود من هذه الأُصول الستة عشر الّتي وقف عليها أُستاذنا السيد محمد الحجّة الكوه كمري وقام بطبعها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احتمال الخطأ والغلط والسهو والنسيان في الأصل المسموع شفاهاً عن الإمام عليه السلام أو عمّن سمع عنه، أقلّ منها في الكتاب المنقول عن كتاب آخر، فالاطمئنان بصدور عين الألفاظ المندرجة في الأُصول أكثر، والوثوق به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مؤلّف الأصل من الرجال المعتمد عليهم، الواجدين لشرائط القبول، يكون حديثه حجّة لا محالة وموصوفاً بالصحّة، كما عليه بناء القدماء</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وعلى هذا فهذه الأُصول كانت مسانيد لأصحابنا في القرنين الثاني والثالث، ولم يكن تأليف الأُصول مختصّاً بحياة الإمامين الصادق والكاظم عليهما السلام بل استمرت كتابتها على هذا النمط إلى عهد الإمام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ابن أبي عمير أدرك أصحاب الإمام الصادق عليه السلام وعاصر الإمام موسى بن جعفر عليه السلام والرضا عليه السلام فما أخذه من تلاميذ الإمام الصادق عليه السلام أو من الإمامين الهمامين يعدّ أصلاً من الأُصول، وله قيمة كقيمة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امتاز الرجل من بين أقرانه أنّه روى عن أئمّة أهل البيت عليهم السلام ما لم يروه عنهم غيره، حيث بلغ عدد رواياته حسب ما جمعه ولدنا الفاضل الشيخ بشير المحمدي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وهذا يدلّ على مكانته العلمية وولعه بحفظ آثار أئمّة أهل البيت عليهم السلام ونقلها إلى الأجيال الآتية، فالرجل حقّاً من مصاديق 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منّا على قدر روايتهم عنّا</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إنّ التعرّف على شخصية ذلك المحدّث الرفيع يتوقّف على الكلام في محاور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مكانته العلمية والاجتماعيّة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التعرّف على مشايخه الذين يعدّون بالمئات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مراسيله كمسانيده في الحجّية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بذل الأُستاذ الفاضل السيد حيدر محمد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المحقّقين في مؤسسة الإمام الصادق عليه السلام جهده في تبيين مكانته</w:t>
      </w:r>
    </w:p>
    <w:p>
      <w:pPr>
        <w:pStyle w:val="BookText"/>
        <w:rPr/>
      </w:pPr>
      <w:r>
        <w:rPr>
          <w:rFonts w:ascii="Amiri" w:hAnsi="Amiri" w:eastAsia="Amiri" w:cs="Amiri"/>
          <w:color w:val="111111"/>
          <w:sz w:val="28"/>
          <w:sz w:val="28"/>
          <w:szCs w:val="28"/>
          <w:rtl w:val="true"/>
          <w:lang w:bidi="ar-SA"/>
        </w:rPr>
        <w:t>العلمية والاجتماعية وثباته على المبدأ والتزامه بالشريعة وذكر آثاره وتآليفه وقوّة حافظته مع بحث موجز حول مشايخه، شكر اللّه مساعيه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ذلك المقال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التعرّف على مشايخه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قامت به لجنة التحقيق في دار الحديث فذكروا مشايخه ومن أخذ عنه الحديث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 لانقلاب مسانيده إلى المراسيل أنّه لما تعرّض للظلم والاضطهاد والتعذيب، وأُصيب بمحنة هلاك كتبه، لم تضعف عزيمته، بل حدّث من حفظه، فأسند ما كان في ذاكرته وأرسل غيره، وقد اشتهر أنّ مراسيل ابن أبي عمير كمسانيده، وهذا ما أوضحنا حاله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وأثبتنا أنّ الرجل ممّن كان لا يروي إلّاعن ثقة، وأجبنا عن النقوض التي وجهها إليه السيد المحقق الخوئي قدس سره في معجم رجال الحديث</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 المقدّسة مؤسسة الإمام الصادق عليه السلام</w:t>
      </w:r>
      <w:bookmarkStart w:id="603" w:name="pg16776_179022"/>
    </w:p>
    <w:p>
      <w:pPr>
        <w:pStyle w:val="Heading4"/>
        <w:numPr>
          <w:ilvl w:val="3"/>
          <w:numId w:val="1"/>
        </w:numPr>
        <w:rPr/>
      </w:pPr>
      <w:bookmarkStart w:id="604" w:name="__RefHeading___Toc7071137_73709187"/>
      <w:bookmarkStart w:id="605" w:name="_Toc236"/>
      <w:bookmarkEnd w:id="603"/>
      <w:bookmarkEnd w:id="604"/>
      <w:r>
        <w:rPr>
          <w:rtl w:val="true"/>
        </w:rPr>
        <w:t>ابن أبي عمير حياته، ومكانته العلمية والاجتماعية</w:t>
      </w:r>
      <w:bookmarkEnd w:id="605"/>
    </w:p>
    <w:p>
      <w:pPr>
        <w:pStyle w:val="Heading5"/>
        <w:numPr>
          <w:ilvl w:val="4"/>
          <w:numId w:val="1"/>
        </w:numPr>
        <w:rPr/>
      </w:pPr>
      <w:bookmarkStart w:id="606" w:name="__RefHeading___Toc7071139_73709187"/>
      <w:bookmarkStart w:id="607" w:name="_Toc237"/>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يُعدّ ابن أبي عمير من أجلّ الشخصيات الشيعية في عصره، علماً وفضلاً ونُبلاً وجلالة وورعاً وثباتاً على المبدأ، فقد أثنى عليه الفقهاء والرجاليون من الشيعة الإمامية ثناءً بليغاً، كما ذكره من غيرهم أبو عثمان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ووصفه بأنّه من مشايخ الشِّيَع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في عرض أبرز جوانب حياة هذه الشخصية الفذّة، لابدّ لنا من التعريف به أوّلاً</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7071141_73709187"/>
      <w:bookmarkStart w:id="609" w:name="_Toc238"/>
      <w:bookmarkEnd w:id="608"/>
      <w:r>
        <w:rPr>
          <w:rtl w:val="true"/>
        </w:rPr>
        <w:t>اسمه ونسبه</w:t>
      </w:r>
      <w:r>
        <w:rPr>
          <w:rtl w:val="true"/>
        </w:rPr>
        <w:t>:</w:t>
      </w:r>
      <w:bookmarkEnd w:id="609"/>
    </w:p>
    <w:p>
      <w:pPr>
        <w:pStyle w:val="BookText"/>
        <w:rPr/>
      </w:pP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أبو أحمد الأزديّ‌، من موالي المُهلَّب</w:t>
      </w:r>
      <w:r>
        <w:rPr>
          <w:rStyle w:val="FootnoteAnchor"/>
          <w:rtl w:val="true"/>
        </w:rPr>
        <w:footnoteReference w:id="456"/>
      </w:r>
      <w:r>
        <w:rPr>
          <w:rFonts w:ascii="Amiri" w:hAnsi="Amiri" w:eastAsia="Amiri" w:cs="Amiri"/>
          <w:color w:val="111111"/>
          <w:sz w:val="28"/>
          <w:sz w:val="28"/>
          <w:szCs w:val="28"/>
          <w:rtl w:val="true"/>
          <w:lang w:bidi="ar-SA"/>
        </w:rPr>
        <w:t>بن أبي صُفرة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صرّح النجاشي والطوسيّ بأنّه أزديّ بالولاء</w:t>
      </w:r>
      <w:r>
        <w:rPr>
          <w:rStyle w:val="FootnoteAnchor"/>
          <w:rtl w:val="true"/>
        </w:rPr>
        <w:footnoteReference w:id="457"/>
      </w:r>
      <w:r>
        <w:rPr>
          <w:rFonts w:ascii="Amiri" w:hAnsi="Amiri" w:eastAsia="Amiri" w:cs="Amiri"/>
          <w:color w:val="111111"/>
          <w:sz w:val="28"/>
          <w:sz w:val="28"/>
          <w:szCs w:val="28"/>
          <w:rtl w:val="true"/>
          <w:lang w:bidi="ar-SA"/>
        </w:rPr>
        <w:t>، ولكنّ البرقيّ وصفه بالأزديّ‌، ولم يقل إنّه من مواليهم</w:t>
      </w:r>
      <w:r>
        <w:rPr>
          <w:rFonts w:eastAsia="Amiri" w:cs="Amiri" w:ascii="Amiri" w:hAnsi="Amiri"/>
          <w:color w:val="111111"/>
          <w:sz w:val="28"/>
          <w:szCs w:val="28"/>
          <w:rtl w:val="true"/>
          <w:lang w:bidi="ar-SA"/>
        </w:rPr>
        <w:t>.</w:t>
      </w:r>
      <w:r>
        <w:rPr>
          <w:rStyle w:val="FootnoteAnchor"/>
          <w:rtl w:val="true"/>
        </w:rPr>
        <w:footnoteReference w:id="458"/>
      </w:r>
      <w:bookmarkStart w:id="610" w:name="pg16776_179023"/>
    </w:p>
    <w:p>
      <w:pPr>
        <w:pStyle w:val="Heading5"/>
        <w:numPr>
          <w:ilvl w:val="4"/>
          <w:numId w:val="1"/>
        </w:numPr>
        <w:rPr/>
      </w:pPr>
      <w:bookmarkStart w:id="611" w:name="__RefHeading___Toc7071143_73709187"/>
      <w:bookmarkStart w:id="612" w:name="_Toc239"/>
      <w:bookmarkEnd w:id="610"/>
      <w:bookmarkEnd w:id="611"/>
      <w:r>
        <w:rPr>
          <w:rtl w:val="true"/>
        </w:rPr>
        <w:t>موطنه</w:t>
      </w:r>
      <w:r>
        <w:rPr>
          <w:rtl w:val="true"/>
        </w:rPr>
        <w:t>:</w:t>
      </w:r>
      <w:bookmarkEnd w:id="612"/>
    </w:p>
    <w:p>
      <w:pPr>
        <w:pStyle w:val="Heading6"/>
        <w:numPr>
          <w:ilvl w:val="5"/>
          <w:numId w:val="1"/>
        </w:numPr>
        <w:rPr/>
      </w:pPr>
      <w:bookmarkStart w:id="613" w:name="__RefHeading___Toc7071145_73709187"/>
      <w:bookmarkStart w:id="614" w:name="_Toc240"/>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بغداديّ الأصل والمقام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وهذا يعني أنّه كان يعيش في عاصمة الدولة الإسلامية، وهي في أزهى عصر من عصور الحضارة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 الأخير من القرن الثاني الهجري وأوائل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كانت آنذاك ملتقى العلماء والفقهاء والأدباء والشعراء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يؤشّر على وجود نشاط علميّ مبكّر لرجال الشيعة في هذه المدينة</w:t>
      </w:r>
      <w:r>
        <w:rPr>
          <w:rStyle w:val="FootnoteAnchor"/>
          <w:rtl w:val="true"/>
        </w:rPr>
        <w:footnoteReference w:id="460"/>
      </w:r>
      <w:r>
        <w:rPr>
          <w:rFonts w:ascii="Amiri" w:hAnsi="Amiri" w:eastAsia="Amiri" w:cs="Amiri"/>
          <w:color w:val="111111"/>
          <w:sz w:val="28"/>
          <w:sz w:val="28"/>
          <w:szCs w:val="28"/>
          <w:rtl w:val="true"/>
          <w:lang w:bidi="ar-SA"/>
        </w:rPr>
        <w:t>، ساهم، جنباً إلى جنب مع نشاط الآخرين، في ازدهارها علمياً، وفي جعلها مركزاً عالمياً للفكر والعلم والثقافة، على الرغم من الظروف القاسية التي كانت تحيط بالشيعة، وأساليب القمع التي تُمارس ضدهم من قِبَل حكّام الجور وصنائعهم</w:t>
      </w:r>
      <w:r>
        <w:rPr>
          <w:rFonts w:eastAsia="Amiri" w:cs="Amiri" w:ascii="Amiri" w:hAnsi="Amiri"/>
          <w:color w:val="111111"/>
          <w:sz w:val="28"/>
          <w:szCs w:val="28"/>
          <w:rtl w:val="true"/>
          <w:lang w:bidi="ar-SA"/>
        </w:rPr>
        <w:t>.</w:t>
      </w:r>
    </w:p>
    <w:p>
      <w:pPr>
        <w:pStyle w:val="Heading6"/>
        <w:numPr>
          <w:ilvl w:val="5"/>
          <w:numId w:val="1"/>
        </w:numPr>
        <w:rPr/>
      </w:pPr>
      <w:bookmarkStart w:id="615" w:name="__RefHeading___Toc7071147_73709187"/>
      <w:bookmarkStart w:id="616" w:name="_Toc241"/>
      <w:bookmarkEnd w:id="615"/>
      <w:r>
        <w:rPr>
          <w:rtl w:val="true"/>
        </w:rPr>
        <w:t>كلمات الثناء في حقّه</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عمير أفقه من يونس، وأصلح وأفضل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وتتّضح أهمية هذا الرأي، إذا عرفنا منزلة قائله، وعرفنا أيضاً منزلة يونس، فابن فضّال كان فقيه أصحابنا بالكوفة ووجههم وثقتهم</w:t>
      </w:r>
      <w:r>
        <w:rPr>
          <w:rStyle w:val="FootnoteAnchor"/>
          <w:rtl w:val="true"/>
        </w:rPr>
        <w:footnoteReference w:id="461"/>
      </w:r>
      <w:r>
        <w:rPr>
          <w:rFonts w:ascii="Amiri" w:hAnsi="Amiri" w:eastAsia="Amiri" w:cs="Amiri"/>
          <w:color w:val="111111"/>
          <w:sz w:val="28"/>
          <w:sz w:val="28"/>
          <w:szCs w:val="28"/>
          <w:rtl w:val="true"/>
          <w:lang w:bidi="ar-SA"/>
        </w:rPr>
        <w:t xml:space="preserve">، وقد شهد أبو النضر 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يرَ فيمن لقي بالعراق وخراسان أفقه ولا أفضل منه</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وجهاً في</w:t>
      </w:r>
    </w:p>
    <w:p>
      <w:pPr>
        <w:pStyle w:val="BookText"/>
        <w:rPr/>
      </w:pPr>
      <w:r>
        <w:rPr>
          <w:rFonts w:ascii="Amiri" w:hAnsi="Amiri" w:eastAsia="Amiri" w:cs="Amiri"/>
          <w:color w:val="111111"/>
          <w:sz w:val="28"/>
          <w:sz w:val="28"/>
          <w:szCs w:val="28"/>
          <w:rtl w:val="true"/>
          <w:lang w:bidi="ar-SA"/>
        </w:rPr>
        <w:t>أصحابنا، متقدّماً، عظيم المنزلة، وكان علي بن موسى الرضا عليه السلام يشير إليه في العلم والفتيا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ومما يؤكّد سموّ المقام العلميّ لابن أبي عُمير عند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نُقل عنهم تقديم يونس عليه في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أنّ أبا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إجماعهم على تصديق ستة أشخاص من أصحاب الإمامين موسى الكاظم، وعلي الرضا عليهما السلام، والإقرار لهم بالفقه والعلم، وعدّ منهم ابن أبي عمير</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فينا وعند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يحكي عنه في كتبه، وقد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المفاخرة بين العدنانية والقحطانية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داحة عن ابن أبي عمير، وكان وجهاً من وجوه الرافضة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يُذكر أن عبارة الجاحظ في المطبوع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أورد كلاماً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وعلي بن الحسين، ومحمد بن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هذه الثلاثة الأخبار، إبراهيم بن داحة عن محمد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وذكرها صالح بن علي الأفقم عن محمد بن عمير، وهؤلاء جميعاً من مشايخ الشِّيع، وكان ابن عمير أغلاهم</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أوثق الناس عند الخاصّة والعامّة، وأنسكهم نُسكاً، وأورعهم، وأعبدهم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617" w:name="pg16776_179025"/>
    </w:p>
    <w:p>
      <w:pPr>
        <w:pStyle w:val="Heading6"/>
        <w:numPr>
          <w:ilvl w:val="5"/>
          <w:numId w:val="1"/>
        </w:numPr>
        <w:rPr/>
      </w:pPr>
      <w:bookmarkStart w:id="618" w:name="__RefHeading___Toc7071149_73709187"/>
      <w:bookmarkStart w:id="619" w:name="_Toc242"/>
      <w:bookmarkEnd w:id="617"/>
      <w:bookmarkEnd w:id="618"/>
      <w:r>
        <w:rPr>
          <w:rtl w:val="true"/>
        </w:rPr>
        <w:t>ثباته على المبدأ، والتزامه بالشريعة</w:t>
      </w:r>
      <w:bookmarkEnd w:id="619"/>
    </w:p>
    <w:p>
      <w:pPr>
        <w:pStyle w:val="BookText"/>
        <w:rPr/>
      </w:pPr>
      <w:r>
        <w:rPr>
          <w:rFonts w:ascii="Amiri" w:hAnsi="Amiri" w:eastAsia="Amiri" w:cs="Amiri"/>
          <w:color w:val="111111"/>
          <w:sz w:val="28"/>
          <w:sz w:val="28"/>
          <w:szCs w:val="28"/>
          <w:rtl w:val="true"/>
          <w:lang w:bidi="ar-SA"/>
        </w:rPr>
        <w:t xml:space="preserve">عُرف هارون العبّاسيّ بإيغاله في الاستمتاع بلذائذ دنياه العريضة، وبحبّه الشديد للمُلك، وافتتانه بمغرياته، وحرصه على توريثه لأبنائه، حتى أنّه بايع 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العهد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خمس سنين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ومن هنا، كان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وبدافع هذا الحبّ والحرص، وبهاجس المخاوف من القوى والشخصيات التي تنافسه في الحكم، أو التي تعارضه في سياسته، أو التي لا تمشي في ركابها وتعمل على نشر الوعي في صفوف 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يمارس سياسة القمع والتنكيل، وكبت الحريات، ويستبيح إراقة الدماء، ومصادرة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الشيعة من الزيدية والإمامية في مقدّمة من تعرّض لظلمه واضطهاده، وعلى رأسهم الإمام موسى بن جعفر الكاظم عليه السلام، الذي قضى مسموماً شهيداً في ظلمات سجن السندي بن شاهك ببغداد،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أجهزة هارون القمعية تلاحق أصحاب الإمام عليه السلام، وأتباع مدرسة أهل البيت عليهم السلام، وتودعهم السجون، وتسفك دماءهم بغير حقّ‌، ومن هؤلاء الأبطال الذين قاسوا شدائد السجن والتعذيب، وتحمّلوا الأذى في سبيل المبادئ والقيم الإسلامية، صاحبنا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أبي عبد اللّه الشاذاني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الفضل بن شاذان، يقول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 بمحمد بن أبي عمير إلى السلطان أنّه يعرف أسامي عامّة الشيعة بالعراق، فأمره السلطان أن يسمّيهم فامتنع، فجرّد وعلّق بين القفازين، وضرب 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ابن أبي عمير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فبلغ الضرب مائة سوط، أبلغ الضرب الألم إليّ‌، فكدتُ أن أُسمّي، فسمعت نداء محمد بن يونس بن عبد الرحمن،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أبي عمير، اذكر موقفك بين يدي اللّه تعالى، فتقوّيت بقوله، فصبرت ولم أُخبر،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فأضرّ به في هذا الشأن أكثر من مائة ألف درهم</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وعن الفضل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سمع أباه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ابن أبي عمير مائة خشبة وعشرين خشبة بأمر هارون لعنه اللّه، تولّى ضربه السندي بن شاهك، على التشيّع، وحُبس فأدّى مائة وإحدى وعشرين ألفاً حتى 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متموّلاً؟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رَبَّ خمسمائة ألف درهم</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وهذا الإيمان العميق، الذي أمدّه بقوة الثبات على الموقف، والصبر على آلام التعذيب، تجسّد أيضاً في التزامه بأحكام الشريعة الغرّاء، والوقوف عند حدودها مهما كانت المصاعب التي تواجهه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هذه القصة التي تجلّي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بسنده عن إبراهيم بن هاشم أنّ محمد بن أبي عمير كان رجلاً بزّازاً، فذهب ماله وافتقر، وكان له على رجل عشرة آلاف درهم، فباع داراً له كان يسكنها بعشرة آلاف درهم، وحمل المال إلى بابه، فخرج إليه،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ذَريح المحاربي، عن أبي عبد</w:t>
      </w:r>
      <w:bookmarkStart w:id="620" w:name="pg16776_179027"/>
    </w:p>
    <w:p>
      <w:pPr>
        <w:pStyle w:val="BookText"/>
        <w:rPr/>
      </w:pPr>
      <w:bookmarkEnd w:id="620"/>
      <w:r>
        <w:rPr>
          <w:rFonts w:ascii="Amiri" w:hAnsi="Amiri" w:eastAsia="Amiri" w:cs="Amiri"/>
          <w:color w:val="111111"/>
          <w:sz w:val="28"/>
          <w:sz w:val="28"/>
          <w:szCs w:val="28"/>
          <w:rtl w:val="true"/>
          <w:lang w:bidi="ar-SA"/>
        </w:rPr>
        <w:t>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الرجل عن مسقط رأسه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ارفعها فلا حاجة لي فيها، وواللّه إنّي محتاج في وقتي هذا إلى درهم، ولا يدخل مُلكي منها درهم</w:t>
      </w:r>
      <w:r>
        <w:rPr>
          <w:rFonts w:eastAsia="Amiri" w:cs="Amiri" w:ascii="Amiri" w:hAnsi="Amiri"/>
          <w:color w:val="111111"/>
          <w:sz w:val="28"/>
          <w:szCs w:val="28"/>
          <w:rtl w:val="true"/>
          <w:lang w:bidi="ar-SA"/>
        </w:rPr>
        <w:t>!!</w:t>
      </w:r>
      <w:r>
        <w:rPr>
          <w:rStyle w:val="FootnoteAnchor"/>
          <w:rtl w:val="true"/>
        </w:rPr>
        <w:footnoteReference w:id="469"/>
      </w:r>
    </w:p>
    <w:p>
      <w:pPr>
        <w:pStyle w:val="Heading6"/>
        <w:numPr>
          <w:ilvl w:val="5"/>
          <w:numId w:val="1"/>
        </w:numPr>
        <w:rPr/>
      </w:pPr>
      <w:bookmarkStart w:id="621" w:name="__RefHeading___Toc7071151_73709187"/>
      <w:bookmarkStart w:id="622" w:name="_Toc243"/>
      <w:bookmarkEnd w:id="621"/>
      <w:r>
        <w:rPr>
          <w:rtl w:val="true"/>
        </w:rPr>
        <w:t>مكانته العلمية والاجتماعية</w:t>
      </w:r>
      <w:bookmarkEnd w:id="622"/>
    </w:p>
    <w:p>
      <w:pPr>
        <w:pStyle w:val="BookText"/>
        <w:rPr/>
      </w:pPr>
      <w:r>
        <w:rPr>
          <w:rFonts w:ascii="Amiri" w:hAnsi="Amiri" w:eastAsia="Amiri" w:cs="Amiri"/>
          <w:color w:val="111111"/>
          <w:sz w:val="28"/>
          <w:sz w:val="28"/>
          <w:szCs w:val="28"/>
          <w:rtl w:val="true"/>
          <w:lang w:bidi="ar-SA"/>
        </w:rPr>
        <w:t>إنّ الاستناد إلى المقاييس والمعايير التالية، يكشف عن تمتّع ابن أبي عمير بمكانة علمية واجتماعية سامية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الثناء والتبجيل والتعظيم التي صدرت في حقّه من الأعلام، الذين لا يطلقون القول جزافاً، ولا محاباة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توارد كبار العلماء إلى داره ببغداد، وحضورهم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بن شاذان بن الخليل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يوماً شيخي بيدي، وذهب بي إلى ابن أبي عمير، فصعدنا في غرفة، وحوله مشايخ يعظّمونه ويبجّلونه،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الصالح العابد؟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وقال الفضل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قاعد في قطيعة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إذ جاء شيخ حلو الوجه، حسن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فسلّم على أبي، فقام إليه فرحّب به وبجّله، فلمّا أن مضى يريد ابن أبي عمير، قلت لشيخي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حسن الشمائل من هذا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w:t>
      </w:r>
      <w:r>
        <w:rPr>
          <w:rStyle w:val="FootnoteAnchor"/>
          <w:rtl w:val="true"/>
        </w:rPr>
        <w:footnoteReference w:id="47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الخبران يكشفان عمّا بلغه ابن أبي عمير من مكانة علمية مرموقة، وسمعة فائقة، حيث يقصده جلّة العلماء، وفيهم مثل الفقيه الكبير والمحدّث الورع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كان يسكن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وصف ابن</w:t>
      </w:r>
      <w:bookmarkStart w:id="623" w:name="pg16776_179028"/>
    </w:p>
    <w:p>
      <w:pPr>
        <w:pStyle w:val="BookText"/>
        <w:rPr/>
      </w:pPr>
      <w:bookmarkEnd w:id="623"/>
      <w:r>
        <w:rPr>
          <w:rFonts w:ascii="Amiri" w:hAnsi="Amiri" w:eastAsia="Amiri" w:cs="Amiri"/>
          <w:color w:val="111111"/>
          <w:sz w:val="28"/>
          <w:sz w:val="28"/>
          <w:szCs w:val="28"/>
          <w:rtl w:val="true"/>
          <w:lang w:bidi="ar-SA"/>
        </w:rPr>
        <w:t xml:space="preserve">شاذان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بالرجل الصالح العابد، وهو بعدُ لم يعرفه لصغره آنذاك، إلّادليلاً على اشتهار اسمه بين الناس، وعلوّ قدره عندهم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مصاحبة المأمون العباسيّ له بعد استشهاد الإمام علي بن موسى الرضا عليه السلام، ذكر ذلك نصر بن الصباح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وروي أنّه حبسه المأمون، حتى ولّاه قضاء بعض البلاد</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ولولا أنّ ابن أبي عمير كان يتمتع بمقام علميّ رفيع، وموقع اجتماعيّ مؤثر، لَما أقدم المأمون على مصاحبته، ولَما أراده على القضاء، وفرض عليه ذلك بالقوة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في طليعة المقاييس التي تُقاس بها الدرجة العلمية لأصحاب الأئمة عليهم السلام وتلامذة مدرستهم، هو ذلك المقياس الذي تكشف عنه هاتان الروايتان المرويّتان عن الإمام جعفر الصادق،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منّا على قَدْر رواياتهم 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المؤمن محدَّثاً؟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مُفهَّماً، والمُفَهَّم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درجة ابن أبي عمير بهذا المقياس‌؟ إن التعرّف على ذلك يتمّ من خلال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7071153_73709187"/>
      <w:bookmarkStart w:id="625" w:name="_Toc244"/>
      <w:bookmarkEnd w:id="624"/>
      <w:r>
        <w:rPr>
          <w:rtl w:val="true"/>
        </w:rPr>
        <w:t>أ</w:t>
      </w:r>
      <w:r>
        <w:rPr>
          <w:rtl w:val="true"/>
        </w:rPr>
        <w:t xml:space="preserve">. </w:t>
      </w:r>
      <w:r>
        <w:rPr>
          <w:rtl w:val="true"/>
        </w:rPr>
        <w:t>كثرة تآليفه</w:t>
      </w:r>
      <w:bookmarkEnd w:id="62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تآليفه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ابن بُطّة عن أحمد بن محمد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وتسعين كتاباً، في شتّى العلوم والمعارف الإسلامية، ذكر منها أبو العباس</w:t>
      </w:r>
      <w:bookmarkStart w:id="626" w:name="pg16776_179029"/>
    </w:p>
    <w:p>
      <w:pPr>
        <w:pStyle w:val="BookText"/>
        <w:rPr/>
      </w:pPr>
      <w:bookmarkEnd w:id="626"/>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والإيمان،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في الإمامة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الحجّ‌،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نوادره، فهي كثيرة، لأنّ الرواة لها كثيرة، فهي تختلف باختلافهم</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وممّن روى نوادره، وهي في ستة أجزاء، 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جعفر الحميري، عن أيوب بن نوح، عن ابن أبي عمير</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وتسأل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صارت هذه الكتب‌؟ وهل وصل إلينا منها شيء؟ ويصدمك الجواب حينما يكون بالنفي، لقد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كالكثير من تراث المسلمين الزاخر لا سيّما الشيعة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ضحايا الظلم والطغيان، أو الإهمال وعدم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استتاره وكونه في الحبس أربع سنين، فهلكت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w:t>
      </w:r>
      <w:r>
        <w:rPr>
          <w:rFonts w:eastAsia="Amiri" w:cs="Amiri" w:ascii="Amiri" w:hAnsi="Amiri"/>
          <w:color w:val="111111"/>
          <w:sz w:val="28"/>
          <w:szCs w:val="28"/>
          <w:rtl w:val="true"/>
          <w:lang w:bidi="ar-SA"/>
        </w:rPr>
        <w:t>.</w:t>
      </w:r>
      <w:r>
        <w:rPr>
          <w:rStyle w:val="FootnoteAnchor"/>
          <w:rtl w:val="true"/>
        </w:rPr>
        <w:footnoteReference w:id="475"/>
      </w:r>
    </w:p>
    <w:p>
      <w:pPr>
        <w:pStyle w:val="Heading6"/>
        <w:numPr>
          <w:ilvl w:val="5"/>
          <w:numId w:val="1"/>
        </w:numPr>
        <w:rPr/>
      </w:pPr>
      <w:bookmarkStart w:id="627" w:name="__RefHeading___Toc7071155_73709187"/>
      <w:bookmarkStart w:id="628" w:name="_Toc245"/>
      <w:bookmarkEnd w:id="627"/>
      <w:r>
        <w:rPr>
          <w:rtl w:val="true"/>
        </w:rPr>
        <w:t>ب</w:t>
      </w:r>
      <w:r>
        <w:rPr>
          <w:rtl w:val="true"/>
        </w:rPr>
        <w:t xml:space="preserve">. </w:t>
      </w:r>
      <w:r>
        <w:rPr>
          <w:rtl w:val="true"/>
        </w:rPr>
        <w:t>قوّة حافظته</w:t>
      </w:r>
      <w:bookmarkEnd w:id="62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ممّا تعرّض له ابن أبي عمير من ظلم واضطهاد وتعذيب، وما ابتلي به من محنة هلاك كتبه، التي تعتبر من أشدّ المحن التي تصيب العلماء، فإنّ‌</w:t>
      </w:r>
      <w:bookmarkStart w:id="629" w:name="pg16776_179030"/>
    </w:p>
    <w:p>
      <w:pPr>
        <w:pStyle w:val="BookText"/>
        <w:rPr/>
      </w:pPr>
      <w:bookmarkEnd w:id="629"/>
      <w:r>
        <w:rPr>
          <w:rFonts w:ascii="Amiri" w:hAnsi="Amiri" w:eastAsia="Amiri" w:cs="Amiri"/>
          <w:color w:val="111111"/>
          <w:sz w:val="28"/>
          <w:sz w:val="28"/>
          <w:szCs w:val="28"/>
          <w:rtl w:val="true"/>
          <w:lang w:bidi="ar-SA"/>
        </w:rPr>
        <w:t>عزيمته لم تضعف، بل حدّث من حفظه، وممّا كان سلَفَ له في أيدي الناس،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كانوا يسكنون إلى مراسيله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وهذا يُعرب عن توقّد ذهنيته، وقوة حافظته، التي أسعفته بعدما قسى عليه القَدَر</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7071157_73709187"/>
      <w:bookmarkStart w:id="631" w:name="_Toc246"/>
      <w:bookmarkEnd w:id="630"/>
      <w:r>
        <w:rPr>
          <w:rtl w:val="true"/>
        </w:rPr>
        <w:t>ج</w:t>
      </w:r>
      <w:r>
        <w:rPr>
          <w:rtl w:val="true"/>
        </w:rPr>
        <w:t xml:space="preserve">. </w:t>
      </w:r>
      <w:r>
        <w:rPr>
          <w:rtl w:val="true"/>
        </w:rPr>
        <w:t>غزارة رواياته عن أئمّة أهل البيت عليهم السلام مشافهة أو بالواسطة</w:t>
      </w:r>
      <w:bookmarkEnd w:id="631"/>
    </w:p>
    <w:p>
      <w:pPr>
        <w:pStyle w:val="BookText"/>
        <w:rPr/>
      </w:pPr>
      <w:r>
        <w:rPr>
          <w:rFonts w:ascii="Amiri" w:hAnsi="Amiri" w:eastAsia="Amiri" w:cs="Amiri"/>
          <w:color w:val="111111"/>
          <w:sz w:val="28"/>
          <w:sz w:val="28"/>
          <w:szCs w:val="28"/>
          <w:rtl w:val="true"/>
          <w:lang w:bidi="ar-SA"/>
        </w:rPr>
        <w:t xml:space="preserve">لقي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بن جعفر الكاظم عليه السلام، وسمع منه أحاديث، كنّاه في بعضها،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أحمد، وروى أيضاً عن الإمام عليّ موسى الرضا عليه السلام</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وروى عن الجمّاء الغفير من أصحاب الأئمّة عليهم السلام وتلامذة مدرستهم، وممّن أكثر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وحمّاد بن عثمان الفزاريّ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وهشام بن سالم الجواليقيّ‌، وعمر بن أُذَينة العبديّ البصريّ‌، وجميل بن درّاج النخعيّ‌، وعبد الرحمن بن الحجّاج البجليّ‌، وعبد اللّه بن بكير بن أعين، وعبد اللّه بن سنان بن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من روى عنهم ابن أبي عمير، فبلغ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r>
        <w:rPr>
          <w:rStyle w:val="FootnoteAnchor"/>
          <w:rtl w:val="true"/>
        </w:rPr>
        <w:footnoteReference w:id="478"/>
      </w:r>
    </w:p>
    <w:p>
      <w:pPr>
        <w:pStyle w:val="Heading5"/>
        <w:numPr>
          <w:ilvl w:val="4"/>
          <w:numId w:val="1"/>
        </w:numPr>
        <w:rPr/>
      </w:pPr>
      <w:bookmarkStart w:id="632" w:name="__RefHeading___Toc7071159_73709187"/>
      <w:bookmarkStart w:id="633" w:name="_Toc247"/>
      <w:bookmarkEnd w:id="632"/>
      <w:r>
        <w:rPr>
          <w:rtl w:val="true"/>
        </w:rPr>
        <w:t>تحقيق موجز حول مشايخه</w:t>
      </w:r>
      <w:bookmarkEnd w:id="63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يتتبّع أسماءهم يجد أنّ جماعة منهم ليسوا من مشايخه، وقد عدّهم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اعتماداً على ورود تلك الأسماء في الكتب</w:t>
      </w:r>
    </w:p>
    <w:p>
      <w:pPr>
        <w:pStyle w:val="BookText"/>
        <w:rPr/>
      </w:pPr>
      <w:r>
        <w:rPr>
          <w:rFonts w:ascii="Amiri" w:hAnsi="Amiri" w:eastAsia="Amiri" w:cs="Amiri"/>
          <w:color w:val="111111"/>
          <w:sz w:val="28"/>
          <w:sz w:val="28"/>
          <w:szCs w:val="28"/>
          <w:rtl w:val="true"/>
          <w:lang w:bidi="ar-SA"/>
        </w:rPr>
        <w:t>الروائية، التي لا يخلو عدد منها من تصحيفات وتحريفات في أسماء الرجال وفي ألفاظ أسانيدها، ومن فقدان واسطة واحدة أو أكثر من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أسماء أحد عشر ممّن عدّهم المؤلّف من مشايخ ابن أبي عمير، ولم يكونوا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نجية بن إسحاق الفزاري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حفص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أبي نجران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المعلّى بن خنيس</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حديثه عن جابر عن أبي جعفر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مرسلة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 المحقّق الشيخ محمد تقي التستري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أخذه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أين رواية ابن أبي عمير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أبحر، أو جابر بن إسماعيل، أو جابر بن شمير،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وإن لم يُذكروا في غير أصحاب الصادق عليه السلام، وهذا روى عن الباقر عليه السلام، إلّاأنّه لا دليل على عدم روايتهم عن الباقر عليه السلام، أو المراد به</w:t>
      </w:r>
    </w:p>
    <w:p>
      <w:pPr>
        <w:pStyle w:val="BookText"/>
        <w:rPr/>
      </w:pPr>
      <w:r>
        <w:rPr>
          <w:rFonts w:ascii="Amiri" w:hAnsi="Amiri" w:eastAsia="Amiri" w:cs="Amiri"/>
          <w:color w:val="111111"/>
          <w:sz w:val="28"/>
          <w:sz w:val="28"/>
          <w:szCs w:val="28"/>
          <w:rtl w:val="true"/>
          <w:lang w:bidi="ar-SA"/>
        </w:rPr>
        <w:t>غير الجميع، فكم من الأخبار من لم يُذكر في الرجال</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ما في هذا الردّ من التكلّف، ويُردّ عليه بأنّ متن الحديث، رواه الشيخ الطوسي في أماليه</w:t>
      </w:r>
      <w:r>
        <w:rPr>
          <w:rStyle w:val="FootnoteAnchor"/>
          <w:rtl w:val="true"/>
        </w:rPr>
        <w:footnoteReference w:id="484"/>
      </w:r>
      <w:r>
        <w:rPr>
          <w:rFonts w:ascii="Amiri" w:hAnsi="Amiri" w:eastAsia="Amiri" w:cs="Amiri"/>
          <w:color w:val="111111"/>
          <w:sz w:val="28"/>
          <w:sz w:val="28"/>
          <w:szCs w:val="28"/>
          <w:rtl w:val="true"/>
          <w:lang w:bidi="ar-SA"/>
        </w:rPr>
        <w:t xml:space="preserve">، وفيه النصّ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رواه بإسناده عن الحسن بن محبوب، عن سيف بن عميرة، عن جابر الجعفي، وهذا يعضد القول بسقوط الواسطة في سند حديث 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بإرساله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الحسن بن محبوب، المعاصر له،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 سيف بن عميرة، الذي يروي عنه ابن أبي عمير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وردت روايته عنه عن زرارة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ولا يمكن لابن أبي عمير أن يروي عن أبان بن تغلب للبُعد بين الطبقتين، وليس له رواية عنه إلّافي الموضعين المذكورين، ولم يصحّا، فالصواب في رواية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عثمان، بدل أبان بن تغلب، وقد رواها الشيخ الطوسي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ويؤيد ذلك كثرة رواية ابن أبي عمير عن أبان بن عثمان الأحمر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الكشّي، فلابدّ من وقوع سقط في سندها، 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البعد بين الطبقتين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سند الرواية التي سبقت هذه</w:t>
      </w:r>
    </w:p>
    <w:p>
      <w:pPr>
        <w:pStyle w:val="BookText"/>
        <w:rPr/>
      </w:pPr>
      <w:r>
        <w:rPr>
          <w:rFonts w:ascii="Amiri" w:hAnsi="Amiri" w:eastAsia="Amiri" w:cs="Amiri"/>
          <w:color w:val="111111"/>
          <w:sz w:val="28"/>
          <w:sz w:val="28"/>
          <w:szCs w:val="28"/>
          <w:rtl w:val="true"/>
          <w:lang w:bidi="ar-SA"/>
        </w:rPr>
        <w:t>الرواية، تضمّن واسطتين بين ابن أبي عمير، وبين أبان بن تغلب</w:t>
      </w:r>
      <w:r>
        <w:rPr>
          <w:rStyle w:val="FootnoteAnchor"/>
          <w:rtl w:val="true"/>
        </w:rPr>
        <w:footnoteReference w:id="488"/>
      </w:r>
      <w:r>
        <w:rPr>
          <w:rFonts w:ascii="Amiri" w:hAnsi="Amiri" w:eastAsia="Amiri" w:cs="Amiri"/>
          <w:color w:val="111111"/>
          <w:sz w:val="28"/>
          <w:sz w:val="28"/>
          <w:szCs w:val="28"/>
          <w:rtl w:val="true"/>
          <w:lang w:bidi="ar-SA"/>
        </w:rPr>
        <w:t>، فكيف يروي عنه هنا بلا واسطة‌؟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عبيدة الحذّاء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الفضيل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المشايخ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فمن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توفّوا في حياة الإمام جعفر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رواية ابن أبي عمير عنهم، لعدم إدراكه عصر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والعارف بطبقات الرواة، يجد أنّ هؤلاء المشايخ في طبقة متقدّمة على طبقة من ثبت أنّهم من مشايخ ابن أبي عمير الأزديّ‌،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مشايخ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ماتوا في حياة الإمام موسى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ومنهم على سبيل المثال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بكير، وحمّاد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وجميل بن درّاج، وعبد الرحمن بن الحجّاج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ومعاوية بن عمّار الدهنيّ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وإبراهيم بن عبد الحميد الأسديّ‌، وابن أذينة، وهشام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مسكان، وأبان بن عثمان الأحمر، وعبد اللّه بن سنان بن طريف، وذريح المحاربي، ورفاعة بن موسى الأسديّ‌، والحسين بن نُعيم الصحّاف، وحفص بن البختري البغداديّ‌، وسيف بن عميرة النخعيّ‌، وعاصم بن حُميد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أبي حمزة البطائنيّ‌، وهشام بن سالم الجواليقيّ‌، وعليّ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ومعاوية بن وهب البجليّ‌، ويونس بن يعقوب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يحيى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نقطة جديرة بالاهتمام تلقي ضوءاً على هذا الأمر، وهي أنّ كبار المحدّثين، كانوا يحرصون على طلب الأسانيد العالية، فمن البعيد أن يروي ابن أبي عمير عن جابر، وأبان بن تغلب، وعبد اللّه بن أبي يعفور، وغيرهم من رجال هذه الطبقة، ثم يروي عن طبقة متأخّرة عنهم، تضمّ رواة كثيرين، هم من تلامذة تلك الطبقة المتقدّمة‌؟</w:t>
      </w:r>
    </w:p>
    <w:p>
      <w:pPr>
        <w:pStyle w:val="BookText"/>
        <w:rPr/>
      </w:pPr>
      <w:r>
        <w:rPr>
          <w:rFonts w:ascii="Amiri" w:hAnsi="Amiri" w:eastAsia="Amiri" w:cs="Amiri"/>
          <w:color w:val="111111"/>
          <w:sz w:val="28"/>
          <w:sz w:val="28"/>
          <w:szCs w:val="28"/>
          <w:rtl w:val="true"/>
          <w:lang w:bidi="ar-SA"/>
        </w:rPr>
        <w:t>ومهما يكن من أمر، فإنّ هذا العدد الهائل من المشايخ الذين لقيهم ابن أبي عمير وروى عنهم، يُعدُّ من خصائصه التي قلّما تتّفق لغيره، ويدلّ على اهتمامه الواسع بالحديث النبويّ الشريف وروايات أئمة أهل البيت عليهم السلام، ولا يؤثر عليه أبداً عدم اعتبار مجموعة من المحدّثين من مشايخه، وإنّما ذكرنا ذلك استطراداً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تعالى أن يقيّض من الباحثين المحقّقين من يكتب بحثاً مستقلّاً في هذا الموضوع، يورد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ويستبعد من لم تثبت روايته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ولابن أبي عمير روايات جمّة، رواها عنه تلامذته بعناوين مختلفة،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زياد الأزديّ‌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زياد البزّاز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زياد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الشيخ الفاضل مؤلّف هذا الكتاب، ما روي عنه بالعناوين المتعدّدة، فبلغ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رواياته في الكتب الأربعة، فبلغت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المكرّرات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مجلة فقه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السنة السابعة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مورداً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ومجموعة من الروايات بعناوين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الأُصول والكتب التي رواها عن تلامذة الأئمة المعصومين عليهم السلام، فهي كثيرة جداً، ذُكر قسم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فهرست الشيخ الطوسي، الذي قال في ترجمة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محمد بن عيسى، كتب مائة رجل من رجال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وناهيك بذلك دليلاً ساطعاً على عنايته الفائقة بالحديث والرواية، وعلى همّته الشّمّاء في تتبّع مصادر علوم أئمة أهل البيت، للانتهال منها، وبثّها بين تلامذته، الذين اجتمعوا حوله، وصاروا فيما بعد من الأعلام، ومنهم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عيسى الأشعريّ‌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نوح بن درّاج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عبد اللّه بن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هاشم الكوفي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الحسين بن أبي الخطاب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بن حُكيم بن معاوية بن عمّار الدُّهنيّ‌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القاسم بن معاوية بن وهب البجليّ‌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عبيد اللّه بن أحمد بن نَهيك النخعيّ‌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الفضل بن شاذان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صفاء الدين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تتلمذ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خمسين سنة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وهذا وَهْم، لعله ناشئ من مروره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 الكشّي،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شاذان آخر عهدي 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خلفَ لمن مضى‌، أدركت محمد بن أبي عمير، وصفوان بن يحيى‌، وغيرهما، وحملت عنهم منذ خمسين سنة</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رحم اللّه تعالى ابن أبي عمير، وجعل الجنّة مأواه، بما جاهد وصبر، وبما تعلّم وعلّم، وعَمِل بما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حيدر محمد علي</w:t>
      </w:r>
    </w:p>
    <w:p>
      <w:pPr>
        <w:pStyle w:val="BookText"/>
        <w:rPr/>
      </w:pPr>
      <w:r>
        <w:rPr>
          <w:rFonts w:ascii="Amiri" w:hAnsi="Amiri" w:eastAsia="Amiri" w:cs="Amiri"/>
          <w:color w:val="111111"/>
          <w:sz w:val="28"/>
          <w:sz w:val="28"/>
          <w:szCs w:val="28"/>
          <w:rtl w:val="true"/>
          <w:lang w:bidi="ar-SA"/>
        </w:rPr>
        <w:t>البغدادي الطحّان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أسد</w:t>
      </w:r>
      <w:r>
        <w:rPr>
          <w:rFonts w:eastAsia="IRNazanin" w:cs="IRNazanin"/>
          <w:color w:val="111111"/>
          <w:sz w:val="28"/>
          <w:szCs w:val="28"/>
          <w:rtl w:val="true"/>
          <w:lang w:bidi="fa-IR"/>
        </w:rPr>
        <w:t>)</w:t>
      </w:r>
      <w:bookmarkStart w:id="634" w:name="pg16776_179037"/>
    </w:p>
    <w:p>
      <w:pPr>
        <w:pStyle w:val="Heading3"/>
        <w:numPr>
          <w:ilvl w:val="2"/>
          <w:numId w:val="1"/>
        </w:numPr>
        <w:rPr/>
      </w:pPr>
      <w:bookmarkStart w:id="635" w:name="__RefHeading___Toc7071161_73709187"/>
      <w:bookmarkStart w:id="636" w:name="_Toc248"/>
      <w:bookmarkEnd w:id="634"/>
      <w:bookmarkEnd w:id="635"/>
      <w:r>
        <w:rPr/>
        <w:t>5</w:t>
      </w:r>
      <w:r>
        <w:rPr>
          <w:rtl w:val="true"/>
        </w:rPr>
        <w:t xml:space="preserve">. </w:t>
      </w:r>
      <w:r>
        <w:rPr>
          <w:rtl w:val="true"/>
        </w:rPr>
        <w:t>الوزير المغربي تفسيره ومذهبه</w:t>
      </w:r>
      <w:bookmarkEnd w:id="636"/>
    </w:p>
    <w:p>
      <w:pPr>
        <w:pStyle w:val="Heading4"/>
        <w:numPr>
          <w:ilvl w:val="3"/>
          <w:numId w:val="1"/>
        </w:numPr>
        <w:rPr/>
      </w:pPr>
      <w:bookmarkStart w:id="637" w:name="__RefHeading___Toc7071163_73709187"/>
      <w:bookmarkStart w:id="638" w:name="_Toc249"/>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 xml:space="preserve">اطّلعت عن طريق بعض الإخوة على أنّه توجد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في 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علي المعروف بالوزير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في جامعة الإمام محمد بن سعود، في الرياض فطلبت من الأخ الدكتور الرسولي سفير الجمهورية الإسلامية الإيرانية هناك أن يسعى للحصول على صورة من هذه النسخة فوافانا الجواب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نسخة محقّقة للباحث عبد الكريم بن صالح الزهراني، فقد حقّق الكتاب من سورة الفاتحة إلى آخر سورة الإسراء ونال بهذا العمل درجة الدكتوراه 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قرأت مقدّمة الباحث وتصفّحت الموجود من التفسير سريعاً فوجدت أنّ الباحث بذل جهده في تحقيق النصّ وإزالة الصعاب عنه، إلى غير ذلك من المزايا التي أشار إليها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الكتاب بعد الحصول على نسختين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فاتحة الكتاب إلى آخر سورة الإسراء مع سقط</w:t>
      </w:r>
    </w:p>
    <w:p>
      <w:pPr>
        <w:pStyle w:val="BookText"/>
        <w:rPr/>
      </w:pPr>
      <w:r>
        <w:rPr>
          <w:rFonts w:ascii="Amiri" w:hAnsi="Amiri" w:eastAsia="Amiri" w:cs="Amiri"/>
          <w:color w:val="111111"/>
          <w:sz w:val="28"/>
          <w:sz w:val="28"/>
          <w:szCs w:val="28"/>
          <w:rtl w:val="true"/>
          <w:lang w:bidi="ar-SA"/>
        </w:rPr>
        <w:t xml:space="preserve">قليل في موردين، وهي من متملّكات عبد الرحمن بن سليمان العثيمين، وهي مصوّرة على ميكروفيلم في جامعة الإمام محمد بن سعود ضمن مخطوطات قسم التفسير برقم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مبتورة من أوّلها وآخرها، فهي تبدأ بسورة النساء وتنتهي بآيات من سورة يوسف، وهي مصوّرة من نسخة في مكتبة تشستربتي برقم </w:t>
      </w:r>
      <w:r>
        <w:rPr>
          <w:rFonts w:eastAsia="Amiri" w:cs="Amiri" w:ascii="Amiri" w:hAnsi="Amiri"/>
          <w:color w:val="111111"/>
          <w:sz w:val="28"/>
          <w:szCs w:val="28"/>
          <w:lang w:bidi="ar-SA"/>
        </w:rPr>
        <w:t>3538</w:t>
      </w:r>
      <w:r>
        <w:rPr>
          <w:rFonts w:ascii="Amiri" w:hAnsi="Amiri" w:eastAsia="Amiri" w:cs="Amiri"/>
          <w:color w:val="111111"/>
          <w:sz w:val="28"/>
          <w:sz w:val="28"/>
          <w:szCs w:val="28"/>
          <w:rtl w:val="true"/>
          <w:lang w:bidi="ar-SA"/>
        </w:rPr>
        <w:t>، وهي في مركز التراث بجامعة 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المحقّق إلى أنّ للكتاب نسخة ثالثة في المغرب بخزانة القرويّين تحت رقم </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وقد راجع الباحث المكتبة فأخبره أمينها بأنّها متلاشية جدّاً ولا يمكن تصويرها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نثمّن جهوده في إحياء ذلك التراث القيم، غير أنّه لمّا وصل إلى بيان مذهب المؤلّف نقل عن الذهبي في سير أعلام النبلاء أنّه كان شيعياً، لكنّه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بعد تتبع آثاره وما كتبه من رسائل لكي أقف على هذه الحقيقة لم أجد ما يدلّ على ذلك، أمّا ما جاء في كتاب المصابيح عندما يذكر أبا جعفر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فهذا بلا شك أنّه من الناسخ بدليل سقوط هذه العبارة في النسخة الثانية</w:t>
      </w:r>
      <w:r>
        <w:rPr>
          <w:rFonts w:eastAsia="Amiri" w:cs="Amiri" w:ascii="Amiri" w:hAnsi="Amiri"/>
          <w:color w:val="111111"/>
          <w:sz w:val="28"/>
          <w:szCs w:val="28"/>
          <w:rtl w:val="true"/>
          <w:lang w:bidi="ar-SA"/>
        </w:rPr>
        <w:t>.</w:t>
      </w:r>
      <w:r>
        <w:rPr>
          <w:rStyle w:val="FootnoteAnchor"/>
          <w:rtl w:val="true"/>
        </w:rPr>
        <w:footnoteReference w:id="49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ضعيف جداً، إذ لقائل أن يقول إنّ النسخة كانت مشتملة على التسليم لكن أسقطها الناسخ، هذه مؤاخذة جزئية ولكن الذي يؤخذ على الباحث أنّه لو أمعن النظر في نفس الكتاب الذي حقّقه، يرى فيه دلائل واضحة على أنّه شيعي إمامي لا ريب في ذلك، ولأجل ذلك نذكر شيئاً من حياته التي جاء ذكرها في مصادرنا الرجالية وشيئاً ممّا ورد في مصادر غيرنا، والغاية رفع الستر عن مذهبه فنقول</w:t>
      </w:r>
      <w:r>
        <w:rPr>
          <w:rFonts w:eastAsia="Amiri" w:cs="Amiri" w:ascii="Amiri" w:hAnsi="Amiri"/>
          <w:color w:val="111111"/>
          <w:sz w:val="28"/>
          <w:szCs w:val="28"/>
          <w:rtl w:val="true"/>
          <w:lang w:bidi="ar-SA"/>
        </w:rPr>
        <w:t>:</w:t>
      </w:r>
      <w:bookmarkStart w:id="639" w:name="pg16776_179039"/>
    </w:p>
    <w:p>
      <w:pPr>
        <w:pStyle w:val="Heading4"/>
        <w:numPr>
          <w:ilvl w:val="3"/>
          <w:numId w:val="1"/>
        </w:numPr>
        <w:rPr/>
      </w:pPr>
      <w:bookmarkStart w:id="640" w:name="__RefHeading___Toc7071165_73709187"/>
      <w:bookmarkStart w:id="641" w:name="_Toc250"/>
      <w:bookmarkEnd w:id="639"/>
      <w:bookmarkEnd w:id="640"/>
      <w:r>
        <w:rPr>
          <w:rtl w:val="true"/>
        </w:rPr>
        <w:t>الوزير المغربي في مصادر الشيعة</w:t>
      </w:r>
      <w:bookmarkEnd w:id="6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من ترجم له الرجالي المشهور أبو العباس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بن الحسين بن محمد بن يوسف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بلاس بن بهرام جور، وأُمّه فاطمة بنت أبي عبد اللّه محمّد بن إبراهيم بن جعفر النعماني شيخنا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خصائص علم القرآن، كتاب اختصار إصلاح المنطق، كتاب اختصار غريب المصنّف، رسالة في القاضي والحاكم، كتاب الإلحاق بالاشتقاق، اختيار شعر أبي تمّام، اختيار شعر البحتري، اختيار شعر المتنبيّ والطعن عليه، توفّي رحمه الله يوم النصف من شهر رمضان سنة ثمان عشرة وأربعمائة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للنعماني جدّ الوزير للأُم، ثم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بلاس بن بهرام جور، وهم فإنّ بلاساً ليس ابن بهرام، بل ابن فيروز بن يزدجرد بن بهرام، وبلاس عم أنوشيروان، وهو الباني لساباط المدائن، وأصل ساباط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بلاس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 وعُرّب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وعنونه الحموي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الحسن بن محمد بن يوسف بن بحر بن بهرام بن المرزبان بن ماهان بن باذام بن سامان بن الحرون من ولد بهرام جور ملك فارس أبو القاسم المعروف بالوزير المغربي الأديب اللغوي الكاتب الشاعر، ولد فجر يوم الأحد ثالث عشر ذي الحجة سنة سبعين وثلاثمائة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ابن شهرآشوب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المغربي الوزير له كتاب المصابيح في تفسير القرآن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علي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عزمتم عليها وهممتم بها، قال الراجز للرشيد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قاسم دون الفتى ابن أُمّه وقد رضيناه فقم فسمّه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رضيت أن تدعونا إلى عقدة الأمر له قعوداً حتى أمرتنا بالقيام،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عزم لا قيام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خزيم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نفسي أنّها أو خيالها أتانا عشاءً حين قمنا لنهجعا</w:t>
      </w:r>
    </w:p>
    <w:p>
      <w:pPr>
        <w:pStyle w:val="BookText"/>
        <w:rPr/>
      </w:pPr>
      <w:r>
        <w:rPr>
          <w:rFonts w:ascii="Amiri" w:hAnsi="Amiri" w:eastAsia="Amiri" w:cs="Amiri"/>
          <w:color w:val="111111"/>
          <w:sz w:val="28"/>
          <w:sz w:val="28"/>
          <w:szCs w:val="28"/>
          <w:rtl w:val="true"/>
          <w:lang w:bidi="ar-SA"/>
        </w:rPr>
        <w:t>أي حين عزمنا للهجوع</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 بن محمد بن يوسف الوزير المغربي، ثمّ لخّص ما ذكره النجاشي</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 بن محمد بن يوسف الوزير المغربي، أُمّه فاطمة بنت أبي عبد اللّه محمد بن إبراهيم النعماني، صاحب كتاب الغيبة، ثم ذكر تصانيفه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عنونه القهبائي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بما ورد في النجاشي ثم أشار إليه في ترجمة جدّه من جانب الأُم،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بن جعفر مؤلّف كتاب الغيبة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بما ورد في رجال النجاشي وخلاصة العلّامة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عنونه المامقاني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نصّ النجاشي ثم الخلاصة، وتكلّم في أنّ قوله شيخنا وصف لمن‌؟</w:t>
      </w:r>
      <w:r>
        <w:rPr>
          <w:rStyle w:val="FootnoteAnchor"/>
          <w:rtl w:val="true"/>
        </w:rPr>
        <w:footnoteReference w:id="500"/>
      </w:r>
      <w:r>
        <w:rPr>
          <w:rFonts w:ascii="Amiri" w:hAnsi="Amiri" w:eastAsia="Amiri" w:cs="Amiri"/>
          <w:color w:val="111111"/>
          <w:sz w:val="28"/>
          <w:sz w:val="28"/>
          <w:szCs w:val="28"/>
          <w:rtl w:val="true"/>
          <w:lang w:bidi="ar-SA"/>
        </w:rPr>
        <w:t>وقد مرّ من المحقق التستري أنّه وصف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أنّه شيخ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الحسين بن محمد بن يوسف الوزير أبو القاسم المغربي، ثم اقتصر بما ذكره النجاشي في رجاله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شيخنا العلّامة اقابزرگ الطهراني مؤلّفات الوزير البغدادي في الذريعة</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إلى هنا تمّ ما ذكره مشايخنا الكبار في ترجمة الوزير المغربي، وهؤلاء اقتصروا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بسط عدّة من علمائنا الكلام في ترجمته ونشير إلى مواضعها من كتبهم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المحقّق التستري، وقد نقلنا شيئاً ممّا ذكره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w:t>
      </w:r>
      <w:r>
        <w:rPr>
          <w:rStyle w:val="FootnoteAnchor"/>
          <w:rtl w:val="true"/>
        </w:rPr>
        <w:footnoteReference w:id="50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أنّا لسنا بصدد ترجمة الوزير اكتفينا بما ذكرنا، وهؤلاء كلّهم متّفقون</w:t>
      </w:r>
      <w:bookmarkStart w:id="642" w:name="pg16776_179042"/>
    </w:p>
    <w:p>
      <w:pPr>
        <w:pStyle w:val="BookText"/>
        <w:rPr/>
      </w:pPr>
      <w:bookmarkEnd w:id="642"/>
      <w:r>
        <w:rPr>
          <w:rFonts w:ascii="Amiri" w:hAnsi="Amiri" w:eastAsia="Amiri" w:cs="Amiri"/>
          <w:color w:val="111111"/>
          <w:sz w:val="28"/>
          <w:sz w:val="28"/>
          <w:szCs w:val="28"/>
          <w:rtl w:val="true"/>
          <w:lang w:bidi="ar-SA"/>
        </w:rPr>
        <w:t>على تشيّعه ولذلك عمدوا إلى ترجمته في كتبهم بلا أي ريب وشك، ولأجل رفع الستر عن الموضوع الذي ذكره الباحث على عواهنه، ندرس مذهبه من خلال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الخارجية التي ذكرها غير واحد من أصحاب المعاجم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القرائن الداخلية وهي النصوص الموجودة في أثره القيّم المصابيح، على وفق ما حقّقه الباحث عبد الكريم بن صالح بن عبد اللّه الزهراني حفظه اللّه</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7071167_73709187"/>
      <w:bookmarkStart w:id="644" w:name="_Toc251"/>
      <w:bookmarkEnd w:id="643"/>
      <w:r>
        <w:rPr>
          <w:rtl w:val="true"/>
        </w:rPr>
        <w:t>القرائن الخارجية الدالّة على تشيّعه</w:t>
      </w:r>
      <w:bookmarkEnd w:id="644"/>
    </w:p>
    <w:p>
      <w:pPr>
        <w:pStyle w:val="BookText"/>
        <w:rPr/>
      </w:pPr>
      <w:r>
        <w:rPr>
          <w:rFonts w:ascii="Amiri" w:hAnsi="Amiri" w:eastAsia="Amiri" w:cs="Amiri"/>
          <w:color w:val="111111"/>
          <w:sz w:val="28"/>
          <w:sz w:val="28"/>
          <w:szCs w:val="28"/>
          <w:rtl w:val="true"/>
          <w:lang w:bidi="ar-SA"/>
        </w:rPr>
        <w:t xml:space="preserve">هناك قرائن 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على أنّه كان شيعياً حقيقياً، وإليك ما وقفنا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أُمّه كانت بنت الشيخ النعماني شيخ الطائفة الإمامية المعاصر للشيخ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الغيبة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الرجالي النجاشي وغيره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الحموي أنّه كانت وفاته في ميافارقين وحمل بوصية منه إلى الكوفة ودفن بها في تربة مجاورة لمشهد عليّ رضي اللّه عنه وأوصى أن يكتب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في سفرة الغواية والجه‍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مقيماً فحان مني قُدوم</w:t>
      </w:r>
    </w:p>
    <w:p>
      <w:pPr>
        <w:pStyle w:val="BookText"/>
        <w:rPr/>
      </w:pPr>
      <w:r>
        <w:rPr>
          <w:rFonts w:ascii="Amiri" w:hAnsi="Amiri" w:eastAsia="Amiri" w:cs="Amiri"/>
          <w:color w:val="111111"/>
          <w:sz w:val="28"/>
          <w:sz w:val="28"/>
          <w:szCs w:val="28"/>
          <w:rtl w:val="true"/>
          <w:lang w:bidi="ar-SA"/>
        </w:rPr>
        <w:t xml:space="preserve">تُبت من كل مأثم فعسى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بهذا الحديث ذاك القديم</w:t>
      </w:r>
    </w:p>
    <w:p>
      <w:pPr>
        <w:pStyle w:val="BookText"/>
        <w:rPr/>
      </w:pPr>
      <w:r>
        <w:rPr>
          <w:rFonts w:ascii="Amiri" w:hAnsi="Amiri" w:eastAsia="Amiri" w:cs="Amiri"/>
          <w:color w:val="111111"/>
          <w:sz w:val="28"/>
          <w:sz w:val="28"/>
          <w:szCs w:val="28"/>
          <w:rtl w:val="true"/>
          <w:lang w:bidi="ar-SA"/>
        </w:rPr>
        <w:t>بعد خمس وأربعين لقد ما طلتُ إلّاأنّ الغريم كريمُ‌</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أحسّ بالموت كتب كتاباً عن نفسه إلى كلّ مَن يعرفه من الأُمراء والرؤساء الذين بينه وبين الكوفة ويعرّفهم أنّ حظيّة له توفّيت وأنّه</w:t>
      </w:r>
    </w:p>
    <w:p>
      <w:pPr>
        <w:pStyle w:val="BookText"/>
        <w:rPr/>
      </w:pPr>
      <w:r>
        <w:rPr>
          <w:rFonts w:ascii="Amiri" w:hAnsi="Amiri" w:eastAsia="Amiri" w:cs="Amiri"/>
          <w:color w:val="111111"/>
          <w:sz w:val="28"/>
          <w:sz w:val="28"/>
          <w:szCs w:val="28"/>
          <w:rtl w:val="true"/>
          <w:lang w:bidi="ar-SA"/>
        </w:rPr>
        <w:t>قد سيّر تابوتها إلى مشهد أمير المؤمنين علي عليه السلام وخاطبهم في المراعاة لمن في صحبته، وكان قصده أن لا يتعرّض أحد لتابوته بمنع وينطوي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سار به أصحابه، كما أمرهم، وأوصلوا الكتب، فلم يتعرّض أحد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بالمشهد ولم يعلم به أحد إلّابعد دفنه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وذكر هذه القضية الصاحب كمال الدين المعروف بابن العديم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وقد ترجم مؤلفنا بصورة مبسّطة</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القصيدة التي أنشأها في مدح الأنصار، وقد نقل أكثرها ابن أبي الحديد في شرحه، ونحن نقتبس من هذه القصيدة ما يرجع إلى مهمتنا، وإليك مستهل القصيدة،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الذين بنا استجار فلم يَضِعْ فينا، لأصبح في أعزّ جوار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وتداولتها أربع لولا أبو حسن 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لؤمت من إستار</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لو ألقوا إليه زمامها لمشى بهم سَجُحاً بغير عِثار</w:t>
      </w:r>
    </w:p>
    <w:p>
      <w:pPr>
        <w:pStyle w:val="BookText"/>
        <w:rPr/>
      </w:pPr>
      <w:r>
        <w:rPr>
          <w:rFonts w:ascii="Amiri" w:hAnsi="Amiri" w:eastAsia="Amiri" w:cs="Amiri"/>
          <w:color w:val="111111"/>
          <w:sz w:val="28"/>
          <w:sz w:val="28"/>
          <w:szCs w:val="28"/>
          <w:rtl w:val="true"/>
          <w:lang w:bidi="ar-SA"/>
        </w:rPr>
        <w:t>ولو أنّها حلّت بساحة مجده بادي بدا سكنت بدار قرار</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وتنقلت في عصبة أموية ليسوا بأطهار ولا أبرار</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للمغربي في الإمام الباقر عليه السلام</w:t>
      </w:r>
    </w:p>
    <w:p>
      <w:pPr>
        <w:pStyle w:val="BookText"/>
        <w:rPr/>
      </w:pPr>
      <w:r>
        <w:rPr>
          <w:rFonts w:ascii="Amiri" w:hAnsi="Amiri" w:eastAsia="Amiri" w:cs="Amiri"/>
          <w:color w:val="111111"/>
          <w:sz w:val="28"/>
          <w:sz w:val="28"/>
          <w:szCs w:val="28"/>
          <w:rtl w:val="true"/>
          <w:lang w:bidi="ar-SA"/>
        </w:rPr>
        <w:t>والظاهر أنّه أراد به الوزير المغربي لأنّها لا توجد في ديوان ابن هانئ،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الذي بلسانه وبيانه هُدي الأنام ونزّل التنزيل</w:t>
      </w:r>
    </w:p>
    <w:p>
      <w:pPr>
        <w:pStyle w:val="BookText"/>
        <w:rPr/>
      </w:pPr>
      <w:r>
        <w:rPr>
          <w:rFonts w:ascii="Amiri" w:hAnsi="Amiri" w:eastAsia="Amiri" w:cs="Amiri"/>
          <w:color w:val="111111"/>
          <w:sz w:val="28"/>
          <w:sz w:val="28"/>
          <w:szCs w:val="28"/>
          <w:rtl w:val="true"/>
          <w:lang w:bidi="ar-SA"/>
        </w:rPr>
        <w:t>عن فضله نطق الكتاب وبشرت بقدومه التوراة والإنجيل</w:t>
      </w:r>
    </w:p>
    <w:p>
      <w:pPr>
        <w:pStyle w:val="BookText"/>
        <w:rPr/>
      </w:pPr>
      <w:r>
        <w:rPr>
          <w:rFonts w:ascii="Amiri" w:hAnsi="Amiri" w:eastAsia="Amiri" w:cs="Amiri"/>
          <w:color w:val="111111"/>
          <w:sz w:val="28"/>
          <w:sz w:val="28"/>
          <w:szCs w:val="28"/>
          <w:rtl w:val="true"/>
          <w:lang w:bidi="ar-SA"/>
        </w:rPr>
        <w:t>لولا انقطاع الوحي بعد محمد قلنا محمد من أبيه بديل</w:t>
      </w:r>
    </w:p>
    <w:p>
      <w:pPr>
        <w:pStyle w:val="BookText"/>
        <w:rPr/>
      </w:pPr>
      <w:r>
        <w:rPr>
          <w:rFonts w:ascii="Amiri" w:hAnsi="Amiri" w:eastAsia="Amiri" w:cs="Amiri"/>
          <w:color w:val="111111"/>
          <w:sz w:val="28"/>
          <w:sz w:val="28"/>
          <w:szCs w:val="28"/>
          <w:rtl w:val="true"/>
          <w:lang w:bidi="ar-SA"/>
        </w:rPr>
        <w:t>هو مثله في الفضل إلّاأنّه لم يأته برسالة جبريل</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السيد الأمين عنه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عليك اللّه يا من دنا من قاب قوسين مقام النبيه</w:t>
      </w:r>
    </w:p>
    <w:p>
      <w:pPr>
        <w:pStyle w:val="BookText"/>
        <w:rPr/>
      </w:pPr>
      <w:r>
        <w:rPr>
          <w:rFonts w:ascii="Amiri" w:hAnsi="Amiri" w:eastAsia="Amiri" w:cs="Amiri"/>
          <w:color w:val="111111"/>
          <w:sz w:val="28"/>
          <w:sz w:val="28"/>
          <w:szCs w:val="28"/>
          <w:rtl w:val="true"/>
          <w:lang w:bidi="ar-SA"/>
        </w:rPr>
        <w:t>أخوك قد خولفت فيه كما خولف في هارون موسى أخيه</w:t>
      </w:r>
    </w:p>
    <w:p>
      <w:pPr>
        <w:pStyle w:val="BookText"/>
        <w:rPr/>
      </w:pPr>
      <w:r>
        <w:rPr>
          <w:rFonts w:ascii="Amiri" w:hAnsi="Amiri" w:eastAsia="Amiri" w:cs="Amiri"/>
          <w:color w:val="111111"/>
          <w:sz w:val="28"/>
          <w:sz w:val="28"/>
          <w:szCs w:val="28"/>
          <w:rtl w:val="true"/>
          <w:lang w:bidi="ar-SA"/>
        </w:rPr>
        <w:t>هل برسول اللّه من أُسوة لم يقتد القوم بما هن فيه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أطول من هذا،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غامصين المزايا الجليلة من المرتضى والسجايا الجميلة</w:t>
      </w:r>
    </w:p>
    <w:p>
      <w:pPr>
        <w:pStyle w:val="BookText"/>
        <w:rPr/>
      </w:pPr>
      <w:r>
        <w:rPr>
          <w:rFonts w:ascii="Amiri" w:hAnsi="Amiri" w:eastAsia="Amiri" w:cs="Amiri"/>
          <w:color w:val="111111"/>
          <w:sz w:val="28"/>
          <w:sz w:val="28"/>
          <w:szCs w:val="28"/>
          <w:rtl w:val="true"/>
          <w:lang w:bidi="ar-SA"/>
        </w:rPr>
        <w:t>ويا غامضين عن الواضحات كأن العيون لديها كليلة</w:t>
      </w:r>
    </w:p>
    <w:p>
      <w:pPr>
        <w:pStyle w:val="BookText"/>
        <w:rPr/>
      </w:pPr>
      <w:r>
        <w:rPr>
          <w:rFonts w:ascii="Amiri" w:hAnsi="Amiri" w:eastAsia="Amiri" w:cs="Amiri"/>
          <w:color w:val="111111"/>
          <w:sz w:val="28"/>
          <w:sz w:val="28"/>
          <w:szCs w:val="28"/>
          <w:rtl w:val="true"/>
          <w:lang w:bidi="ar-SA"/>
        </w:rPr>
        <w:t>إذا كان لا يعرف الفاضلين إلّا شبيههم في الفضيلة</w:t>
      </w:r>
    </w:p>
    <w:p>
      <w:pPr>
        <w:pStyle w:val="BookText"/>
        <w:rPr/>
      </w:pPr>
      <w:r>
        <w:rPr>
          <w:rFonts w:ascii="Amiri" w:hAnsi="Amiri" w:eastAsia="Amiri" w:cs="Amiri"/>
          <w:color w:val="111111"/>
          <w:sz w:val="28"/>
          <w:sz w:val="28"/>
          <w:szCs w:val="28"/>
          <w:rtl w:val="true"/>
          <w:lang w:bidi="ar-SA"/>
        </w:rPr>
        <w:t>فمن أين للأُمّة الاختيار عفا لعقولكم المستحيلة</w:t>
      </w:r>
    </w:p>
    <w:p>
      <w:pPr>
        <w:pStyle w:val="BookText"/>
        <w:rPr/>
      </w:pPr>
      <w:r>
        <w:rPr>
          <w:rFonts w:ascii="Amiri" w:hAnsi="Amiri" w:eastAsia="Amiri" w:cs="Amiri"/>
          <w:color w:val="111111"/>
          <w:sz w:val="28"/>
          <w:sz w:val="28"/>
          <w:szCs w:val="28"/>
          <w:rtl w:val="true"/>
          <w:lang w:bidi="ar-SA"/>
        </w:rPr>
        <w:t>عرفنا عليّاً بطيب النجار وفصل الخطاب وحسن المخيلة</w:t>
      </w:r>
    </w:p>
    <w:p>
      <w:pPr>
        <w:pStyle w:val="BookText"/>
        <w:rPr/>
      </w:pPr>
      <w:r>
        <w:rPr>
          <w:rFonts w:ascii="Amiri" w:hAnsi="Amiri" w:eastAsia="Amiri" w:cs="Amiri"/>
          <w:color w:val="111111"/>
          <w:sz w:val="28"/>
          <w:sz w:val="28"/>
          <w:szCs w:val="28"/>
          <w:rtl w:val="true"/>
          <w:lang w:bidi="ar-SA"/>
        </w:rPr>
        <w:t>تطلع كالشمس رأد الضحى بفضل عميم وأيد جزيلة</w:t>
      </w:r>
    </w:p>
    <w:p>
      <w:pPr>
        <w:pStyle w:val="BookText"/>
        <w:rPr/>
      </w:pPr>
      <w:r>
        <w:rPr>
          <w:rFonts w:ascii="Amiri" w:hAnsi="Amiri" w:eastAsia="Amiri" w:cs="Amiri"/>
          <w:color w:val="111111"/>
          <w:sz w:val="28"/>
          <w:sz w:val="28"/>
          <w:szCs w:val="28"/>
          <w:rtl w:val="true"/>
          <w:lang w:bidi="ar-SA"/>
        </w:rPr>
        <w:t>فكان المقدّم بعد النبيّ على كل نفس بكل قبيلة</w:t>
      </w:r>
      <w:r>
        <w:rPr>
          <w:rStyle w:val="FootnoteAnchor"/>
          <w:rtl w:val="true"/>
        </w:rPr>
        <w:footnoteReference w:id="51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يرجع إلى القرائن الخارجية، وأمّا ما يرجع إلى القرائن الداخلية</w:t>
      </w:r>
      <w:bookmarkStart w:id="645" w:name="pg16776_179045"/>
    </w:p>
    <w:p>
      <w:pPr>
        <w:pStyle w:val="BookText"/>
        <w:rPr/>
      </w:pPr>
      <w:bookmarkEnd w:id="645"/>
      <w:r>
        <w:rPr>
          <w:rFonts w:ascii="Amiri" w:hAnsi="Amiri" w:eastAsia="Amiri" w:cs="Amiri"/>
          <w:color w:val="111111"/>
          <w:sz w:val="28"/>
          <w:sz w:val="28"/>
          <w:szCs w:val="28"/>
          <w:rtl w:val="true"/>
          <w:lang w:bidi="ar-SA"/>
        </w:rPr>
        <w:t>فهي بين الصريح وكالصريح على أنّه شيعي إمامي فنأتي به حسب تسلسل السور، إلى سورة الإسراء، ولو وفق اللّه الباحث أو غيره لتحقيق النصف الآخر من الكتاب ربما زادت القرائن أكثر من ذلك، وإليك البيان</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7071169_73709187"/>
      <w:bookmarkStart w:id="647" w:name="_Toc252"/>
      <w:bookmarkEnd w:id="646"/>
      <w:r>
        <w:rPr>
          <w:rtl w:val="true"/>
        </w:rPr>
        <w:t>القرائن الداخلية الدالّة على تشيّعه</w:t>
      </w:r>
      <w:bookmarkEnd w:id="647"/>
    </w:p>
    <w:p>
      <w:pPr>
        <w:pStyle w:val="Heading5"/>
        <w:numPr>
          <w:ilvl w:val="4"/>
          <w:numId w:val="1"/>
        </w:numPr>
        <w:rPr/>
      </w:pPr>
      <w:bookmarkStart w:id="648" w:name="__RefHeading___Toc7071171_73709187"/>
      <w:bookmarkStart w:id="649" w:name="_Toc253"/>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نعني بالقرائن الداخلية ما فسّر به كلام اللّه سبحانه من خطبة الكتاب إلى تفسير آخر سورة الإسراء، ففيها دلائل واضحة على تشيّعه، نشير إلى ما وقفنا عليه</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7071173_73709187"/>
      <w:bookmarkStart w:id="651" w:name="_Toc254"/>
      <w:bookmarkEnd w:id="650"/>
      <w:r>
        <w:rPr/>
        <w:t>1</w:t>
      </w:r>
      <w:r>
        <w:rPr>
          <w:rtl w:val="true"/>
        </w:rPr>
        <w:t xml:space="preserve">. </w:t>
      </w:r>
      <w:r>
        <w:rPr>
          <w:rtl w:val="true"/>
        </w:rPr>
        <w:t>كيفية الصلاة على النبي صلى الله عليه و آله</w:t>
      </w:r>
      <w:bookmarkEnd w:id="651"/>
    </w:p>
    <w:p>
      <w:pPr>
        <w:pStyle w:val="BookText"/>
        <w:rPr/>
      </w:pPr>
      <w:r>
        <w:rPr>
          <w:rFonts w:ascii="Amiri" w:hAnsi="Amiri" w:eastAsia="Amiri" w:cs="Amiri"/>
          <w:color w:val="111111"/>
          <w:sz w:val="28"/>
          <w:sz w:val="28"/>
          <w:szCs w:val="28"/>
          <w:rtl w:val="true"/>
          <w:lang w:bidi="ar-SA"/>
        </w:rPr>
        <w:t>ابتدأ خطبة الكتاب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نقدّم بين يديك ما تأمر 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ونسألك أن تصلّي على محمد فإنّه رحمتك وعلى أهل بيته المصطفين من بريتك</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فإنّ هذا النوع من الصلاة على النبيّ من خصائص الشيعة حيث لم يعطف الصحابة على أهل بيته، إذ لم يرد حتى في حديث واحد أنّ النبي صلى الله عليه و آله علّم الصلاة عليه بعطف الأصحاب على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أي ادخلوا دين محمد صلّى اللّه عليه وآله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يذكر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أي كانوا يأمرون الناس باتّباع محمد صلّى اللّه عليه وآله</w:t>
      </w:r>
      <w:r>
        <w:rPr>
          <w:rFonts w:eastAsia="Amiri" w:cs="Amiri" w:ascii="Amiri" w:hAnsi="Amiri"/>
          <w:color w:val="111111"/>
          <w:sz w:val="28"/>
          <w:szCs w:val="28"/>
          <w:rtl w:val="true"/>
          <w:lang w:bidi="ar-SA"/>
        </w:rPr>
        <w:t>.</w:t>
      </w:r>
      <w:bookmarkStart w:id="652" w:name="pg16776_179046"/>
    </w:p>
    <w:p>
      <w:pPr>
        <w:pStyle w:val="BookText"/>
        <w:rPr/>
      </w:pPr>
      <w:bookmarkEnd w:id="652"/>
      <w:r>
        <w:rPr>
          <w:rFonts w:ascii="Amiri" w:hAnsi="Amiri" w:eastAsia="Amiri" w:cs="Amiri"/>
          <w:color w:val="111111"/>
          <w:sz w:val="28"/>
          <w:sz w:val="28"/>
          <w:szCs w:val="28"/>
          <w:rtl w:val="true"/>
          <w:lang w:bidi="ar-SA"/>
        </w:rPr>
        <w:t>إلى غير ذلك من الموارد التي يعطف الآل على النبي صلى الله عليه و آله ولا يذكر شيئاً من الصلاة على الأصحاب، ويتجنب الصلاة البتراء التي هي الصلاة على النبي صلى الله عليه و آله فقط دون عطف الآل عليه، وقد روى البخاري وغيره كيفية الصلاة عليه</w:t>
      </w:r>
      <w:r>
        <w:rPr>
          <w:rFonts w:eastAsia="Amiri" w:cs="Amiri" w:ascii="Amiri" w:hAnsi="Amiri"/>
          <w:color w:val="111111"/>
          <w:sz w:val="28"/>
          <w:szCs w:val="28"/>
          <w:rtl w:val="true"/>
          <w:lang w:bidi="ar-SA"/>
        </w:rPr>
        <w:t>.</w:t>
      </w:r>
      <w:r>
        <w:rPr>
          <w:rStyle w:val="FootnoteAnchor"/>
          <w:rtl w:val="true"/>
        </w:rPr>
        <w:footnoteReference w:id="518"/>
      </w:r>
    </w:p>
    <w:p>
      <w:pPr>
        <w:pStyle w:val="Heading5"/>
        <w:numPr>
          <w:ilvl w:val="4"/>
          <w:numId w:val="1"/>
        </w:numPr>
        <w:rPr/>
      </w:pPr>
      <w:bookmarkStart w:id="653" w:name="__RefHeading___Toc7071175_73709187"/>
      <w:bookmarkStart w:id="654" w:name="_Toc255"/>
      <w:bookmarkEnd w:id="653"/>
      <w:r>
        <w:rPr/>
        <w:t>2</w:t>
      </w:r>
      <w:r>
        <w:rPr>
          <w:rtl w:val="true"/>
        </w:rPr>
        <w:t xml:space="preserve">. </w:t>
      </w:r>
      <w:r>
        <w:rPr>
          <w:rtl w:val="true"/>
        </w:rPr>
        <w:t>كلامه في بسملة كلّ سورة</w:t>
      </w:r>
      <w:bookmarkEnd w:id="654"/>
    </w:p>
    <w:p>
      <w:pPr>
        <w:pStyle w:val="BookText"/>
        <w:rPr/>
      </w:pPr>
      <w:r>
        <w:rPr>
          <w:rFonts w:ascii="Amiri" w:hAnsi="Amiri" w:eastAsia="Amiri" w:cs="Amiri"/>
          <w:color w:val="111111"/>
          <w:sz w:val="28"/>
          <w:sz w:val="28"/>
          <w:szCs w:val="28"/>
          <w:rtl w:val="true"/>
          <w:lang w:bidi="ar-SA"/>
        </w:rPr>
        <w:t>اختلف الفقهاء في جزئية البسملة من السور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مالكاً لا يرى أنّ البسملة جزء من السور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الحنفية والحنابلة يرونها جزءاً من فاتحة الكتاب فقط لكن يقرأونها سرّاً، وأمّا الشافعية فيرونها جزءاً من فاتحة الكتاب ويقرأونها في الجهر جهراً وفي السر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جزءاً من سائر السور ففيه عن الشافعي قولان، وأمّا الشيعة الإمامية فليس عندهم في المسألة إلّاقول واحد وهو أنّ البسملة جزء من كلّ سورة ويجهر بها في الصلوات الجهرية وجوباً وفي الصلوات السرية سرّاً</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فلنرجع إلى كلام الوزير المغربي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عندنا من كلّ سورة غير براءة، بدلالة إثباتهم إيّاها في المصاحف مع توقيهم أن يثبتوا فيها الأخماس والأعشار</w:t>
      </w:r>
      <w:r>
        <w:rPr>
          <w:rFonts w:eastAsia="Amiri" w:cs="Amiri" w:ascii="Amiri" w:hAnsi="Amiri"/>
          <w:color w:val="111111"/>
          <w:sz w:val="28"/>
          <w:szCs w:val="28"/>
          <w:rtl w:val="true"/>
          <w:lang w:bidi="ar-SA"/>
        </w:rPr>
        <w:t>.</w:t>
      </w:r>
      <w:r>
        <w:rPr>
          <w:rStyle w:val="FootnoteAnchor"/>
          <w:rtl w:val="true"/>
        </w:rPr>
        <w:footnoteReference w:id="520"/>
      </w:r>
    </w:p>
    <w:p>
      <w:pPr>
        <w:pStyle w:val="Heading5"/>
        <w:numPr>
          <w:ilvl w:val="4"/>
          <w:numId w:val="1"/>
        </w:numPr>
        <w:rPr/>
      </w:pPr>
      <w:bookmarkStart w:id="655" w:name="__RefHeading___Toc7071177_73709187"/>
      <w:bookmarkStart w:id="656" w:name="_Toc256"/>
      <w:bookmarkEnd w:id="655"/>
      <w:r>
        <w:rPr/>
        <w:t>3</w:t>
      </w:r>
      <w:r>
        <w:rPr>
          <w:rtl w:val="true"/>
        </w:rPr>
        <w:t xml:space="preserve">. </w:t>
      </w:r>
      <w:r>
        <w:rPr>
          <w:rtl w:val="true"/>
        </w:rPr>
        <w:t>الجمع بين الحجّة والعمرة</w:t>
      </w:r>
      <w:bookmarkEnd w:id="65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الناس من عهد رسول اللّه صلى الله عليه و آله إلى عصر الخليفة الثاني يجمعون بين</w:t>
      </w:r>
      <w:bookmarkStart w:id="657" w:name="pg16776_179047"/>
    </w:p>
    <w:p>
      <w:pPr>
        <w:pStyle w:val="BookText"/>
        <w:rPr/>
      </w:pPr>
      <w:bookmarkEnd w:id="657"/>
      <w:r>
        <w:rPr>
          <w:rFonts w:ascii="Amiri" w:hAnsi="Amiri" w:eastAsia="Amiri" w:cs="Amiri"/>
          <w:color w:val="111111"/>
          <w:sz w:val="28"/>
          <w:sz w:val="28"/>
          <w:szCs w:val="28"/>
          <w:rtl w:val="true"/>
          <w:lang w:bidi="ar-SA"/>
        </w:rPr>
        <w:t>العمرة والحج، غير أنّ الخليفة الثاني منع من الجمع 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الوزير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رسول اللّه صلى الله عليه و آله جمع بين حجّة وعمرة ولم ينزل فيها كتاب ولم ينه عنها رسول اللّه صلى الله عليه و آله، قال فيها رجل برأيه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w:t>
      </w:r>
      <w:r>
        <w:rPr>
          <w:rStyle w:val="FootnoteAnchor"/>
          <w:rtl w:val="true"/>
        </w:rPr>
        <w:footnoteReference w:id="522"/>
      </w:r>
    </w:p>
    <w:p>
      <w:pPr>
        <w:pStyle w:val="Heading5"/>
        <w:numPr>
          <w:ilvl w:val="4"/>
          <w:numId w:val="1"/>
        </w:numPr>
        <w:rPr/>
      </w:pPr>
      <w:bookmarkStart w:id="658" w:name="__RefHeading___Toc7071179_73709187"/>
      <w:bookmarkStart w:id="659" w:name="_Toc257"/>
      <w:bookmarkEnd w:id="658"/>
      <w:r>
        <w:rPr/>
        <w:t>4</w:t>
      </w:r>
      <w:r>
        <w:rPr>
          <w:rtl w:val="true"/>
        </w:rPr>
        <w:t xml:space="preserve">. </w:t>
      </w:r>
      <w:r>
        <w:rPr>
          <w:rtl w:val="true"/>
        </w:rPr>
        <w:t>كلامه في ليلة المبيت</w:t>
      </w:r>
      <w:bookmarkEnd w:id="659"/>
    </w:p>
    <w:p>
      <w:pPr>
        <w:pStyle w:val="BookText"/>
        <w:rPr/>
      </w:pPr>
      <w:r>
        <w:rPr>
          <w:rFonts w:ascii="Amiri" w:hAnsi="Amiri" w:eastAsia="Amiri" w:cs="Amiri"/>
          <w:color w:val="111111"/>
          <w:sz w:val="28"/>
          <w:sz w:val="28"/>
          <w:szCs w:val="28"/>
          <w:rtl w:val="true"/>
          <w:lang w:bidi="ar-SA"/>
        </w:rPr>
        <w:t>قال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عمر بن شبّة أنّها نزلت في عليّ عليه السلام لمّا بات على فراش رسول اللّه صلى الله عليه و آله عند الهجرة، وكذلك قال أبو جعفر</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ولعلّه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7071181_73709187"/>
      <w:bookmarkStart w:id="661" w:name="_Toc258"/>
      <w:bookmarkEnd w:id="660"/>
      <w:r>
        <w:rPr/>
        <w:t>5</w:t>
      </w:r>
      <w:r>
        <w:rPr>
          <w:rtl w:val="true"/>
        </w:rPr>
        <w:t xml:space="preserve">. </w:t>
      </w:r>
      <w:r>
        <w:rPr>
          <w:rtl w:val="true"/>
        </w:rPr>
        <w:t>كلامه في المباهلة</w:t>
      </w:r>
      <w:bookmarkEnd w:id="66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نلتعن، والبهلة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وفي امتناعهم من المباهلة وعدولهم إلى الموادعة أعظم الحجج في نبوّة محمد صلى الله عليه و آله، وأخذ بيد علي عليه السلام وفاطمة والحسن والحسين عليهم السلام، كذا روى البلخي والرماني، قال أبو 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دليل على أنّ الحسن والحسين ابناه</w:t>
      </w:r>
      <w:r>
        <w:rPr>
          <w:rFonts w:eastAsia="Amiri" w:cs="Amiri" w:ascii="Amiri" w:hAnsi="Amiri"/>
          <w:color w:val="111111"/>
          <w:sz w:val="28"/>
          <w:szCs w:val="28"/>
          <w:rtl w:val="true"/>
          <w:lang w:bidi="ar-SA"/>
        </w:rPr>
        <w:t>.</w:t>
      </w:r>
      <w:r>
        <w:rPr>
          <w:rStyle w:val="FootnoteAnchor"/>
          <w:rtl w:val="true"/>
        </w:rPr>
        <w:footnoteReference w:id="526"/>
      </w:r>
      <w:bookmarkStart w:id="662" w:name="pg16776_179048"/>
    </w:p>
    <w:p>
      <w:pPr>
        <w:pStyle w:val="Heading5"/>
        <w:numPr>
          <w:ilvl w:val="4"/>
          <w:numId w:val="1"/>
        </w:numPr>
        <w:rPr/>
      </w:pPr>
      <w:bookmarkStart w:id="663" w:name="__RefHeading___Toc7071183_73709187"/>
      <w:bookmarkStart w:id="664" w:name="_Toc259"/>
      <w:bookmarkEnd w:id="662"/>
      <w:bookmarkEnd w:id="663"/>
      <w:r>
        <w:rPr/>
        <w:t>6</w:t>
      </w:r>
      <w:r>
        <w:rPr>
          <w:rtl w:val="true"/>
        </w:rPr>
        <w:t xml:space="preserve">. </w:t>
      </w:r>
      <w:r>
        <w:rPr>
          <w:rtl w:val="true"/>
        </w:rPr>
        <w:t>كلامه في متعة النساء</w:t>
      </w:r>
      <w:bookmarkEnd w:id="664"/>
    </w:p>
    <w:p>
      <w:pPr>
        <w:pStyle w:val="BookText"/>
        <w:rPr/>
      </w:pPr>
      <w:r>
        <w:rPr>
          <w:rFonts w:ascii="Amiri" w:hAnsi="Amiri" w:eastAsia="Amiri" w:cs="Amiri"/>
          <w:color w:val="111111"/>
          <w:sz w:val="28"/>
          <w:sz w:val="28"/>
          <w:szCs w:val="28"/>
          <w:rtl w:val="true"/>
          <w:lang w:bidi="ar-SA"/>
        </w:rPr>
        <w:t>قال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كتاب اللّه فاتبعوه،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عليكم كتاباً أي فرض، وهذه آية ظاهرة في تحليل المتعة، لأنّه استوفى أقسام ما أحلّه ثم جاء بذكر المتعة بعد ذلك، وفي حرف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نسخها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xml:space="preserve">وعزو النسخ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تعقيبه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دليل على كونه احتمالاً ضعيفاً عنده</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7071185_73709187"/>
      <w:bookmarkStart w:id="666" w:name="_Toc260"/>
      <w:bookmarkEnd w:id="665"/>
      <w:r>
        <w:rPr/>
        <w:t>7</w:t>
      </w:r>
      <w:r>
        <w:rPr>
          <w:rtl w:val="true"/>
        </w:rPr>
        <w:t xml:space="preserve">. </w:t>
      </w:r>
      <w:r>
        <w:rPr>
          <w:rtl w:val="true"/>
        </w:rPr>
        <w:t>كلامه في آية الوضوء</w:t>
      </w:r>
      <w:bookmarkEnd w:id="666"/>
    </w:p>
    <w:p>
      <w:pPr>
        <w:pStyle w:val="BookText"/>
        <w:rPr/>
      </w:pPr>
      <w:r>
        <w:rPr>
          <w:rFonts w:ascii="Amiri" w:hAnsi="Amiri" w:eastAsia="Amiri" w:cs="Amiri"/>
          <w:color w:val="111111"/>
          <w:sz w:val="28"/>
          <w:sz w:val="28"/>
          <w:szCs w:val="28"/>
          <w:rtl w:val="true"/>
          <w:lang w:bidi="ar-SA"/>
        </w:rPr>
        <w:t xml:space="preserve">اتّفقت الشيعة الإمامية على مسح الرجلين بدل غسلهما، واتّفقت السنّة على غسلهما دون مسحهما، والاختلاف نابع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عطف إلى أين‌؟ فالشيعة الإمامية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فعلى قراءة النصب فهو معطوف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قراءة الجر منصوب على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السنّة فالقراءة الرائجة هي النصب فقالوا بأنّه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ردّ عليه الوزير بوضوح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أجاز قوم أن يكون النصب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يجوز شبيهه في الكلام المعقّد، أو في ضرورة الشعر، وما يجوز على مثله هُجنة العيّ وظلمة اللبس، فأمّا القول العربي المبين، المتميّز بالبلاغة عن فصاحة العالمين، فلا يجوز أن يأتي فيه جملة طويلة كاملة متعلّقة بمعنى يخصّها، ثم تأتي جُملة أُخرى طويلة كاملة بمعنى يخصّها، فنعطف من آخر</w:t>
      </w:r>
      <w:bookmarkStart w:id="667" w:name="pg16776_179049"/>
    </w:p>
    <w:p>
      <w:pPr>
        <w:pStyle w:val="BookText"/>
        <w:rPr/>
      </w:pPr>
      <w:bookmarkEnd w:id="667"/>
      <w:r>
        <w:rPr>
          <w:rFonts w:ascii="Amiri" w:hAnsi="Amiri" w:eastAsia="Amiri" w:cs="Amiri"/>
          <w:color w:val="111111"/>
          <w:sz w:val="28"/>
          <w:sz w:val="28"/>
          <w:szCs w:val="28"/>
          <w:rtl w:val="true"/>
          <w:lang w:bidi="ar-SA"/>
        </w:rPr>
        <w:t>الجملة الثانية شيئاً على أوّل الجملة الأُولى</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إلّاأن يكون هذا التنزيل منسوخاً بالسنّة فقد بلغني عن الشعبي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القرآن بالمسح والسُنّة بالغسل، وعلى أنّه قد حدّثنا أبو الحسن علي بن محمد بن يزيد الحلبي عن أبي بكر محمد بن زيّاد النيسابوري في كتاب الزيادات أنّ رسول اللّه صلى الله عليه و آله مسح ولم يغسل، والكتاب معروف والحديث فيه موجود، وكذلك في كتاب الوضوء لأبي عبيد القاسم بن سلّام، وباللّه التوفيق</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المسح قد نسخ بالسنّة أمر غير صحيح؛ لأنّ سورة المائدة آخر ما نزل على الرسول صلى الله عليه و آله وقد قال غير واحد من المحقّقين أنّه لم ينسخ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الأمر أن ينزل الوحي لتعليم الوضوء للناس ثم يأتي بعد فترة قليلة فينسخ ما نزل في كتاب اللّه بسنّة الرسول صلى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68" w:name="__RefHeading___Toc7071187_73709187"/>
      <w:bookmarkStart w:id="669" w:name="_Toc261"/>
      <w:bookmarkEnd w:id="668"/>
      <w:r>
        <w:rPr/>
        <w:t>8</w:t>
      </w:r>
      <w:r>
        <w:rPr>
          <w:rtl w:val="true"/>
        </w:rPr>
        <w:t xml:space="preserve">. </w:t>
      </w:r>
      <w:r>
        <w:rPr>
          <w:rtl w:val="true"/>
        </w:rPr>
        <w:t>كلامه في الغنائم</w:t>
      </w:r>
      <w:bookmarkEnd w:id="66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w:t>
      </w:r>
      <w:r>
        <w:rPr>
          <w:rFonts w:eastAsia="Amiri" w:cs="Amiri" w:ascii="Amiri" w:hAnsi="Amiri"/>
          <w:color w:val="111111"/>
          <w:sz w:val="28"/>
          <w:szCs w:val="28"/>
          <w:rtl w:val="true"/>
          <w:lang w:bidi="ar-SA"/>
        </w:rPr>
        <w:t>)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أنّ التقاءهم ببدر كان صبيحة سبع عشرة من شهر رمضان من يوم الجمعة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شرح مواضع الخمس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يقسّم خمس اللّه ورسوله على خمسة</w:t>
      </w:r>
      <w:r>
        <w:rPr>
          <w:rStyle w:val="FootnoteAnchor"/>
          <w:rtl w:val="true"/>
        </w:rPr>
        <w:footnoteReference w:id="533"/>
      </w:r>
      <w:r>
        <w:rPr>
          <w:rFonts w:ascii="Amiri" w:hAnsi="Amiri" w:eastAsia="Amiri" w:cs="Amiri"/>
          <w:color w:val="111111"/>
          <w:sz w:val="28"/>
          <w:sz w:val="28"/>
          <w:szCs w:val="28"/>
          <w:rtl w:val="true"/>
          <w:lang w:bidi="ar-SA"/>
        </w:rPr>
        <w:t>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خمس؛ وخمس لرسوله، يقبضهما الإمام العدل، يعملُ‌</w:t>
      </w:r>
      <w:bookmarkStart w:id="670" w:name="pg16776_179050"/>
    </w:p>
    <w:p>
      <w:pPr>
        <w:pStyle w:val="BookText"/>
        <w:rPr/>
      </w:pPr>
      <w:bookmarkEnd w:id="670"/>
      <w:r>
        <w:rPr>
          <w:rFonts w:ascii="Amiri" w:hAnsi="Amiri" w:eastAsia="Amiri" w:cs="Amiri"/>
          <w:color w:val="111111"/>
          <w:sz w:val="28"/>
          <w:sz w:val="28"/>
          <w:szCs w:val="28"/>
          <w:rtl w:val="true"/>
          <w:lang w:bidi="ar-SA"/>
        </w:rPr>
        <w:t>بهما ما أحبّ‌؛ وخمسٌ لذي القربى‌، وهم بنو هاشم وبنو المطلّب؛ وخمس ليتامى هذين البطنين، وخمس لمساكينهم، وخمس لابن السبيل منهم ومواليهم في ذلك كلّه يدخلون معهم، إذ كانت الصدقة محرّمة على جميعهم، فعُوّضوا بهذه الأنصاب عنها</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وأمّا فقهاء السنّة فقد اختلفت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سهم الرسول صلى الله عليه و آله سقط بموته، وأمّا ذوي القربى فهم كغيرهم من الفقراء يعطون لفقرهم لا لقرابتهم من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أمر الخمس إلى الإمام يصرفه حسب ما يراه من المصلحة إلى غير ذلك من الأقوال</w:t>
      </w:r>
      <w:r>
        <w:rPr>
          <w:rFonts w:eastAsia="Amiri" w:cs="Amiri" w:ascii="Amiri" w:hAnsi="Amiri"/>
          <w:color w:val="111111"/>
          <w:sz w:val="28"/>
          <w:szCs w:val="28"/>
          <w:rtl w:val="true"/>
          <w:lang w:bidi="ar-SA"/>
        </w:rPr>
        <w:t>.</w:t>
      </w:r>
      <w:r>
        <w:rPr>
          <w:rStyle w:val="FootnoteAnchor"/>
          <w:rtl w:val="true"/>
        </w:rPr>
        <w:footnoteReference w:id="535"/>
      </w:r>
    </w:p>
    <w:p>
      <w:pPr>
        <w:pStyle w:val="Heading5"/>
        <w:numPr>
          <w:ilvl w:val="4"/>
          <w:numId w:val="1"/>
        </w:numPr>
        <w:rPr/>
      </w:pPr>
      <w:bookmarkStart w:id="671" w:name="__RefHeading___Toc7071189_73709187"/>
      <w:bookmarkStart w:id="672" w:name="_Toc262"/>
      <w:bookmarkEnd w:id="671"/>
      <w:r>
        <w:rPr/>
        <w:t>9</w:t>
      </w:r>
      <w:r>
        <w:rPr>
          <w:rtl w:val="true"/>
        </w:rPr>
        <w:t xml:space="preserve">. </w:t>
      </w:r>
      <w:r>
        <w:rPr>
          <w:rtl w:val="true"/>
        </w:rPr>
        <w:t>كلامه في تفسير قوله تعالى</w:t>
      </w:r>
      <w:r>
        <w:rPr>
          <w:rtl w:val="true"/>
        </w:rPr>
        <w:t>: (</w:t>
      </w:r>
      <w:r>
        <w:rPr>
          <w:rtl w:val="true"/>
        </w:rPr>
        <w:t>وَ كُونُوا مَعَ الصّادِقِينَ‌</w:t>
      </w:r>
      <w:r>
        <w:rPr>
          <w:rtl w:val="true"/>
        </w:rPr>
        <w:t>)</w:t>
      </w:r>
      <w:bookmarkEnd w:id="672"/>
    </w:p>
    <w:p>
      <w:pPr>
        <w:pStyle w:val="BookText"/>
        <w:rPr/>
      </w:pP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بالصادقين هاهنا الذين ذكرهم في موضع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 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537"/>
      </w:r>
    </w:p>
    <w:p>
      <w:pPr>
        <w:pStyle w:val="Heading5"/>
        <w:numPr>
          <w:ilvl w:val="4"/>
          <w:numId w:val="1"/>
        </w:numPr>
        <w:rPr/>
      </w:pPr>
      <w:bookmarkStart w:id="673" w:name="__RefHeading___Toc7071191_73709187"/>
      <w:bookmarkStart w:id="674" w:name="_Toc263"/>
      <w:bookmarkEnd w:id="673"/>
      <w:r>
        <w:rPr/>
        <w:t>10</w:t>
      </w:r>
      <w:r>
        <w:rPr>
          <w:rtl w:val="true"/>
        </w:rPr>
        <w:t xml:space="preserve">. </w:t>
      </w:r>
      <w:r>
        <w:rPr>
          <w:rtl w:val="true"/>
        </w:rPr>
        <w:t>كلامه في تفسير قوله</w:t>
      </w:r>
      <w:r>
        <w:rPr>
          <w:rtl w:val="true"/>
        </w:rPr>
        <w:t>: (</w:t>
      </w:r>
      <w:r>
        <w:rPr>
          <w:rtl w:val="true"/>
        </w:rPr>
        <w:t>لِكُلِّ قَوْمٍ هادٍ</w:t>
      </w:r>
      <w:r>
        <w:rPr>
          <w:rtl w:val="true"/>
        </w:rPr>
        <w:t>)</w:t>
      </w:r>
      <w:bookmarkEnd w:id="67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شيخنا أبو عبد اللّه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الهادي المبين هاهنا من الهدي والبيان وهو الذي يبيّن شريعة محمد صلى الله عليه و آله ويوضح مجملها كعليّ بن أبي طالب</w:t>
      </w:r>
      <w:bookmarkStart w:id="675" w:name="pg16776_179051"/>
    </w:p>
    <w:p>
      <w:pPr>
        <w:pStyle w:val="BookText"/>
        <w:rPr/>
      </w:pPr>
      <w:bookmarkEnd w:id="675"/>
      <w:r>
        <w:rPr>
          <w:rFonts w:ascii="Amiri" w:hAnsi="Amiri" w:eastAsia="Amiri" w:cs="Amiri"/>
          <w:color w:val="111111"/>
          <w:sz w:val="28"/>
          <w:sz w:val="28"/>
          <w:szCs w:val="28"/>
          <w:rtl w:val="true"/>
          <w:lang w:bidi="ar-SA"/>
        </w:rPr>
        <w:t>ومحمد عليهما السلام، ومنهم من لم يهد له بمعنى أي لم يبين لهم</w:t>
      </w:r>
      <w:r>
        <w:rPr>
          <w:rFonts w:eastAsia="Amiri" w:cs="Amiri" w:ascii="Amiri" w:hAnsi="Amiri"/>
          <w:color w:val="111111"/>
          <w:sz w:val="28"/>
          <w:szCs w:val="28"/>
          <w:rtl w:val="true"/>
          <w:lang w:bidi="ar-SA"/>
        </w:rPr>
        <w:t>.</w:t>
      </w:r>
      <w:r>
        <w:rPr>
          <w:rStyle w:val="FootnoteAnchor"/>
          <w:rtl w:val="true"/>
        </w:rPr>
        <w:footnoteReference w:id="539"/>
      </w:r>
    </w:p>
    <w:p>
      <w:pPr>
        <w:pStyle w:val="Heading5"/>
        <w:numPr>
          <w:ilvl w:val="4"/>
          <w:numId w:val="1"/>
        </w:numPr>
        <w:rPr/>
      </w:pPr>
      <w:bookmarkStart w:id="676" w:name="__RefHeading___Toc7071193_73709187"/>
      <w:bookmarkStart w:id="677" w:name="_Toc264"/>
      <w:bookmarkEnd w:id="676"/>
      <w:r>
        <w:rPr/>
        <w:t>11</w:t>
      </w:r>
      <w:r>
        <w:rPr>
          <w:rtl w:val="true"/>
        </w:rPr>
        <w:t xml:space="preserve">. </w:t>
      </w:r>
      <w:r>
        <w:rPr>
          <w:rtl w:val="true"/>
        </w:rPr>
        <w:t>كلامه في تفسير قوله</w:t>
      </w:r>
      <w:r>
        <w:rPr>
          <w:rtl w:val="true"/>
        </w:rPr>
        <w:t>: (</w:t>
      </w:r>
      <w:r>
        <w:rPr>
          <w:rtl w:val="true"/>
        </w:rPr>
        <w:t>ذَوِي الْقُرْبى‌</w:t>
      </w:r>
      <w:r>
        <w:rPr>
          <w:rtl w:val="true"/>
        </w:rPr>
        <w:t>)</w:t>
      </w:r>
      <w:bookmarkEnd w:id="67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رسول اللّه صلى الله عليه و آله عن عليّ بن الحسين</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هذا ما وقفنا عليه من آرائه في تفسير قسم من الآيات وهو يدلّ على تشيّعه دلالة صريحة أو ما يقرب منها، والتعمية على مذهبه بعيدة عن ساحة الموضوعيين، ولو قُرئ مجموع ما طبع ربما زادت الدلالات على ما ذكرنا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7071195_73709187"/>
      <w:bookmarkStart w:id="679" w:name="_Toc265"/>
      <w:bookmarkEnd w:id="678"/>
      <w:r>
        <w:rPr>
          <w:rtl w:val="true"/>
        </w:rPr>
        <w:t>مآخذ أو محاسن‌؟</w:t>
      </w:r>
      <w:bookmarkEnd w:id="679"/>
    </w:p>
    <w:p>
      <w:pPr>
        <w:pStyle w:val="BookText"/>
        <w:rPr/>
      </w:pPr>
      <w:r>
        <w:rPr>
          <w:rFonts w:ascii="Amiri" w:hAnsi="Amiri" w:eastAsia="Amiri" w:cs="Amiri"/>
          <w:color w:val="111111"/>
          <w:sz w:val="28"/>
          <w:sz w:val="28"/>
          <w:szCs w:val="28"/>
          <w:rtl w:val="true"/>
          <w:lang w:bidi="ar-SA"/>
        </w:rPr>
        <w:t>إنّ الباحث قال في المطلب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المآخذ على كتاب المصابيح، وما آخذه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لبعض أقوال المعتزلة دون تعليق عليها، ومن ذلك قوله في معنى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وجوه منها العلوّ بالقهر، ومنه قوله في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الاستواء بمعنى الاستيلاء، وهو هاهنا متجّه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أشار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والباحث بما أنّه نشأ في بيئة المحدّثين بالأخصّ قسم الحنابلة فهؤلاء يريدون أن يحملوا الصفات الخبرية على اللّه سبحانه بنفس معانيها، غاية الأمر</w:t>
      </w:r>
    </w:p>
    <w:p>
      <w:pPr>
        <w:pStyle w:val="BookText"/>
        <w:rPr/>
      </w:pPr>
      <w:r>
        <w:rPr>
          <w:rFonts w:ascii="Amiri" w:hAnsi="Amiri" w:eastAsia="Amiri" w:cs="Amiri"/>
          <w:color w:val="111111"/>
          <w:sz w:val="28"/>
          <w:sz w:val="28"/>
          <w:szCs w:val="28"/>
          <w:rtl w:val="true"/>
          <w:lang w:bidi="ar-SA"/>
        </w:rPr>
        <w:t>يفرّون عن التجسيم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 أو الاستواء اللائق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والوزير المغربي لمّا كان من الشيعة الإمامية وهم أهل التنزيه تبعاً للإمام علي عليه السلام والأئمّة المعصومين عليهم السلام، ذهب إلى أنّ الاستواء على العرش كناية عن الاستعلاء عليه لغاية تدبير العالم، بقرينة ما جاء في الآية من الأُمور المربوطة إلى خلق الكون وتدبيره، فأي إشكال ومؤاخذة على المؤلّف، لولا المؤاخذة على قول المحقّق، فإنّ حمل الصفات الخبرية على اللّه بنفس معانيها اللغوية يستلزم التشبيه والتجسيم، وتقييدها بلا كيف يستلزم التعقيد في العقائد الإسلامية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الحال فيها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 في تفسير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الحادي والعشرين،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اللّه الذي تتمّ به الصالحات</w:t>
      </w:r>
    </w:p>
    <w:p>
      <w:pPr>
        <w:pStyle w:val="BookText"/>
        <w:rPr/>
      </w:pPr>
      <w:r>
        <w:rPr>
          <w:rFonts w:ascii="Amiri" w:hAnsi="Amiri" w:eastAsia="Amiri" w:cs="Amiri"/>
          <w:color w:val="111111"/>
          <w:sz w:val="28"/>
          <w:sz w:val="28"/>
          <w:szCs w:val="28"/>
          <w:rtl w:val="true"/>
          <w:lang w:bidi="ar-SA"/>
        </w:rPr>
        <w:t>تمّ تحريره صبيحة يوم الخميس</w:t>
      </w:r>
    </w:p>
    <w:p>
      <w:pPr>
        <w:pStyle w:val="BookText"/>
        <w:rPr/>
      </w:pPr>
      <w:r>
        <w:rPr>
          <w:rFonts w:ascii="IRNazanin" w:hAnsi="IRNazanin" w:eastAsia="IRNazanin"/>
          <w:color w:val="111111"/>
          <w:sz w:val="28"/>
          <w:sz w:val="28"/>
          <w:szCs w:val="28"/>
          <w:rtl w:val="true"/>
          <w:lang w:bidi="fa-IR"/>
        </w:rPr>
        <w:t>الثالث والعشرون من شهر صفر المظفر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680" w:name="pg16776_179053"/>
    </w:p>
    <w:p>
      <w:pPr>
        <w:pStyle w:val="Heading3"/>
        <w:numPr>
          <w:ilvl w:val="2"/>
          <w:numId w:val="1"/>
        </w:numPr>
        <w:rPr/>
      </w:pPr>
      <w:bookmarkStart w:id="681" w:name="__RefHeading___Toc7071197_73709187"/>
      <w:bookmarkStart w:id="682" w:name="_Toc266"/>
      <w:bookmarkEnd w:id="680"/>
      <w:bookmarkEnd w:id="681"/>
      <w:r>
        <w:rPr/>
        <w:t>6</w:t>
      </w:r>
      <w:r>
        <w:rPr>
          <w:rtl w:val="true"/>
        </w:rPr>
        <w:t xml:space="preserve">. </w:t>
      </w:r>
      <w:r>
        <w:rPr>
          <w:rtl w:val="true"/>
        </w:rPr>
        <w:t>رسالة في الكرّ مساحةً ووزناً</w:t>
      </w:r>
      <w:bookmarkEnd w:id="682"/>
    </w:p>
    <w:p>
      <w:pPr>
        <w:pStyle w:val="Heading4"/>
        <w:numPr>
          <w:ilvl w:val="3"/>
          <w:numId w:val="1"/>
        </w:numPr>
        <w:rPr/>
      </w:pPr>
      <w:bookmarkStart w:id="683" w:name="__RefHeading___Toc7071199_73709187"/>
      <w:bookmarkStart w:id="684" w:name="_Toc267"/>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الحمد للّه الذي أنزل من السماء ماءً طهوراً، والصلاة والسلام على خاتم رسله وأشرف بريّته محمّد وآله الذين طهرّهم اللّه من الرجس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رسالة موجزة في بيان حدّ الكرّ الذي اختلفت فيه كلمات علمائنا؛ في المساحة أوّلاً، والوزن ثانياً بعد اتّفاقهم على أنّ الماء إذا كان قدر كرّ لم ينجسّه شيء</w:t>
      </w:r>
      <w:r>
        <w:rPr>
          <w:rFonts w:eastAsia="Amiri" w:cs="Amiri" w:ascii="Amiri" w:hAnsi="Amiri"/>
          <w:color w:val="111111"/>
          <w:sz w:val="28"/>
          <w:szCs w:val="28"/>
          <w:rtl w:val="true"/>
          <w:lang w:bidi="ar-SA"/>
        </w:rPr>
        <w:t>.</w:t>
      </w:r>
      <w:r>
        <w:rPr>
          <w:rStyle w:val="FootnoteAnchor"/>
          <w:rtl w:val="true"/>
        </w:rPr>
        <w:footnoteReference w:id="544"/>
      </w:r>
    </w:p>
    <w:p>
      <w:pPr>
        <w:pStyle w:val="Heading4"/>
        <w:numPr>
          <w:ilvl w:val="3"/>
          <w:numId w:val="1"/>
        </w:numPr>
        <w:rPr/>
      </w:pPr>
      <w:bookmarkStart w:id="685" w:name="__RefHeading___Toc7071201_73709187"/>
      <w:bookmarkStart w:id="686" w:name="_Toc268"/>
      <w:bookmarkEnd w:id="685"/>
      <w:r>
        <w:rPr>
          <w:rtl w:val="true"/>
        </w:rPr>
        <w:t>الكُرّ لغةً واصطلاحاً</w:t>
      </w:r>
      <w:bookmarkEnd w:id="686"/>
    </w:p>
    <w:p>
      <w:pPr>
        <w:pStyle w:val="BookText"/>
        <w:rPr/>
      </w:pPr>
      <w:r>
        <w:rPr>
          <w:rFonts w:ascii="Amiri" w:hAnsi="Amiri" w:eastAsia="Amiri" w:cs="Amiri"/>
          <w:color w:val="111111"/>
          <w:sz w:val="28"/>
          <w:sz w:val="28"/>
          <w:szCs w:val="28"/>
          <w:rtl w:val="true"/>
          <w:lang w:bidi="ar-SA"/>
        </w:rPr>
        <w:t>لاشكّ أنّ الكرّ كان مقياساً من المقاييس،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أكرار الطعام وهو ستون قفيزاً، والقفيز ثمانية مكاكيك، والمكوك صاع ونصف، فانتهى ضبطه إلى اثني عشر وَسَقاً، والوسق ستون صاعاً</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وعلى هذا فالكرّ في الطعام عبارة عن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 وإليك صورته الرياضيّة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أكثر ممّا اعتبره الشارع في عاصميّة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ما هو الكرّ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أقوال أهل السنّة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الحدّ الفاصل عند الشافعية والحنابلة بين القليل والكثير هو القُلّتان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 هي الجرّة سمّيت قلّة لأنها تُقل بالأيدي أو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قلال هجر، وهو خمس قِرَب، في كلّ قربة مائة رطل عراقي، فتكون القلّتان خمسمائة رطل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المالكية فلا حدّ للكثرة فلم يحدّوا لها حدّاً مقدّراً، فإذا حلّت فيه نجاسة قليلة كالقطرة، ولم تغيّره فإنّه يكره استعماله في رفع حدث أو إزالة خبث، ولا كراهة في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الحنفية فهو أن يكون الماء من الكثرة بحيث إذا حرّكه آدمي من أحد طرفيه لم تصل الحركة إلى الطرف الثاني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والقلّة ما كان دون عَشْر في عَشْر من أذرعة العامّة، فينجس وإن لم يظهر أثر النجاسة فيه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 من طوله وعرضه عشرة أذرع في عمق شبر لم ينجس</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فعلى هذا فكل من الطول والعرض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يضرب أحدهما في الآخر وتكون النتيجة أربعمائة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أقوال أهل السُّنّة، وأمّا أقوال أصحابنا فربما ناهز عددها الخمسة أو الستة إذا أُضيف إليها قول ابن طاووس، القائل بالتخيير بين الأقوال، وسيوافيك بيانه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فلنذكر ما عليه أصحابنا في تحديد الكرّ مساحة</w:t>
      </w:r>
      <w:bookmarkStart w:id="687" w:name="pg16776_179055"/>
    </w:p>
    <w:p>
      <w:pPr>
        <w:pStyle w:val="BookText"/>
        <w:rPr/>
      </w:pPr>
      <w:bookmarkEnd w:id="687"/>
      <w:r>
        <w:rPr>
          <w:rFonts w:ascii="Amiri" w:hAnsi="Amiri" w:eastAsia="Amiri" w:cs="Amiri"/>
          <w:color w:val="111111"/>
          <w:sz w:val="28"/>
          <w:sz w:val="28"/>
          <w:szCs w:val="28"/>
          <w:rtl w:val="true"/>
          <w:lang w:bidi="ar-SA"/>
        </w:rPr>
        <w:t>ووزناً، ويقع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الروايات والأدلّة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7071203_73709187"/>
      <w:bookmarkStart w:id="689" w:name="_Toc269"/>
      <w:bookmarkEnd w:id="688"/>
      <w:r>
        <w:rPr>
          <w:rtl w:val="true"/>
        </w:rPr>
        <w:t>المقام الأوّل</w:t>
      </w:r>
      <w:r>
        <w:rPr>
          <w:rtl w:val="true"/>
        </w:rPr>
        <w:t xml:space="preserve">: </w:t>
      </w:r>
      <w:r>
        <w:rPr>
          <w:rtl w:val="true"/>
        </w:rPr>
        <w:t>في دراسة أقوال أصحابنا</w:t>
      </w:r>
      <w:bookmarkEnd w:id="689"/>
    </w:p>
    <w:p>
      <w:pPr>
        <w:pStyle w:val="BookText"/>
        <w:rPr/>
      </w:pPr>
      <w:r>
        <w:rPr>
          <w:rFonts w:ascii="IRNazanin" w:hAnsi="IRNazanin" w:eastAsia="IRNazanin"/>
          <w:color w:val="111111"/>
          <w:sz w:val="28"/>
          <w:sz w:val="28"/>
          <w:szCs w:val="28"/>
          <w:rtl w:val="true"/>
          <w:lang w:bidi="fa-IR"/>
        </w:rPr>
        <w:t>القول الأوّل</w:t>
      </w:r>
    </w:p>
    <w:p>
      <w:pPr>
        <w:pStyle w:val="BookText"/>
        <w:rPr/>
      </w:pPr>
      <w:r>
        <w:rPr>
          <w:rFonts w:ascii="Amiri" w:hAnsi="Amiri" w:eastAsia="Amiri" w:cs="Amiri"/>
          <w:color w:val="111111"/>
          <w:sz w:val="28"/>
          <w:sz w:val="28"/>
          <w:szCs w:val="28"/>
          <w:rtl w:val="true"/>
          <w:lang w:bidi="ar-SA"/>
        </w:rPr>
        <w:t>ذهب الشيخ وابن البرّاج وابن إدريس وابن حمزة والمحقّق إلى أنّها عبارة عن ثلاثة أشبار ونصف طولاً، في عرض، في عمق</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ويصفه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أشهر الأقوال في المسألة</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وعلى هذا فيكون الكرّ عبارة عمّا يبلغ مكسره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اثنين وأربعين شبراً وسبعة أثمان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ابن بابويه وجماعة القميّين إلى أنّه عبارة عن ثلاثة أشبار طولاً، في عرض، في عمق بإسقاط الأَنصاف في الأبعاد الثلاثة، وعلى هذا فيكون الكرّ عبارة عمّا يبلغ مكسّره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وعشرين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خيرة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الأردبيلي في شرح الإرشاد</w:t>
      </w:r>
      <w:r>
        <w:rPr>
          <w:rStyle w:val="FootnoteAnchor"/>
          <w:rtl w:val="true"/>
        </w:rPr>
        <w:footnoteReference w:id="550"/>
      </w:r>
      <w:r>
        <w:rPr>
          <w:rFonts w:ascii="Amiri" w:hAnsi="Amiri" w:eastAsia="Amiri" w:cs="Amiri"/>
          <w:color w:val="111111"/>
          <w:sz w:val="28"/>
          <w:sz w:val="28"/>
          <w:szCs w:val="28"/>
          <w:rtl w:val="true"/>
          <w:lang w:bidi="ar-SA"/>
        </w:rPr>
        <w:t>وهو خيرة العلّامة في المختلف</w:t>
      </w:r>
      <w:r>
        <w:rPr>
          <w:rStyle w:val="FootnoteAnchor"/>
          <w:rtl w:val="true"/>
        </w:rPr>
        <w:footnoteReference w:id="551"/>
      </w:r>
      <w:r>
        <w:rPr>
          <w:rFonts w:ascii="Amiri" w:hAnsi="Amiri" w:eastAsia="Amiri" w:cs="Amiri"/>
          <w:color w:val="111111"/>
          <w:sz w:val="28"/>
          <w:sz w:val="28"/>
          <w:szCs w:val="28"/>
          <w:rtl w:val="true"/>
          <w:lang w:bidi="ar-SA"/>
        </w:rPr>
        <w:t xml:space="preserve">، ومن المتأخّرين شيخ الشريعة الأصفهاني، والسيّد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القول الثالث</w:t>
      </w:r>
    </w:p>
    <w:p>
      <w:pPr>
        <w:pStyle w:val="BookText"/>
        <w:rPr/>
      </w:pPr>
      <w:r>
        <w:rPr>
          <w:rFonts w:ascii="Amiri" w:hAnsi="Amiri" w:eastAsia="Amiri" w:cs="Amiri"/>
          <w:color w:val="111111"/>
          <w:sz w:val="28"/>
          <w:sz w:val="28"/>
          <w:szCs w:val="28"/>
          <w:rtl w:val="true"/>
          <w:lang w:bidi="ar-SA"/>
        </w:rPr>
        <w:t xml:space="preserve">ذهب صاحب المدارك إلى أنّ الكرّ عبارة عمّا إذا بلغ مكسّره إلى ستة وثلاثين شبراً، وحكى في المدارك أنّه يظهر من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هذه الرواية</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خيرة السيّد الاصفهاني وبعض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اعتبر الأنصاف استند إلى رواية أبي بصير، ومن أسقطها اعتمد على رواية إسماعيل بن جابر، كما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الرابع</w:t>
      </w:r>
    </w:p>
    <w:p>
      <w:pPr>
        <w:pStyle w:val="BookText"/>
        <w:rPr/>
      </w:pPr>
      <w:r>
        <w:rPr>
          <w:rFonts w:ascii="Amiri" w:hAnsi="Amiri" w:eastAsia="Amiri" w:cs="Amiri"/>
          <w:color w:val="111111"/>
          <w:sz w:val="28"/>
          <w:sz w:val="28"/>
          <w:szCs w:val="28"/>
          <w:rtl w:val="true"/>
          <w:lang w:bidi="ar-SA"/>
        </w:rPr>
        <w:t>إنّ الكرّ عبارة عن مائة شبر، وهو خيرة ابن الجنيد</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القول الخامس</w:t>
      </w:r>
    </w:p>
    <w:p>
      <w:pPr>
        <w:pStyle w:val="BookText"/>
        <w:rPr/>
      </w:pPr>
      <w:r>
        <w:rPr>
          <w:rFonts w:ascii="Amiri" w:hAnsi="Amiri" w:eastAsia="Amiri" w:cs="Amiri"/>
          <w:color w:val="111111"/>
          <w:sz w:val="28"/>
          <w:sz w:val="28"/>
          <w:szCs w:val="28"/>
          <w:rtl w:val="true"/>
          <w:lang w:bidi="ar-SA"/>
        </w:rPr>
        <w:t>الكرّ عبارة عن ما بلغت أبعاده إلى عشرة ونصف ولم يعتبر التكسير، وهو خيرة القطب الراوندي</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التنافي بين كلامه وكلام ابن الجنيد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السادس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التخيير بين الجمع والعمل بكل ما روي</w:t>
      </w:r>
      <w:r>
        <w:rPr>
          <w:rFonts w:eastAsia="Amiri" w:cs="Amiri" w:ascii="Amiri" w:hAnsi="Amiri"/>
          <w:color w:val="111111"/>
          <w:sz w:val="28"/>
          <w:szCs w:val="28"/>
          <w:rtl w:val="true"/>
          <w:lang w:bidi="ar-SA"/>
        </w:rPr>
        <w:t>.</w:t>
      </w:r>
      <w:r>
        <w:rPr>
          <w:rStyle w:val="FootnoteAnchor"/>
          <w:rtl w:val="true"/>
        </w:rPr>
        <w:footnoteReference w:id="556"/>
      </w:r>
      <w:bookmarkStart w:id="690" w:name="pg16776_179057"/>
    </w:p>
    <w:p>
      <w:pPr>
        <w:pStyle w:val="Heading4"/>
        <w:numPr>
          <w:ilvl w:val="3"/>
          <w:numId w:val="1"/>
        </w:numPr>
        <w:rPr/>
      </w:pPr>
      <w:bookmarkStart w:id="691" w:name="__RefHeading___Toc7071205_73709187"/>
      <w:bookmarkStart w:id="692" w:name="_Toc270"/>
      <w:bookmarkEnd w:id="690"/>
      <w:bookmarkEnd w:id="691"/>
      <w:r>
        <w:rPr>
          <w:rtl w:val="true"/>
        </w:rPr>
        <w:t>المقام الثاني</w:t>
      </w:r>
      <w:r>
        <w:rPr>
          <w:rtl w:val="true"/>
        </w:rPr>
        <w:t xml:space="preserve">: </w:t>
      </w:r>
      <w:r>
        <w:rPr>
          <w:rtl w:val="true"/>
        </w:rPr>
        <w:t>دراسة ما ورد في الروايات</w:t>
      </w:r>
      <w:bookmarkEnd w:id="692"/>
    </w:p>
    <w:p>
      <w:pPr>
        <w:pStyle w:val="Heading5"/>
        <w:numPr>
          <w:ilvl w:val="4"/>
          <w:numId w:val="1"/>
        </w:numPr>
        <w:rPr/>
      </w:pPr>
      <w:bookmarkStart w:id="693" w:name="__RefHeading___Toc7071207_73709187"/>
      <w:bookmarkStart w:id="694" w:name="_Toc271"/>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وردت في المقام روايات وهي بين ثلاثي الأبعاد وثنائيّها، وإليك نقل الجميع مرّة واحدة ثم دراسة الكلّ واحدة تلو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الكرّ من الماء كم يكون قدره‌؟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ونصف، في مثله، ثلاثة أشبار ونصف، في عمقه في الأرض، فذلك الكرّ من الماء</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صالح الثوري،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عمقها، في ثلاثة أشبار ونصف عرضها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الماء الذي لا ينجّسه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دليل القول الأوّل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المشهور بين الأصحاب أن الكرّ عبارة عمّا كان كلّ واحد من طوله وعرضه وعمقه ثلاثة أشبار ونصفاً، واستدلّ عليه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w:t>
      </w:r>
    </w:p>
    <w:p>
      <w:pPr>
        <w:pStyle w:val="BookText"/>
        <w:rPr/>
      </w:pPr>
      <w:r>
        <w:rPr>
          <w:rFonts w:ascii="Amiri" w:hAnsi="Amiri" w:eastAsia="Amiri" w:cs="Amiri"/>
          <w:color w:val="111111"/>
          <w:sz w:val="28"/>
          <w:sz w:val="28"/>
          <w:szCs w:val="28"/>
          <w:rtl w:val="true"/>
          <w:lang w:bidi="ar-SA"/>
        </w:rPr>
        <w:t>روى الكليني عن محمد بن يحيى، عن أحمد بن محمد، عن عثمان بن عيسى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الكرّ من الماء كم يكون قدره‌؟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ونصف،</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أكل امرئ تحسبين امرءاً ونار توقد بالليل ناراً</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نار توقد بالليل تحسبينها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المعطوف عليه أيضاً مجرور على حذف المضاف،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ثلاثة أشبار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مثله ثلاثة أشبار ونصف، في عمقه في الأرض فذلك الكرّ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العطار القميّ‌، 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في الكافي بهذا النحو، نعم نقل عن التهذيب 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مجهول</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وأنّ يحيى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الواقفة ووجهها وأحد الوكلاء المستبدّين بمال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ذلك عدّه الكشّي من أصحاب الإجماع الثالث، وحكى عن نصر بن صباح توبته ورجوعه عن الوقف، وقال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 الطائفة برواياته لأجل كونه موثوقاً ومتحرّزاً عن الكذب، وعدّه ابن شهرآشوب من ثقات أبي الحسن، له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w:t>
      </w:r>
    </w:p>
    <w:p>
      <w:pPr>
        <w:pStyle w:val="BookText"/>
        <w:rPr/>
      </w:pP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ويدلّ على رجوعه روايته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عن عثمان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الرجل يعطى الحَجّة فيدفعها إلى غيره‌؟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الروايات الكثيرة في الكتب الأربعة عنه دليل على اعتماد الأصحاب بنقله وروايته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أصرّوا بنقل أحاديثه الكثيرة وضبطها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يمكن ردّ الرواية بسهولة، ومفادها هو المشهور بين القدماء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بلا 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بصير وهو ثقة بلا كلام، وقد أثبتنا في محلّه أن كلّ من كُنّي بأبي بصير كلّهم ثقات، لا فرق بين المرادي والاسدي وغيرهما، لو كان له مصداق غيرهما</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وبهذا عرفت حال السند إنّما الكلام في دلالة الرواية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القول المشهور مبني على تضمّن الرواية بياناً للأبعاد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كلمتهم في دلالة الرواية على الأبعاد الثلاثة وأنّها كيف تتضمّن بيانها، وأوضح الوجوه أن يقال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لمقدار العمق وهو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يظهر من شيخنا بهاء الدين العاملي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ما 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مثل ذلك المقدار لا مثل الماء، إذ لا محصّل له</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ثم إنّ لعلمائنا الأبرار كلمات أُخرى في توجيه الرواية، أكثرها يرجع إلى بيان الأبعاد الثلاثة، وأخيرها يرجع إلى أنّ مورد الرواية هو المستدير الغني عن الأبعاد الثلاثة وإليك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سوق الكلام يدلّ على البعد الآخر والاكتفاء في المحاورات ببيان البعض استغناءً به عن الآخر، أمر ذائع،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حنيفة أثلاثاً فُثلثهم من العبيد وثلث من مواليها</w:t>
      </w:r>
    </w:p>
    <w:p>
      <w:pPr>
        <w:pStyle w:val="BookText"/>
        <w:rPr/>
      </w:pPr>
      <w:r>
        <w:rPr>
          <w:rFonts w:ascii="Amiri" w:hAnsi="Amiri" w:eastAsia="Amiri" w:cs="Amiri"/>
          <w:color w:val="111111"/>
          <w:sz w:val="28"/>
          <w:sz w:val="28"/>
          <w:szCs w:val="28"/>
          <w:rtl w:val="true"/>
          <w:lang w:bidi="ar-SA"/>
        </w:rPr>
        <w:t>حيث فُهم الثلث الآخر وهو من لم يكن عبيداً ولا موالياً من سياق الكلام، وروي عن النبي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من دنياكم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القسم الثالث الذي هو الصلاة في هذا الباب</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لأحد البعدين من العرض أو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 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للعمق</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يصير كلاماً منقطعاً لا يصلح أن يكون مبيّناً لمقدار العمق، إلّاأن تقدّر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عمقه في الأرض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لأحد جانبي الطول والعرض، وترك ذكر الجانب الآخر للاكتفاء بذكر أحد البعدين الشائع في الكلام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 ثلاثة أشبار ونصف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بعد العمق</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إلى قطر المستدير،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 ثلاثة أشبار ونصف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إلى العمق، فيضرب نصف القطر في نصف المحيط والنتيجة في العمق ويكون الحاصل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وخمسة أثمان الشبر ونصف ثمن شبر</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صورته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المحيط القطر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مساحة الدائرة نصف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المحيط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5589</w:t>
      </w:r>
    </w:p>
    <w:p>
      <w:pPr>
        <w:pStyle w:val="BookText"/>
        <w:rPr/>
      </w:pPr>
      <w:r>
        <w:rPr>
          <w:rFonts w:ascii="Amiri" w:hAnsi="Amiri" w:eastAsia="Amiri" w:cs="Amiri"/>
          <w:color w:val="111111"/>
          <w:sz w:val="28"/>
          <w:sz w:val="28"/>
          <w:szCs w:val="28"/>
          <w:rtl w:val="true"/>
          <w:lang w:bidi="ar-SA"/>
        </w:rPr>
        <w:t xml:space="preserve">الحجم المساحة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311163333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وردّ عليه في الجواهر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الحمل على المدوّر حمل على مالا يعرفه إلّاالخواص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المكسّر ليس كما ذكره، إذ لو ضرب نصف 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وثلاثة أرباع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وربع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يضرب الحاصل من ذلك في ثلاثة ونصف العمق، يبلغ حينئذٍ ما ذكره تقريباً لا تحقيقاً، إذ التحقيق أنّها تبلغ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وثمناً وربع ثمن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وأجاب عن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ذكر علامة على الكُرّ وهي أن يكون قطره، ثلاثة ونصف وعمقه كذلك، وهذا ما يعرفه أغلب الأشخاص، ولو كان المراد تحصيل الحجم فهو يتوقّف على العلم بالرياضيات</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يلاحظ على الإشكال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المخاطب في هذه الروايات لا يمكن أن يكون إنساناً أُميّاً لا يعرف من الرياضيات شيئاً، لأنّ المطلوب في الجميع هو مكسّره لا خصوص ما ورد فيها من الأبعاد، فلو كان مكسر الأبعاد، هو ثلاثاً وأربعين شبراً إلّاثمن شبر فهو، وإن اختلفت الأبعاد زيادة ونقصاً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هناك تعبّد بما ورد في الرواية من الأبعاد، كان لما ذكر في المستمسك وجه، لكنّه مقطوع العدم إذ الميزان هو كثرة الماء ووفرته بحيث تعصمه من الانفعال بالنجس، وعلى هذا فالمخاطب يجب أن يكون على استعداد لتحصيل المساحة بالأبعاد الواردة في الرواية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حمل الرواية على المستدير بعيد، لندرة وجود الغدران والحياض على هذا الشكل، ولا يخفى أنّ ما ذكرناه من الوجه الأوّل هو أوضح الوجوه، وغيره لا يخلو عن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الجواهر لمّا ضرب القطر في الثلاثة صارت النتيجة ما ذكره، غير أنّ المجلسي ضرب القطر في الثلاثة مضافاً إلى سُبع القطر فصارت النتيجة ما ذكره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السند لا بأس به والدلالة أيضاً تامّة، فيؤخذ بها لو لم يكن في المقام دليل أقوى وأوضح، كما سيوافيك</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صالح الثوريّ‌</w:t>
      </w:r>
    </w:p>
    <w:p>
      <w:pPr>
        <w:pStyle w:val="BookText"/>
        <w:rPr/>
      </w:pPr>
      <w:r>
        <w:rPr>
          <w:rFonts w:ascii="Amiri" w:hAnsi="Amiri" w:eastAsia="Amiri" w:cs="Amiri"/>
          <w:color w:val="111111"/>
          <w:sz w:val="28"/>
          <w:sz w:val="28"/>
          <w:szCs w:val="28"/>
          <w:rtl w:val="true"/>
          <w:lang w:bidi="ar-SA"/>
        </w:rPr>
        <w:t>قد ذكرنا أنّه استدلّ على القول المشهور بروايتين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ما مرّ من حديث أبي بصير، والثانية ما رواه الكليني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محبوب، عن الحسن بن صالح الثوريّ‌،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ونصف طولها، في ثلاثة أشبار ونصف عمقها، في ثلاثة أشبار ونصف عرضها</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دراسة السند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وقد مرّ أنّه ابن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محبوب، أعني الحسن المولود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عام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أصحاب الإجماع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صالح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إليه تنسب الصالحية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 بتريّ متروك العمل بما يختصّ بروايته</w:t>
      </w:r>
      <w:r>
        <w:rPr>
          <w:rFonts w:eastAsia="Amiri" w:cs="Amiri" w:ascii="Amiri" w:hAnsi="Amiri"/>
          <w:color w:val="111111"/>
          <w:sz w:val="28"/>
          <w:szCs w:val="28"/>
          <w:rtl w:val="true"/>
          <w:lang w:bidi="ar-SA"/>
        </w:rPr>
        <w:t>.</w:t>
      </w:r>
      <w:r>
        <w:rPr>
          <w:rStyle w:val="FootnoteAnchor"/>
          <w:rtl w:val="true"/>
        </w:rPr>
        <w:footnoteReference w:id="57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وكان من كبار الشيعة</w:t>
      </w:r>
    </w:p>
    <w:p>
      <w:pPr>
        <w:pStyle w:val="BookText"/>
        <w:rPr/>
      </w:pPr>
      <w:r>
        <w:rPr>
          <w:rFonts w:ascii="Amiri" w:hAnsi="Amiri" w:eastAsia="Amiri" w:cs="Amiri"/>
          <w:color w:val="111111"/>
          <w:sz w:val="28"/>
          <w:sz w:val="28"/>
          <w:szCs w:val="28"/>
          <w:rtl w:val="true"/>
          <w:lang w:bidi="ar-SA"/>
        </w:rPr>
        <w:t>الزيدية وعظمائهم، وكان فقيهاً متكلّماً وله من الكتب كتاب التوحيد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صالحة للاحتجاج، لرواية ابن محبوب عن الحسن بن صالح،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متروك العمل ناظر إلى ما انفرد من الرواية وليس المورد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المتن</w:t>
      </w:r>
    </w:p>
    <w:p>
      <w:pPr>
        <w:pStyle w:val="BookText"/>
        <w:rPr/>
      </w:pPr>
      <w:r>
        <w:rPr>
          <w:rFonts w:ascii="Amiri" w:hAnsi="Amiri" w:eastAsia="Amiri" w:cs="Amiri"/>
          <w:color w:val="111111"/>
          <w:sz w:val="28"/>
          <w:sz w:val="28"/>
          <w:szCs w:val="28"/>
          <w:rtl w:val="true"/>
          <w:lang w:bidi="ar-SA"/>
        </w:rPr>
        <w:t>لو صحّ كون الرواية متضمّنةً للأبعاد الثلاثة، كان دليلاً على المشهور، ولكن لم يصحّ كونها ثلاثية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الثنائي لا الثلاثي، وإليك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عمقها، في ثلاثة أشبار ونصف 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البعد الثالث أثر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ونصف عمقها، في ثلاثة أشبار ونصف طولها، في ثلاثة أشبار ونصف 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لكن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 ليس فيه ذكر الطول</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المحقّقة بقلم الشيخ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نقل في الباب التاسع 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ولكّنه نقله في الباب العاشر 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 ونصف عمقها، في ثلاثة ونصف 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من الطول شيئاً</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إمّا تبع نسخة الاستبصار، أو تبع نسخة مصحّحة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آخر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في الجزء الثالث اعتذر عن غفلته وأنّه تبع</w:t>
      </w:r>
      <w:bookmarkStart w:id="695" w:name="pg16776_179065"/>
    </w:p>
    <w:p>
      <w:pPr>
        <w:pStyle w:val="BookText"/>
        <w:rPr/>
      </w:pPr>
      <w:bookmarkEnd w:id="695"/>
      <w:r>
        <w:rPr>
          <w:rFonts w:ascii="Amiri" w:hAnsi="Amiri" w:eastAsia="Amiri" w:cs="Amiri"/>
          <w:color w:val="111111"/>
          <w:sz w:val="28"/>
          <w:sz w:val="28"/>
          <w:szCs w:val="28"/>
          <w:rtl w:val="true"/>
          <w:lang w:bidi="ar-SA"/>
        </w:rPr>
        <w:t>لتلك النسخة، وقد صحّح في الطبعات الأخيرة، وعلى أيّ حال لا يعتدّ بنسخة الإستبصار ولا تلك النسخة، بعد كون الكافي والتهذيب على الثنائي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حاول المجلسي أن يفسّر الحديث بنحو يطابق فتوى المشهور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بالعرض السعة يشمل الطول أيضاً، إذ الطول إنّما يطلق فيما إذا كان أحد الجانبين أزيد من الآخر ومع التساوي يصح إطلاق العرض عليهما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وما يقال من أنّ الطول ربّما لا يكون مساوياً كما في المستمسك صحيح، لكن لو كان غير مساو لنبّه عليه، وسكوته دال على التساوي، وإطلاق العرض وارادة السّعة أمر ذائع،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سارِعُوا إِلى مَغْفِرَةٍ مِنْ رَبِّكُمْ وَ جَنَّةٍ عَرْضُهَا السَّماواتُ وَ الْأَرْضُ أُعِدَّتْ لِلْمُتَّقِينَ‌</w:t>
      </w:r>
      <w:r>
        <w:rPr>
          <w:rFonts w:eastAsia="Amiri" w:cs="Amiri" w:ascii="Amiri" w:hAnsi="Amiri"/>
          <w:color w:val="111111"/>
          <w:sz w:val="28"/>
          <w:szCs w:val="28"/>
          <w:rtl w:val="true"/>
          <w:lang w:bidi="ar-SA"/>
        </w:rPr>
        <w:t>) .</w:t>
      </w:r>
      <w:r>
        <w:rPr>
          <w:rStyle w:val="FootnoteAnchor"/>
          <w:rtl w:val="true"/>
        </w:rPr>
        <w:footnoteReference w:id="581"/>
      </w:r>
    </w:p>
    <w:p>
      <w:pPr>
        <w:pStyle w:val="Heading5"/>
        <w:numPr>
          <w:ilvl w:val="4"/>
          <w:numId w:val="1"/>
        </w:numPr>
        <w:rPr/>
      </w:pPr>
      <w:bookmarkStart w:id="696" w:name="__RefHeading___Toc7071209_73709187"/>
      <w:bookmarkStart w:id="697" w:name="_Toc272"/>
      <w:bookmarkEnd w:id="696"/>
      <w:r>
        <w:rPr>
          <w:rtl w:val="true"/>
        </w:rPr>
        <w:t>الركيّ‌</w:t>
      </w:r>
      <w:r>
        <w:rPr>
          <w:rtl w:val="true"/>
        </w:rPr>
        <w:t xml:space="preserve">: </w:t>
      </w:r>
      <w:r>
        <w:rPr>
          <w:rtl w:val="true"/>
        </w:rPr>
        <w:t>بئر مستدير ليس له عرض وطول</w:t>
      </w:r>
      <w:bookmarkEnd w:id="697"/>
    </w:p>
    <w:p>
      <w:pPr>
        <w:pStyle w:val="BookText"/>
        <w:rPr/>
      </w:pPr>
      <w:r>
        <w:rPr>
          <w:rFonts w:ascii="Amiri" w:hAnsi="Amiri" w:eastAsia="Amiri" w:cs="Amiri"/>
          <w:color w:val="111111"/>
          <w:sz w:val="28"/>
          <w:sz w:val="28"/>
          <w:szCs w:val="28"/>
          <w:rtl w:val="true"/>
          <w:lang w:bidi="ar-SA"/>
        </w:rPr>
        <w:t>وربّما استشكل بأنّ الموضوع في رواية الحسن بن صالح الثوري هو الركيّ‌، ومن المعلوم أنّه بئر مستدير، ليس فيه طول وعرض، وإنّما فيه قطر ومحيط، ولذلك ذهب العلّامة المجلسي في تفسير رواية الحسن الثوريّ إلى أنّ المراد بالعرض القطر بقرينة كون السؤال عن البئر وهو مستدير غالباً فيبلغ مكسّره ثلاثة وثلاثين شبراً وخمسة أثمان شبر ونصف ثمن</w:t>
      </w:r>
      <w:r>
        <w:rPr>
          <w:rFonts w:eastAsia="Amiri" w:cs="Amiri" w:ascii="Amiri" w:hAnsi="Amiri"/>
          <w:color w:val="111111"/>
          <w:sz w:val="28"/>
          <w:szCs w:val="28"/>
          <w:rtl w:val="true"/>
          <w:lang w:bidi="ar-SA"/>
        </w:rPr>
        <w:t>.</w:t>
      </w:r>
      <w:r>
        <w:rPr>
          <w:rStyle w:val="FootnoteAnchor"/>
          <w:rtl w:val="true"/>
        </w:rPr>
        <w:footnoteReference w:id="58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الاشكال غير وارد ولا حاجة في دفعه لحمل العرض على القطر؛ لأنّ الركيّ ليس مساوياً للبئر المستدير، بل ربّما يكون غير مستدير، خصوصاً إذا كان الماء قريباً من الأرض،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الركيّ أيضاً الحوض الكبير والركيّة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قدر كرّ لم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ذلك أنّ البئر بما له من</w:t>
      </w:r>
    </w:p>
    <w:p>
      <w:pPr>
        <w:pStyle w:val="BookText"/>
        <w:rPr/>
      </w:pPr>
      <w:r>
        <w:rPr>
          <w:rFonts w:ascii="Amiri" w:hAnsi="Amiri" w:eastAsia="Amiri" w:cs="Amiri"/>
          <w:color w:val="111111"/>
          <w:sz w:val="28"/>
          <w:sz w:val="28"/>
          <w:szCs w:val="28"/>
          <w:rtl w:val="true"/>
          <w:lang w:bidi="ar-SA"/>
        </w:rPr>
        <w:t>مادّة لا يحكم فيه بالنجاسة وإن قلّ‌، فالذي يحتاج إلى كونه كرّاً هو الحوض المبني حول البئر حيث يستخرج الماء من البئر ويجمع فيه، وهو لا يكون مستديراً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الاستدلال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اثنين وأربعين شبراً وسبعة أثمان شبر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والحسن الثوريّ لا بأس بالاحتجاج بهما، فإنّ السند معتبر والدلالة لا بأس بها بشرط أن لا يكون هناك دليل مثله أو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ابن بابويه وجماعة القميّين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أنّه عبارة عن ثلاثة أشبار طولاً في عرض في عمق ولم يعتبروا النصف، وعلى هذا فيكون الكرّ عبارة عمّا يكون مكسّره سبعة وعشرين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من اختاره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بما رواه الكليني بالسند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البرقيّ‌، عن ابن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الماء الذي لا ينجّسه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في ثلاثة أشبار</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دراسة السند الأوّل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العطار القميّ‌، 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البرقي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خالد البرقي والد أحمد بن محمد،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من أصحاب موسى بن جعفر والرضا عليهم السلام، وعدّه البرقي من أصحاب الكاظم والرضا والجواد عليهم السلام، والعجب أنّه لم يُعثَر بروايته عن المعصوم إلّافي روايتين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سنان مردّد بين الثقة والضعيف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جابر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المراد من ابن سنان هو محمد بن سنان الضعيف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إذ تبعد رواية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السيد الخوئي أصرّ على أنّ المراد بابن سنان هو عبداللّه بن سنان، لكنّه غفل عن أنّ هذا الإصرار يورث الضعف في الرواية بما عرفت من وجود الاختلاف في الطبقة بين البرقيّ وعبداللّه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السند الثاني</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أحمد بن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يحيى، 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نوادر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السند وما قبله هو ورود ابن سنان في السند السابق مجرّداً عن اسمه، وهنا تصريح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نفس ما أوردناه على السند السابق من أنّ نقل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أدرك الإمام الباقر عليه السلام وأكثر الروايات عن الصادق عليه السلام وقلّت روايته عن أبي الحسن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ثقات رجال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موسى عليه السلام ولم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قليلاً عنه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الإمام الباقر عليه السلام</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دراسة السند الثالث</w:t>
      </w:r>
    </w:p>
    <w:p>
      <w:pPr>
        <w:pStyle w:val="BookText"/>
        <w:rPr/>
      </w:pPr>
      <w:r>
        <w:rPr>
          <w:rFonts w:ascii="Amiri" w:hAnsi="Amiri" w:eastAsia="Amiri" w:cs="Amiri"/>
          <w:color w:val="111111"/>
          <w:sz w:val="28"/>
          <w:sz w:val="28"/>
          <w:szCs w:val="28"/>
          <w:rtl w:val="true"/>
          <w:lang w:bidi="ar-SA"/>
        </w:rPr>
        <w:t>نفس السند السابق باختلاف كالتالي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 بن عبداللّه عن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البرقي في 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السند الصحيح، وقد عرفت اشتماله على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ضعيف جدّاً لا يعوّل عليه ولا يلتفت إلى ما تفرّد به، مات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السند الصحيح هو الثالث دون الثاني، ويحتمل انطباق السند الأوّل على الثالث في غير أوّل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الشيخ في التهذيب عن عبداللّه بن سنان مكان محمد بن سنان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الاستدلال فبأن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بأحد البعدين العمق، وبالآخر كلّ من الطول والعرض، وذلك لأنّ الناس في بيان حجم المربع يستغنون بذكر أحد البعدين عن الآخر؛ ويؤيّد ذلك ما رواه الصدوق في المجالس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الكرّ هو ما يكون ثلاثة أشبار طولاً في ثلاثة أشبار عرضاً في ثلاثة أشبار عمقاً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الرواية غير صالحة للاحتجاج وقد عرفت أنّ محمد بن سنان ضعيف، مضافاً إلى وجود المعارض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أنّها معارضة لروايته الأُخرى التي تدلّ على أنّ الكرّ عبارة عمّا بلغ مكسّرهُ إلى ستة وثلاثين شبراً،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المحقّق الخوئي ذهب إلى أنّ مقدار الكرّ بالأشبار عبارة عن سبعة وعشرين شبراً، واستدلّ بروايتين إحداهما هذه الرواية، وحاصل ما أفاده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صراحتها أنّها وإن لم تشتمل على ذكر شيء من الطول والعرض والعمق، إلّاأنّ السائل كغيره يعلم أنّ الماء من الأجسام، وكلّ جسم مكعّب يشتمل على أبعاد ثلاثة لا محالة ولا معنى لكونه ذا بعدين من غير أن يشتمل على البعد الثالث، فإذا قيل ثلاثة في ثلاثة مع عدم ذكر البعد الثالث، عُلم أنّه أيضاً ثلاثة كما يظهر هذا بمراجعة أمثال هذه الاستعمالات عند العرف فإنّهم يكتفون بذكر مقدار بعدين من أبعاد الجسم إذا كانت أبعاده الثلاثة متساوية،</w:t>
      </w:r>
    </w:p>
    <w:p>
      <w:pPr>
        <w:pStyle w:val="BookText"/>
        <w:rPr/>
      </w:pPr>
      <w:r>
        <w:rPr>
          <w:rFonts w:ascii="Amiri" w:hAnsi="Amiri" w:eastAsia="Amiri" w:cs="Amiri"/>
          <w:color w:val="111111"/>
          <w:sz w:val="28"/>
          <w:sz w:val="28"/>
          <w:szCs w:val="28"/>
          <w:rtl w:val="true"/>
          <w:lang w:bidi="ar-SA"/>
        </w:rPr>
        <w:t>فتراهم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خمسة أو أربعة في أربعة إذا كان ثالثها أيضاً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إذا ضربنا الثلاثة في الثلاثة فتبلغ تسعة فإذا ضربناها في ثلاثة فتبلغ سبعة وعشرين شبراً</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تمّت الدلالة فالسند غير تام فلا يحتج بالرواية، لما عرفت من وجود محمد بن سنان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الخوئي استدلّ على مختاره، برواية أُخرى لإسماعيل بن جابر التي نذكرها دليلاً على القول الثالث، أعني ما إذا بلغ مكسّرهُ ستة وثلاثين شبراً، وقد وجّه الرواية على نحو يكون مقدار الكرّ، سبعة وعشرين شبراً وبذلك رفع التعارض بين خبري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القول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مكسّره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p>
    <w:p>
      <w:pPr>
        <w:pStyle w:val="BookText"/>
        <w:rPr/>
      </w:pPr>
      <w:r>
        <w:rPr>
          <w:rFonts w:ascii="Amiri" w:hAnsi="Amiri" w:eastAsia="Amiri" w:cs="Amiri"/>
          <w:color w:val="111111"/>
          <w:sz w:val="28"/>
          <w:sz w:val="28"/>
          <w:szCs w:val="28"/>
          <w:rtl w:val="true"/>
          <w:lang w:bidi="ar-SA"/>
        </w:rPr>
        <w:t>قد عرفت أنّ صاحب المدارك وجماعة ذهبوا إلى أنّ الكرّ عبارة عمّا إذا بلغ مكسّره ستة وثلاثين شبراً، ويدلّ عليه صحيحة إسماعيل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باسناده عن محمد بن أحمد بن يحيى، عن أيوب بن نوح، عن صفوان، عن إسماعيل بن جابر، 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ذراعان عمقه في ذراع وشبر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وسعه خ ل</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صاحب نوادر الحكمة، وطريق الشيخ في التهذيب إليه،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دلالة الرواية فلا غبار عليها، حيث إنّه فرض أنّ عمقه ذراعان، وكلّ ذراع قدمان</w:t>
      </w:r>
      <w:r>
        <w:rPr>
          <w:rStyle w:val="FootnoteAnchor"/>
          <w:rtl w:val="true"/>
        </w:rPr>
        <w:footnoteReference w:id="590"/>
      </w:r>
      <w:r>
        <w:rPr>
          <w:rFonts w:ascii="Amiri" w:hAnsi="Amiri" w:eastAsia="Amiri" w:cs="Amiri"/>
          <w:color w:val="111111"/>
          <w:sz w:val="28"/>
          <w:sz w:val="28"/>
          <w:szCs w:val="28"/>
          <w:rtl w:val="true"/>
          <w:lang w:bidi="ar-SA"/>
        </w:rPr>
        <w:t>، والقدم شبر، وعليه فكلّ ذراع شبران، فيكون عمقه أربعة أشبار، كما فرضت سعته أو وسعه الذي كُنّي بها عن الطول والعرض، ثلاثة أشبار، فيكون المكسّر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436</w:t>
      </w:r>
    </w:p>
    <w:p>
      <w:pPr>
        <w:pStyle w:val="BookText"/>
        <w:rPr/>
      </w:pPr>
      <w:r>
        <w:rPr>
          <w:rFonts w:ascii="Amiri" w:hAnsi="Amiri" w:eastAsia="Amiri" w:cs="Amiri"/>
          <w:color w:val="111111"/>
          <w:sz w:val="28"/>
          <w:sz w:val="28"/>
          <w:szCs w:val="28"/>
          <w:rtl w:val="true"/>
          <w:lang w:bidi="ar-SA"/>
        </w:rPr>
        <w:t>وقد استدلّ بها صاحب المدارك وغيره على كون الكرّ ستة وثلاثين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فقد روي عن إسماعيل بن جابر، حديثان 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مرّ في الاستدلال على القول الثاني من كفاية مكسّره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والآخر ما ورد في المقام وقد استدلّ به على لزوم كون مكسّره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الخوئي استدلّ بها على كون الكرّ سبعة وعشرين شبراً بحمل المورد على المستدير وقال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ذراعان عمقه في ذراع وشبر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مفروض كلامه عليه السلام هو المدوّر، حيث فرض أنّ سعته ذراع وشبر مطلقاً أي من جميع الجوانب والأطراف، وكون السعة بمقدار معيّن من جميع النواحي والأطراف لا يتصوّر إلّافي الدائرة لأنّها هي التي تكون نسبة أحد أطرافها إلى الآخر بمقدار معيّن مطلقاً لا تزيد عنه ولا تنقص</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سائر الأشكال من المربع والمستطيل وغيرهما حتى في متساوي الأضلاع، فإنّ نسبة أحد أطرافها إلى الآخر لا تكون بمقدار معيّن في</w:t>
      </w:r>
    </w:p>
    <w:p>
      <w:pPr>
        <w:pStyle w:val="BookText"/>
        <w:rPr/>
      </w:pPr>
      <w:r>
        <w:rPr>
          <w:rFonts w:ascii="Amiri" w:hAnsi="Amiri" w:eastAsia="Amiri" w:cs="Amiri"/>
          <w:color w:val="111111"/>
          <w:sz w:val="28"/>
          <w:sz w:val="28"/>
          <w:szCs w:val="28"/>
          <w:rtl w:val="true"/>
          <w:lang w:bidi="ar-SA"/>
        </w:rPr>
        <w:t>جميعها، إذ البعد المفروض بين زاويتين من المربع وأمثاله، أزيد من البعد الكائن بين نفس الضلعين من أضلاعه، وعلى الجملة إنّ ما تكون نسبة أحد جوانبه إلى الآخر بمقدار معيّن في جميع أطرافه ليس إلّاالدائرة</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فإذا عرفت هذه الأُمور، وعرفت أنّ مفروض كلامه عليه السلام هو المدوّر، وقد فرضنا أنّ عمقه أربعة أشبار وسعته ثلاثة أشبار، فلابدّ في تحصيل مساحته من مراجعة الطريق المتعارف عند أوساط الناس في كشف مساحة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طريقتهم 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البنائين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تحصيل مساحة الدائرة بضرب نصف القطر في نصف المحيط، وقطر الدائرة في المقام ثلاثة أشبار فنصفه واحد ونصف، وأمّا المحيط فقد ذكروا أنّ نسبة قطر الدائرة إلى محيطها ممّا لم يظهر على وجه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بعض الدراويش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يعلم نسبة القطر إلى المحيط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إلّاأنّهم على وجه التقريب والتسامح ذكروا أنّ نسبة القطر إلى المحيط نسبة السبعة إلى اثنين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لمّا رأوا صعوبة فهم هذا البيان على أوساط الناس فعبّروا عنه ببيان آخر، وقالوا إنّ المحيط ثلاثة أضعاف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ينقص عن نسبة السبعة إلى اثنين وعشرين بقليل إلّاأنّ المساحة بهذا المقدار لابدّ منها، كما نشير إليه عن قريب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هذه القاعدة يبلغ محيط الدائرة في المقام تسعة أشبار، لأن قطرها ثلاثة أشبار، ونصف المحيط أربعة أشبار ونصف، ونصف القطر شبر ونصف، فيضرب أحدهما في الآخر فيكون الحاصل سبعة أشبار إلّاربع شبر، وإذا ضرب الحاصل من ذلك في العمق وهو أربعة أشبار يبلغ الحاصل سبعة وعشرين شبراً</w:t>
      </w:r>
    </w:p>
    <w:p>
      <w:pPr>
        <w:pStyle w:val="BookText"/>
        <w:rPr/>
      </w:pPr>
      <w:r>
        <w:rPr>
          <w:rFonts w:ascii="Amiri" w:hAnsi="Amiri" w:eastAsia="Amiri" w:cs="Amiri"/>
          <w:color w:val="111111"/>
          <w:sz w:val="28"/>
          <w:sz w:val="28"/>
          <w:szCs w:val="28"/>
          <w:rtl w:val="true"/>
          <w:lang w:bidi="ar-SA"/>
        </w:rPr>
        <w:t>بلا زيادة ولا نقصان إلّافي مقدار يسير كما عرفت</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الاستظهار من الرواية بأنّ سعته ذراع وشبر من جميع الأطراف والجوانب، أمر مغفول عنه للعرف، فإنّ المتبادر من هذه التعابير هو كون السعة أي المساحة حسب اصطلاح المهندسين ذراع وشبر، وهذا يكفي أن يكون مربعاً متساوي الأضلاع، ولا يتوقّف على كونه مدوّراً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نسبة أحد جوانبه إلى الآخر بمقدار معيّن في جميع جوانبه، أمر فُرض على الرواية، وإنّما الظاهر وجود التساوي في الطول والعرض، ولو في نفس الضلعين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أيّد كلامه بأنّه قدس سره وزن ماء الكُرّ ثلاثة مرات،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وزنا الكرّ ثلاث مرّات ووجدناه موافقاً لسبعة وعشرين، وهذا يخالف ما ذكره شيخ الشريعة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قدس اللّه أرواحهم قد وزنوا ألفاً ومائتي رطل من الماء بأوزان عديدة بمياه مختلفة ثقيلاً وخفيفاً في أمصار متعدّدة وفي أمكنة متكثّرة ووجدوها بمعيار ست وثلاثين شبراً من دون زيادة ونقيصة</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ولعلّ الاختلاف يرجع إلى كبر الأشبار وصغرها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دراسة بقية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بقية الأقوال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روى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 مكسّره مائة شبر،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نقف على مأخذه</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ويمكن الاستدلال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الصدوق في المقنع</w:t>
      </w:r>
      <w:r>
        <w:rPr>
          <w:rStyle w:val="FootnoteAnchor"/>
          <w:rtl w:val="true"/>
        </w:rPr>
        <w:footnoteReference w:id="595"/>
      </w:r>
      <w:r>
        <w:rPr>
          <w:rFonts w:ascii="Amiri" w:hAnsi="Amiri" w:eastAsia="Amiri" w:cs="Amiri"/>
          <w:color w:val="111111"/>
          <w:sz w:val="28"/>
          <w:sz w:val="28"/>
          <w:szCs w:val="28"/>
          <w:rtl w:val="true"/>
          <w:lang w:bidi="ar-SA"/>
        </w:rPr>
        <w:t>مرسلاً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 ذراعان وشبر في ذراعين وشبر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المراد بيان الأبعاد الثلاثة، فبما أنّ الذراعين أربعة أشبار وهي مع شبر يكون خمسة أشبار، فيكون كلّ من الأبعاد خمسة فيحصل من ضرب الطول في العرض والحاصل في العمق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وصورته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ما عليه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حملت الرواية على المستدير يكون مكَسره ثماني وتسعين شبراً وثمن شبر</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محيط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مساحة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القطر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19,625</w:t>
      </w:r>
    </w:p>
    <w:p>
      <w:pPr>
        <w:pStyle w:val="BookText"/>
        <w:rPr/>
      </w:pPr>
      <w:r>
        <w:rPr>
          <w:rFonts w:ascii="Amiri" w:hAnsi="Amiri" w:eastAsia="Amiri" w:cs="Amiri"/>
          <w:color w:val="111111"/>
          <w:sz w:val="28"/>
          <w:sz w:val="28"/>
          <w:szCs w:val="28"/>
          <w:rtl w:val="true"/>
          <w:lang w:bidi="ar-SA"/>
        </w:rPr>
        <w:t xml:space="preserve">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مجموع أبعاده الثلاثة، عشرة أشبار ونصف، ومستنده هو رواية أبي بصير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ثلاثة أشبار ونصف، في مثله ثلاثة أشبار ونصف في عمقه من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 مع عمقه، وقد حمل الرواية إلى الجمع بين ثلاثة أشبار ونصف فيكون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عشرة أشبار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متروك، وخلاف المتبادر من رواية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من كون مجموع أبعاده، عشرة أشبار ونصف، قد تكون مساحته مساوية لمساحة الكرّ على القول المشهور كما إذا كان كلّ بعد، ثلاثة أشبار ونصفاً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 ناقصة عنها كما لو فرض طوله ثلاثة أشبار وعرضه ثلاثة وعمقه أربعة ونصف، فمجموع الأبعاد وإن كان عشرة أشبار ونصف لكن</w:t>
      </w:r>
      <w:bookmarkStart w:id="698" w:name="pg16776_179075"/>
    </w:p>
    <w:p>
      <w:pPr>
        <w:pStyle w:val="BookText"/>
        <w:rPr/>
      </w:pPr>
      <w:bookmarkEnd w:id="698"/>
      <w:r>
        <w:rPr>
          <w:rFonts w:ascii="Amiri" w:hAnsi="Amiri" w:eastAsia="Amiri" w:cs="Amiri"/>
          <w:color w:val="111111"/>
          <w:sz w:val="28"/>
          <w:sz w:val="28"/>
          <w:szCs w:val="28"/>
          <w:rtl w:val="true"/>
          <w:lang w:bidi="ar-SA"/>
        </w:rPr>
        <w:t>مساحته تكون أربعون شبراً ونصف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40,5</w:t>
      </w:r>
    </w:p>
    <w:p>
      <w:pPr>
        <w:pStyle w:val="BookText"/>
        <w:rPr/>
      </w:pPr>
      <w:r>
        <w:rPr>
          <w:rFonts w:ascii="Amiri" w:hAnsi="Amiri" w:eastAsia="Amiri" w:cs="Amiri"/>
          <w:color w:val="111111"/>
          <w:sz w:val="28"/>
          <w:sz w:val="28"/>
          <w:szCs w:val="28"/>
          <w:rtl w:val="true"/>
          <w:lang w:bidi="ar-SA"/>
        </w:rPr>
        <w:t>وقد تكون بعيدة جداً عن المشهور كما لو فرض طوله ستة وعرضه أربعة وعمقه نصف شبر فالمجموع عشرة أشبار ونصف لكن المساحة اثنا عشر شبراً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إلى هنا تمّت دراسة الروايات الدالّة على مساحة الكرّ بالأشبار، وأنّ ما يمكن الاستناد إليه هو ما جاء في روايتي أبي بصير والحسن الثوريّ هو أنّ الكرّ ثلاثة وأربعون شبراً إلّاثمن شبر، وقد عرفت تمامية السند والدلالة، وفي مقابل ذلك رواية إسماعيل بن جابر الّتي دلّت على أنّ مساحته ستة وثلاثون شبراً، فالروايات متعارضة، ولا ترجيح بين الروايات لو لم نقل أنّ الأحوط هو الأخذ بالقول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اخترنا القول المشهور أخذاً بالاحتياط</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7071211_73709187"/>
      <w:bookmarkStart w:id="700" w:name="_Toc273"/>
      <w:bookmarkEnd w:id="699"/>
      <w:r>
        <w:rPr>
          <w:rtl w:val="true"/>
        </w:rPr>
        <w:t>تقدير الكرّ بالوزن</w:t>
      </w:r>
      <w:bookmarkEnd w:id="700"/>
    </w:p>
    <w:p>
      <w:pPr>
        <w:pStyle w:val="BookText"/>
        <w:rPr/>
      </w:pPr>
      <w:r>
        <w:rPr>
          <w:rFonts w:ascii="Amiri" w:hAnsi="Amiri" w:eastAsia="Amiri" w:cs="Amiri"/>
          <w:color w:val="111111"/>
          <w:sz w:val="28"/>
          <w:sz w:val="28"/>
          <w:szCs w:val="28"/>
          <w:rtl w:val="true"/>
          <w:lang w:bidi="ar-SA"/>
        </w:rPr>
        <w:t xml:space="preserve">قد عرفت اختلاف الأخبار في تقدير الكرّ بالحجم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المساحة حسب اصطلاح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القول الواضح هو خيرة صاحب المدارك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مُكسّره ستة وثلاثين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تقديره بالوزن فلندرس ما ورد حوله سنداً ومتناً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أبي عمير عن بعض أصحابنا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أحمد بن إدريس، عن محمّد بن أحمد، عن يعقوب ابن يزيد، عن ابن أبي عمير، عن بعض أصحابنا، عن أبي عبداللّه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 من الماء ألف ومائتا رطل</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دراسة السند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إدريس المكنّى بأبي عليّ الأشعري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مات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أحمد بن يحيى، مؤلف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يعقوب بن يزيد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من أصحاب الرضا والهادي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عمير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توفّي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مراسيل ابن أبي عمير في حكم المسانيد وأنّه لا يرسل إلّاعن ثقة، فالرواية صحيحة وربما تُردّ كلّية القاعدة بأنّه ربما يروي عن غير الثقة أيضاً، وقد ذكر السيد الخوئي بعض المواضع التي روى فيها ابن أبي عمير عن غير الثقة، ومعه 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يروي إلّاعن ثقة، فلا يرسل إلّاعنه، وقد أجبنا عن هذه الموارد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في علم الرجال</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وأمّا ما هو المراد من الرطل فهل أُريد العراقي أو المدني أو المكّي‌؟ فسيوافيك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الشيخ باسناده إلى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إلّاأنّه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من الماء الذي لا ينجّسه شيء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w:t>
      </w:r>
    </w:p>
    <w:p>
      <w:pPr>
        <w:pStyle w:val="BookText"/>
        <w:rPr/>
      </w:pPr>
      <w:r>
        <w:rPr>
          <w:rFonts w:ascii="IRNazanin" w:hAnsi="IRNazanin" w:eastAsia="IRNazanin"/>
          <w:color w:val="111111"/>
          <w:sz w:val="28"/>
          <w:sz w:val="28"/>
          <w:szCs w:val="28"/>
          <w:rtl w:val="true"/>
          <w:lang w:bidi="fa-IR"/>
        </w:rPr>
        <w:t>هذه عمل الأصحاب، ولا أعرف منهم رادّاً لها</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أُخرى لابن أبي عمير</w:t>
      </w:r>
    </w:p>
    <w:p>
      <w:p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لي عن عبداللّه بن المغيرة يرفعه إلى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الكر ستمائة رطل</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والرواية مرسلة من جانب ومرفوعة من جانب آخر، حكمها حكم الرواية الأُولى، والعجب أنّ ابن أبي عمير ينقل كلا الوزنين، ولعله أصدق شاهد على إرجاعهما إلى أمر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محمّد بن مسلم</w:t>
      </w:r>
    </w:p>
    <w:p>
      <w:pPr>
        <w:pStyle w:val="BookText"/>
        <w:rPr/>
      </w:pPr>
      <w:r>
        <w:rPr>
          <w:rFonts w:ascii="Amiri" w:hAnsi="Amiri" w:eastAsia="Amiri" w:cs="Amiri"/>
          <w:color w:val="111111"/>
          <w:sz w:val="28"/>
          <w:sz w:val="28"/>
          <w:szCs w:val="28"/>
          <w:rtl w:val="true"/>
          <w:lang w:bidi="ar-SA"/>
        </w:rPr>
        <w:t xml:space="preserve">روى الشيخ باسناده عن محمّد بن علي بن محبوب، عن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المغيرة، عن أبي أيوب، عن محمّد بن مسلم،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والكرّ ستمائة رطل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السند</w:t>
      </w:r>
    </w:p>
    <w:p>
      <w:pPr>
        <w:pStyle w:val="BookText"/>
        <w:rPr/>
      </w:pPr>
      <w:r>
        <w:rPr>
          <w:rFonts w:ascii="Amiri" w:hAnsi="Amiri" w:eastAsia="Amiri" w:cs="Amiri"/>
          <w:color w:val="111111"/>
          <w:sz w:val="28"/>
          <w:sz w:val="28"/>
          <w:szCs w:val="28"/>
          <w:rtl w:val="true"/>
          <w:lang w:bidi="ar-SA"/>
        </w:rPr>
        <w:t>سند الشيخ إلى محمد بن علي بن محبوب صحيح في التهذيبين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علي بن محبوب، فقد قال عنه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القميين في زمانه، ثقة، عين، فقيه صحيح المذهب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 ثقة، له كتاب الآداب من أصحاب الرضا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أيوب الخزّاز إبراهيم بن عثمان، أو إبراهيم بن عيسى،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عبداللّه وأبي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كبير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فوق الثقة، مات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 صحيح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تبيين ما هو المراد من الرطل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المتن</w:t>
      </w:r>
    </w:p>
    <w:p>
      <w:pPr>
        <w:pStyle w:val="BookText"/>
        <w:rPr/>
      </w:pPr>
      <w:r>
        <w:rPr>
          <w:rFonts w:ascii="Amiri" w:hAnsi="Amiri" w:eastAsia="Amiri" w:cs="Amiri"/>
          <w:color w:val="111111"/>
          <w:sz w:val="28"/>
          <w:sz w:val="28"/>
          <w:szCs w:val="28"/>
          <w:rtl w:val="true"/>
          <w:lang w:bidi="ar-SA"/>
        </w:rPr>
        <w:t>يظهر من غير واحدة من الروايات أنّ الرطل يطلق تارة ويراد به الرطل العراقي أو البغدادي، وأُخرى الرطل المدني، وثالثة الرطل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الأوّلين أنّ الرطل المدني يزيد على العراقي بثلث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رواه الكليني عن جعفر بن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على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أصحابنا اختلفوا في الصاع بعضهم يقول الفطرة بصاع المدني، وبعضهم يقول بصاع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 بستة أرطال بالمدني وتسعة أرطال بالعراقي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أنّه يكون بالوزن ألف ومائة وسبعين وزنة</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يقول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الرطل يطلق بالاشتراك على المكّي والمدني والعراقي،؛ والعراقي نصف المكي وثلثا المدني</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إذا علمت هذا فلنرجع إلى تبيين حديث ابن مسلم الذي اتّفقوا على صحّته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شيخ الشريعة ذهب إلى أنّ المراد من الصحيحة هو الأرطال المدنية قال بأنّ المتكلّم يخاطب بلسان نفسه لا بلسان مخاطبه، وبما أنّ الإمام مدني، فتحمل الستمائة على الرطل المدني الذي يعادل تسعمائة عراقي وهو</w:t>
      </w:r>
    </w:p>
    <w:p>
      <w:pPr>
        <w:pStyle w:val="BookText"/>
        <w:rPr/>
      </w:pPr>
      <w:r>
        <w:rPr>
          <w:rFonts w:ascii="Amiri" w:hAnsi="Amiri" w:eastAsia="Amiri" w:cs="Amiri"/>
          <w:color w:val="111111"/>
          <w:sz w:val="28"/>
          <w:sz w:val="28"/>
          <w:szCs w:val="28"/>
          <w:rtl w:val="true"/>
          <w:lang w:bidi="ar-SA"/>
        </w:rPr>
        <w:t>يعادل سبعة وعشرين شبراً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حمل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الرطل المدني، لأنّ صحيحة علي بن جعفر تدلّ على عدم عاصمية ألف رطل مدني والسائل والمجيب مدنيّان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جعفر في كتابه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جرّة ماء فيها ألف رطل وقع فيه أُوقية بول، هل يصلح شربه أو الوضوء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وحملها على الكراهة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أورد عليه شيخ الشريعة وقال بأنّ نجاسة ذلك المقدار من الماء يسبب التغيّر لوقوع أُوقية بول، ومن المعلوم أنّ هذا المقدار يغيّر أحد أوصاف الماء، فعدم صحّة الوضوء لأجل هذا لا لقلته عن الكرّ</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الرطل المدني عبارة عن مائة وخمسة وتسعين درهماً، كما في رواية إبراهيم بن محمد الهمداني،</w:t>
      </w:r>
      <w:r>
        <w:rPr>
          <w:rStyle w:val="FootnoteAnchor"/>
          <w:rtl w:val="true"/>
        </w:rPr>
        <w:footnoteReference w:id="607"/>
      </w:r>
      <w:r>
        <w:rPr>
          <w:rFonts w:ascii="Amiri" w:hAnsi="Amiri" w:eastAsia="Amiri" w:cs="Amiri"/>
          <w:color w:val="111111"/>
          <w:sz w:val="28"/>
          <w:sz w:val="28"/>
          <w:szCs w:val="28"/>
          <w:rtl w:val="true"/>
          <w:lang w:bidi="ar-SA"/>
        </w:rPr>
        <w:t>والأُوقيّة عبارة عن أربعين درهماً فتكون نسبة الأوقية إلى الرطل قريباً من الخُمس، ومن المعلوم أنّ خمس رطل من الدم أو البول لا يغيّر لون الماء ولا طعمه، إذا كان ألف رطل، وهذا دليل على أنّ المراد من الستمائة غير الرطل المدني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عدم صحّة حمله على الرطل العراقي بطريق أولى، لأنّه إذا كان ألف رطل مدني من الماء غير عاصم من النجاسة، فالعراقي أولى بأن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هذا فاعلم أنّه يتحقّق بذلك الجمع بين الروايتين؛ فيحمل ما دلّ على ألف ومائتي رطل على العراقي، والصحيحة على الرطل المكّي الذي هو ضعف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الجمع لا يتوقّف على بعض الأُمور التي ذكرها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ربما يقال في إثبات أنّ الرطل في رواية ابن أبي عمير عراقي، بأنّ ابن أبي عمير أو المرسَل عنه كانا عراقيين والإمام صلى الله عليه و آله و سلم تكلّم بلغة السائل، وهذا رجم بالغيب، إذ لم يُعلم أنّ المرسَل عنه كان عراقيّاً ولعلّه كان مدنياً أو مكّياً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ابن مسلم تحمل على الرطل المكّي، لأنّ محمّد بن مسلم ثقفي مكّي، والإمام تكلّم بلسان السائل، وهو ضعيف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أنّ محمّد بن مسلم كان يقطن مكّة، فهو وإن كان مكّياً ولادة أو عشيرة، ولكّنه يسكن العراق فهو وزرارة وأمثالهما كلّهم كوفيون عراقيون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إنّما يتكلّم بلسان قومه لا بلسان سائله إلّاإذا دلّت القرينة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وجه الجمع هو ما ذكرنا وهو أنّه إذا ارتفع احتمال كون الرطل مدنياً يتردّد الأمر بين العراقي والمكّي، وبما أنّ العراقي ضعف المكّي وقد ورد حكم الوزنين في الرواية فيحمل أحدهما على المكّي والآخر على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يعدّ مثل هذا المورد من المتعارضين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بالحديث الأوّل الرطل العراقي لأنّه يقارب اعتبار الأشبار، لأنّهم أفتوا السائل على عادة بلده، ولذلك اعتبر في الصاع رطل العراقي؛ ولأنّه يوافق حديث الستمائة، فإنّ المراد به الرطل المكّي وهو رطلان بالعراقي، ولا يجوز أن يراد بستمائة الرطل العراقي ولا المدني لأنّه متروك</w:t>
      </w:r>
    </w:p>
    <w:p>
      <w:pPr>
        <w:pStyle w:val="BookText"/>
        <w:rPr/>
      </w:pPr>
      <w:r>
        <w:rPr>
          <w:rFonts w:ascii="Amiri" w:hAnsi="Amiri" w:eastAsia="Amiri" w:cs="Amiri"/>
          <w:color w:val="111111"/>
          <w:sz w:val="28"/>
          <w:sz w:val="28"/>
          <w:szCs w:val="28"/>
          <w:rtl w:val="true"/>
          <w:lang w:bidi="ar-SA"/>
        </w:rPr>
        <w:t>بالإجماع، ويأتي في أحاديث الماء المضاف ما يدلّ على إطلاقهم الرطل على العراقي</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البحث الماضي أنّ الرطل في صحيحة محمد بن مسلم مكّي لا مدني، ولكن يبقى هنا إشكال وهو وجود التعارض بين تلك الصحيحة وما رواه ابن أبي عمير من كون الكرّ ألفاً ومائتي رطل، فإنّ حمله على العراقي لغاية الجمع بينهما جمع تبرعي، بل هما من قبيل المتعارضين، إذ يبقى في رواية ابن أبي عمير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من ألف ومائتي رطل، الرطل المدني الذي يكون مكسّره ألفاً وثمانمائة رطل 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الرطل المكِّي فيكون مكسّره ألفين وأربعمائة بالعراقي، فيقع التعارض عندئذٍ بين صحيحة محمد بن مسلم التي حملت على ألف ومائتي رطل عراقي وبين المرسلة التي يتردّد مفهوم الرطل فيها بين المدني فيكون مكسّره ألف وثمانمائة وبين المكِّي الذي يكون مكسّره ألفين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الاحتمالين منتفٍ قطعاً وهو حمل المرسلة على الرطل المكّي لا لأجل أنّ المُرسِل عراقي، ولا لأنّ المرسل عنه مثله، إذ المرسِل وإن كان عراقياً ولكن لا نعلم أنّ المرسَل عنه كذلك، بل لأجل أنّ رواة الشيعة المتواجدين في العراق الذين أخذ ابن أبي عمير عنهم الحديث، بين عراقي ومدني، فالمكِّي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ومسكناً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نادر، حتى يحمل الحديث على لسان الراوي، أو يُحمل على لسان الإمام؛ لأنّه أيضاً ليس مكياً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احتمال كون المراد من الرطل في المرسلة هو المدني، فيرتقي</w:t>
      </w:r>
      <w:bookmarkStart w:id="701" w:name="pg16776_179082"/>
    </w:p>
    <w:p>
      <w:pPr>
        <w:pStyle w:val="BookText"/>
        <w:rPr/>
      </w:pPr>
      <w:bookmarkEnd w:id="701"/>
      <w:r>
        <w:rPr>
          <w:rFonts w:ascii="Amiri" w:hAnsi="Amiri" w:eastAsia="Amiri" w:cs="Amiri"/>
          <w:color w:val="111111"/>
          <w:sz w:val="28"/>
          <w:sz w:val="28"/>
          <w:szCs w:val="28"/>
          <w:rtl w:val="true"/>
          <w:lang w:bidi="ar-SA"/>
        </w:rPr>
        <w:t>مكسر الكر إلى ألف وثمانمائة رطل عراقي، والذي يمكن الذبُ به عن الإشكال هو أنّ هذا المقدار من الرطل لم يقل به أحد من الأصحاب، ولا روي عن أحد، وهذا أوضح دليل على أنّهم فهموا من الحديث الأرطال العراقية، فيتحقّق الجمع بين الصحيحة والمرسلة بنحو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عند إجمال المخصّص هو الأخذ بالقدر المتيقّن؛ وذلك لأنّ هنا عامّاً يدلّ على انفعال الماء بمجرد ملاقاة النجاسة، خرج منه ما إذا كان الماء كرّاً، فبما أنّ المخصّص منفصل لا يضر بظهور العام ولا حجّيته فيؤخذ بالقدر المتيقّن، وهو خروج ألف ومائتي رطل عراقي وبقي ما دونه تحته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مبني على وجود الإجمال في المخصّص، وقد مرّ عدم الإجمال فيه ولو بفضل الإجماع، والإجماع وإن لم يرفع الإجمال عن دلالة اللفظ ولكن يرفع الإجمال عن المقصود</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7071213_73709187"/>
      <w:bookmarkStart w:id="703" w:name="_Toc274"/>
      <w:bookmarkEnd w:id="702"/>
      <w:r>
        <w:rPr>
          <w:rtl w:val="true"/>
        </w:rPr>
        <w:t>تنبيه</w:t>
      </w:r>
      <w:bookmarkEnd w:id="703"/>
    </w:p>
    <w:p>
      <w:pPr>
        <w:pStyle w:val="BookText"/>
        <w:rPr/>
      </w:pPr>
      <w:r>
        <w:rPr>
          <w:rFonts w:ascii="Amiri" w:hAnsi="Amiri" w:eastAsia="Amiri" w:cs="Amiri"/>
          <w:color w:val="111111"/>
          <w:sz w:val="28"/>
          <w:sz w:val="28"/>
          <w:szCs w:val="28"/>
          <w:rtl w:val="true"/>
          <w:lang w:bidi="ar-SA"/>
        </w:rPr>
        <w:t xml:space="preserve">إذا كان مقدار الكرّ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عراقي، فما هو مقداره بالكيلوغرامات،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عراقي يساوي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وثلث الصاع،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كلّ صاع يساوي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وزن كلّ صاع هو ثلاثة كيلوغرامات تقريباً، فيضرب </w:t>
      </w:r>
      <w:r>
        <w:rPr>
          <w:rFonts w:eastAsia="Amiri" w:cs="Amiri" w:ascii="Amiri" w:hAnsi="Amiri"/>
          <w:color w:val="111111"/>
          <w:sz w:val="28"/>
          <w:szCs w:val="28"/>
          <w:lang w:bidi="ar-SA"/>
        </w:rPr>
        <w:t>133,33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النتيجة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المصدر للتقدير ما روي عن أبي الحسن الثالث عليه السلام، كما مرّ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يحاسب بشكل آخر فتكون النتيجة تارة أقل ممّا ذكر وأُخرى أكثر</w:t>
      </w:r>
      <w:r>
        <w:rPr>
          <w:rFonts w:eastAsia="Amiri" w:cs="Amiri" w:ascii="Amiri" w:hAnsi="Amiri"/>
          <w:color w:val="111111"/>
          <w:sz w:val="28"/>
          <w:szCs w:val="28"/>
          <w:rtl w:val="true"/>
          <w:lang w:bidi="ar-SA"/>
        </w:rPr>
        <w:t>.</w:t>
      </w:r>
      <w:bookmarkStart w:id="704" w:name="pg16776_179083"/>
    </w:p>
    <w:p>
      <w:pPr>
        <w:pStyle w:val="BookText"/>
        <w:rPr/>
      </w:pPr>
      <w:bookmarkEnd w:id="704"/>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الرطل العراقي عبارة عن مائة وثلاثين درهماً على المشهور، فيكون واحداً وتسعين مثقالاً شرعياً، وبالصيرفي ثمانية وستين مثقالاً وربع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وصورة المسألة هي بالنحو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شرعي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صيرفياً</w:t>
      </w:r>
    </w:p>
    <w:p>
      <w:pPr>
        <w:pStyle w:val="BookText"/>
        <w:rPr/>
      </w:pPr>
      <w:r>
        <w:rPr>
          <w:rFonts w:ascii="Amiri" w:hAnsi="Amiri" w:eastAsia="Amiri" w:cs="Amiri"/>
          <w:color w:val="111111"/>
          <w:sz w:val="28"/>
          <w:sz w:val="28"/>
          <w:szCs w:val="28"/>
          <w:rtl w:val="true"/>
          <w:lang w:bidi="ar-SA"/>
        </w:rPr>
        <w:t xml:space="preserve">فإذا ضربنا </w:t>
      </w:r>
      <w:r>
        <w:rPr>
          <w:rFonts w:eastAsia="Amiri" w:cs="Amiri" w:ascii="Amiri" w:hAnsi="Amiri"/>
          <w:color w:val="111111"/>
          <w:sz w:val="28"/>
          <w:szCs w:val="28"/>
          <w:lang w:bidi="ar-SA"/>
        </w:rPr>
        <w:t>68,25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 ومائتي رطل تكون النتيجة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81,900</w:t>
      </w:r>
    </w:p>
    <w:p>
      <w:pPr>
        <w:pStyle w:val="BookText"/>
        <w:rPr/>
      </w:pPr>
      <w:r>
        <w:rPr>
          <w:rFonts w:ascii="Amiri" w:hAnsi="Amiri" w:eastAsia="Amiri" w:cs="Amiri"/>
          <w:color w:val="111111"/>
          <w:sz w:val="28"/>
          <w:sz w:val="28"/>
          <w:szCs w:val="28"/>
          <w:rtl w:val="true"/>
          <w:lang w:bidi="ar-SA"/>
        </w:rPr>
        <w:t xml:space="preserve">وكل مثقال صيرفي يعادل </w:t>
      </w:r>
      <w:r>
        <w:rPr>
          <w:rFonts w:eastAsia="Amiri" w:cs="Amiri" w:ascii="Amiri" w:hAnsi="Amiri"/>
          <w:color w:val="111111"/>
          <w:sz w:val="28"/>
          <w:szCs w:val="28"/>
          <w:lang w:bidi="ar-SA"/>
        </w:rPr>
        <w:t>460,829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فتكون النتيجة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377,418,951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بأن كلّ مثقال صيرفي يعادل </w:t>
      </w:r>
      <w:r>
        <w:rPr>
          <w:rFonts w:eastAsia="Amiri" w:cs="Amiri" w:ascii="Amiri" w:hAnsi="Amiri"/>
          <w:color w:val="111111"/>
          <w:sz w:val="28"/>
          <w:szCs w:val="28"/>
          <w:lang w:bidi="ar-SA"/>
        </w:rPr>
        <w:t>46,875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فتكون النتيجة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383,906,25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38,390,625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كيلوغراماً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راجعنا المواقع في الانترنت فوجدناهم على قسمين في تبديل المثقال بالغرام، ولذا توصلنا إلى النتيجتين المذكورتين</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7071215_73709187"/>
      <w:bookmarkStart w:id="706" w:name="_Toc275"/>
      <w:bookmarkEnd w:id="705"/>
      <w:r>
        <w:rPr>
          <w:rtl w:val="true"/>
        </w:rPr>
        <w:t>مشكلة الاختلاف بين التقديرين</w:t>
      </w:r>
      <w:bookmarkEnd w:id="70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بعدم التطابق بين التحديد بالوزن والتحديد بالحجم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الأشبار، وهو أنّ مختار المشهور في التقدير بالمساحة كون مكسّره ثلاثة وأربعين شبراً إلّاثمن شبر وهو لا ينطبق على ألف ومائتي رطل عراقي، لأنّ غير واحد من الأصحاب وزنوا ألفاً ومائتي رطل عراقي فبعضهم يدّعي انطباقه على ستة وثلاثين كما عليه شيخ الشريعة في دروسه، وبعض آخر يدّعي انطباقه على سبعة وعشرين، فكيف يمكن الجمع بين التقدير بالوزن والتقدير بالأشبار؟</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 ما يكون مكسّره ستة وثلاثين فقد ادّعي أنّ الوزن منطبق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بمقالة المشهور وقلنا إنّه الأحوط، فالتفاوت بين الوزن والمساحة كثير، فأين نسبة الماء الموجود في ثلاثة وأربعين شبراً إلّاثمن شبر، وبين الماء الموجود في سبعة وعشرين 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الروايات ناظرة إلى الغدران الموجودة في الصحاري، والحياض المختلفة في البيوت ممّا لا يكون مربعاً أو مستطيلاً حتى يسهل تقديره بالأشبار بشكل دقيق، ولذلك احتاطوا بالتقدير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وأربعين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طريقاً إلى التقدير الواقعي بالأشبار،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وثلاثين شبراً أو سبعة وعشرين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الكرّ إذا بلغ ألفاً ومائتي رطل عراقي لا ينفعل بورود الدم أو البول عليه، ولكن إذا غسلت فيه الأواني أو الثياب ينقص منه شيءٌ كثير، وبالتالي لا يكون عاصماً، فلذلك اتّخذوا تقديراً أكثر بالأشبار حتى لا ينتهي الأمر إلى بعض الصور التي يسبب التطهير فيها نقصان الماء عن مقدار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بيد المؤلّف جعفر السبحاني</w:t>
      </w:r>
    </w:p>
    <w:p>
      <w:pPr>
        <w:pStyle w:val="BookText"/>
        <w:rPr/>
      </w:pPr>
      <w:r>
        <w:rPr>
          <w:rFonts w:ascii="Amiri" w:hAnsi="Amiri" w:eastAsia="Amiri" w:cs="Amiri"/>
          <w:color w:val="111111"/>
          <w:sz w:val="28"/>
          <w:sz w:val="28"/>
          <w:szCs w:val="28"/>
          <w:rtl w:val="true"/>
          <w:lang w:bidi="ar-SA"/>
        </w:rPr>
        <w:t>يوم الأحد، ثامن عشر من جمادى الأُولى</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شهور عام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707" w:name="pg16776_179085"/>
    </w:p>
    <w:p>
      <w:pPr>
        <w:pStyle w:val="Heading3"/>
        <w:numPr>
          <w:ilvl w:val="2"/>
          <w:numId w:val="1"/>
        </w:numPr>
        <w:rPr/>
      </w:pPr>
      <w:bookmarkStart w:id="708" w:name="__RefHeading___Toc7071217_73709187"/>
      <w:bookmarkStart w:id="709" w:name="_Toc276"/>
      <w:bookmarkEnd w:id="707"/>
      <w:bookmarkEnd w:id="708"/>
      <w:r>
        <w:rPr/>
        <w:t>7</w:t>
      </w:r>
      <w:r>
        <w:rPr>
          <w:rtl w:val="true"/>
        </w:rPr>
        <w:t xml:space="preserve">. </w:t>
      </w:r>
      <w:r>
        <w:rPr>
          <w:rtl w:val="true"/>
        </w:rPr>
        <w:t>حكم الصلاة في مساجد الشيعة</w:t>
      </w:r>
      <w:bookmarkEnd w:id="709"/>
    </w:p>
    <w:p>
      <w:pPr>
        <w:pStyle w:val="Heading4"/>
        <w:numPr>
          <w:ilvl w:val="3"/>
          <w:numId w:val="1"/>
        </w:numPr>
        <w:rPr/>
      </w:pPr>
      <w:bookmarkStart w:id="710" w:name="__RefHeading___Toc7071219_73709187"/>
      <w:bookmarkStart w:id="711" w:name="_Toc277"/>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من خلال برنامج لقاء الجمعة في قناة البرهان سُئل الشيخ عثمان الخميس عن الصلاة في مساجد الشيعة‌؟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أن يدخل هذه المساجد ليصلّي فيها؛ لأنّها لا تخلو من أُمور تمنع المسلم من الصلاة فيها، وهذه الأُمور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كثيراً ما يعظّمون القبور، فيبنون المساجد على القبور أو يجعلون القبور داخل المساجد، أي يدفنون الموتى داخلها، فلا تجوز الصلاة في مسجد فيه قبر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رائحة الشرك تفوح داخل هذه المساجد، فيذكر غير اللّه ويستغاث بغير اللّه، ويدعون غير اللّه، ويسبّ أولياء اللّه من الصحابة والخلفاء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أفتى بأنّه لو دخل إنسان وصلّى في هذه المساجد حتّى مع علمه بعدم الجواز فصلاته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الأمر الأوّل فهو عدم جواز دخول هذه المساجد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عثمان الخميس في برنامج لقاء الجمعة، وهو مبني على أصل مسلّم عنده، وهو حرمة بناء المساجد على قبور الأولياء، وعلى هذا بنى ما ذكره</w:t>
      </w:r>
      <w:bookmarkStart w:id="712" w:name="pg16776_179086"/>
    </w:p>
    <w:p>
      <w:pPr>
        <w:pStyle w:val="BookText"/>
        <w:rPr/>
      </w:pPr>
      <w:bookmarkEnd w:id="712"/>
      <w:r>
        <w:rPr>
          <w:rFonts w:ascii="Amiri" w:hAnsi="Amiri" w:eastAsia="Amiri" w:cs="Amiri"/>
          <w:color w:val="111111"/>
          <w:sz w:val="28"/>
          <w:sz w:val="28"/>
          <w:szCs w:val="28"/>
          <w:rtl w:val="true"/>
          <w:lang w:bidi="ar-SA"/>
        </w:rPr>
        <w:t>في الفصول الثلاثة؛ ولذا علينا دراسة مبنى كلامه، قبل مناقشة فقرات جوابه، ولذلك فقد بسطنا الكلام في تبيين المبنى وما هو الحق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دراسة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بناء المساجد على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شيئاً وهو أنّ الشيخ عثمان الخميس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الشيعة يبنون المساجد على القبور، أو يجعلون القبور داخل المساجد، أي يدفنون الموتى داخلها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نسأله عن مصدر هذا الخبر، هل أنّه شاهد ذلك الأمر في عامّة المساجد للشيعة الّتي تُعدّ بعشرات الآلاف في مختلف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أنّه قد قام بذلك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فكيف أصدر هذا الحكم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ذكره الشيخ في هذا الصدد كذب واضح وافتراء صريح، نابع من أصل مسلّم عند القوم، وهو أنّه لكلّ شيء دليل إلّاالافتراء على الشيعة، بل لكلّ شيء نهاية إلّاالكذب على الشيعة، وكأنّه سبحانه فرض عليهم الكذب مكان الصدق، والافتراء مكان طرح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ولنفرض جدلاً صحّة قوله، فلندرس حكم هذه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المساجد على القبور، على ضوء الكتاب المجيد والسنّة الشريفة</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7071221_73709187"/>
      <w:bookmarkStart w:id="714" w:name="_Toc278"/>
      <w:bookmarkEnd w:id="713"/>
      <w:r>
        <w:rPr>
          <w:rtl w:val="true"/>
        </w:rPr>
        <w:t>حكم بناء المساجد على قبور الأولياء</w:t>
      </w:r>
      <w:bookmarkEnd w:id="714"/>
    </w:p>
    <w:p>
      <w:pPr>
        <w:pStyle w:val="BookText"/>
        <w:rPr/>
      </w:pPr>
      <w:r>
        <w:rPr>
          <w:rFonts w:ascii="Amiri" w:hAnsi="Amiri" w:eastAsia="Amiri" w:cs="Amiri"/>
          <w:color w:val="111111"/>
          <w:sz w:val="28"/>
          <w:sz w:val="28"/>
          <w:szCs w:val="28"/>
          <w:rtl w:val="true"/>
          <w:lang w:bidi="ar-SA"/>
        </w:rPr>
        <w:t>ما أنكره الشيخ من بناء المسجد على قبور الموتى فقد نطق الذكر الحكيم به وعلى جواز قسم منه، وهو إذا كان الموتى من الأولياء، فلا مانع من بناء المسجد على قبورهم تبرّكاً بهم،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التأمّل في قصة أصحاب الكهف يكشف لنا من أنّ بناء المسجد فوق</w:t>
      </w:r>
    </w:p>
    <w:p>
      <w:pPr>
        <w:pStyle w:val="BookText"/>
        <w:rPr/>
      </w:pPr>
      <w:r>
        <w:rPr>
          <w:rFonts w:ascii="Amiri" w:hAnsi="Amiri" w:eastAsia="Amiri" w:cs="Amiri"/>
          <w:color w:val="111111"/>
          <w:sz w:val="28"/>
          <w:sz w:val="28"/>
          <w:szCs w:val="28"/>
          <w:rtl w:val="true"/>
          <w:lang w:bidi="ar-SA"/>
        </w:rPr>
        <w:t>قبور الأولياء كان سنّة متّبعة عند الأُمم والشرائع السابقة، والقرآن الكريم يشير إلى تلك السنّة من دون أي ردّ ونقد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أصحاب الكهف بعد أن انكشف خبرهم اختلف الناس في كيفية احترامهم وتكريمهم وانقسموا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 رَبُّهُمْ أَعْلَمُ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التعبير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 القائل أو القائلين به لم يكونوا من الموحّدين، حيث حقّروا أُمورهم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 رَبُّهُمْ أَعْلَمُ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ربنا أعلم باحوالهم من خير وشرّ وصلاح وفساد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آخر كسب الموقف في النهاية، حيث دعا إلى بناء مسجد على الكهف كي يكون مركزاً لعبادة اللّه بجوار قبور الذين رفضوا عبادة غير اللّه وخرجوا من ديارهم هاربين من الكفر ولاجئين إلى توحيد اللّه وطاعته، وقد حكي عنهم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أصحاب الكهف، أي وقفوا على مكانتهم وكشفوا الستر عن حقيقة أمرهم،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أعاظم المفسّرين على أنّ القائلين بذلك هم الموحّدون،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نبني عليهم بنياناً فإنّهم أبناء أبائنا، 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أحقّ بهم هم منّا نبني عليهم مسجداً نصلّي فيه ونعبد اللّه فيه</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بل الأَولى أن يبنى على باب الكهف مسجد وهذا القول يدلّ على أنّ أُولئك الأقوام كانوا عارفين باللّه معترفين بالعبادة والصلاة</w:t>
      </w:r>
      <w:r>
        <w:rPr>
          <w:rFonts w:eastAsia="Amiri" w:cs="Amiri" w:ascii="Amiri" w:hAnsi="Amiri"/>
          <w:color w:val="111111"/>
          <w:sz w:val="28"/>
          <w:szCs w:val="28"/>
          <w:rtl w:val="true"/>
          <w:lang w:bidi="ar-SA"/>
        </w:rPr>
        <w:t>.</w:t>
      </w:r>
      <w:r>
        <w:rPr>
          <w:rStyle w:val="FootnoteAnchor"/>
          <w:rtl w:val="true"/>
        </w:rPr>
        <w:footnoteReference w:id="612"/>
      </w:r>
      <w:bookmarkStart w:id="715" w:name="pg16776_179088"/>
    </w:p>
    <w:p>
      <w:pPr>
        <w:pStyle w:val="BookText"/>
        <w:rPr/>
      </w:pPr>
      <w:bookmarkEnd w:id="715"/>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وملكهم وكانوا أولى بهم وبالبناء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المسلمون ويتبرّكون بمكانهم</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وقال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وملكهم المسلم؛ لأنّهم بنوا عليهم مسجداً يصلّي فيه المسلمون، ويتبرّكون بمكانهم وكانوا أولى بهم وبالبناء عليهم حفظاً لتربتهم بها وضنّاً بها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إلى غير ذلك من الكلمات في تفاسير الأعاظم، والّتي يتراءى منها أنّ بناء المسجد كان على باب الكهف أو عند الكهف، على خلاف ظاهر الآية، فإنّ ظاهرها يدلّ على أنّ المقترح هو بناء المسجد على قبورهم</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7071223_73709187"/>
      <w:bookmarkStart w:id="717" w:name="_Toc279"/>
      <w:bookmarkEnd w:id="716"/>
      <w:r>
        <w:rPr>
          <w:rtl w:val="true"/>
        </w:rPr>
        <w:t>كيفية الاستدلال</w:t>
      </w:r>
      <w:bookmarkEnd w:id="717"/>
    </w:p>
    <w:p>
      <w:pPr>
        <w:pStyle w:val="BookText"/>
        <w:rPr/>
      </w:pPr>
      <w:r>
        <w:rPr>
          <w:rFonts w:ascii="Amiri" w:hAnsi="Amiri" w:eastAsia="Amiri" w:cs="Amiri"/>
          <w:color w:val="111111"/>
          <w:sz w:val="28"/>
          <w:sz w:val="28"/>
          <w:szCs w:val="28"/>
          <w:rtl w:val="true"/>
          <w:lang w:bidi="ar-SA"/>
        </w:rPr>
        <w:t>الاستدلال بالآية ليس مبنيّاً على استصحاب حكم شرع من قبلنا، بل مبني على أمر آخر وهو أنّا نرى أنّ القرآن الكريم يذكر اقتراح الطائفتين بلا نقد ولا ردّ، ومن البعيد جدّاً أن يذكر اللّه تعالى كلاماً للمشركين ويمرّ عليه بلا نقد إجمالي ولا تفصيلي أو يذكر اقتراحاً للموحّدين وكان أمراً محرّماً في شرعنا من دون إيعاز إلى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تقرير من القرآن على صحّة اقتراح أُولئك المؤمنين، ويدلّ على أنّ سيرة المؤمنين الموحّدين في العالم كلّه كانت جارية على هذا الأمر، وكان يُعتبر عندهم نوعاً من الاحترام لصاحب القبر وتبرّكاً به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قرأ القرآن الكريم بتدبّر ووعي يعرف أنّ ما ينقله عن المشركين لو كان أمراً بيّن البطلان ربّما يمر عليه من دون ردّ، وأمّا إذا كان غير واضح البطلان</w:t>
      </w:r>
      <w:bookmarkStart w:id="718" w:name="pg16776_179089"/>
    </w:p>
    <w:p>
      <w:pPr>
        <w:pStyle w:val="BookText"/>
        <w:rPr/>
      </w:pPr>
      <w:bookmarkEnd w:id="718"/>
      <w:r>
        <w:rPr>
          <w:rFonts w:ascii="Amiri" w:hAnsi="Amiri" w:eastAsia="Amiri" w:cs="Amiri"/>
          <w:color w:val="111111"/>
          <w:sz w:val="28"/>
          <w:sz w:val="28"/>
          <w:szCs w:val="28"/>
          <w:rtl w:val="true"/>
          <w:lang w:bidi="ar-SA"/>
        </w:rPr>
        <w:t>فسيكون له موقف آخر منه، مثلاً عندما أحدق الخطر بفرعون وتيقّن أنّه سوف يغرق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لم يتركه على حاله إذ ربّما يتوهّم الجاهل أنّه ربما يكفي هذا ا لنوع من الإيمان، فلذلك ردّ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الغاية من ذكر قصة السابقين هي اتّخاذ العبر والمواعظ والتدبّر في مضامينها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ليس كتاباً قصصياً أو تاريخياً تُسرد فيه حياة الغابرين، وإنّما نزل كدستور حياة للبشر، وكلّ منهم يستنبط من القصص 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فالمتكلّم يستنبط من قصة أصحاب الكهف إمكان المعاد وتجديد الحياة بعد قرون، ولكن الفقيه يستنبط من هذه القصة أنّه يجوز بناء المساجد على قبور الأولياء للتبرّك بهم</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7071225_73709187"/>
      <w:bookmarkStart w:id="720" w:name="_Toc280"/>
      <w:bookmarkEnd w:id="719"/>
      <w:r>
        <w:rPr>
          <w:rtl w:val="true"/>
        </w:rPr>
        <w:t>زلة لا تستقال</w:t>
      </w:r>
      <w:bookmarkEnd w:id="720"/>
    </w:p>
    <w:p>
      <w:pPr>
        <w:pStyle w:val="BookText"/>
        <w:rPr/>
      </w:pPr>
      <w:r>
        <w:rPr>
          <w:rFonts w:ascii="Amiri" w:hAnsi="Amiri" w:eastAsia="Amiri" w:cs="Amiri"/>
          <w:color w:val="111111"/>
          <w:sz w:val="28"/>
          <w:sz w:val="28"/>
          <w:szCs w:val="28"/>
          <w:rtl w:val="true"/>
          <w:lang w:bidi="ar-SA"/>
        </w:rPr>
        <w:t xml:space="preserve">إنّ الشيخ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عنا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على هذا الاستدلال الباهر المتين، حاول أن يناقش في الاستدلال لغاية حفظ موقفه المسبق في المسألة،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باطل من وجهين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أن يعتبر عدم الردّ عليهم إقراراً لهم إلّاإذا ثبت أنّهم كانوا مسلمين وصالحين، ومتمسّكين بشريعة نبيّهم، وليس في الآية ما يشير أدنى إشارة إلى أنّهم كانوا كذلك، بل يحتمل أنّهم كانوا كفّاراً أو فجّاراً، فعدم الردّ عليهم لا يعدّ إقراراً بل إنكاراً، لأنّ حكاية القول عن الكفّار والفجّار يكفي في</w:t>
      </w:r>
    </w:p>
    <w:p>
      <w:pPr>
        <w:pStyle w:val="BookText"/>
        <w:rPr/>
      </w:pPr>
      <w:r>
        <w:rPr>
          <w:rFonts w:ascii="Amiri" w:hAnsi="Amiri" w:eastAsia="Amiri" w:cs="Amiri"/>
          <w:color w:val="111111"/>
          <w:sz w:val="28"/>
          <w:sz w:val="28"/>
          <w:szCs w:val="28"/>
          <w:rtl w:val="true"/>
          <w:lang w:bidi="ar-SA"/>
        </w:rPr>
        <w:t>ردّه عزوه إليهم، فلا يعتبر السكوت عليه إقراراً</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الآية إشارة إلى أنّ القول الأوّل قول غير الموحّدين الّذي لم يكونوا متفاعلين مع أصحاب الكهف، والقول الثاني قول الموحّدين الذين كانت لهم صلة روحية بهم، والشاهد على ذلك أنّ الاقتراح الأوّل ذكر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ابْنُوا عَلَيْهِمْ بُنْياناً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أعقبوا اقتراحهم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رَبُّهُمْ أَعْلَمُ 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نعرفهم ولا نقول عنهم شيئاً وربنا أعرف بهم، وهذا كلام مَن لا يعرف أصحاب الكهف وعملهم، أو لا يحبّ ان يوصف بشيء من الصلاح والفلاح ولذا يفوّض مصيرهم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الاقتراح الثاني فهو نابع عن قلب عارف بأصحاب الكهف،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غَلَبُوا عَلى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عرفوهم بجد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يكون هذا الاقتراح ياترى يصدر عن الكافر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كيف يقول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ليس مبنيّاً على كون الاقتراح من المسلمين والموحّدين، بل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رؤية قرآنية وهي أنّه لا يذكر شيئاً عن غيره إذا كان أمراً مشتبهاً إلّامع نقده وردّه، والمقام من هذا القبيل، فلو كان في هذا الاقتراح رائحة شرك كما يزعمه من يمنع بناء تلك المساجد، لما سكت عنه القرآن الكريم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المذكور إنّما يستقيم على طريقة أهل الأهواء من الماضين والمعاصرين الذين يكتفون بالقرآن فقط ديناً ولا يقيمون للسنّة النبوية وزناً</w:t>
      </w:r>
      <w:r>
        <w:rPr>
          <w:rFonts w:eastAsia="Amiri" w:cs="Amiri" w:ascii="Amiri" w:hAnsi="Amiri"/>
          <w:color w:val="111111"/>
          <w:sz w:val="28"/>
          <w:szCs w:val="28"/>
          <w:rtl w:val="true"/>
          <w:lang w:bidi="ar-SA"/>
        </w:rPr>
        <w:t>.</w:t>
      </w:r>
      <w:r>
        <w:rPr>
          <w:rStyle w:val="FootnoteAnchor"/>
          <w:rtl w:val="true"/>
        </w:rPr>
        <w:footnoteReference w:id="618"/>
      </w:r>
      <w:bookmarkStart w:id="721" w:name="pg16776_179091"/>
    </w:p>
    <w:p>
      <w:pPr>
        <w:pStyle w:val="BookText"/>
        <w:rPr/>
      </w:pPr>
      <w:bookmarkEnd w:id="721"/>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بالآية هو الشيخ أبو الفيض الصدّيق الغماري في كتابه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إحياء المقبور من أدلّة استحباب بناء المساجد والقباب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الحديث في المغاربة وله مدارس وتلاميذ وهو محيي السنّة في منطقته، فكيف يتّهمه بأنّه من أهل الأهواء المعرضين عن السنّة المكتفين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يعكس الأمر ويقابله بأنّ كلام المانعين من اتّخاذ قبور الأولياء مساجد كلام المعرضين عن القرآن، المكتفين بالسنّة، ما هكذا تورد يا سعد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 في بعض كلامه ينسب الاقتراح الأوّل للمؤمنين،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الأُولى كانوا مؤمنين عالمين بعدم مشروعية اتّخاذ المساجد على القبور فأشاروا بالبناء على باب الكهف وسدّه وكفّ التعرّض عن أصحابه، فلم يقبل الأُمراء منهم وغاضهم ذلك حتّى أقسموا على اتّخاذ المسجد</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على خلاف قول المفسّرين الذين وقفت على كلماتهم، وهذا هو الإمام الأثري الشيخ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القول الأوّل إلى الكافرين والاقتراح الثاني للمؤمنين، وقد مرّت كلمته وكلمات غيره من غير استقصاء</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7071227_73709187"/>
      <w:bookmarkStart w:id="723" w:name="_Toc281"/>
      <w:bookmarkEnd w:id="722"/>
      <w:r>
        <w:rPr>
          <w:rtl w:val="true"/>
        </w:rPr>
        <w:t>تأويل مردود للألباني</w:t>
      </w:r>
      <w:bookmarkEnd w:id="72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أذعن الألباني بأنّ ما ذكره من الردود لا يقابل نص القرآن الكريم حاول أن يؤوّل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 إلّاحسن الظن بالطائفة الثانية، فلك أن</w:t>
      </w:r>
      <w:bookmarkStart w:id="724" w:name="pg16776_179092"/>
    </w:p>
    <w:p>
      <w:pPr>
        <w:pStyle w:val="BookText"/>
        <w:rPr/>
      </w:pPr>
      <w:bookmarkEnd w:id="724"/>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اتّخاذهم المسجد عليهم ليس على طراز اتّخاذ المساجد على القبور، المنهي عنه، وإنّما هو اتّخاذ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وقريباً من كهفهم ومثل هذا ليس محذوراً</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الموقف المسبق للشيخ الألباني المقلّد لمنهج ابن تيمية وأشباهه، جرّه إلى تأويل القرآن، فليس في الآية القرآنية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الموجود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قبورهم وعلى كهفهم، بحيث تكون القبور داخل المسجد لا خارجه</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071229_73709187"/>
      <w:bookmarkStart w:id="726" w:name="_Toc282"/>
      <w:bookmarkEnd w:id="725"/>
      <w:r>
        <w:rPr>
          <w:rtl w:val="true"/>
        </w:rPr>
        <w:t>عود إلى كلام عثمان الخميس</w:t>
      </w:r>
      <w:bookmarkEnd w:id="726"/>
    </w:p>
    <w:p>
      <w:pPr>
        <w:pStyle w:val="BookText"/>
        <w:rPr/>
      </w:pPr>
      <w:r>
        <w:rPr>
          <w:rFonts w:ascii="Amiri" w:hAnsi="Amiri" w:eastAsia="Amiri" w:cs="Amiri"/>
          <w:color w:val="111111"/>
          <w:sz w:val="28"/>
          <w:sz w:val="28"/>
          <w:szCs w:val="28"/>
          <w:rtl w:val="true"/>
          <w:lang w:bidi="ar-SA"/>
        </w:rPr>
        <w:t>لمّا استشعر عثمان الخميس أنّ نهيه عن إقامة الصلاة في مسجد فيه قبر، لا يجتمع مع الصلاة في مسجد النبي صلى الله عليه و آله و سلم فالمسلمون عبر قرون يصلّون فيه وفيه قبر النبي والشيخين، فحاول الإجابة عن عمل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 سلم كان حيّاً لمّا بني المسجد، ولمّا دفن لم يدفن في المسجد بل في بيته ولمّا وسع المسجد صار قبره الشريف داخل المسجد، وهنا يختلف الحكم فالمسجد بني على تقوى فتصحّ الصلاة فيه بلا إشكال، أمّا أن يبنى مسجد على قبر أو يدفن ميّت داخل مسجد فإنّه لم يبن على التقوى ولا تجوز الصلاة فيه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هذا يعبّر عن تصويبه عمل إدخال قبر النبي صلى الله عليه و آله و سلم في المسجد، بالبيان الّذي ذكره، ولكنّه يخالف ما ذكره الشيخ الألباني حيث لم يرض بعمل السلف بإدخال قبر النبي في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مع الأسف الشديد بإدخال القبر في المسجد، إذ لا فارق بين أن يكونوا دفنوه صلى الله عليه و آله و سلم حين مات في المسجد، وحاشاهم عن ذلك، وبين ما فعله الذين بعدهم من إدخال</w:t>
      </w:r>
      <w:bookmarkStart w:id="727" w:name="pg16776_179093"/>
    </w:p>
    <w:p>
      <w:pPr>
        <w:pStyle w:val="BookText"/>
        <w:rPr/>
      </w:pPr>
      <w:bookmarkEnd w:id="727"/>
      <w:r>
        <w:rPr>
          <w:rFonts w:ascii="Amiri" w:hAnsi="Amiri" w:eastAsia="Amiri" w:cs="Amiri"/>
          <w:color w:val="111111"/>
          <w:sz w:val="28"/>
          <w:sz w:val="28"/>
          <w:szCs w:val="28"/>
          <w:rtl w:val="true"/>
          <w:lang w:bidi="ar-SA"/>
        </w:rPr>
        <w:t>قبره في المسجد بتوسيعه، فالمحذور حاصل على كلّ حال</w:t>
      </w:r>
      <w:r>
        <w:rPr>
          <w:rFonts w:eastAsia="Amiri" w:cs="Amiri" w:ascii="Amiri" w:hAnsi="Amiri"/>
          <w:color w:val="111111"/>
          <w:sz w:val="28"/>
          <w:szCs w:val="28"/>
          <w:rtl w:val="true"/>
          <w:lang w:bidi="ar-SA"/>
        </w:rPr>
        <w:t>.</w:t>
      </w:r>
      <w:r>
        <w:rPr>
          <w:rStyle w:val="FootnoteAnchor"/>
          <w:rtl w:val="true"/>
        </w:rPr>
        <w:footnoteReference w:id="621"/>
      </w:r>
    </w:p>
    <w:p>
      <w:pPr>
        <w:pStyle w:val="Heading4"/>
        <w:numPr>
          <w:ilvl w:val="3"/>
          <w:numId w:val="1"/>
        </w:numPr>
        <w:rPr/>
      </w:pPr>
      <w:bookmarkStart w:id="728" w:name="__RefHeading___Toc7071231_73709187"/>
      <w:bookmarkStart w:id="729" w:name="_Toc283"/>
      <w:bookmarkEnd w:id="728"/>
      <w:r>
        <w:rPr>
          <w:rtl w:val="true"/>
        </w:rPr>
        <w:t>الإهانة لأهل البيت عليهم السلام والتابعين</w:t>
      </w:r>
      <w:bookmarkEnd w:id="729"/>
    </w:p>
    <w:p>
      <w:pPr>
        <w:pStyle w:val="BookText"/>
        <w:rPr/>
      </w:pPr>
      <w:r>
        <w:rPr>
          <w:rFonts w:ascii="Amiri" w:hAnsi="Amiri" w:eastAsia="Amiri" w:cs="Amiri"/>
          <w:color w:val="111111"/>
          <w:sz w:val="28"/>
          <w:sz w:val="28"/>
          <w:szCs w:val="28"/>
          <w:rtl w:val="true"/>
          <w:lang w:bidi="ar-SA"/>
        </w:rPr>
        <w:t>إنّ الشيخ الألباني أنكر عمل التابعين في إدخال قبر الرسول صلى الله عليه و آله و سلم في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عبدالعزيز لمّا كان نائباً للوليد على المدينة في سنة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هدم المسجد وبناه بالحجارة المنقوشة، وعمل سقفه بالساج وماء الذهب، وهدم حجرات أزواج النبي فأدخلها في المسجد وأدخل القبر فيه ثم اعترض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إدخال القبر الشريف في المسجد النبوي وضع حين لم يكن في المدينة أحد من الصحابة، وأنّ ذلك كان على خلاف غرضهم، فلا يجوز لمسلم أن يحتج بما وقع بعد الصحابة</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 أنّه لم يكن حيثن ذاك أحد من الصحابة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رجماً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صحب النبي صلى الله عليه و آله و سلم أكثر من مائة ألف صحابي، ولقد سجّل التاريخ أسماء قرابة خمسة عشر ألف غير أنّ تاريخ وفاة أكثرهم غير مسجّلة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 هذا مأخوذ من كلام مؤسّس مذهبه ابن تيمية حيث اعتذر بهذا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أُدخلت الحجرة في المسجد بعد انقراض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الباهر في زوّار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طبع في المطبعة السلفية في القاهرة كما يحكيه نفس الألباني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نفترض أنّه لم يكن في المدينة أحد من الصحابة ولكن كان منهم مَن عاش إلى ثلاث وتسعين سنة،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 الحديث النبوي بعد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الذهبي يقول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عدّة وهو الأصحّ أنّه مات</w:t>
      </w:r>
    </w:p>
    <w:p>
      <w:pPr>
        <w:pStyle w:val="BookText"/>
        <w:rPr/>
      </w:pPr>
      <w:r>
        <w:rPr>
          <w:rFonts w:ascii="Amiri" w:hAnsi="Amiri" w:eastAsia="Amiri" w:cs="Amiri"/>
          <w:color w:val="111111"/>
          <w:sz w:val="28"/>
          <w:sz w:val="28"/>
          <w:szCs w:val="28"/>
          <w:rtl w:val="true"/>
          <w:lang w:bidi="ar-SA"/>
        </w:rPr>
        <w:t>سنة ثلاث وتسعين؛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وسعيد بن عامر والمدائني وأبو النعيم والفلاس والقعنب</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فلا محال وقف عليه أنس بن مالك، سواء أكان في المدينة أم غيرها، ولكن مع ذلك لم ينبث فيه ببنت شفة، ولم ينقل عنه أنّه اعترض أو أنكر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أبو الطفيل آخر مَن مات من الصحابة فقد مات كما يقول الذهبي سنة 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تلك السنة وأقام بمكة</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أفيمكن أن لا يطّلع عليه ذلك الصحابي والمدنيون يحجّون كلّ سنة وينقلون أخبارها ومع ذلك لم ينقل عنه أي 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أنّه لم يكن يوم أُدخل قبر النبي صلى الله عليه و آله و سلم في المسجد أي صحابي ولكن كان في المدينة فقهاء وأصحاب الفتيا وعلى رأسهم الإمام زين العابدين علي بن الحسين عليه السلام الّذي أطبق المؤرّخون والمحدّثون على علمه وزهده وعلمه، وقد أخذ عنه جمع غفير من الفقهاء وأصحاب الفتيا، وكما أسّس مدرسة للفقه والحديث، وقد أُحصي أكثر من مائة وستين من التابعين ممّن كانوا ينهلون من معينه، ويروون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وسعيد بن جبير، والقاسم بن محمد بن أبي بكر، وأبو الزناد، ويحيى بن أُمّ الطويل، وعمر بن دينار، والزهري، وزيد بن أسلم، ويحيى بن سعد الأنصاري، وطائفة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أفقه منه</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فلو كان إدخال قبره صلى الله عليه و آله و سلم في المسجد أمراً غير صحيح لما سكت الإمام عنه، ولما سكت عنه</w:t>
      </w:r>
    </w:p>
    <w:p>
      <w:pPr>
        <w:pStyle w:val="BookText"/>
        <w:rPr/>
      </w:pPr>
      <w:r>
        <w:rPr>
          <w:rFonts w:ascii="Amiri" w:hAnsi="Amiri" w:eastAsia="Amiri" w:cs="Amiri"/>
          <w:color w:val="111111"/>
          <w:sz w:val="28"/>
          <w:sz w:val="28"/>
          <w:szCs w:val="28"/>
          <w:rtl w:val="true"/>
          <w:lang w:bidi="ar-SA"/>
        </w:rPr>
        <w:t>ولده الإمام الباقر ومن بعده ولده الصادق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صلّى المسلمون يوم أُدخل القبر في المسجد عبر قرون ولم يُسمع من أي ابن أُنثى أنّه أنكر ذلك العمل، بل المسلمون كلّهم يصلّون في المسجد ويتبرّكون بقبره الشريف إلى أن ولد الدهر ابن تيمية ومن لفّ لفّه فأظهروا نكيرهم لهذا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اتّفاق المسلمين أو الفقهاء وأهل الفتيا في قرن واحد على عمل دليلاً على حلّية العمل وجوازه‌؟ فإنّ الإجماع عند القوم من أداة التشريع كالكتاب والسنّة، فلماذا لم نجعل هذا الاتّفاق دليلاً على الجواز بل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المدن الإسلاميّة في الشامات كلّها تحتضن قبور الأنبياء العظام عليهم السلام وفيها مساجد جنب القبور، وما هذا إلّاليتبرّك المصلّي بقبور الأنبياء العظام عليهم السلام الذين كرّسوا حياتهم في نشر التوحيد ومكافحة الوثنية، ومن الظلم الواضح عدّ الصلاة عند قبورهم تبرّكاً بهم، شركاً أو ما يفوح منه رائحة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 سيطرت الوهابية على قسم من تلك البلاد أخذوا يفصلون المساجد عن قبورهم ومشاهدهم بشيء من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الأمر أنّ القوم حسب ما رووا عن النبي صلى الله عليه و آله و سلم أنّ خير أُمتي قرني، ثم الذين يلونهم، ثم الذين يلونهم</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جعلوا هذه القرون الثلاثة من أفضل القرون، وصار المقياس بين تمييز السنّة عن البدعة هو ما ظهر في هذه القرون من أمر جديد وما ظهر بعدها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فلماذا نقضوا غزلهم فلقد حدث هذا الأمر في خير القرون بيد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صارت أمراً غير مرضي يا ترى؟</w:t>
      </w:r>
      <w:r>
        <w:rPr>
          <w:rFonts w:eastAsia="Amiri" w:cs="Amiri" w:ascii="Amiri" w:hAnsi="Amiri"/>
          <w:color w:val="111111"/>
          <w:sz w:val="28"/>
          <w:szCs w:val="28"/>
          <w:rtl w:val="true"/>
          <w:lang w:bidi="ar-SA"/>
        </w:rPr>
        <w:t>!!</w:t>
      </w:r>
      <w:bookmarkStart w:id="730" w:name="pg16776_179096"/>
    </w:p>
    <w:p>
      <w:pPr>
        <w:pStyle w:val="BookText"/>
        <w:rPr/>
      </w:pPr>
      <w:bookmarkEnd w:id="730"/>
      <w:r>
        <w:rPr>
          <w:rFonts w:ascii="Amiri" w:hAnsi="Amiri" w:eastAsia="Amiri" w:cs="Amiri"/>
          <w:color w:val="111111"/>
          <w:sz w:val="28"/>
          <w:sz w:val="28"/>
          <w:szCs w:val="28"/>
          <w:rtl w:val="true"/>
          <w:lang w:bidi="ar-SA"/>
        </w:rPr>
        <w:t>نعم قبر النبي يونس عليه السلام في الموصل في داخل المسجد وكذلك قبر نبي اللّه شيث هناك كذلك في المسجد</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7071233_73709187"/>
      <w:bookmarkStart w:id="732" w:name="_Toc284"/>
      <w:bookmarkEnd w:id="731"/>
      <w:r>
        <w:rPr>
          <w:rtl w:val="true"/>
        </w:rPr>
        <w:t>دراسة أدلّة المانعين</w:t>
      </w:r>
      <w:bookmarkEnd w:id="732"/>
    </w:p>
    <w:p>
      <w:pPr>
        <w:pStyle w:val="BookText"/>
        <w:rPr/>
      </w:pPr>
      <w:r>
        <w:rPr>
          <w:rFonts w:ascii="Amiri" w:hAnsi="Amiri" w:eastAsia="Amiri" w:cs="Amiri"/>
          <w:color w:val="111111"/>
          <w:sz w:val="28"/>
          <w:sz w:val="28"/>
          <w:szCs w:val="28"/>
          <w:rtl w:val="true"/>
          <w:lang w:bidi="ar-SA"/>
        </w:rPr>
        <w:t>تمسّك الوهابيون بمجموعة من الأحاديث على حرمة بناء المسجد عند قبور الصالحين، ونحن ندرس المهم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إلّاحدثين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الحسن بن عليّ‌، ضربت امرأته القُبّة على قبره سنة، ثمّ رفعتْ‌، فسمِعوا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وَجَدوا ما فَقَدوا؟ فأجابه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الّذي رواه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أصحّ الكتب عند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جواز أمرين تنكرهما الوهابية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المظلّة والقبّة على القبر، لأنّ امرأة الحسن ضربت القبّة على قبر زوجها بمرأى ومسمع من التابعين وبينهم الفقهاء وأصحاب الفتيا وأهل الحديث، ولم يعرف من أحد منهم استنكار ذلك، وهذا أوضح دليل على جواز نصب القبّة على القبور، وكان ذلك في أفضل القرون الّذي هو الفاصل بين البدعة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تجوز الصلاة عند قبور الأولياء وقد ضربت زوجته القبّة لإقامة الصلاة عند قبره وتلاوة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الحسن المعروف بالمثنّى‌، من أسباط النبي الأكرم صلى الله عليه و آله و سلم وكفى في فضله أنّه كان وصي أبيه وولي صدقة عليّ بن أبي طالب عليه السلام في عصره، وقد روى عن أبيه الحسن بن علي بن أبي</w:t>
      </w:r>
    </w:p>
    <w:p>
      <w:pPr>
        <w:pStyle w:val="BookText"/>
        <w:rPr/>
      </w:pPr>
      <w:r>
        <w:rPr>
          <w:rFonts w:ascii="Amiri" w:hAnsi="Amiri" w:eastAsia="Amiri" w:cs="Amiri"/>
          <w:color w:val="111111"/>
          <w:sz w:val="28"/>
          <w:sz w:val="28"/>
          <w:szCs w:val="28"/>
          <w:rtl w:val="true"/>
          <w:lang w:bidi="ar-SA"/>
        </w:rPr>
        <w:t>طالب عليهم السلام وابن عمه عبداللّه بن جعفر بن أبي طالب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هدّده الحجاج يوم كان أمير المدينة بالقبض عليه لو لم يدخل شخصاً غير صالح في صدقة عليٍّ‌، فقام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أُغيّر شرط عليٍّ‌، ولا أُدخل فيها من لم يُدخل</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وأمّا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وجدوا ما فقدوا؟ فأجابه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 بقول غير الصالح؛ لأنّ كلامه هذا نوع من الشماتة لأهل المصيبة فكان عليه أن يعزّيها بشيء لأجل موت زوجها كما هو السنّة فصار يَشمُت بأهل المصيبة بلغة لاذعة وهي ليست من أخلاق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ذلك ما أجابه الصائح المزعوم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إقامة تلك المرأة على قبر زوجها الفقيد لم يكن على أمل عودته إلى الحياة حتّى يقال أنّها يئست بل كان لغايات قدسية أشرنا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ذلك الصائح وجواب الآخر ليس حجّة شرعية، إذ لم يعتمدوا على كتاب اللّه ولا على سنّة رسول اللّه صلى الله عليه و آله و سلم بل أبرزوا أحقادهم وضغائنهم يوم ابتليت المرأة الصالحة بموت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عن عروة، عن عائشة، عن النبي صلى الله عليه و آله و سلم أنّه قال في مرضه 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والنصارى اتّخذوا قبور أنبيائهم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لأبرزوا قبره، غير أنّي أخشى أن يتّخذ مسجداً</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الحديث مهما صحّ سنده لا يمكن قبول ظاهره، بل لابدّ من تبيين</w:t>
      </w:r>
    </w:p>
    <w:p>
      <w:pPr>
        <w:pStyle w:val="BookText"/>
        <w:rPr/>
      </w:pPr>
      <w:r>
        <w:rPr>
          <w:rFonts w:ascii="Amiri" w:hAnsi="Amiri" w:eastAsia="Amiri" w:cs="Amiri"/>
          <w:color w:val="111111"/>
          <w:sz w:val="28"/>
          <w:sz w:val="28"/>
          <w:szCs w:val="28"/>
          <w:rtl w:val="true"/>
          <w:lang w:bidi="ar-SA"/>
        </w:rPr>
        <w:t>المراد منه بشيء وذلك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تاريخ اليهود لا يتّفق مع مضمون هذا الحديث، لأنّ سيرتهم قد قامت على قتل الأنبياء وتشريدهم وإيذائهم إلى غير ذلك من أنواع البلايا الّتي كانوا يصبّونها على أنبيائهم ويكفي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 وَ قَتْلَهُمُ الْأَنْبِياءَ بِغَيْرِ حَقٍّ وَ نَقُولُ 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وَ كُفْرِهِمْ بِآياتِ اللّهِ وَ قَتْلِهِمُ الْأَنْبِياءَ بِغَيْرِ حَقٍّ‌</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قرائن شاهدة على أنّ النصارى كانوا يتّخذون قبور أنبيائهم قبلة لهم، تصرفهم عن التوجّه إلى القبلة الواجبة، فأين هذا من الصلاة في مسجد النبي أو مسجد فيه قبر أحد أولياء اللّه سبحانه متوجّهاً إلى الكعبة، مصلّياً للّه سبحانه تالياً آيات اللّه، متبرّكاً بالأرض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أنّ أُمّ حبيبة وأُمّ سلمة ذكرتا كنيسة رأيناها في الحبشة فيها تصاوير،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إذا كان فيهم الرجل الصالح فمات بنوا على قبره مسجداً وصوّروا فيه تلك الصور أُولئك شرار الخلق عند اللّه يوم القيامة</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والهدف من وضع صور الصالحين بجوار قبورهم إنّما كان لأجل</w:t>
      </w:r>
    </w:p>
    <w:p>
      <w:pPr>
        <w:pStyle w:val="BookText"/>
        <w:rPr/>
      </w:pPr>
      <w:r>
        <w:rPr>
          <w:rFonts w:ascii="Amiri" w:hAnsi="Amiri" w:eastAsia="Amiri" w:cs="Amiri"/>
          <w:color w:val="111111"/>
          <w:sz w:val="28"/>
          <w:sz w:val="28"/>
          <w:szCs w:val="28"/>
          <w:rtl w:val="true"/>
          <w:lang w:bidi="ar-SA"/>
        </w:rPr>
        <w:t>السجود عليها أو على قبورهم، بحيث يكون القبر والصورة قبلة لهم، أو يكونا كالصنم المنصوب يُعبدان ويسجد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على ذلك أنّ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بن أنس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 تتمة لهذا الحديث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عن اتّخاذ القبور مساجد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تَجْعَلْ قَبْري وَثَناً يُعْبَد</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إنّ هذا يدلّ على أنّ أُولئك كانوا يتّخذون القبر والصورة الّتي عليها قبلة يتوجّهون إليها، بل صنماً يعبد، من دون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التأمّل في حديث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توضيح هذه الحقيقة، حيث إنّها بعد الرواية عن رسول اللّه صلى الله عليه و آله و سلم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ذلك لأبرزوا قبره، غير أنّي أخشى أن يُتَّخذ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 حاجزاً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الجدار حول القبر يمنع عن أيّ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الثابت أنّ الجدار يمنع من الصلاة على القبر نفسه وأن يتّخذ وثناً يُعبد، وعلى الأقل لا يكون قبلة يُتوجّه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الصلاة بجوار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عبادة القبر أو جعله قبلة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منها بشهادة أنّ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أربعة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بجوار قبر رسول اللّه صلى الله عليه و آله و سلم في حين أنّهم كانوا يتوجّهون إلى الكعبة ويعبدون اللّه تعالى، فوجود الحاجز لم يمنعهم من هذا كلّه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تتمة الحديث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كلام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معنى الحديث، لأنّها تذكر السبب الّذي منع من إبراز قبر رسول اللّه صلى الله عليه و آله و سلم بأنّه للحيلولة دون اتّخاذه مسجداً، ومرادها من اتخاذ مدفنه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يصلي إليه كما سيأتي التصريح من شراح الحديث، ولهذا أُقيم الجدار الحاجز حول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فالحاجز يمنع من شيئين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يتحوّل القبر إلى وثن يقف الناس بين يديه يعبدونه، فمع وجود الحاجز لا يمكن رؤية القبر فلا يمكن اتّخاذه وثناً للعبادة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يُتَّخذ قبلة، ذلك لأنّ اتّخاذه قبلة فرع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الصلاة في المسجد الّذي دفن فيه فلم يمنع عنه بالبداهة، وهذا دليل على أنّ قلق الرسول على فرض صحة الحديث من مدفنه، اتّخاذ قبره صنماً يُعبد أو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اتخاذ القبر قبلة لا يتوقّف على الرؤية بشهادة أنّ الكعبة قبلة للمسلمين في حين أنّ أكثر المسلمين لا يرونها وقت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المقارنة والمقايسة بين الكعبة والقبر، لأنّ الكعبة قبلة عامّة لجميع المسلمين في كافّة أرجاء الكرة الأرضية، وليست قبلة للعبادة فقط، بل للعبادة وغيرها كالذبيحة والدفن وما شابه، فهي قبلة في جميع الأحوال، ولا علاقة للرؤية فيها بأيّ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اتّخاذ قبر النبيّ صلى الله عليه و آله و سلم قبلة، فإنّما يمكن للّذين يتواجدون في مسجده ويقيمون الصلاة عنده، فإبراز القبر الشريف يمهّد لهذا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عائشة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يكون الستر مانعاً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القرائن الدالّة على أنّ نهي النبي صلى الله عليه و آله و سلم إنّما هو عن عبادة القبور، هو أنّ الكثير من شارحي صحيح البخاري ومسلم فسّروا الحديث بمثل ما فسّرناه، وفهموا منه مثل ما فهمناه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إرشاد الساري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صوّر أوائلهم الصُّور ليستأنسوا بها ويتذكّروا أفعالهم الصالحة، فيجتهدوا كاجتهادهم ويعبدوا اللّه عند قبورهم، ثمّ خَلَفهم قوم جهلوا مرادهم، ووسوس لهم الشيطان أنّ أسلافهم كانوا يعبدون هذه الصور ويُعظّمونها، فحذَّر النبي عن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اليهود والنصارى يسجدون لقبور الأنبياء تعظيماً لشأنهم ويجعلونها قبلة يتوجّهون في الصلاة نحوها واتّخذوها أوثاناً، مُنع المسلمون عن مثل ذلك، فأمّا من اتّخذ مسجداً في جوار صالح وقصد التبرُّك بالقرب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للتعظيم ولا للتوجّه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يدخل في الوعيد المذكور</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وليس القسطلاني منفرداً في هذا الشرح، بل يقول به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السُّنن للنسائي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للصلاة يُصلّون إليها، أو بنوا مساجد عليها يُصلّون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ولعلّوجه الكراهة أنّه قد يُفضي إلى عبادة نفس القبر</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أن يصنعوا بقبره ما صنع اليهود والنصارى بقبور أنبيائهم من اتّخاذهم تلك القبور مساجد، إمّا بالسجود إليها تعظيماً لها، أو بجعلها قبلة يتوجّهون في الصلاة إليها</w:t>
      </w:r>
      <w:r>
        <w:rPr>
          <w:rFonts w:eastAsia="Amiri" w:cs="Amiri" w:ascii="Amiri" w:hAnsi="Amiri"/>
          <w:color w:val="111111"/>
          <w:sz w:val="28"/>
          <w:szCs w:val="28"/>
          <w:rtl w:val="true"/>
          <w:lang w:bidi="ar-SA"/>
        </w:rPr>
        <w:t>.</w:t>
      </w:r>
      <w:r>
        <w:rPr>
          <w:rStyle w:val="FootnoteAnchor"/>
          <w:rtl w:val="true"/>
        </w:rPr>
        <w:footnoteReference w:id="637"/>
      </w:r>
      <w:bookmarkStart w:id="733" w:name="pg16776_179102"/>
    </w:p>
    <w:p>
      <w:pPr>
        <w:pStyle w:val="BookText"/>
        <w:rPr/>
      </w:pPr>
      <w:bookmarkEnd w:id="733"/>
      <w:r>
        <w:rPr>
          <w:rFonts w:ascii="Amiri" w:hAnsi="Amiri" w:eastAsia="Amiri" w:cs="Amiri"/>
          <w:color w:val="111111"/>
          <w:sz w:val="28"/>
          <w:sz w:val="28"/>
          <w:szCs w:val="28"/>
          <w:rtl w:val="true"/>
          <w:lang w:bidi="ar-SA"/>
        </w:rPr>
        <w:t xml:space="preserve">ويقول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صحيح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نهى النبي عن اتّخاذ قبره وقبر غيره مسجداً، خوفاً من المبالغة في تعظيمه والافتتان به، فربّما أدّى ذلك إلى الكفر، كما جرى لكثير من الأُمم الخالية، ولمّا احتاجت الصحابة والتابعون إلى الزيادة في مسجد رسول اللّه صلى الله عليه و آله و سلم حين كثر المسلمون وامتدّت الزيادة إلى أن دخلت بيوت أُمّهات المؤمنين فيه، ومنها حجرة عائشة، مدفن رسول اللّه صلى الله عليه و آله و سلم وصاحبيه بَنوا على القبر حيطاناً مرتفعة مستديرة حوله، لئلاّ يظهر في المسجد فيصلّي إليه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لأبرزوا قبره، غير أنّه خُشي أن يُتَّخذ مسجداً</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القرائن ومع ما فهمه شُرّاح الحديث لابدّ من القول به، ولا يمكن استنتاج غير ذلك أو الافتاء بغيره</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7071235_73709187"/>
      <w:bookmarkStart w:id="735" w:name="_Toc285"/>
      <w:bookmarkEnd w:id="734"/>
      <w:r>
        <w:rPr>
          <w:rtl w:val="true"/>
        </w:rPr>
        <w:t>وجود المساجد في المشاهد المشرّفة لا صلة له بهذه الأحاديث</w:t>
      </w:r>
      <w:bookmarkEnd w:id="735"/>
    </w:p>
    <w:p>
      <w:pPr>
        <w:pStyle w:val="BookText"/>
        <w:rPr/>
      </w:pPr>
      <w:r>
        <w:rPr>
          <w:rFonts w:ascii="Amiri" w:hAnsi="Amiri" w:eastAsia="Amiri" w:cs="Amiri"/>
          <w:color w:val="111111"/>
          <w:sz w:val="28"/>
          <w:sz w:val="28"/>
          <w:szCs w:val="28"/>
          <w:rtl w:val="true"/>
          <w:lang w:bidi="ar-SA"/>
        </w:rPr>
        <w:t xml:space="preserve">إنّ مورد الحديث هو ما إذا كان المسجد مبنيّاً فوق القبر، فلا علاقة له بالمشاهد المشرَّفة، لأنّ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مسجد النبي صلى الله عليه و آله و سلم إنّما هو بجوارها لا عليها، بشكل ينفصل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حرم وهناك مسجد، فالحرم خاصٌّ للزيارة والتوسّل إلى اللّه تعالى بذلك الوليّ الصالح، والمسجد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والعبادة، فالمشاهد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مفاد الحديث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يكون مفاده ما يدّعيه الوهّابيّون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مفاد الأحاديث الّتي جمعها الشيخ الألباني في صدر كتابه</w:t>
      </w:r>
      <w:bookmarkStart w:id="736" w:name="pg16776_179103"/>
    </w:p>
    <w:p>
      <w:pPr>
        <w:pStyle w:val="BookText"/>
        <w:rPr/>
      </w:pPr>
      <w:bookmarkEnd w:id="736"/>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تحذير الساجد من اتّخاذ القبور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بلغ عددها إلى أربعة عشر، فالجلّ لولم نقل الكلّ ناظر إلى عمل النصارى من اتّخاذ القبور قبلة أو السجود عليها، وأمّا مجرد الإتيان بالصلاة تبرّكاً بالموضع الّذي فيه قبر نبي التوحيد فخارج عن مفاد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أردناه من تبيين حكم بناء المساجد على قبور الأولياء، الّذي هو الأساس لنقد كلام عثمان الخميس</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7071237_73709187"/>
      <w:bookmarkStart w:id="738" w:name="_Toc286"/>
      <w:bookmarkEnd w:id="737"/>
      <w:r>
        <w:rPr>
          <w:rtl w:val="true"/>
        </w:rPr>
        <w:t>دراسة مقاطع ثلاث في كلام عثمان الخميس</w:t>
      </w:r>
      <w:bookmarkEnd w:id="738"/>
    </w:p>
    <w:p>
      <w:pPr>
        <w:pStyle w:val="Heading5"/>
        <w:numPr>
          <w:ilvl w:val="4"/>
          <w:numId w:val="1"/>
        </w:numPr>
        <w:rPr/>
      </w:pPr>
      <w:bookmarkStart w:id="739" w:name="__RefHeading___Toc7071239_73709187"/>
      <w:bookmarkStart w:id="740" w:name="_Toc287"/>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إذا تبيّن ذلك فلنرجع إلى مقاطع ثلاث في كلامه</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7071241_73709187"/>
      <w:bookmarkStart w:id="742" w:name="_Toc288"/>
      <w:bookmarkEnd w:id="741"/>
      <w:r>
        <w:rPr>
          <w:rtl w:val="true"/>
        </w:rPr>
        <w:t>المقطع الأوّل</w:t>
      </w:r>
      <w:bookmarkEnd w:id="742"/>
    </w:p>
    <w:p>
      <w:pPr>
        <w:pStyle w:val="BookText"/>
        <w:rPr/>
      </w:pPr>
      <w:r>
        <w:rPr>
          <w:rFonts w:ascii="Amiri" w:hAnsi="Amiri" w:eastAsia="Amiri" w:cs="Amiri"/>
          <w:color w:val="111111"/>
          <w:sz w:val="28"/>
          <w:sz w:val="28"/>
          <w:szCs w:val="28"/>
          <w:rtl w:val="true"/>
          <w:lang w:bidi="ar-SA"/>
        </w:rPr>
        <w:t>منع عثمان الخميس من الصلاة في مساجد الشيعة 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الشيعة كثيراً ما يعظمون القبور، فيبنون المساجد على القبور أو يجعلون القبور داخل المساجد، أي يدفنون الموتى داخلها، فلا تجوز الصلاة في مسجد فيه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مع الشيخ في كلامه هذا بعض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أفتى في كلامه بأنّه لا يجوز للمسلم أن يدخل مساجد الشيعة ويصلّي فيها لأنّها تشتمل على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نسأله أنّ الإفتاء بالقضية الكلّية رهن مشاهدة الشيخ أكثر مساجد الشيعة المنتشرة في العالم أو كلّها، حتّى يستطيع إلى الحكم بالقضية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قام الشيخ بهذا العمل، وشاهد المساجد الشيعية كلّها بعينه حتّى يحكم بهذا الحكم‌؟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للشيعة مساجد تعدّ بعشرات الآلاف في إيران والعراق ولبنان وپاكستان والهند وأفغانستان وغيرها من البلاد الإسلاميّة والغربية، فلا يصحّ‌</w:t>
      </w:r>
    </w:p>
    <w:p>
      <w:pPr>
        <w:pStyle w:val="BookText"/>
        <w:rPr/>
      </w:pPr>
      <w:r>
        <w:rPr>
          <w:rFonts w:ascii="Amiri" w:hAnsi="Amiri" w:eastAsia="Amiri" w:cs="Amiri"/>
          <w:color w:val="111111"/>
          <w:sz w:val="28"/>
          <w:sz w:val="28"/>
          <w:szCs w:val="28"/>
          <w:rtl w:val="true"/>
          <w:lang w:bidi="ar-SA"/>
        </w:rPr>
        <w:t>للشيخ أن يفتي بقضية كلّية دون أن يشاهد هذه المساجد ويرى بأُمّ عينه دفن الموتى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رسول اللّه صلى الله عليه و آله و سلم سُئل عن الشهادة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ترى الشمس‌؟ على مثلها فاشهد أو دع</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ولا أظنّ أنّ الشيخ ولا أترابه الذين يجترّون ما ذكره ابن تيمية ومحمد بن عبدالوهاب قاموا بهذا العمل ولو بنسبة ضئيلة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التذكير بذلك في صدر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يتهم الشيعة بأنّهم يدفنون الموتى في مساجدهم مع أنّ فقهاء الشيعة صرّحوا في الكتب الفقهية بتحريم ذلك، هذا هو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فصلاً في بعض أحكام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دفن الميّت في المسجد</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لمنافاة الدفن جهة الوقف، فمن خصّ أرضاً بالمسجد فقد فكّ ملكه عن نفسه وجعله للّه سبحانه، ومع ذلك كيف يتصرف في ملك اللّه، فهل قرأ الشيخ صفحة من فقه الشيعة، وصدر في هذه الفتيا عن علم وكثب‌؟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الحرام دفن الموتى بعد بناء المساجد، وأمّا بناء المساجد على قبورهم لا صلة له بما ذكرنا من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الصلاة في حرم أئمة أهل البيت عليهم السلام الّتي تضمّنت أجسادهم الطاهرة، لا صلة له بمسألة دفن الموتى في المساجد، بل بنيت مشاهدهم بعد دفنهم، كما أنّ هذه المشاهد لا تُعدّ مساجداً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يوجد في بعض الأمكنة بصورة نادرة أنّ الواقف يجعل لنفسه غرفة خاصة خارج المسجد متصلة به ليدفن فيها، لأجل أن يستغفر له المصلّون ويقرأوا الفاتحة ويُهدوا ثوابها إليه، ولا يوجد مثل هذا أيضاً إلّانادراً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المانع عند أُستاذه هو القبر الظاهر وأمّا القبر غير الظاهر فيجوز فيها الصلاة، هذا هو الألباني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في هذه المسألة بالقبور الظاهرة</w:t>
      </w:r>
      <w:bookmarkStart w:id="743" w:name="pg16776_179105"/>
    </w:p>
    <w:p>
      <w:pPr>
        <w:pStyle w:val="BookText"/>
        <w:rPr/>
      </w:pPr>
      <w:bookmarkEnd w:id="743"/>
      <w:r>
        <w:rPr>
          <w:rFonts w:ascii="Amiri" w:hAnsi="Amiri" w:eastAsia="Amiri" w:cs="Amiri"/>
          <w:color w:val="111111"/>
          <w:sz w:val="28"/>
          <w:sz w:val="28"/>
          <w:szCs w:val="28"/>
          <w:rtl w:val="true"/>
          <w:lang w:bidi="ar-SA"/>
        </w:rPr>
        <w:t>وأمّا ما في بطن الأرض من القبور فلا يرتبط بها حكم شرعي من حيث الظاهر بل الشريعة تتنزّه عن مثل هذا الحكم لأنّا نعلم بالضرورة والمشاهدة أنّ الأرض كلّها مقبرة الأحياء،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2"/>
      </w:r>
      <w:r>
        <w:rPr>
          <w:rFonts w:ascii="Amiri" w:hAnsi="Amiri" w:eastAsia="Amiri" w:cs="Amiri"/>
          <w:color w:val="111111"/>
          <w:sz w:val="28"/>
          <w:sz w:val="28"/>
          <w:szCs w:val="28"/>
          <w:rtl w:val="true"/>
          <w:lang w:bidi="ar-SA"/>
        </w:rPr>
        <w:t>فالقبور في مساجد الشيعة على فرض غير صحيح ليست ظاهرة، فكيف يفتي بعدم جواز الصلاة فيها؟</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7071243_73709187"/>
      <w:bookmarkStart w:id="745" w:name="_Toc289"/>
      <w:bookmarkEnd w:id="744"/>
      <w:r>
        <w:rPr>
          <w:rtl w:val="true"/>
        </w:rPr>
        <w:t>دراسة المقطع الثاني من كلامه</w:t>
      </w:r>
      <w:bookmarkEnd w:id="745"/>
    </w:p>
    <w:p>
      <w:pPr>
        <w:pStyle w:val="Heading6"/>
        <w:numPr>
          <w:ilvl w:val="5"/>
          <w:numId w:val="1"/>
        </w:numPr>
        <w:rPr/>
      </w:pPr>
      <w:bookmarkStart w:id="746" w:name="__RefHeading___Toc7071245_73709187"/>
      <w:bookmarkStart w:id="747" w:name="_Toc290"/>
      <w:bookmarkEnd w:id="746"/>
      <w:r>
        <w:rPr>
          <w:rtl w:val="true"/>
        </w:rPr>
        <w:t>اشارة</w:t>
      </w:r>
      <w:bookmarkEnd w:id="747"/>
    </w:p>
    <w:p>
      <w:pPr>
        <w:pStyle w:val="BookText"/>
        <w:rPr/>
      </w:pPr>
      <w:r>
        <w:rPr>
          <w:rFonts w:ascii="Amiri" w:hAnsi="Amiri" w:eastAsia="Amiri" w:cs="Amiri"/>
          <w:color w:val="111111"/>
          <w:sz w:val="28"/>
          <w:sz w:val="28"/>
          <w:szCs w:val="28"/>
          <w:rtl w:val="true"/>
          <w:lang w:bidi="ar-SA"/>
        </w:rPr>
        <w:t>أمّا السبب الثاني للمنع فيوضّحه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رائحة الشرك تفوح داخل هذه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فيذكر 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ويستغاث بغير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ويدعون غير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ويسبّ أولياء اللّه من الصحابة 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في كلامه هذا أُموراً أربعة</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7071247_73709187"/>
      <w:bookmarkStart w:id="749" w:name="_Toc291"/>
      <w:bookmarkEnd w:id="748"/>
      <w:r>
        <w:rPr>
          <w:rtl w:val="true"/>
        </w:rPr>
        <w:t>الأوّل</w:t>
      </w:r>
      <w:r>
        <w:rPr>
          <w:rtl w:val="true"/>
        </w:rPr>
        <w:t xml:space="preserve">: </w:t>
      </w:r>
      <w:r>
        <w:rPr>
          <w:rtl w:val="true"/>
        </w:rPr>
        <w:t>يذكرون غير اللّه،</w:t>
      </w:r>
      <w:bookmarkEnd w:id="749"/>
    </w:p>
    <w:p>
      <w:pPr>
        <w:pStyle w:val="BookText"/>
        <w:rPr/>
      </w:pPr>
      <w:r>
        <w:rPr>
          <w:rFonts w:ascii="Amiri" w:hAnsi="Amiri" w:eastAsia="Amiri" w:cs="Amiri"/>
          <w:color w:val="111111"/>
          <w:sz w:val="28"/>
          <w:sz w:val="28"/>
          <w:szCs w:val="28"/>
          <w:rtl w:val="true"/>
          <w:lang w:bidi="ar-SA"/>
        </w:rPr>
        <w:t>فنسأله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ذكر غير اللّه في المسجد عبادة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صار ذلك ملاكاً للتوحيد والشرك فلا يوجد على أديم الأرض أي موحّد، فالخطباء يذكرون رسول اللّه صلى الله عليه و آله و سلم ورواة الحديث وأسماء العلماء وغير ذلك، وربّما يذكر الواعظ أسماء الصالحين والطالحين وقصصهم وأحوالهم</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7071249_73709187"/>
      <w:bookmarkStart w:id="751" w:name="_Toc292"/>
      <w:bookmarkEnd w:id="750"/>
      <w:r>
        <w:rPr>
          <w:rtl w:val="true"/>
        </w:rPr>
        <w:t>الثاني</w:t>
      </w:r>
      <w:r>
        <w:rPr>
          <w:rtl w:val="true"/>
        </w:rPr>
        <w:t xml:space="preserve">: </w:t>
      </w:r>
      <w:r>
        <w:rPr>
          <w:rtl w:val="true"/>
        </w:rPr>
        <w:t>ويستغاث بغير اللّه،</w:t>
      </w:r>
      <w:bookmarkEnd w:id="75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المهم في كلامه،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الاستغاثة بغير اللّه أمر حرام، فهذا القرآن يذكر قصة الرجل الّذي استغاث بموسى عليه السلام وهو من شيعته لينصره على عدوه القبطي واستجاب له موسى عليه السلام</w:t>
      </w:r>
      <w:bookmarkStart w:id="752" w:name="pg16776_179106"/>
    </w:p>
    <w:p>
      <w:pPr>
        <w:pStyle w:val="BookText"/>
        <w:rPr/>
      </w:pPr>
      <w:bookmarkEnd w:id="752"/>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الْمَدِينَةَ عَلى حِينِ غَفْلَةٍ مِنْ أَهْلِها فَوَجَدَ فِيها رَجُلَيْنِ يَقْتَتِلانِ هذا مِنْ شِيعَتِهِ وَ هذا مِنْ عَدُوِّهِ فَاسْتَغاثَهُ الَّذِي مِنْ شِيعَتِهِ عَلَى الَّذِي مِنْ عَدُوِّهِ فَوَكَزَهُ مُوسى فَقَضى عَلَيْهِ‌</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الاستغاثة أمراً شركياً فلماذا استجاب له موسى عليه السلام ولم يستنكر عليه، ولعلّ عثمان الخميس كأسياده يجيبون عن ذلك، بأنّه من قبيل استغاثة الحي بالحي وكلامنا هو في استغاثة الحي بالميّت، ولكن المجيب لم يعرف أنّ الحياة والموت ليسا ملاكين للتوحيد والشرك، بل ملاكين للجدوى وعدمها، فله أن يمنع الاستغاثة بالميّت لعدم الجدوى لا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يصرّ على أنّ الاستغاثة بالميت شرك أفهل يمكن أن يكون عمل واحد توحيداً في حالة وشركاً في حالة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الاستغاثة بالميت مجدية أو لا، فهو خارج عن مصبّ كلامنا</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7071251_73709187"/>
      <w:bookmarkStart w:id="754" w:name="_Toc293"/>
      <w:bookmarkEnd w:id="753"/>
      <w:r>
        <w:rPr>
          <w:rtl w:val="true"/>
        </w:rPr>
        <w:t>الثالث</w:t>
      </w:r>
      <w:r>
        <w:rPr>
          <w:rtl w:val="true"/>
        </w:rPr>
        <w:t xml:space="preserve">: </w:t>
      </w:r>
      <w:r>
        <w:rPr>
          <w:rtl w:val="true"/>
        </w:rPr>
        <w:t>ويدعون غير اللّه</w:t>
      </w:r>
      <w:bookmarkEnd w:id="754"/>
    </w:p>
    <w:p>
      <w:pPr>
        <w:pStyle w:val="BookText"/>
        <w:rPr/>
      </w:pPr>
      <w:r>
        <w:rPr>
          <w:rFonts w:ascii="Amiri" w:hAnsi="Amiri" w:eastAsia="Amiri" w:cs="Amiri"/>
          <w:color w:val="111111"/>
          <w:sz w:val="28"/>
          <w:sz w:val="28"/>
          <w:szCs w:val="28"/>
          <w:rtl w:val="true"/>
          <w:lang w:bidi="ar-SA"/>
        </w:rPr>
        <w:t>ماذا يريد من دعاء الغير؟ هل يريد الدعاء بالمعنى اللغوي، أي دعاء شخص شخصاً، لا أظنّ أنّ أحداً يحرّمه، فهذا هو الرسول صلى الله عليه و آله و سلم دعا في غزوة أُحد أصحابه الذين تركوا ساحة الحرب وولّوا هابرين،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تُصْعِدُونَ وَ لا تَلْوُونَ عَلى أَحَدٍ وَ الرَّسُولُ يَدْعُوكُمْ فِي أُخْراكُمْ‌</w:t>
      </w:r>
      <w:r>
        <w:rPr>
          <w:rFonts w:eastAsia="Amiri" w:cs="Amiri" w:ascii="Amiri" w:hAnsi="Amiri"/>
          <w:color w:val="111111"/>
          <w:sz w:val="28"/>
          <w:szCs w:val="28"/>
          <w:rtl w:val="true"/>
          <w:lang w:bidi="ar-SA"/>
        </w:rPr>
        <w:t>) .</w:t>
      </w:r>
      <w:r>
        <w:rPr>
          <w:rStyle w:val="FootnoteAnchor"/>
          <w:rtl w:val="true"/>
        </w:rPr>
        <w:footnoteReference w:id="64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عبادة الغير فهو بهتان عظيم، فإنّ العبادة عبارة عن الخضوع أمام مَن هو خالق أو مدبّر الأُمور وبيده مصائر العباد، والشيعة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لعامّة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بالتوحيد في الخالقية والربوبية، وأنّ الأُمور كلّها بيد اللّه سبحانه، ولا يملك أحدٌ لنفسه ولا لغيره شيئاً إلّاالدعاء لنفسه أو لغيره بإذن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من دعاء الغير طلب الدعاء والشفاعة فهذا أمر اتّفق على جوازه المسلمون إلّاشذّاذ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الترمذي يروي عن 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أن يشفع لي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الصراط</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سواد بن قارب وفد على رسول اللّه صلى الله عليه و آله و سلم وطلب منه الشفاعة ضمن قصيدة،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 لي شفيعاً يوم لا ذو شفاعة بمغن فتيلاً عن سواد بن قارب</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ولا يختص طلب الشفاعة من الحي بل يشمل طلب الشفاعة من الميّت، فهذا هو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أمير المؤمنين عليه السلام من تغسيل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انْقَطَعَ بِمَوْتِكَ مَا لَمْ يَنْقَطِعْ بِمَوْتِ غَيْرِكَ مِنَ النُّبُوَّةِ وَالْإِنْبَاءِ وَأَخْبَارِ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اذْكُرْنَا عِنْدَ رَبِّكَ‌، وَاجْعَلْنَا مِنْ بَالِكَ‌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ويروى أيضاً أنّه لمّا توفّي رسول اللّه صلى الله عليه و آله و سلم كشف أبو بكر عن وجهه ثمّ أقبل عليه فقبّله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أمّا الموتة التي كتب اللّه عليك فقد ذقتها، ثمّ لن تصيبك بعدها موتة أبداً</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تدلّان على أنّه لا فرق بين طلب الشفاعة من الشفيع في حياته وبعد وفاته، وقد كان الصحابة يطلبون الدعاء من النبيّ صلى الله عليه و آله و سلم بعد وفاته، فلو كان طلب الدعاء منه صحيحاً بعد وفاته، فإنّ طلب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نوع من طلب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صححياً أيضاً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للشيعة في مساجدهم إلّاطلب الشفاعة، أي طلب الدعاء من النبي</w:t>
      </w:r>
      <w:bookmarkStart w:id="755" w:name="pg16776_179108"/>
    </w:p>
    <w:p>
      <w:pPr>
        <w:pStyle w:val="BookText"/>
        <w:rPr/>
      </w:pPr>
      <w:bookmarkEnd w:id="755"/>
      <w:r>
        <w:rPr>
          <w:rFonts w:ascii="Amiri" w:hAnsi="Amiri" w:eastAsia="Amiri" w:cs="Amiri"/>
          <w:color w:val="111111"/>
          <w:sz w:val="28"/>
          <w:sz w:val="28"/>
          <w:szCs w:val="28"/>
          <w:rtl w:val="true"/>
          <w:lang w:bidi="ar-SA"/>
        </w:rPr>
        <w:t xml:space="preserve">وآله، وقد دلّت الآيات والروايات على حياتهم ووجود الصلة بيننا وبينهم، فلنفترض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غير أحياء وأنّهم لا يسمعون كلامنا، فغاية ما يمكن أن يقول به الرجل هو عدم الجدوى في طلب الدعاء من العبد الّذي لا يسمع، فلا يكون ذلك دليلاً على الشرك</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7071253_73709187"/>
      <w:bookmarkStart w:id="757" w:name="_Toc294"/>
      <w:bookmarkEnd w:id="756"/>
      <w:r>
        <w:rPr>
          <w:rtl w:val="true"/>
        </w:rPr>
        <w:t>الرابع</w:t>
      </w:r>
      <w:r>
        <w:rPr>
          <w:rtl w:val="true"/>
        </w:rPr>
        <w:t xml:space="preserve">: </w:t>
      </w:r>
      <w:r>
        <w:rPr>
          <w:rtl w:val="true"/>
        </w:rPr>
        <w:t>سبّ الأولياء من الصحابة والخلفاء</w:t>
      </w:r>
      <w:bookmarkEnd w:id="757"/>
    </w:p>
    <w:p>
      <w:pPr>
        <w:pStyle w:val="BookText"/>
        <w:rPr/>
      </w:pPr>
      <w:r>
        <w:rPr>
          <w:rFonts w:ascii="Amiri" w:hAnsi="Amiri" w:eastAsia="Amiri" w:cs="Amiri"/>
          <w:color w:val="111111"/>
          <w:sz w:val="28"/>
          <w:sz w:val="28"/>
          <w:szCs w:val="28"/>
          <w:rtl w:val="true"/>
          <w:lang w:bidi="ar-SA"/>
        </w:rPr>
        <w:t>إنّ الشيعة تقتفي إثر أئمة أهل البيت عليهم السلام وإثر إمام المتقين وقدوة الموحّدين علي أمير المؤمنين عليه السلام وهانحن ننقل شيئاً من كلامه حول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إِخْوَانِي الَّذِينَ رَكِبُوا الطَّرِيقَ‌، وَ مَضَوْا عَلَى الْحَقِّ؟ أَيْنَ عَمَّارٌ؟ وَأَيْنَ ابْنُ التَّيِّهَانِ؟ وَأَيْنَ ذُو الشَّهَادَتَيْنِ؟ وَأَيْنَ نُظَرَاؤُهُمْ مِنْ إِخْوَانِهِمُ الَّذِينَ تَعَاقَدُوا عَلَى الْمَنِيَّةِ‌، وَأُبْرِدَ بِرُؤُوسِهِمْ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على لحيته الشريفة الكريمة، فأطال البكاء، 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الإمام زين العابدين علي بن الحسين عليهما السلام يدعو لصحابة رسول اللّه صلى الله عليه و آله و سلم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وأصحاب محمد صلى الله عليه و آله و سلم خاصّة الذين أحسنوا الصحبة، والذين أبلوا البلاء الحسن في نصره، وكانفوه وأسرعوا إلى وفادته، وسابقوا إلى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تنس لهم اللّهم ما تركوا لك وفيك، وأرضهم من رضوانك، وبما حاشوا الخلق عنك وكانوا مع رسولك دعاة لك إليك، واشكرهم على هجرهم فيك ديار قومهم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وأوصل إلى التابعين لهم بإحسان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أغفر لنا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bookmarkStart w:id="758" w:name="pg16776_179109"/>
    </w:p>
    <w:p>
      <w:pPr>
        <w:pStyle w:val="BookText"/>
        <w:rPr/>
      </w:pPr>
      <w:bookmarkEnd w:id="758"/>
      <w:r>
        <w:rPr>
          <w:rFonts w:ascii="Amiri" w:hAnsi="Amiri" w:eastAsia="Amiri" w:cs="Amiri"/>
          <w:color w:val="111111"/>
          <w:sz w:val="28"/>
          <w:sz w:val="28"/>
          <w:szCs w:val="28"/>
          <w:rtl w:val="true"/>
          <w:lang w:bidi="ar-SA"/>
        </w:rPr>
        <w:t>هذا هو منطق أئمة الشيعة والمسلمين، والمسلمون كلّهم سائرون عليه، والعجب أنّه يتّهم الشيعة بسبّ الصحابة في عامّة مساجدهم ولذلك منع من الدخول إليها، ومع ذلك كلّه نرى في أصحّ كتبهم وهو صحيح البخاري سبّ بعض الصحابة البعض الآخر في مجلس النبي صلى الله عليه و آله و سلم وحضوره، وإن كنت في ريبّ فلنتلوا عليك رواية واحدة نقلها البخاري في صحيحه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في قصة الإفك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يعذرني من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عبداللّه بن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أذاه في أهل بيتي، فواللّه ما علمت على أهلي، إلّا خيراً، ولقد ذكروا رجلاً ما علمت عليه إلّاخيراً وما كان يدخل على أهلي إلّا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بن معاذ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أعذرك منه إن كان من الأوس ضربت عُنقه، وإن كان من إخواننا من الخزرج أمرتنا ففعلنا أمرك،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سعد بن عبادة وهو سيد الخزرج، وكان قبل ذلك رجلاً صالحاً ولكن احتملته الحميّة، فقال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لا تقتله ولا تقدر على قتله، فقام أُسيد بن حضير وهو ابن عم سعد، فقال لسعد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لنقتلنّه فإنّك منافق، تجادل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فتثاور الحيّان الأُوس والخزرج حتّى همّوا أن يقتتلوا ورسول اللّه صلى الله عليه و آله و سلم قائم على المنبر، فلم يزل رسول اللّه صلى الله عليه و آله و سلم يُخفّضهم حتّى سكتوا وسكت</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9" w:name="__RefHeading___Toc7071255_73709187"/>
      <w:bookmarkStart w:id="760" w:name="_Toc295"/>
      <w:bookmarkEnd w:id="759"/>
      <w:r>
        <w:rPr>
          <w:rtl w:val="true"/>
        </w:rPr>
        <w:t>النقد والتقييم غير السبّ‌</w:t>
      </w:r>
      <w:bookmarkEnd w:id="760"/>
    </w:p>
    <w:p>
      <w:pPr>
        <w:pStyle w:val="BookText"/>
        <w:rPr/>
      </w:pPr>
      <w:r>
        <w:rPr>
          <w:rFonts w:ascii="Amiri" w:hAnsi="Amiri" w:eastAsia="Amiri" w:cs="Amiri"/>
          <w:color w:val="111111"/>
          <w:sz w:val="28"/>
          <w:sz w:val="28"/>
          <w:szCs w:val="28"/>
          <w:rtl w:val="true"/>
          <w:lang w:bidi="ar-SA"/>
        </w:rPr>
        <w:t>إنّ النقد القائم على أُسس صحيحة وموازين سليمة هو قبلة طالبي الحقيقة، والساعين إلى الفضيلة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السبّ والشتم فهو وليد العصبية ونتاج الغيظ والحقد والهوى، وبتعبير</w:t>
      </w:r>
      <w:bookmarkStart w:id="761" w:name="pg16776_179110"/>
    </w:p>
    <w:p>
      <w:pPr>
        <w:pStyle w:val="BookText"/>
        <w:rPr/>
      </w:pPr>
      <w:bookmarkEnd w:id="761"/>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هو النيل من كرامة الشخص بكلمات مبتذلة، ولسان بذيء لغاية التشفّي وهدم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دراسة حياة الشخص من منظار موضوعي وبيان ما له من الفضيلة والكرامة، أو ما اقترف من المآثم والخطايا، فيُمدح على الأوّل ويذمّ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في كتب الشيعة عند المرور بآيات الذكر الحكيم هو دراسة النقد لا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سبّاً فكتب القوم هي التي فتحت هذا الباب على مصراعيه بوجه المسلمين، وهذا هو البخاري، ومسلم رووا في صحاحهم روايات كثيرة في ارتداد الصحابة بعد النبي الأكرم صلى الله عليه و آله و سلم، ونحن ننقل منها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هريرة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عليّ يوم القيامة رهط من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فيحلّؤون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إنّهم ارتدوا على أدبارهم القهقري</w:t>
      </w:r>
      <w:r>
        <w:rPr>
          <w:rFonts w:eastAsia="Amiri" w:cs="Amiri" w:ascii="Amiri" w:hAnsi="Amiri"/>
          <w:color w:val="111111"/>
          <w:sz w:val="28"/>
          <w:szCs w:val="28"/>
          <w:rtl w:val="true"/>
          <w:lang w:bidi="ar-SA"/>
        </w:rPr>
        <w:t>».</w:t>
      </w:r>
      <w:r>
        <w:rPr>
          <w:rStyle w:val="FootnoteAnchor"/>
          <w:rtl w:val="true"/>
        </w:rPr>
        <w:footnoteReference w:id="652"/>
      </w:r>
    </w:p>
    <w:p>
      <w:pPr>
        <w:pStyle w:val="Heading5"/>
        <w:numPr>
          <w:ilvl w:val="4"/>
          <w:numId w:val="1"/>
        </w:numPr>
        <w:rPr/>
      </w:pPr>
      <w:bookmarkStart w:id="762" w:name="__RefHeading___Toc7071257_73709187"/>
      <w:bookmarkStart w:id="763" w:name="_Toc296"/>
      <w:bookmarkEnd w:id="762"/>
      <w:r>
        <w:rPr>
          <w:rtl w:val="true"/>
        </w:rPr>
        <w:t>دراسة المقطع الثالث</w:t>
      </w:r>
      <w:bookmarkEnd w:id="763"/>
    </w:p>
    <w:p>
      <w:pPr>
        <w:pStyle w:val="BookText"/>
        <w:rPr/>
      </w:pPr>
      <w:r>
        <w:rPr>
          <w:rFonts w:ascii="Amiri" w:hAnsi="Amiri" w:eastAsia="Amiri" w:cs="Amiri"/>
          <w:color w:val="111111"/>
          <w:sz w:val="28"/>
          <w:sz w:val="28"/>
          <w:szCs w:val="28"/>
          <w:rtl w:val="true"/>
          <w:lang w:bidi="ar-SA"/>
        </w:rPr>
        <w:t>مع أنّ المفتي أفتى بحرمة الصلاة في مساجد الشيعة إلّاأنّه أفتى أخيراً بأنّ الإنسان لو دخل وصلّى في هذه المساجد، حتّى مع علمه بعدم الجواز، فصلاته صحيحة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يفتي بصحّة الصلاة، مع أنّ المصلّي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بعمله هذا، فكيف تنسجم حرمة العمل مع صحّته، وكيف ينسجم كون</w:t>
      </w:r>
    </w:p>
    <w:p>
      <w:pPr>
        <w:pStyle w:val="BookText"/>
        <w:rPr/>
      </w:pPr>
      <w:r>
        <w:rPr>
          <w:rFonts w:ascii="Amiri" w:hAnsi="Amiri" w:eastAsia="Amiri" w:cs="Amiri"/>
          <w:color w:val="111111"/>
          <w:sz w:val="28"/>
          <w:sz w:val="28"/>
          <w:szCs w:val="28"/>
          <w:rtl w:val="true"/>
          <w:lang w:bidi="ar-SA"/>
        </w:rPr>
        <w:t>المصلّي ملعوناً مع كون صلاته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يتمشّى قصد التقرّب وامتثال الأمر مع كونه مطروداً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 الحق فما أرخص هذا الاجتهاد الّذي لا يحتاج إلى إتقان المبادئ والمقدّمات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الإفتاء عند القوم لا يحتاج إلى مبادئ ومقدّمات تؤهّل المفتي لاستنباط الحكم الشرعي من كتاب اللّه وسنّة رسوله صلى الله عليه و آله و سلم، فيفتي بلا دليل على حرمة الدخول، ثم ينقض ما أبرمه، بلا دليل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سمح به الوقت في دراسة هذه الفتوى ونقدها نقداً علمياً، والتي وجدناها على شفا جرف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764" w:name="pg16776_179112"/>
    </w:p>
    <w:p>
      <w:pPr>
        <w:pStyle w:val="Heading3"/>
        <w:numPr>
          <w:ilvl w:val="2"/>
          <w:numId w:val="1"/>
        </w:numPr>
        <w:rPr/>
      </w:pPr>
      <w:bookmarkStart w:id="765" w:name="__RefHeading___Toc7071259_73709187"/>
      <w:bookmarkStart w:id="766" w:name="_Toc297"/>
      <w:bookmarkEnd w:id="764"/>
      <w:bookmarkEnd w:id="765"/>
      <w:r>
        <w:rPr/>
        <w:t>8</w:t>
      </w:r>
      <w:r>
        <w:rPr>
          <w:rtl w:val="true"/>
        </w:rPr>
        <w:t xml:space="preserve">. </w:t>
      </w:r>
      <w:r>
        <w:rPr>
          <w:rtl w:val="true"/>
        </w:rPr>
        <w:t>رسالة في صوم مَن به داء العطش ومَن أصابه العطش</w:t>
      </w:r>
      <w:bookmarkEnd w:id="766"/>
    </w:p>
    <w:p>
      <w:pPr>
        <w:pStyle w:val="Heading4"/>
        <w:numPr>
          <w:ilvl w:val="3"/>
          <w:numId w:val="1"/>
        </w:numPr>
        <w:rPr/>
      </w:pPr>
      <w:bookmarkStart w:id="767" w:name="__RefHeading___Toc7071261_73709187"/>
      <w:bookmarkStart w:id="768" w:name="_Toc298"/>
      <w:bookmarkEnd w:id="767"/>
      <w:r>
        <w:rPr>
          <w:rtl w:val="true"/>
        </w:rPr>
        <w:t>وفيها مسألتان</w:t>
      </w:r>
      <w:r>
        <w:rPr>
          <w:rtl w:val="true"/>
        </w:rPr>
        <w:t>:</w:t>
      </w:r>
      <w:bookmarkEnd w:id="768"/>
    </w:p>
    <w:p>
      <w:pPr>
        <w:pStyle w:val="Heading4"/>
        <w:numPr>
          <w:ilvl w:val="3"/>
          <w:numId w:val="1"/>
        </w:numPr>
        <w:rPr/>
      </w:pPr>
      <w:bookmarkStart w:id="769" w:name="__RefHeading___Toc7071263_73709187"/>
      <w:bookmarkStart w:id="770" w:name="_Toc299"/>
      <w:bookmarkEnd w:id="769"/>
      <w:r>
        <w:rPr>
          <w:rtl w:val="true"/>
        </w:rPr>
        <w:t>المسألة الأُولى</w:t>
      </w:r>
      <w:r>
        <w:rPr>
          <w:rtl w:val="true"/>
        </w:rPr>
        <w:t xml:space="preserve">: </w:t>
      </w:r>
      <w:r>
        <w:rPr>
          <w:rtl w:val="true"/>
        </w:rPr>
        <w:t>مَن به داء العطش</w:t>
      </w:r>
      <w:bookmarkEnd w:id="770"/>
    </w:p>
    <w:p>
      <w:pPr>
        <w:pStyle w:val="BookText"/>
        <w:rPr/>
      </w:pPr>
      <w:r>
        <w:rPr>
          <w:rFonts w:ascii="Amiri" w:hAnsi="Amiri" w:eastAsia="Amiri" w:cs="Amiri"/>
          <w:color w:val="111111"/>
          <w:sz w:val="28"/>
          <w:sz w:val="28"/>
          <w:szCs w:val="28"/>
          <w:rtl w:val="true"/>
          <w:lang w:bidi="ar-SA"/>
        </w:rPr>
        <w:t>قال السيد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داء العطش فإنّه يفطر؛ سواء كان بحيث لا يقدر على الصبر، أو كان فيه مشقّة، ويجب عليه التصدّق بمدّ والأحوط مدّان، من غير فرق بين ما إذا كان مرجوّ الزوال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بل الأقوى وجوب القضاء عليه، إذا تمكّن من بعد ذلك، كما أنّ الأحوط أن يقتصر على مقدار الضرورة</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ولكن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وجوب القضاء، والسيد الخوئي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القوة إشكال، وإن كان القضاء أحوط</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w:t>
      </w:r>
    </w:p>
    <w:p>
      <w:pPr>
        <w:pStyle w:val="BookText"/>
        <w:rPr/>
      </w:pPr>
      <w:r>
        <w:rPr>
          <w:rFonts w:ascii="Amiri" w:hAnsi="Amiri" w:eastAsia="Amiri" w:cs="Amiri"/>
          <w:color w:val="111111"/>
          <w:sz w:val="28"/>
          <w:sz w:val="28"/>
          <w:szCs w:val="28"/>
          <w:rtl w:val="true"/>
          <w:lang w:bidi="ar-SA"/>
        </w:rPr>
        <w:t>والذي به العطاش لا حرج عليهما أن يفطرا في شهر رمضان، ويتصدّق كلّ منهما في كلّ يوم بمدّ من طعام، ولا قضاء عليهما، فإن لم يقدرا فلا شيء عليهما</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ورواية داود بن فرقد، عن أبيه، عن أبي عبداللّه عليه السلام فيمن ترك الصيام،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مرض فإذا برئ فليقضه، وإن كان من كبر أو عطش فبدل كلّ يوم مدّ</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المعتبرتان صريحتان في عدم وجوب القضاء وبذلك يُخصّص ما دلّ على وجوب القضاء للمريض،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بل يمكن أن يقال انصراف المريض عن مثله، بل أُريد به مَن كان مريضاً يوماً أو أياماً، ثم تعود صحّته إليه، لا مثل من به داء العطش الذي لا يرجى برؤه إلّاباحتمال ضعيف</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يستدلّ على عدم القضاء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كما استدلّ به الإمام أبو جعفر عليه السلام على ما رواه محمّد بن مسلم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الكبير والذي يأخذه العطاش</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والإطاقة عبارة عمّن يقوم بالعمل بجهد كبير وبذل نهاية طاقته، لا العاجز المطلق، ومَن به داء العطاش من مصاديقها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العطش</w:t>
      </w:r>
    </w:p>
    <w:p>
      <w:pPr>
        <w:pStyle w:val="BookText"/>
        <w:rPr/>
      </w:pPr>
      <w:r>
        <w:rPr>
          <w:rFonts w:ascii="Amiri" w:hAnsi="Amiri" w:eastAsia="Amiri" w:cs="Amiri"/>
          <w:color w:val="111111"/>
          <w:sz w:val="28"/>
          <w:sz w:val="28"/>
          <w:szCs w:val="28"/>
          <w:rtl w:val="true"/>
          <w:lang w:bidi="ar-SA"/>
        </w:rPr>
        <w:t>قال السيد الطباطبائي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على الصائم العطش بحيث خاف من الهلاك يجوز له أن يشرب الماء مقتصراً على مقدار الضرورة، ولكن يفسد صومه بذلك، ويجب عليه الإمساك بقية النهار، إذا كان في شهر رمضان، وأمّا في غيره من الواجب الموسّع والمعيّن فلا يجب الإمساك، وإن كان الأحوط في الواجب المعيّن</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فقد خصّ السيد الطباطبائي جواز الإفطار بمَن خاف من الهلاك، وكان عليه أن يعطف عليه مَن غلبه العطش على نحو صار الصوم حرجياً كثيراً فوق الحرج الذي هو لازم ذات الصوم، بل صار على حدٍّ لا يتحمّل مثله عادة، كما عليه السيد الأُستاذ البروجردي في رسالته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غير المسألة الأُولى فإنّ الملاك في الأُولى هو مَن به داء العطش، وأمّا المقام فهو إنسان سالم غلبه العطش لعوامل خارجية، كوقوعه في المفازة، أو في مصنع حار، وأمّا الدليل على جواز الشرب فروايتان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عن أبي عبداللّه عليه السلام في الرجل يصيبه العطاش حتّى يخاف على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يشرب بقدر ما يمسك رمقه، ولا يشرب حتّى يروى</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السند فرواه الكليني عن شيخه أحمد بن إدريس، عن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صاحب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 الرواة ثقات</w:t>
      </w:r>
    </w:p>
    <w:p>
      <w:pPr>
        <w:pStyle w:val="BookText"/>
        <w:rPr/>
      </w:pPr>
      <w:r>
        <w:rPr>
          <w:rFonts w:ascii="Amiri" w:hAnsi="Amiri" w:eastAsia="Amiri" w:cs="Amiri"/>
          <w:color w:val="111111"/>
          <w:sz w:val="28"/>
          <w:sz w:val="28"/>
          <w:szCs w:val="28"/>
          <w:rtl w:val="true"/>
          <w:lang w:bidi="ar-SA"/>
        </w:rPr>
        <w:t xml:space="preserve">إماميّون، عن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علي بن فضّال فهو فطحيّ‌، وقيل بعدوله عن الفطحيّة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عمرو بن سعيد الفطحيّ‌، عن مصدق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وهؤلاء الثلاثة فطحيّون لكن يعمل برواياتهم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المتن فربّما يورد عليه بأنّ الوارد في الرواية العطاش، وأُريد به من به داء العطش، فتكون الرواية من أخبار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العطاش يطلق على شدّة العطش أيضاً، هذا ابن الأثير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 وقد يكون داءً يصيب الإنسان يشرب الماء فلا يروي</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العطش أمراً طارئاً لا أمراً مستمرّاً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 العاملي وإن رواها عن الكليني بلفظ العطاش، ولكن الصدوق ذكرها بلفظ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عمّار بن موسى عن أبي عبداللّه عليه السلام في الرجل يصيبه العطش</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كما أنّ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رواها عن الكليني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العطش، وهذا يدلّ على أنّ نسخة الكافي الّتي كانت عند الشيخ، وكذا الّتي عند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أخذه من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فيهما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به داء العطش، فما معنى نهيه عن الارتواء، حيث إنّه لا يرتوي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أمره بالإمساك مع أنّ ذي العطاش داخل في من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مأمور بالكفّارة لا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أنّ من أصابه العطش صائم، وذو العطاش لا يصوم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الوسائل مع أنّه نقل كلمة العطاش، لكن لم يذكر الرواية في باب من به داء العطاش الذي عقد له الباب الخامس عشر، بل ذكرها في باب آخر 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وهذا يدلّ على أنّه فهم من الرواية ما ذكرناه، ويعرب عنه عنوان الباب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الصائم إذا خاف التلف من العطش جاز له الشرب بقدر ما يمسك الرمق ولم يجز له أن يشرب حتّى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 صحيح عن المفضّل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فتيات وشباباً لا يقدرون على الصيام من شدّة ما يصيبهم من العطش‌؟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فليشربوا بقدر ما تروى به نفوسهم، وما يحذرون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الاستدلال بالرواية مبني على كون المفضّل بن عمر ثقة، واختلفت فيه كلمات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خاصّة أبي عبداللّه عليه السلام وبطانته وثقاته، وعدّه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تضاربت الروايات في حقّه ولكن الظاهر أنّه جليل ثقة ويدلّ على جلالته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يرويه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فجواز الشرب بمقدار الضرورة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القضاء</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القضاء فهذا هو الظاهر من السيد الطباطبائي ولم يعلّق عليه أحد،</w:t>
      </w:r>
    </w:p>
    <w:p>
      <w:pPr>
        <w:pStyle w:val="BookText"/>
        <w:rPr/>
      </w:pPr>
      <w:r>
        <w:rPr>
          <w:rFonts w:ascii="Amiri" w:hAnsi="Amiri" w:eastAsia="Amiri" w:cs="Amiri"/>
          <w:color w:val="111111"/>
          <w:sz w:val="28"/>
          <w:sz w:val="28"/>
          <w:szCs w:val="28"/>
          <w:rtl w:val="true"/>
          <w:lang w:bidi="ar-SA"/>
        </w:rPr>
        <w:t>وهذا يدلّ على أنّ المشهور هو وجوب القضاء، ولا شكّ أنّه أحوط، وأستدلّ عليه بأنّه تناول المفطّر إختياراً، ودليل الاضطرار لا يدلّ على صحّة الصوم لأنّه إنّما يرفع الحكم التكليفي فغايته جواز الشرب الذي كان محرّماً في نفسه، وأمّا صحّة الصوم بالإمساك إلى آخر النهار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العرفية بين تجويز الإفطار بمقدار الضرورة بحيث يمسك رمقه، ولا يشرب حتّى يروى وبين صحّة صومه، إذ لو فسد صومه فلا وجه لهذا التحديد، بل يرخّص له الإفطار والشرب حتّى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وجوب الإمساك تأدّباً في المقام بعد فساد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مقتضى إطلاق لسان الروايتين لكون الإمام عليه السلام لم يذكر عن القضاء شيئاً، واحتمال أنّ سكوته لأجل كون المخاطب عارفاً به، كماترى، لأنّ الإمام عليه السلام يلقي كلامه على السائل وغيره، فكيف يعتمد على العلم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أسئلة أو إشكالات أُثيرت حول الموضوع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قد أعرض عن الروايتين حيث أفتوا بفساد صومه ووجوب قضائه، ولم يقل أحد بصحّة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الفقهاء عملوا بكلتا الروايتين بشهادة أنّهم أفتوا بجواز الشرب غير أنّ كثيراً منهم لم يعتبروا ترك البيان دليلاً على سقوط القضاء، وعلى هذا فالروايتان معتبرتان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قسماً من الفقهاء أفتوا بعدم القضاء إمّا بالسكوت، أو بالتصريح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السكوت فهذا هو الصدوق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يتهيّأ للشيخ أو الشاب أو المرأة الحامل أن تصوم من العطش والجوع أو تخاف المرأة أن يضرّ بولدها</w:t>
      </w:r>
    </w:p>
    <w:p>
      <w:pPr>
        <w:pStyle w:val="BookText"/>
        <w:rPr/>
      </w:pPr>
      <w:r>
        <w:rPr>
          <w:rFonts w:ascii="Amiri" w:hAnsi="Amiri" w:eastAsia="Amiri" w:cs="Amiri"/>
          <w:color w:val="111111"/>
          <w:sz w:val="28"/>
          <w:sz w:val="28"/>
          <w:szCs w:val="28"/>
          <w:rtl w:val="true"/>
          <w:lang w:bidi="ar-SA"/>
        </w:rPr>
        <w:t>فعليهم جميعاً الإفطار، ويتصدّق كلّ واحد عن كلّ يوم بمدٍّ من طعام</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قال العلّامة بعد نقل هذا الكلام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يشعر بسقوط القضاء، والمشهور بين علمائنا وجوب القضاء عليها</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وأمّا التصريح فإليك مَن وقفت على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الصائم يصيبه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الرواية،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مناسبة للمذهب لأنّه في محل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فهل يجب عليه القضاء أو لا؟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لأنّه شرب بقدر ما يمسك رمقه مخافة التلف، كان بمنزلة المكره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جيّدة، والأقرب عدم وجوب القضاء</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الأردبيلي بعد نقل رواية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الظاهر عدم القضاء لعدم الدليل، ولعدم ظهور بطلان الصوم، بل الظاهر أنّ الصوم في حقّهم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ما وقفت عليه على عجالة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مَن أصيب بداء العطاش فيبطل صومه بشرب الماء وعليه الكفّارة، وبين مَن أصابه العطش فيشرب الماء فيصحّ صومه‌؟ ولو كانت الغاية التسهيل على المكلّف، فمَن أُصيب بداء العطاش أولى بذلك بأن يأمر بالإمساك إلى المغرب ويصحّ صومه كما هو الحال فيمَن أصابه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الشخصين واضح، لوجود الفرق بين الضعيف والقويّ‌، فذو العطاش ضعيف مريض لا يستطيع الصوم لأجل مرضه، فأُمر بالأفطار دون الإمساك فلا يصلح التسهيل في مورده، وأمّا من أصابه العطش فهو إنسان سالم مستطيع ليس مريضاً غير أنّه ألجأته الضرورة لشرب جرعة أو جرعتين لحفظ نفسه أو رفع حرجه، ولذلك أُمر بالإمساك وصحّ صومه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العطاش استحقّ بالامتنان الأكثر فأُمر بالإفطار والكفّارة وعدم القضاء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من السيد الحكيم والسيد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القضاء إذا أمكن على قول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مَن أصابه العطش، إذ هو ليس مستحقّاً لهذا النوع من الامتنان فلا يجوز له الإفطار بل يجب عليه الإمساك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حقّقناه في سالف الزمان في شرحنا على العروة الوثقى‌</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الخبّاز الذي يعمل أمام التنور يعطش ساعة بعد ساعة، فهل يجوز له أن يشرب من الماء ساعة بعد ساعة إلى الغروب، عشر مرات، ويصحّ صومه عند ذلك‌؟</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وفرض الفقهاء مَن أصابه العطش صدفة من دون اختيار، وأمّا مَن عرض نفسه على عمل يسبب العطش ساعة بعد ساعة فهو خارج عن فرض الروايات وفتوى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أُثيرت في شهر رمضان هذه السنة حول هذه الفتوى تساؤلات ولعلّ هذه الرسالة تكفي في الإجابة عنها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فلا شك ّ أنّ القضاء هو الأحوط، واللّه العالم</w:t>
      </w:r>
      <w:r>
        <w:rPr>
          <w:rFonts w:eastAsia="Amiri" w:cs="Amiri" w:ascii="Amiri" w:hAnsi="Amiri"/>
          <w:color w:val="111111"/>
          <w:sz w:val="28"/>
          <w:szCs w:val="28"/>
          <w:rtl w:val="true"/>
          <w:lang w:bidi="ar-SA"/>
        </w:rPr>
        <w:t>.</w:t>
      </w:r>
      <w:bookmarkStart w:id="771" w:name="pg16776_179120"/>
    </w:p>
    <w:p>
      <w:pPr>
        <w:pStyle w:val="Heading3"/>
        <w:numPr>
          <w:ilvl w:val="2"/>
          <w:numId w:val="1"/>
        </w:numPr>
        <w:rPr/>
      </w:pPr>
      <w:bookmarkStart w:id="772" w:name="__RefHeading___Toc7071265_73709187"/>
      <w:bookmarkStart w:id="773" w:name="_Toc300"/>
      <w:bookmarkEnd w:id="771"/>
      <w:bookmarkEnd w:id="772"/>
      <w:r>
        <w:rPr/>
        <w:t>9</w:t>
      </w:r>
      <w:r>
        <w:rPr>
          <w:rtl w:val="true"/>
        </w:rPr>
        <w:t>. «</w:t>
      </w:r>
      <w:r>
        <w:rPr>
          <w:rtl w:val="true"/>
        </w:rPr>
        <w:t>منى‌، التاريخ والتشريع</w:t>
      </w:r>
      <w:r>
        <w:rPr>
          <w:rtl w:val="true"/>
        </w:rPr>
        <w:t>»</w:t>
      </w:r>
      <w:bookmarkEnd w:id="773"/>
    </w:p>
    <w:p>
      <w:pPr>
        <w:pStyle w:val="Heading4"/>
        <w:numPr>
          <w:ilvl w:val="3"/>
          <w:numId w:val="1"/>
        </w:numPr>
        <w:rPr/>
      </w:pPr>
      <w:bookmarkStart w:id="774" w:name="__RefHeading___Toc7071267_73709187"/>
      <w:bookmarkStart w:id="775" w:name="_Toc301"/>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لقد وقفت على كتاب للأُستاذ الدكتور الشيخ عبد الوهاب إبراهيم أبو سليمان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التاريخ والتشريع</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وبعد أن طالعته وجدته كتاباً ممتعاً جدّاً ولذلك قمت بتلخيص ما جاء فيه لينتفع به طلاب العلم والمختصون بمباحث الحج ومناسكه، واللّه من وراء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هيئة كبار العلماء في مكّة المكرّمة، ومسؤول مكتبة الحرم المكّي الشريف المشيّدة في محل ولادة نبي اللّه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بحث ألقاه فضيلة الشيخ في أحد المعاهد العلمية المتعلقة بأُمور الحجّ‌،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البحث من تمهيد وخاتمة، بينهما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المشعر، ويشتمل على مبحثين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التشريع، ويشتمل على ثلاثة مباحث</w:t>
      </w:r>
      <w:r>
        <w:rPr>
          <w:rFonts w:eastAsia="Amiri" w:cs="Amiri" w:ascii="Amiri" w:hAnsi="Amiri"/>
          <w:color w:val="111111"/>
          <w:sz w:val="28"/>
          <w:szCs w:val="28"/>
          <w:rtl w:val="true"/>
          <w:lang w:bidi="ar-SA"/>
        </w:rPr>
        <w:t>.</w:t>
      </w:r>
      <w:bookmarkStart w:id="776" w:name="pg16776_179121"/>
    </w:p>
    <w:p>
      <w:pPr>
        <w:pStyle w:val="Heading4"/>
        <w:numPr>
          <w:ilvl w:val="3"/>
          <w:numId w:val="1"/>
        </w:numPr>
        <w:rPr/>
      </w:pPr>
      <w:bookmarkStart w:id="777" w:name="__RefHeading___Toc7071269_73709187"/>
      <w:bookmarkStart w:id="778" w:name="_Toc302"/>
      <w:bookmarkEnd w:id="776"/>
      <w:bookmarkEnd w:id="777"/>
      <w:r>
        <w:rPr>
          <w:rtl w:val="true"/>
        </w:rPr>
        <w:t>أمّا التمهيد</w:t>
      </w:r>
      <w:bookmarkEnd w:id="778"/>
    </w:p>
    <w:p>
      <w:pPr>
        <w:pStyle w:val="Heading5"/>
        <w:numPr>
          <w:ilvl w:val="4"/>
          <w:numId w:val="1"/>
        </w:numPr>
        <w:rPr/>
      </w:pPr>
      <w:bookmarkStart w:id="779" w:name="__RefHeading___Toc7071271_73709187"/>
      <w:bookmarkStart w:id="780" w:name="_Toc303"/>
      <w:bookmarkEnd w:id="779"/>
      <w:r>
        <w:rPr>
          <w:rtl w:val="true"/>
        </w:rPr>
        <w:t>اشارة</w:t>
      </w:r>
      <w:bookmarkEnd w:id="780"/>
    </w:p>
    <w:p>
      <w:pPr>
        <w:pStyle w:val="BookText"/>
        <w:rPr/>
      </w:pPr>
      <w:r>
        <w:rPr>
          <w:rFonts w:ascii="Amiri" w:hAnsi="Amiri" w:eastAsia="Amiri" w:cs="Amiri"/>
          <w:color w:val="111111"/>
          <w:sz w:val="28"/>
          <w:sz w:val="28"/>
          <w:szCs w:val="28"/>
          <w:rtl w:val="true"/>
          <w:lang w:bidi="ar-SA"/>
        </w:rPr>
        <w:t>فقد ركّز الدكتور فيه على دراسة منى من ستة جوانب</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7071273_73709187"/>
      <w:bookmarkStart w:id="782" w:name="_Toc304"/>
      <w:bookmarkEnd w:id="781"/>
      <w:r>
        <w:rPr/>
        <w:t>1</w:t>
      </w:r>
      <w:r>
        <w:rPr>
          <w:rtl w:val="true"/>
        </w:rPr>
        <w:t xml:space="preserve">. </w:t>
      </w:r>
      <w:r>
        <w:rPr>
          <w:rtl w:val="true"/>
        </w:rPr>
        <w:t>منى العَلَم على المكان</w:t>
      </w:r>
      <w:bookmarkEnd w:id="782"/>
    </w:p>
    <w:p>
      <w:pPr>
        <w:pStyle w:val="BookText"/>
        <w:rPr/>
      </w:pPr>
      <w:r>
        <w:rPr>
          <w:rFonts w:ascii="IRNazanin" w:hAnsi="IRNazanin" w:eastAsia="IRNazanin"/>
          <w:color w:val="111111"/>
          <w:sz w:val="28"/>
          <w:sz w:val="28"/>
          <w:szCs w:val="28"/>
          <w:rtl w:val="true"/>
          <w:lang w:bidi="fa-IR"/>
        </w:rPr>
        <w:t>وعرّفها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منى عَلَمٌ على أحد أهم الأمكنة التي تقام فيها معظم شعائر الحجّ‌، ابتداءً بيوم التروية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برمي الجمرات في اليوم الثالث عشر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بعد ذلك وضع منى الاجتماعي ومن يسكنها والملامح العمرانية، والقصور المشيّدة فيها، وأسماء الأحياء السكنية المحيطة بها</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7071275_73709187"/>
      <w:bookmarkStart w:id="784" w:name="_Toc305"/>
      <w:bookmarkEnd w:id="783"/>
      <w:r>
        <w:rPr/>
        <w:t>2</w:t>
      </w:r>
      <w:r>
        <w:rPr>
          <w:rtl w:val="true"/>
        </w:rPr>
        <w:t xml:space="preserve">. </w:t>
      </w:r>
      <w:r>
        <w:rPr>
          <w:rtl w:val="true"/>
        </w:rPr>
        <w:t>شوارع منى الرئيسية</w:t>
      </w:r>
      <w:bookmarkEnd w:id="784"/>
    </w:p>
    <w:p>
      <w:pPr>
        <w:pStyle w:val="BookText"/>
        <w:rPr/>
      </w:pPr>
      <w:r>
        <w:rPr>
          <w:rFonts w:ascii="Amiri" w:hAnsi="Amiri" w:eastAsia="Amiri" w:cs="Amiri"/>
          <w:color w:val="111111"/>
          <w:sz w:val="28"/>
          <w:sz w:val="28"/>
          <w:szCs w:val="28"/>
          <w:rtl w:val="true"/>
          <w:lang w:bidi="ar-SA"/>
        </w:rPr>
        <w:t>وذكر في أوّلها الطريق الأعظم وهو الذي سلكه النبي صلى الله عليه و آله إلى جمرة العقبة،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يتوسط وادي منى في خط مستقيم من مزدلفة مارّاً بوادي محسّر، ويتمثّل هذا الطريق في الوقت الحاضر في طريق المشاة الممتد من عرفات، فمزدلفة، فوادي محسّر، منتهياً إلى منى‌، فجمرة العقبة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7071277_73709187"/>
      <w:bookmarkStart w:id="786" w:name="_Toc306"/>
      <w:bookmarkEnd w:id="785"/>
      <w:r>
        <w:rPr/>
        <w:t>3</w:t>
      </w:r>
      <w:r>
        <w:rPr>
          <w:rtl w:val="true"/>
        </w:rPr>
        <w:t xml:space="preserve">. </w:t>
      </w:r>
      <w:r>
        <w:rPr>
          <w:rtl w:val="true"/>
        </w:rPr>
        <w:t>سبب تسميتها منى‌</w:t>
      </w:r>
      <w:bookmarkEnd w:id="786"/>
    </w:p>
    <w:p>
      <w:pPr>
        <w:pStyle w:val="BookText"/>
        <w:rPr/>
      </w:pPr>
      <w:r>
        <w:rPr>
          <w:rFonts w:ascii="Amiri" w:hAnsi="Amiri" w:eastAsia="Amiri" w:cs="Amiri"/>
          <w:color w:val="111111"/>
          <w:sz w:val="28"/>
          <w:sz w:val="28"/>
          <w:szCs w:val="28"/>
          <w:rtl w:val="true"/>
          <w:lang w:bidi="ar-SA"/>
        </w:rPr>
        <w:t>وقد ذكر لذلك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آدم عليه السلام الجنّة في هذه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منى لما 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الدماء تقرّباً إلى اللّه عزّ وجلّ‌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يُجتمع فيه،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العرب</w:t>
      </w:r>
      <w:r>
        <w:rPr>
          <w:rFonts w:eastAsia="Amiri" w:cs="Amiri" w:ascii="Amiri" w:hAnsi="Amiri"/>
          <w:color w:val="111111"/>
          <w:sz w:val="28"/>
          <w:szCs w:val="28"/>
          <w:rtl w:val="true"/>
          <w:lang w:bidi="ar-SA"/>
        </w:rPr>
        <w:t>.</w:t>
      </w:r>
      <w:bookmarkStart w:id="787" w:name="pg16776_179122"/>
    </w:p>
    <w:p>
      <w:pPr>
        <w:pStyle w:val="Heading5"/>
        <w:numPr>
          <w:ilvl w:val="4"/>
          <w:numId w:val="1"/>
        </w:numPr>
        <w:rPr/>
      </w:pPr>
      <w:bookmarkStart w:id="788" w:name="__RefHeading___Toc7071279_73709187"/>
      <w:bookmarkStart w:id="789" w:name="_Toc307"/>
      <w:bookmarkEnd w:id="787"/>
      <w:bookmarkEnd w:id="788"/>
      <w:r>
        <w:rPr/>
        <w:t>4</w:t>
      </w:r>
      <w:r>
        <w:rPr>
          <w:rtl w:val="true"/>
        </w:rPr>
        <w:t xml:space="preserve">. </w:t>
      </w:r>
      <w:r>
        <w:rPr>
          <w:rtl w:val="true"/>
        </w:rPr>
        <w:t>أيام منى، أسماؤها وخصائصها</w:t>
      </w:r>
      <w:bookmarkEnd w:id="7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أيام منى من أعظم أيام الإسلام وأحبّها، جمعت من العبادات ما تتميّز به عن غيرها من المناسبات الدينية، فعنونت بخصائصها، ووضع لأيامها عنوان يشملها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تشريق اللحم في الشمس فيها بعد تقطيعه وتقديده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الأوّل من هذه الأيام الثلاثة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القرّ</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فضائل عظيمة وخصائص 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عيد 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اليوم الثاني من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النفر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اليوم الثالث من أيام التشريق فيقال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منى تخلو فيه من أهلها، ويُسمّى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النفر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المؤلّف الأسماء الخاصّة بأيام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الأيام مصنّفة إلى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معدودات، وأيام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القرآن الكريم ذكر الأيام المعدودات أوّلاً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وذكرت الأيام المعلومات ثانياً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 يَذْكُرُوا اسْمَ اللّهِ فِي أَيّامٍ مَعْلُوماتٍ‌</w:t>
      </w:r>
      <w:r>
        <w:rPr>
          <w:rFonts w:eastAsia="Amiri" w:cs="Amiri" w:ascii="Amiri" w:hAnsi="Amiri"/>
          <w:color w:val="111111"/>
          <w:sz w:val="28"/>
          <w:szCs w:val="28"/>
          <w:rtl w:val="true"/>
          <w:lang w:bidi="ar-SA"/>
        </w:rPr>
        <w:t>) .</w:t>
      </w:r>
      <w:r>
        <w:rPr>
          <w:rStyle w:val="FootnoteAnchor"/>
          <w:rtl w:val="true"/>
        </w:rPr>
        <w:footnoteReference w:id="673"/>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دخل الباحث في موضوع قرآني فقهي شيّق لبيان آراء الفقهاء والمفسّرين ليوضّح الفرق بين المعلومات والمعدودات</w:t>
      </w:r>
      <w:r>
        <w:rPr>
          <w:rFonts w:eastAsia="Amiri" w:cs="Amiri" w:ascii="Amiri" w:hAnsi="Amiri"/>
          <w:color w:val="111111"/>
          <w:sz w:val="28"/>
          <w:szCs w:val="28"/>
          <w:rtl w:val="true"/>
          <w:lang w:bidi="ar-SA"/>
        </w:rPr>
        <w:t>.</w:t>
      </w:r>
      <w:bookmarkStart w:id="790" w:name="pg16776_179123"/>
    </w:p>
    <w:p>
      <w:pPr>
        <w:pStyle w:val="Heading5"/>
        <w:numPr>
          <w:ilvl w:val="4"/>
          <w:numId w:val="1"/>
        </w:numPr>
        <w:rPr/>
      </w:pPr>
      <w:bookmarkStart w:id="791" w:name="__RefHeading___Toc7071281_73709187"/>
      <w:bookmarkStart w:id="792" w:name="_Toc308"/>
      <w:bookmarkEnd w:id="790"/>
      <w:bookmarkEnd w:id="791"/>
      <w:r>
        <w:rPr/>
        <w:t>5</w:t>
      </w:r>
      <w:r>
        <w:rPr>
          <w:rtl w:val="true"/>
        </w:rPr>
        <w:t xml:space="preserve">. </w:t>
      </w:r>
      <w:r>
        <w:rPr>
          <w:rtl w:val="true"/>
        </w:rPr>
        <w:t>حدود منى الشرعية</w:t>
      </w:r>
      <w:bookmarkEnd w:id="792"/>
    </w:p>
    <w:p>
      <w:pPr>
        <w:pStyle w:val="BookText"/>
        <w:rPr/>
      </w:pPr>
      <w:r>
        <w:rPr>
          <w:rFonts w:ascii="Amiri" w:hAnsi="Amiri" w:eastAsia="Amiri" w:cs="Amiri"/>
          <w:color w:val="111111"/>
          <w:sz w:val="28"/>
          <w:sz w:val="28"/>
          <w:szCs w:val="28"/>
          <w:rtl w:val="true"/>
          <w:lang w:bidi="ar-SA"/>
        </w:rPr>
        <w:t xml:space="preserve">قال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للبهوتي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حدّها من واد محسِّر إلى جمرة العقبة، ووادي محسّر وجمرة العقبة ليسا من منى، وفي الآثار ما يؤيّد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هذا التحديد رسمت حدود منى في الوقت الحاضر ووضعت لوحات إرشادية لبيانها، وفي مرحلة تاريخية سابقة شيّدت العلامات الإرشادية بناء بالحجر والأسمنت المسلح، ومازالت قائمة إلى الآن، ثمّ تطرق إلى بيان آراء المذاهب الأربعة في تحديد حدود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رقعة منى محدودة المساحة، وهي مكان إقامة الحجّاج لأيام عديدة، تتجلّى سماحة الإسلام ويسر تشريعاته حين يزدحم الحاج، ويضيق المكان، ويتحدّد الزمان، ويضعف الإنسان، أو تضيق عنده ذات اليد لإكمال النواقص وتعويض الواجبات، فالأخذ بالمقصد التشريعي التيسير والسماحة هو المخرج من هذا المأزق الحرج</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7071283_73709187"/>
      <w:bookmarkStart w:id="794" w:name="_Toc309"/>
      <w:bookmarkEnd w:id="793"/>
      <w:r>
        <w:rPr/>
        <w:t>6</w:t>
      </w:r>
      <w:r>
        <w:rPr>
          <w:rtl w:val="true"/>
        </w:rPr>
        <w:t xml:space="preserve">. </w:t>
      </w:r>
      <w:r>
        <w:rPr>
          <w:rtl w:val="true"/>
        </w:rPr>
        <w:t>فضائل منى</w:t>
      </w:r>
      <w:bookmarkEnd w:id="794"/>
    </w:p>
    <w:p>
      <w:pPr>
        <w:pStyle w:val="BookText"/>
        <w:rPr/>
      </w:pPr>
      <w:r>
        <w:rPr>
          <w:rFonts w:ascii="Amiri" w:hAnsi="Amiri" w:eastAsia="Amiri" w:cs="Amiri"/>
          <w:color w:val="111111"/>
          <w:sz w:val="28"/>
          <w:sz w:val="28"/>
          <w:szCs w:val="28"/>
          <w:rtl w:val="true"/>
          <w:lang w:bidi="ar-SA"/>
        </w:rPr>
        <w:t>نقل الباحث عن الأزرقي عدد من الروايات عن فضل مسجد الخيف والصلاة فيه،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جريج عن إسماعيل بن أُميّة أنّ خالد بن مضرس أخبره أنّه رأى أشياخاً من الأنصار يتحرّون مصلّى النبي صلى الله عليه و آله أمام المنارة قريباً منها</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وبهذا تمّ التمهيد الذي أعدّه الباحث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7071285_73709187"/>
      <w:bookmarkStart w:id="796" w:name="_Toc310"/>
      <w:bookmarkEnd w:id="795"/>
      <w:r>
        <w:rPr>
          <w:rtl w:val="true"/>
        </w:rPr>
        <w:t>القسم الأوّل</w:t>
      </w:r>
      <w:r>
        <w:rPr>
          <w:rtl w:val="true"/>
        </w:rPr>
        <w:t xml:space="preserve">: </w:t>
      </w:r>
      <w:r>
        <w:rPr>
          <w:rtl w:val="true"/>
        </w:rPr>
        <w:t>منى في ذاكرة التاريخ الإسلامي</w:t>
      </w:r>
      <w:bookmarkEnd w:id="796"/>
    </w:p>
    <w:p>
      <w:pPr>
        <w:pStyle w:val="Heading5"/>
        <w:numPr>
          <w:ilvl w:val="4"/>
          <w:numId w:val="1"/>
        </w:numPr>
        <w:rPr/>
      </w:pPr>
      <w:bookmarkStart w:id="797" w:name="__RefHeading___Toc7071287_73709187"/>
      <w:bookmarkStart w:id="798" w:name="_Toc311"/>
      <w:bookmarkEnd w:id="797"/>
      <w:r>
        <w:rPr>
          <w:rtl w:val="true"/>
        </w:rPr>
        <w:t>اشارة</w:t>
      </w:r>
      <w:bookmarkEnd w:id="79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المبحث الأوّل من القسم الأوّل الذي أسماه في مقدّمة الكتاب</w:t>
      </w:r>
      <w:bookmarkStart w:id="799" w:name="pg16776_179124"/>
    </w:p>
    <w:p>
      <w:pPr>
        <w:pStyle w:val="BookText"/>
        <w:rPr/>
      </w:pPr>
      <w:bookmarkEnd w:id="7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وتحدّث في هذا المبحث عن تاريخ منى المدوّن المتّفق عليه الذي يبدأ من عهد أبي الأنبياء إبراهيم الخليل عليه الصلاة والسلام، وكيف أنّ جبريل علّم إبراهيم مناسك الحجّ حتى انتهى به إلى عرفة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أعرفت مناسكك‌؟ فسمّيت عرفات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الكاتب عن أوّل من نصب الأنصاب في منى وكيف أنّها بعد أن كانت ترمز إلى توحيد عبادة اللّه عز وجل تحوّلت إلى مكان لعبادة الأوثان، ويتحمّل وزر هذا التغيير عمرو بن لحيّ الذي نصب بمنى سبعة أصنام، وقسّم عليهن حصى الجمار</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وأشار الكاتب إلى الأحداث التاريخية التي جرت في أرض منى ومنها حلف الأحزاب، وبيعتا العقبة، اللتان آتيا ثمارهما نصراً مؤزّراً، وفتحاً مبيناً، فأصبحتا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تمّ فيهما من عهود بين النبي صلى الله عليه و آله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الانطلاق للدين الإسلامي</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7071289_73709187"/>
      <w:bookmarkStart w:id="801" w:name="_Toc312"/>
      <w:bookmarkEnd w:id="800"/>
      <w:r>
        <w:rPr>
          <w:rtl w:val="true"/>
        </w:rPr>
        <w:t>الأماكن المأثورة الثابتة تاريخياً</w:t>
      </w:r>
      <w:bookmarkEnd w:id="801"/>
    </w:p>
    <w:p>
      <w:pPr>
        <w:pStyle w:val="BookText"/>
        <w:rPr/>
      </w:pPr>
      <w:r>
        <w:rPr>
          <w:rFonts w:ascii="Amiri" w:hAnsi="Amiri" w:eastAsia="Amiri" w:cs="Amiri"/>
          <w:color w:val="111111"/>
          <w:sz w:val="28"/>
          <w:sz w:val="28"/>
          <w:szCs w:val="28"/>
          <w:rtl w:val="true"/>
          <w:lang w:bidi="ar-SA"/>
        </w:rPr>
        <w:t>هذا هو المبحث الثاني من القسم الأوّل، وذكر المؤلّف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مصلّى رسول اللّه صلى الله عليه و آله بمنى‌،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الأحجار التي بين يدي المنارة وهي موضع مصلّى النبي صلى الله عليه و آله، ونقل عن الأزرقي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نرى الناس وأهل العلم يصلّون هناك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العيشومة، فيه عيشومة أبداً خضراء في الجدب وفي الخصب، بين حجرين من القبلة، وتلك العيشومة قديمة لم تزل ثم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الخيف، وسمّي بذلك لأنّه بني على خيف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الجبل، وروى الأزرقي بسنده إلى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مسجد الخيف سبعون نبيّاً مخطمون بالليف،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خمسة وسبعون نبياً، كلّهم قد طاف بالبيت، وصلّى في مسجد منى‌، فإن استطعت أن لا تفوتك الصلاة في مسجد منى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 إلى ابن جريج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أهل مكّة لأتيت مسجد منى كلّ سبت</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ثم 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جدّد بناؤه في العهد السعودي، وتمّت به توسّعات كبيرة، وأُزيل منه كلّ ما يشير إلى المواقع الأثرية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الكبش، أي الكبش الذي هبط على إبراهيم فداءً لابنه إسماعيل عليهما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الكبش الذي ذبحه ابن آدم فتقبل منه، أو ذبحه إبراهيم فداءً لولده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الباحث عن العلّامة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وجود هذا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اليوم لهذا المسجد من أثر</w:t>
      </w:r>
      <w:r>
        <w:rPr>
          <w:rFonts w:eastAsia="Amiri" w:cs="Amiri" w:ascii="Amiri" w:hAnsi="Amiri"/>
          <w:color w:val="111111"/>
          <w:sz w:val="28"/>
          <w:szCs w:val="28"/>
          <w:rtl w:val="true"/>
          <w:lang w:bidi="ar-SA"/>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ويقع على يسار الذاهب إلى منى‌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تمّت فيه بيعتا العقبة الأُولى والثانية اللتان غيّرتا مجرى التاريخ الإنساني، وتركت آثارها على أرض الواقع شاهداً على ما دار في تلك الأماكن من أحداث ووقائع تمثّل مرحلة حاسمة في تاريخ الإسلام، وأنّ من الواجب الاحتفاظ به معلماً تاريخياً من معالم التاريخ الإسلامي</w:t>
      </w:r>
      <w:r>
        <w:rPr>
          <w:rFonts w:eastAsia="Amiri" w:cs="Amiri" w:ascii="Amiri" w:hAnsi="Amiri"/>
          <w:color w:val="111111"/>
          <w:sz w:val="28"/>
          <w:szCs w:val="28"/>
          <w:rtl w:val="true"/>
          <w:lang w:bidi="ar-SA"/>
        </w:rPr>
        <w:t>.</w:t>
      </w:r>
      <w:bookmarkStart w:id="802" w:name="pg16776_179126"/>
    </w:p>
    <w:p>
      <w:pPr>
        <w:pStyle w:val="BookText"/>
        <w:rPr/>
      </w:pPr>
      <w:bookmarkEnd w:id="80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منزل رسول اللّه بمنى ومنازل أصحابه، وقد نظم رسول اللّه صلى الله عليه و آله منازل صحابته الكرام بمنى، فأقام المهاجرين أمام مسجد الخيف، والأنصار من ورائه، وأقام صلى الله عليه و آله منزله على يسار المصلّى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غار المرسلات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نزلت فيه سورة المرسلات، ويقع خلف مسجد الخيف أسفل الجبل يأثره الخلف عن السلف، وهو غير موجود في الوقت الحاضر، وقد جاءت عليه الهدميات وتوسعة منى وإزالة المباني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العلّامة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لطيف يماني مسجد الخيف فيه غار به أثر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أثر رأس رسول اللّه صلى الله عليه و آله بلحف الجبل المشرف على مسجد الخيف المسمّى بالضب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اندرس مسجد المرسلات الآن، ولم يبق أثر للمسجد، ولا للغار</w:t>
      </w:r>
      <w:r>
        <w:rPr>
          <w:rFonts w:eastAsia="Amiri" w:cs="Amiri" w:ascii="Amiri" w:hAnsi="Amiri"/>
          <w:color w:val="111111"/>
          <w:sz w:val="28"/>
          <w:szCs w:val="28"/>
          <w:rtl w:val="true"/>
          <w:lang w:bidi="ar-SA"/>
        </w:rPr>
        <w:t>.</w:t>
      </w:r>
      <w:r>
        <w:rPr>
          <w:rStyle w:val="FootnoteAnchor"/>
          <w:rtl w:val="true"/>
        </w:rPr>
        <w:footnoteReference w:id="678"/>
      </w:r>
    </w:p>
    <w:p>
      <w:pPr>
        <w:pStyle w:val="Heading4"/>
        <w:numPr>
          <w:ilvl w:val="3"/>
          <w:numId w:val="1"/>
        </w:numPr>
        <w:rPr/>
      </w:pPr>
      <w:bookmarkStart w:id="803" w:name="__RefHeading___Toc7071291_73709187"/>
      <w:bookmarkStart w:id="804" w:name="_Toc313"/>
      <w:bookmarkEnd w:id="803"/>
      <w:r>
        <w:rPr>
          <w:rtl w:val="true"/>
        </w:rPr>
        <w:t>القسم الثاني</w:t>
      </w:r>
      <w:r>
        <w:rPr>
          <w:rtl w:val="true"/>
        </w:rPr>
        <w:t xml:space="preserve">: </w:t>
      </w:r>
      <w:r>
        <w:rPr>
          <w:rtl w:val="true"/>
        </w:rPr>
        <w:t>منى التشريع</w:t>
      </w:r>
      <w:bookmarkEnd w:id="804"/>
    </w:p>
    <w:p>
      <w:pPr>
        <w:pStyle w:val="BookText"/>
        <w:rPr/>
      </w:pPr>
      <w:r>
        <w:rPr>
          <w:rFonts w:ascii="Amiri" w:hAnsi="Amiri" w:eastAsia="Amiri" w:cs="Amiri"/>
          <w:color w:val="111111"/>
          <w:sz w:val="28"/>
          <w:sz w:val="28"/>
          <w:szCs w:val="28"/>
          <w:rtl w:val="true"/>
          <w:lang w:bidi="ar-SA"/>
        </w:rPr>
        <w:t>قال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الشعيرة مجموعة من الآيات البينات، والتشريعات حوت من مقاصد الشريعة في الحجّ مجموعة ما تحقّق منفرداً في بقية المشاعر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مقاصد عقدية، ومقاصد تشريعية، مقاصد علمية وفكرية، مقاصد سياسية، مقاصد اقتصادية، مقاصد اجتماعية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تحدّث المؤلّف عن هذه المقاصد واحد واحداً وذكر في قسم المقاصد العقدية فائدتان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مدرسة إيمانية، عملية تطبيقية، لحمتها وسداها التوحيد الخالص للّه عزّ وجلّ‌، والآخر هو أنّه يجب على الحاج أن يستفيد من أداء شعيرة الحج دروساً مستقبلية في العقيدة الصحيحة، والمداومة</w:t>
      </w:r>
    </w:p>
    <w:p>
      <w:pPr>
        <w:pStyle w:val="BookText"/>
        <w:rPr/>
      </w:pPr>
      <w:r>
        <w:rPr>
          <w:rFonts w:ascii="Amiri" w:hAnsi="Amiri" w:eastAsia="Amiri" w:cs="Amiri"/>
          <w:color w:val="111111"/>
          <w:sz w:val="28"/>
          <w:sz w:val="28"/>
          <w:szCs w:val="28"/>
          <w:rtl w:val="true"/>
          <w:lang w:bidi="ar-SA"/>
        </w:rPr>
        <w:t>على ذكر اللّه تعالى والثناء عليه كما كان حاله في أثناء أدائه لمناسك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تعرض المؤلّف إلى بيان المقاصد العلمية والفكرية والاقتصادية والاجتماعية، وفي نهاية آخرها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 هذا الركن الإسلامي العظيم وأسراره جذبت أنظار المثقّفين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ينطلق من توجه فقهي محض، يستخرج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المقاصدي يستنبط المقاصد الشرعية والحِكم المرعية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السلوك ينطلق من توجه روحي 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الأديب يستلهم المشاعر والعواطف في تلك المجتمعات الإيمانية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الاجتماع يتحدّث من منطلق اجتماعي، وكذلك المفكّر، وعالم الاقتصاد، وهكذا تتآخى كلّ تلك المقاصد ولا تتنازع، أو تتقاطع، أو تتعارض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انتقل لبيان المقاصد الشرعية التي تتجلّى واضحة بارزة أعظم ما تكون مجتمعة في مشعر منى، وأشدّ ما يحتاج إليه منها حاضراً، وذكر لذلك 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التيسير ورفع الحرج عن الأُمّة في شعائر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هذا المقصد القاعدة الأُولى من القواعد الخمس التي درسها في هذا القسم من بحثه،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تردّد الأحكام بين الجواز والفضيلة،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تجلّى الاتجاه نحو التيسير واضحاً صريحاً، ودليلاً قاطعاً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إجابات المصطفى صلى الله عليه و آله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ولا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آله حجّ مرّة واحدة‌؟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اجتهاد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تأثّر الفقهاء في دراسة أحكام المناسك بكلّ ما تقدّم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التنويع مع التخيير في الأحكام أداء، 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يتمثّل في أنّ المكلّف مختار في أن يأخذ بما يناسبه من الأحكام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التمتّع أو القران</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العقوبة لارتكاب محظور من محظورات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التحلّل الأصغر عند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المذاهب، واختيار الأرفق والأوفق منها في الفتيا، ومن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 الجمرات أيام التشريق الثلاثة يبدأ من الزوال إلى الفجر، وذكرهنا رأي الإمام محمد بن علي الباقر عليهما السلام كما ورد عنه في الأمالي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فارم الجمار كلّ يوم عند زوال الشمس، وأي ساعة شئت غير أنّ أفضل ذلك عند زوال الشمس،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قبل الظهر، وبعده، وإن شئت ضحى، وإن شئت بالعشي</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التلفيق، أو تتبع الرخص،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القاعدة الشرعية دور بارز في تخفيف الكثير من القضايا الحرجة في الحجّ التي يصعب تطبيقها حسب الأوامر الشرعية الإسلامية، كما هو الحال في نساء الحجيج إذا حضن قبل طواف الإفاضة، ولم يمكنهن الإقامة حتى الطهر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أنّ الشريعة الإسلامية جاءت أصالة على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التخفيف والتشديد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المكلّفين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وضعيف، ولكلّ من هذين القسمين أحكام تناسبه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منى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أداء الصلوات بمنى،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المذاهب الفقهية في سبب القصر والجمع في الحجّ هل هي من قبيل النسك، أو بسبب السفر؟ وأجاب الباحث عن هذا السؤال بذكر آراء المذاهب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ابتداء وقت التكبير وانتهاؤه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جمرة العقبة يوم العيد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نحر الهدي، أو ذبحه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الحلق أو التقصير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طواف الإفاضة</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سعي الحجّ لأهل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مناسك يوم النحر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أيام التشريق وعلاقتها بقواعد التيسير، وقد أورد في هذا المبحث المناسك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المبيت بمنى‌،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الجمرات أيام التشريق،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في رمي الجمرات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أتمّ هذا المبحث لخّص الباحث دراسته في خاتمة جميلة في</w:t>
      </w:r>
    </w:p>
    <w:p>
      <w:pPr>
        <w:pStyle w:val="BookText"/>
        <w:rPr/>
      </w:pPr>
      <w:r>
        <w:rPr>
          <w:rFonts w:ascii="Amiri" w:hAnsi="Amiri" w:eastAsia="Amiri" w:cs="Amiri"/>
          <w:color w:val="111111"/>
          <w:sz w:val="28"/>
          <w:sz w:val="28"/>
          <w:szCs w:val="28"/>
          <w:rtl w:val="true"/>
          <w:lang w:bidi="ar-SA"/>
        </w:rPr>
        <w:t>خمس صفحات، وممّا 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التصرّف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الآثار التاريخية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بالهدم والإزالة هو محو لصفحات مشرقة في التاريخ الإسلامي، يتحوّل التاريخ من حقيقة إلى أُسطورة تروى، يكفي أنّ السلف حافظوا عليها قروناً عديدة، ولم يروا في إبقائها والمحافظة عليها أي محظور شرعي يمسّ العقيدة الصحيحة، ونحن في العصر الحاضر أولى أن نحافظ عليها لتظل شاهداً حيّاً على تضحيات السلف، وما لاقاه نبي الإسلام صلى الله عليه و آله من مشقّة في إبلاغ الدعوة، ونشر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عاد ليذكر ظواهر بارزة لقواعد التيسير على المكلّفين في أحكام الشريعة الإسلامية فتوى وقضاء أمر إلهي، ومقصد شرعي قطعي منشود في كلّ مظاهر التشريع الإسلامي</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وقد جمع هذه الظواهر في عشرة نماذج جميلة، أضفت على البحث صبغة جعلته جديراً بالمطالعة، واكتفي بذكر عاشر هذه النماذج،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المرجوّة من تلك الرحلة الإيمانية هو أنّ تسلم للأُمّة عقيدتها، وتصحّ لها جوانبها الفقهية التشريعية، مكسوّة برداء التيسير والتسامح، فتستقيم أُمورها الاجتماعية والسلوكية،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لها كلّ ذلك من أداء شعيرة الحجّ السنوية كما أرادها المولى عزّ وجلّ‌، لتصبح عنواناً عملياً على الفكر والسلوك، والتعامل المثالي، فتحقّق بجدارة أنّها أُمّة مسلمة، تستعيد مكانتها، وتميّزها بين أُمم الأرض</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عرض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التاريخ والتشريع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غير أنّ‌</w:t>
      </w:r>
    </w:p>
    <w:p>
      <w:pPr>
        <w:pStyle w:val="BookText"/>
        <w:rPr/>
      </w:pPr>
      <w:r>
        <w:rPr>
          <w:rFonts w:ascii="Amiri" w:hAnsi="Amiri" w:eastAsia="Amiri" w:cs="Amiri"/>
          <w:color w:val="111111"/>
          <w:sz w:val="28"/>
          <w:sz w:val="28"/>
          <w:szCs w:val="28"/>
          <w:rtl w:val="true"/>
          <w:lang w:bidi="ar-SA"/>
        </w:rPr>
        <w:t>المؤلّف اكتفى بإشارة إلى لزوم صيانة الآثار الإسلامية وما يترتّب على هدمها من نتائج، ونحن نزيد بياناً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واقعة أو أي حادثة من الحوادث تُعدّ في الأيام الأُولى لوقوعها من الحقائق القطعيّة لدى المعاصرين لها، ولكنّها مع مرور الزمن وتعاقب الأجيال 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قطعيتها، بصورة تدريجيّة بنحو يلقي الشك والترديد بظلاله عليها إلى درجة قد تصل الحالة إلى أن تعتبر أُسطورة خيالية في نظر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الحوادث والوقائع التاريخية غير مستثناة من هذه الحالة، فبالرغم من قطعيّتها ووضوحها في الأيام الأُولى، ولكنّها قد تصل إذا أُهملت ولم تلق عناية خاصّة إلى أن تصبح أُسطورة تاريخية في نظر الأجيال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 تكرار هذا الخطر وتلك الفاجعة في الحضارة الإسلامية أخطر من غيرها، وذلك باعتبار أنّ الرسالة الإسلامية هي خاتمة الرسالات، وهي الرسالة الخالدة التي تسير مع الإنسان وترسم له طريقه إلى يوم القيامة، ولا شكّ أنّ الأجيال القادمة إنّما تتبع هذه الرسالة، وتنهل من نميرها العذب إذا كانت تلك الأجيال على يقين من أحقّية تلك الرسالة وعلى علم بواقعيتها وأصالتها، وممّا لا ريب فيه أنّ أحد العوامل الفاعلة والمهمة في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وأصالتها، وتحكيم جذورها التاريخية، تكمن في الحفاظ على الآثار المتعلّقة بتاريخ الرسول الأكرم صلى الله عليه و آله وجهاده وقيادته وحركته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فصيانة هذه الآثار على وجه الإطلاق تضفي على الشريعة في نظر غير معتنقيها واقعية وحقيقة، وتزيل عن وجهها أيّ ريب أو شكّ في صحّة البعثة والدعوة، وجهاد الأُمّة ونضال المؤمنين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بذل علماؤنا وسلفنا الصالح جهوداً جبّارة ومساعي مشكورة في مجال الحفاظ على ذلك التراث المهم، وأوصلوا الأمانة سالمة إلى الأجيال اللاحقة، وبذلك قدّموا خدمات عظيمة للأجيال من خلال ذلك العمل الرائع</w:t>
      </w:r>
    </w:p>
    <w:p>
      <w:pPr>
        <w:pStyle w:val="BookText"/>
        <w:rPr/>
      </w:pPr>
      <w:r>
        <w:rPr>
          <w:rFonts w:ascii="Amiri" w:hAnsi="Amiri" w:eastAsia="Amiri" w:cs="Amiri"/>
          <w:color w:val="111111"/>
          <w:sz w:val="28"/>
          <w:sz w:val="28"/>
          <w:szCs w:val="28"/>
          <w:rtl w:val="true"/>
          <w:lang w:bidi="ar-SA"/>
        </w:rPr>
        <w:t>المتمثّل في صيانة الآثار وحفظها، ممّا كان له أثره الفاعل في النظر إلى الدين الإسلامي نظرة واقعية، وإلى الشخصيات الإسلامية نظرة قطعيّة لا ريب ولا تردّد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يستطيع المسلمون أن يتحدّثوا عن دينهم ويدعوا الناس إليه بقوّة واطمئنان تامّين، فهم يواجهون العالم مرفوعي الرأس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لقد بعث رجل في أرض الحجاز قبل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لقيادة المجتمع البشري، وقد حقّق نجاحاً باهراً في مهمته التي استمرت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موزّعة على مرحلتين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منها في مكّة، وعشرة منها في المدينة، وهذه آثار حياته محفوظة تماماً في مكّة والمدينة، فهذه الدار التي ولد فيها، وهذا مسجده، وهذا البيت الذي دفن فيه، وهذه بيوت زوجاته، وهذا غار حراء الذي كان يتعبّد فيه والذي هبط الوحي عليه فيه وهو في سن الأربعين من عمره الشريف، ومنه بدأت حركة الرسالة الإسلامية، فآمنت به طائفة وكفرت أُخرى، وقد واجه في طريق الدعوة أشدّ المصاعب في مكة ممّا اضطره للهجرة إلى المدينة، وفي طريق هجرته لجأ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جنوب مكّة، وبعد أن أمن الطلب توجّه صوب المدينة مهاجراً ليستقبله الأوس والخزرج، ويؤسّس هناك نواة الحكومة الإسلامية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خاض صلى الله عليه و آله في تلك الفترة من حياته الشريفة معارك ضارية مع المشركين واليهود، قدّم خلالها قافلة من الشهداء في بدر وأُحد وخيبر وحنين، كما قام صلى الله عليه و آله بإرسال المبلّغين إلى سائر أراضي الجزيرة العربية يدعون الناس إلى التوحيد ونبذ الشرك والوثنية، وبعد أن أتمّ رسالته وأدّى مهمته على أحسن وجه، لبّى نداء ربّه في السنة الحادية عشرة من هجرته الشريفة، وقد استلم الراية التي رفعها أهل بيته وأنصاره وأصحابه، وساروا على النهج الذي سار عليه ونشروا مفاهيم القرآن وقيمه في أرجاء المعمورة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إذا قضينا على هذه الآثار، فقد قضينا على معالم وجوده صلى الله عليه و آله ودلائل</w:t>
      </w:r>
    </w:p>
    <w:p>
      <w:pPr>
        <w:pStyle w:val="BookText"/>
        <w:rPr/>
      </w:pPr>
      <w:r>
        <w:rPr>
          <w:rFonts w:ascii="Amiri" w:hAnsi="Amiri" w:eastAsia="Amiri" w:cs="Amiri"/>
          <w:color w:val="111111"/>
          <w:sz w:val="28"/>
          <w:sz w:val="28"/>
          <w:szCs w:val="28"/>
          <w:rtl w:val="true"/>
          <w:lang w:bidi="ar-SA"/>
        </w:rPr>
        <w:t>أصالته وحقيقته، ومهّدنا السبيل لأعداء الإسلام ليقولوا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هدم آثار النبوّة وآثار أهل بيت العصمة والطهارة لا يُعد إساءة إليهم عليهم السلام وهتكاً لحرمتهم فقط، بل هو اعتداء سافر على أصالة نبوّة خاتم الأنبياء ومعالم دينه القويم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رسالة الإسلام رسالة خالدة أبدية وسوف يبقى الإسلام ديناً للبشرية جمعاء إلى يوم القيامة، ولابدّ للأجيال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تعترف بأصالتها وتؤمن بقداستها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تحقيق هذا الهدف يجب أن نحافظ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آثار صاحب الرسالة المحمدية صلى الله عليه و آله لكي نكون قد خطونا خطوة في سبيل استمرارية هذا الدين وبقائه على مدى العصور القادمة، حتّى لا يشكّك أحد في وجود نبيّ الإسلام صلى الله عليه و آله كما شكّكوا في وجود النبي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اهتمّ المسلمون اهتماماً كبيراً بشأن آثار النبي محمد صلى الله عليه و آله وسيرته وسلوكه، حتّى أنّهم سجّلوا دقائق أُموره وخصائص حياته ومميّزات شخصيته، وكلّ ما يرتبط به كخاتمه، ونعله، وسواكه، وسيفه، ودرعه، ورمحه، وجواده، وإبله، وغلامه، حتّى الآبار التي شرب منها الماء، والأراضي التي أوقفها لوجه اللّه سبحانه، والطعام المفضّل لديه، بل وكيفية مشيه وأكله وشربه، وما يرتبط بلحيته المقدّسة وخضابه لها، وغير ذلك، ولا زالت آثار البعض منها باقية إلى يومنا هذا</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وإذا استعرضنا تاريخ الشرائع السماوية نجد في تاريخ السيد المسيح عليه السلام خير شاهد على ما نذهب إليه، فمن المسلّم به أنّ الإنسان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وتبعاً للقرآن الكريم والسنّة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يذعن بوجود السيد المسيح عليه السلام، ويعتقد اعتقاداً راسخاً بأنّ هذه الشخصية تمثّل حلقة من سلسلة الرسالات والنبوّات الطويلة، وأنّ للسيد المسيح وجوداً حقيقياً ودوراً فاعلاً في تاريخ البشرية عامّة</w:t>
      </w:r>
    </w:p>
    <w:p>
      <w:pPr>
        <w:pStyle w:val="BookText"/>
        <w:rPr/>
      </w:pPr>
      <w:r>
        <w:rPr>
          <w:rFonts w:ascii="Amiri" w:hAnsi="Amiri" w:eastAsia="Amiri" w:cs="Amiri"/>
          <w:color w:val="111111"/>
          <w:sz w:val="28"/>
          <w:sz w:val="28"/>
          <w:szCs w:val="28"/>
          <w:rtl w:val="true"/>
          <w:lang w:bidi="ar-SA"/>
        </w:rPr>
        <w:t xml:space="preserve">وتاريخ الرسالات خاصّة، حيث جاء بتعاليم وإرشادات ودساتير سماوية من خلال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الشباب الغربيّين لعدم معرفتهم بالمعارف القرآنية الحقّة وعدم اعتقادهم بالدين الإسلامي الذي جاء به الرسول الأكرم صلى الله عليه و آله والذي يعتبر أفضل طريق وأصفى مرآة لإثبات حقيقة السيد المسيح عليه السلام، نجدهم ينظرون اليوم إلى شخصية السيد المسيح عليه السلام نظرة ارتياب وشكّ وتردّد، وذلك لأنّ الشاب الغربي قد جال ببصره وتتبع الآثار التاريخية، فلم يجد لهذه الشخصية العملاقة أثراً ملموساً لكي يركن إليه، فلم يجد له قبراً</w:t>
      </w:r>
      <w:r>
        <w:rPr>
          <w:rStyle w:val="FootnoteAnchor"/>
          <w:rtl w:val="true"/>
        </w:rPr>
        <w:footnoteReference w:id="684"/>
      </w:r>
      <w:r>
        <w:rPr>
          <w:rFonts w:ascii="Amiri" w:hAnsi="Amiri" w:eastAsia="Amiri" w:cs="Amiri"/>
          <w:color w:val="111111"/>
          <w:sz w:val="28"/>
          <w:sz w:val="28"/>
          <w:szCs w:val="28"/>
          <w:rtl w:val="true"/>
          <w:lang w:bidi="ar-SA"/>
        </w:rPr>
        <w:t>، أو لأُمّه مريم، أو لأحد حواريّيه، كما لم يجد له كتاباً متّفقاً عليه، وإنّما نسبت إليه أناجيل كثيرة مضطربة مختلفة فيما بينهما لا يمكن تمييز الحق من الباطل منها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الشاب الغربي لم يعثر على شيء ملموس يؤدّي به إلى الاطمئنان بأصالة هذه الشخصية والركون إلى أنّها واقعية حقيقية لا يمكن التردّد فيها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ينبغي علينا نحن المسلمين أن نأخذ العبر والدروس من التاريخ المسيحي، وأن نسعى بكلّ ما أُوتينا من قوّة وجهد في سبيل صيانة الآثار الإسلامية عامّة، وآثار الرسول الأكرم صلى الله عليه و آله خاصّة مهما كانت صغيرة، وذلك لأنّها تمثّل الشاهد الحيّ على أصالتنا وأحقيّة دعوتنا، وأن نتجنّب تدميرها بمعول محاربة الشرك الذي اتّخذه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للقضاء على هذه الآثار التاريخية الملموسة والمعالم الإسلامية المهمّة، كي لا يصيب أجيالنا القادمة ما أصاب الشباب الغربي من داء التردّد والشك في شخصية السيد المسيح عليه السلام</w:t>
      </w:r>
      <w:r>
        <w:rPr>
          <w:rFonts w:eastAsia="Amiri" w:cs="Amiri" w:ascii="Amiri" w:hAnsi="Amiri"/>
          <w:color w:val="111111"/>
          <w:sz w:val="28"/>
          <w:szCs w:val="28"/>
          <w:rtl w:val="true"/>
          <w:lang w:bidi="ar-SA"/>
        </w:rPr>
        <w:t>.</w:t>
      </w:r>
      <w:bookmarkStart w:id="805" w:name="pg16776_179135"/>
    </w:p>
    <w:p>
      <w:pPr>
        <w:pStyle w:val="Heading4"/>
        <w:numPr>
          <w:ilvl w:val="3"/>
          <w:numId w:val="1"/>
        </w:numPr>
        <w:rPr/>
      </w:pPr>
      <w:bookmarkStart w:id="806" w:name="__RefHeading___Toc7071293_73709187"/>
      <w:bookmarkStart w:id="807" w:name="_Toc314"/>
      <w:bookmarkEnd w:id="805"/>
      <w:bookmarkEnd w:id="806"/>
      <w:r>
        <w:rPr>
          <w:rtl w:val="true"/>
        </w:rPr>
        <w:t>القرآن الكريم وحفظ الآثار</w:t>
      </w:r>
      <w:bookmarkEnd w:id="807"/>
    </w:p>
    <w:p>
      <w:pPr>
        <w:pStyle w:val="BookText"/>
        <w:rPr/>
      </w:pPr>
      <w:r>
        <w:rPr>
          <w:rFonts w:ascii="Amiri" w:hAnsi="Amiri" w:eastAsia="Amiri" w:cs="Amiri"/>
          <w:color w:val="111111"/>
          <w:sz w:val="28"/>
          <w:sz w:val="28"/>
          <w:szCs w:val="28"/>
          <w:rtl w:val="true"/>
          <w:lang w:bidi="ar-SA"/>
        </w:rPr>
        <w:t>لقد أكّد القرآن الكريم أنّ الأُمم السالفة كانت تحتفظ بآثار أنبيائها وتحافظ عليها وتصونها وتتبرّك بها، وكانت تحملها معها في الحروب، ليتسنّى لها من خلال التبرّك بها التغلّب والانتصار على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النماذج التي ذكرها القرآن الكريم في هذا المجال تابوت بني إسرائيل الذي كانت فيه مواريث آل موسى وهارون،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ولا ريب أنّ هذا التابوت عظيم البركة بشهادة أنّ الملائكة هي التي تحمله، فلو كان حفظ الآثار وصيانتها بصورة عامّة وحفظ هذا التابوت المقدّس بصورة خاصّة غير لائق وغير جدير بالاهتمام، فلماذا يتحدّث عنه القرآن الكريم بهذا اللحن من الخطاب الإيجابي الذي يظهر منه تأييد الفكرة واستحسانها؟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تتصدى الملائكة على عظمتها وقداستها لحمله‌؟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تكون عملية استرجاعه من أيدي العمالقة آية على حقّانية قائد الجيش في وقته‌؟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أنّ الجهلة وذوي العقول الصبيانية هم الذي يعبثون بتراثهم ولا يعيرون له أهمية تذكر، ولا يرون له ذلك الأثر الفاعل في حركتهم المستقبلية، وأمّا الوارث العاقل واللبيب فإنّه يتعامل مع ذلك الموروث بطريقة أُخرى وبنحو يختلف اختلافاً جوهرياً عن الطريقة السالفة، وذلك لأنّه يعي جيداً ما تنطوي عليه تلك الآثار من تراث معنوي واجتماعي، وما يعكسه هذا التراث من أصالة</w:t>
      </w:r>
    </w:p>
    <w:p>
      <w:pPr>
        <w:pStyle w:val="BookText"/>
        <w:rPr/>
      </w:pPr>
      <w:r>
        <w:rPr>
          <w:rFonts w:ascii="Amiri" w:hAnsi="Amiri" w:eastAsia="Amiri" w:cs="Amiri"/>
          <w:color w:val="111111"/>
          <w:sz w:val="28"/>
          <w:sz w:val="28"/>
          <w:szCs w:val="28"/>
          <w:rtl w:val="true"/>
          <w:lang w:bidi="ar-SA"/>
        </w:rPr>
        <w:t>وحقّانية وإثبات للهوية، لذلك تجده يعض عليها بالنواجذ، ويبذل في سبيل صيانتها الغالي والنفيس</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حسن الحظ أنّ الأُمّة الإسلامية ومنذ الأيام الأُولى قد التفتت إلى أهمية هذا التراث الإسلامي المهم، فحافظت عليه كما حدّثنا التاريخ الإسلامي، حيث كانوا يحتفظون بكلّ ما يمتّ إلى الرسول الأكرم صلى الله عليه و آله بصلة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وسلاح، ودار، وكتاب، وغير ذلك من الحاجات الشخصية التي كان يستعملها، بل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يحتفظون به في صندوق خاص</w:t>
      </w:r>
      <w:r>
        <w:rPr>
          <w:rFonts w:eastAsia="Amiri" w:cs="Amiri" w:ascii="Amiri" w:hAnsi="Amiri"/>
          <w:color w:val="111111"/>
          <w:sz w:val="28"/>
          <w:szCs w:val="28"/>
          <w:rtl w:val="true"/>
          <w:lang w:bidi="ar-SA"/>
        </w:rPr>
        <w:t>.</w:t>
      </w:r>
      <w:bookmarkStart w:id="808" w:name="pg16776_179137"/>
    </w:p>
    <w:p>
      <w:pPr>
        <w:pStyle w:val="Heading3"/>
        <w:numPr>
          <w:ilvl w:val="2"/>
          <w:numId w:val="1"/>
        </w:numPr>
        <w:rPr/>
      </w:pPr>
      <w:bookmarkStart w:id="809" w:name="__RefHeading___Toc7071295_73709187"/>
      <w:bookmarkStart w:id="810" w:name="_Toc315"/>
      <w:bookmarkEnd w:id="808"/>
      <w:bookmarkEnd w:id="809"/>
      <w:r>
        <w:rPr/>
        <w:t>10</w:t>
      </w:r>
      <w:r>
        <w:rPr>
          <w:rtl w:val="true"/>
        </w:rPr>
        <w:t xml:space="preserve">. </w:t>
      </w:r>
      <w:r>
        <w:rPr>
          <w:rtl w:val="true"/>
        </w:rPr>
        <w:t>اختلاف الزوجين في دوام العقد وانقطاعه</w:t>
      </w:r>
      <w:bookmarkEnd w:id="810"/>
    </w:p>
    <w:p>
      <w:pPr>
        <w:pStyle w:val="Heading4"/>
        <w:numPr>
          <w:ilvl w:val="3"/>
          <w:numId w:val="1"/>
        </w:numPr>
        <w:rPr/>
      </w:pPr>
      <w:bookmarkStart w:id="811" w:name="__RefHeading___Toc7071297_73709187"/>
      <w:bookmarkStart w:id="812" w:name="_Toc316"/>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إذا اختلف الزوجان في العقد الواقع بينهما في أنّه هل كان على وجه الدوام أو على وجه الانقطاع، فالزوج يدّعي الثاني والمرأة تدّعي الأوّل، وليس لهما أي شاهد أو بيّنة يثبت قول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أنّه يحمل على الدوام لا على الانقطاع بحجّة أنّ الأوّل لا يحتاج إلى التقييد بخلاف الثاني، فهو بحاجة إليه، إذ هما قد اتّفقا على أصل العقد وإنّما اختلفا في القيد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عدمه؛ هذا مضافاً إلى أنّ مقتضى الاستصحاب، هو بقاء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الاستئناس لما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الإطلاق هو الدوام وأنّه لا يحتاج التقييد بخلاف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اختاره جمع من الأُصوليين من أنّ إطلاق الأمر ينصرف إلى النفسي لا الغيري، وإلى العيني لا الكفائي، وإلى التعييني لا التخييري، مع أنّ كلّاً من القسمين من الأقسام الثلاثة يتميّز عن المقسم بقيد زائد وإلّا يلزم أن يكون القسم عين المقسم، ومع ذلك يتلقّى العرف الأمر الوارد على وجه الإطلاق أنّه نفسي، عيني، تعييني، وما هذا إلّالأجل أنّه يرى أنّ الثلاثة في مقام الإفادة غنية</w:t>
      </w:r>
    </w:p>
    <w:p>
      <w:pPr>
        <w:pStyle w:val="BookText"/>
        <w:rPr/>
      </w:pPr>
      <w:r>
        <w:rPr>
          <w:rFonts w:ascii="Amiri" w:hAnsi="Amiri" w:eastAsia="Amiri" w:cs="Amiri"/>
          <w:color w:val="111111"/>
          <w:sz w:val="28"/>
          <w:sz w:val="28"/>
          <w:szCs w:val="28"/>
          <w:rtl w:val="true"/>
          <w:lang w:bidi="ar-SA"/>
        </w:rPr>
        <w:t>عن التقييد دون غيرها، ونظير الأمر عقد النكاح فهو بلا قيد أشبه بالأمر النفسي العيني التعييني، فالإطلاق يكفي في إثبات كونه محكوماً بالدوام دون الآخر، وأنّ الأوّل غني عن التقييد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شككنا في تقييد الإطلاق بالمدّة فالأصل عدم القيد، وهذا النوع من الأصل ليس مثبتاً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 ذكر القيد كافٍ في إفادة الدوام بخلاف المؤقّت فلا يكفي في إنشائه إلّاذكر القيد، وإذا شُكّ في ذكر القيد ينفى بالأصل فيكون وجود العقد مع عدم التقارن بذكر المدّة كافياً في إفادة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الزوجين في كون العقد دائماً أو مؤقّتاً يرجع إلى سعة المنشأ وضيقه، فالقائل بالدوام يدّعي سعة المنشأ والقائل بالانقطاع يدّعي ضيقه، فيرجع الأمر إلى الشك في الأقل والأكثر فيؤخذ بالأقل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الأكثر أي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الكلام هو أنّ الدوام في النكاح من أجزاء المنشأ فالقائل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العلقة الدائمة بين الزوجين، ولكنّ الظاهر أنّ الدوام من أحكام المنشأ المجرد عن القيد بالسلب التحصيلي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هناك عقد ولم يكن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السلب المعدولي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العقد الموصوف بعدم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الأوّل محرز بالوجدان والثاني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ما ذكرنا من أنّ الدوام والانقطاع من أحكام المنشأ لا من أجزائه كونه المتبادر من سائر العقود، كالبيع والهبة، فقول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لا يرمي إلّا إلى إيجاد العلقة بين المالين وإنشاء المبادلة بينهما دون أن يكون الدوام أو اللزوم مأخوذاً في المنشأ وإنّما الدوام أو اللزوم من أحكام البيع عرفاً أو شرعاً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مفاد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المنشأ إلّاالعلقة بين الزوجين لا العلقة الموصوفة بالدوام حتى يكون جزء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من أنّ الدوام ليس داخلاً في المنشأ وإنّما هو من أحكام العقد ما ورد عنهم عليهم السلام من أنّه من ترك ذكر الأجل في عقد المتعة انقلب دائماً، روى الكليني بسند صحيح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سُمّي الأجل فهو متعة، وإن لم يسم الأجل فهو نكاح بات</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وروى أيضاً عن أبان بن تغلب أنّه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أستحي أن أذكر شرط الأيام،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أضر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إن لم تشترط كان تزويج مقام ولزمتك النفقة في العدّة وكانت وارثاً</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الإهمال ثبوتاً لا معنى له والعاقد لا ينشئ العقد مهملاً بل إمّا يريد الدوام أو الانقطاع إلّاأن يكون غافلاً أو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يزال الفقهاء الأعلام يقسّمون النكاح إلى دائم ومنقطع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ورد التعبير في بعض الروايات عن النكاح الدائم بنكاح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يزال العاقدون يقولون عند إنشاء العقد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عقد دائمى و زوجيت هميشگى درآورم موكلۀ خودم فلانه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إلى مقام الثبوت ونيّة العاقد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في مقام الإثبات إذا لم يذكر عند إنشاء العقد المدّة يكون إشارة إلى الدوام بحسب نية المنشي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فأصالة عدم ذكر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العقلي قصد الدوام من ناحية العاقد ويترتّب على هذا اللازم العقلي، أحكامه الشرعية فهذا هو الأصل المثبت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قياس مانحن فيه بالبيع والهبة، قياسٌ مع الفارق لأنّ‌</w:t>
      </w:r>
    </w:p>
    <w:p>
      <w:pPr>
        <w:pStyle w:val="BookText"/>
        <w:rPr/>
      </w:pPr>
      <w:r>
        <w:rPr>
          <w:rFonts w:ascii="Amiri" w:hAnsi="Amiri" w:eastAsia="Amiri" w:cs="Amiri"/>
          <w:color w:val="111111"/>
          <w:sz w:val="28"/>
          <w:sz w:val="28"/>
          <w:szCs w:val="28"/>
          <w:rtl w:val="true"/>
          <w:lang w:bidi="ar-SA"/>
        </w:rPr>
        <w:t>البيع لا ينقسم إلى الدائم والمؤقّت وكذا الهبة، ولهما قسمٌ واحد طبيعته البقاء، والحال أنّ النكاح ينقسم إليهما في كلمات العلماء حتى في الروايات وعند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اعترفنا بوجود النكاح المؤقّت، لابدّ أن نعترف بأنّ مقابله النكاح الدائم لا النكاح المهمل بالإهمال الثبوتي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المؤقّت في باب النكاح أدلّ دليل على أنّ مقابله هو النكاح الدائم بخلاف البيع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الإهمال الثبوتي لا معنى له، والعاقد لا ينشئ العقد مهملاً بل هو إمّا أن يريد الدوام أو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 في المقام لو كان الدوام والانقطاع من مقوّمات النكاح دونما إذا كان كلٌّ من عوارضه وأحكامه، وعلى هذا فلا وجه لأن يقصد أحدهما، والشاهد على ذلك أنّك لا تجد أي أثر منهما في سائر العقود، وأمّا ذكر الدوام عند العقد باللغة الفارسية فهو من احتياطات علمائنا رحم اللّه الماضين وحفظ الباقين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 النكاح لا يقاس بالبيع لأنّ الثاني لا ينقسم إلى الدائم والمؤقّت بخلاف النكاح، فهو غير تام أيضاً؛ وذلك لأنّ نفس التقسيم يوجد في البيع لكن بصورة أُخرى وهي انقسامه إلى اللازم والجائز، فكما هما غير مأخوذين في حقيقة البيع، فكذلك الدوام والتوقيت في النكاح غير مأخوذين في حقيقته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يشهد على أنّ الدوام غير مأخوذ في حقيقة النكاح هو أنّه لو عقد رجل على امرأة في غير البيئات الشيعية وذكر قيد الدوام في العقد ربما يستغرب من فعله هذا</w:t>
      </w:r>
      <w:r>
        <w:rPr>
          <w:rFonts w:eastAsia="Amiri" w:cs="Amiri" w:ascii="Amiri" w:hAnsi="Amiri"/>
          <w:color w:val="111111"/>
          <w:sz w:val="28"/>
          <w:szCs w:val="28"/>
          <w:rtl w:val="true"/>
          <w:lang w:bidi="ar-SA"/>
        </w:rPr>
        <w:t>.</w:t>
      </w:r>
      <w:bookmarkStart w:id="813" w:name="pg16776_179141"/>
    </w:p>
    <w:p>
      <w:pPr>
        <w:pStyle w:val="Heading4"/>
        <w:numPr>
          <w:ilvl w:val="3"/>
          <w:numId w:val="1"/>
        </w:numPr>
        <w:rPr/>
      </w:pPr>
      <w:bookmarkStart w:id="814" w:name="__RefHeading___Toc7071299_73709187"/>
      <w:bookmarkStart w:id="815" w:name="_Toc317"/>
      <w:bookmarkEnd w:id="813"/>
      <w:bookmarkEnd w:id="814"/>
      <w:r>
        <w:rPr>
          <w:rtl w:val="true"/>
        </w:rPr>
        <w:t>لزوم الأخذ بطبع العقد</w:t>
      </w:r>
      <w:bookmarkEnd w:id="815"/>
    </w:p>
    <w:p>
      <w:pPr>
        <w:pStyle w:val="BookText"/>
        <w:rPr/>
      </w:pPr>
      <w:r>
        <w:rPr>
          <w:rFonts w:ascii="Amiri" w:hAnsi="Amiri" w:eastAsia="Amiri" w:cs="Amiri"/>
          <w:color w:val="111111"/>
          <w:sz w:val="28"/>
          <w:sz w:val="28"/>
          <w:szCs w:val="28"/>
          <w:rtl w:val="true"/>
          <w:lang w:bidi="ar-SA"/>
        </w:rPr>
        <w:t>إنّ العناوين الاعتبارية كالبيع والنكاح وغيرهما أُمور عقلائية استخدمها العقلاء لرفع حاجاتهم في حياتهم الاجتماعية، ومن المعلوم أنّ الذي يرفع الحاجة في هذه الأُمور هو ما إذا كان المعتبر بطبعه مقتضياً للدوام، فلا يرتاح العاقد إلّاإذا كان النكاح بطبعه مقتضياً للدوام والبيع كذلك، لأنّ بناء الأُسرة على أساس اللزوم أو الدوام، كما أنّ أساس التجارة على لزوم البيع ودوامه، وعلى هذا فطبيعة النكاح تلازم الدوام، والنكاح المؤقّت أمر طارئ عليه اعتبره الشارع لرفع بعض الضروريات في السفر وغيره، ونعم ما قاله أحد السادة في مقابلة مع أحد الصحفيين الذي كان ينتقد النكاح المؤقّت،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المؤقّت دواء لا 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يكمن في جانب واحد وعليه تدور رحى البحث، وهو هل الدوام مقتضى طبيعة النكاح أو أنّه قيد في المنشأ؟ فنحن على الأوّل والقائل بالقول الآخر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الدوام مقتضى الطبيعة فيؤخذ بمقتضاها حتى يثبت الخلاف ويحكم بالدوام حتى يثبت أنّ العقد مؤقّت، فالحكم بدوام العقد ليس رهن القيد حتى يُنفى بالأصل كما قيل، بل يكفي إطلاقه لأنّ طبعه مقتضٍ للدوام، فالأخذ بمقتضى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غنى عن إقامة الدليل، والقائل بخلاف الطبع عليه الدليل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أمراً غريباً وله شواهد في الفقه،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بيع الوقف هو الفساد، فمدّعي الصحّة بحاجة إلى 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بيع مال اليتيم هو الفساد، فعلى مدّعي الصحّة الدليل على وجود الغبطة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النظر إلى النساء هو الحرمة، وجواز النظر يحتاج إلى إثبات</w:t>
      </w:r>
    </w:p>
    <w:p>
      <w:pPr>
        <w:pStyle w:val="BookText"/>
        <w:rPr/>
      </w:pPr>
      <w:r>
        <w:rPr>
          <w:rFonts w:ascii="Amiri" w:hAnsi="Amiri" w:eastAsia="Amiri" w:cs="Amiri"/>
          <w:color w:val="111111"/>
          <w:sz w:val="28"/>
          <w:sz w:val="28"/>
          <w:szCs w:val="28"/>
          <w:rtl w:val="true"/>
          <w:lang w:bidi="ar-SA"/>
        </w:rPr>
        <w:t>عنوان مجوّز من العناوين السبعة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في اللحوم هو الحرمة، ومدَّعي الحلّية بحاجة إلى إثبات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بعد ما حرّرت هذا البحث، وقفت على كلام لأحد المحقّقين في المسألة، ألا وهو الفقيه الجليل، السيد علي البهبهاني قدس سره،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تقابل الدوام والانقطاع من قبيل التناقض ويكون مرجع الدوام إلى إطلاق العقد وعدم كونه مؤجّلاً، وعندئذٍ يقع دائماً، لأنّ الدوام ليس شيئاً زائداً على نفس العقد حتّى يحتاج إلى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تقابلهما من قبيل تقابل التناقض، ضرورة أنّ مرجع دوام عقد الازدواج إلى عدم تقييده بأجل ومدّة، فهو منتزع من إطلاق العقد وعدم تقييده، فلا يكون أمراً زائداً على نفس العقد، وإلّا وجب ذكر الدوام في العقد الدائم، كما وجب ذكر الأجل في العقد المنقطع، فاختلافهما ليس في الحقيقة والماهية بل في كيفية الإيجاد مع اتّحاد الحقيقة والماهية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أوجد عقد الازدواج على وجه الإطلاق فهو دائم، وإن أوجد بأجل معيّن فهو منقطع</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16" w:name="pg16776_179143"/>
    </w:p>
    <w:p>
      <w:pPr>
        <w:pStyle w:val="Heading2"/>
        <w:numPr>
          <w:ilvl w:val="1"/>
          <w:numId w:val="1"/>
        </w:numPr>
        <w:rPr/>
      </w:pPr>
      <w:bookmarkStart w:id="817" w:name="__RefHeading___Toc7071301_73709187"/>
      <w:bookmarkStart w:id="818" w:name="_Toc318"/>
      <w:bookmarkEnd w:id="816"/>
      <w:bookmarkEnd w:id="817"/>
      <w:r>
        <w:rPr>
          <w:rtl w:val="true"/>
        </w:rPr>
        <w:t>الفصل الثالث الرسائل المتبادلة</w:t>
      </w:r>
      <w:bookmarkEnd w:id="818"/>
    </w:p>
    <w:p>
      <w:pPr>
        <w:pStyle w:val="Heading3"/>
        <w:numPr>
          <w:ilvl w:val="2"/>
          <w:numId w:val="1"/>
        </w:numPr>
        <w:rPr/>
      </w:pPr>
      <w:bookmarkStart w:id="819" w:name="__RefHeading___Toc7071303_73709187"/>
      <w:bookmarkStart w:id="820" w:name="_Toc319"/>
      <w:bookmarkEnd w:id="819"/>
      <w:r>
        <w:rPr>
          <w:rtl w:val="true"/>
        </w:rPr>
        <w:t>اشارة</w:t>
      </w:r>
      <w:bookmarkEnd w:id="8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مراسلاتنا مع الدكتور وهبة الزحيلي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مراسلاتنا مع الدكتور عبد الوهاب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مراسلة مع الدكتور الشيخ على محيي الدين القره داغي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مراسلة مع الشيخ أنس الكتبي 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مراسلة مع الشيخ عبد اللّه الدشتي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821" w:name="pg16776_179145"/>
    </w:p>
    <w:p>
      <w:pPr>
        <w:pStyle w:val="Heading3"/>
        <w:numPr>
          <w:ilvl w:val="2"/>
          <w:numId w:val="1"/>
        </w:numPr>
        <w:rPr/>
      </w:pPr>
      <w:bookmarkStart w:id="822" w:name="__RefHeading___Toc7071305_73709187"/>
      <w:bookmarkStart w:id="823" w:name="_Toc320"/>
      <w:bookmarkEnd w:id="821"/>
      <w:bookmarkEnd w:id="822"/>
      <w:r>
        <w:rPr/>
        <w:t>1</w:t>
      </w:r>
      <w:r>
        <w:rPr>
          <w:rtl w:val="true"/>
        </w:rPr>
        <w:t xml:space="preserve"> </w:t>
      </w:r>
      <w:r>
        <w:rPr>
          <w:rtl w:val="true"/>
        </w:rPr>
        <w:t>مراسلاتنا مع الدكتور وهبة الزحيلي</w:t>
      </w:r>
      <w:bookmarkEnd w:id="823"/>
    </w:p>
    <w:p>
      <w:pPr>
        <w:pStyle w:val="BookText"/>
        <w:rPr/>
      </w:pPr>
      <w:r>
        <w:rPr>
          <w:rFonts w:ascii="Amiri" w:hAnsi="Amiri" w:eastAsia="Amiri" w:cs="Amiri"/>
          <w:color w:val="111111"/>
          <w:sz w:val="28"/>
          <w:sz w:val="28"/>
          <w:szCs w:val="28"/>
          <w:rtl w:val="true"/>
          <w:lang w:bidi="ar-SA"/>
        </w:rPr>
        <w:t>فضيلة الأُستاذ الدكتور وهبة الزحيلي أعزكم اللّه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في هذه الأجواء المعطّرة بنفحات ذكرى مولد الرسول الأكرم صلى الله عليه و آله، أودّ أن أزفّ إليكم أجمل التهاني، وأسمى التبريكات بهذه المناسبة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أيضاً أن أُزجي لكم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مشفوعاً بصادق ودادي، وخالص دعائي لكم بالتوفيق والسعادة والحياة الهانئة في ظلال القرآن الكريم، وأن يجعلني وإيّاكم من حفظته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تعالى على ما منّ به من التوفيق لارتياد آفاقه الواسعة، راجياً أن أكون قد أسهمت في خدمة هذا الكتاب الخالد، الّذي نتطلّع إلى أن تهتدي أُمّتنا الإسلامية بأنواره، وتحكّمه في شؤون حياتها، وتسترشد به في مواقفها في هذا المنعطف الخطير، الّذي يتكالب فيه الأعداء للإجهاز على الإسلام ومبادئه السامية، وتحطيم شخصية أُمّتنا العريقة، وصولاً إلى الهدف الخبيث المعلن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إقامة الشرق الأوسط الكبير، وفق مقاييسهم الشيطانية، اعتماداً على نشر ما يسمّونه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الفوضى البنّاءة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بذل أعلامنا وأساتذتنا الكرام أمثال السيد حسين الطباطبائي</w:t>
      </w:r>
    </w:p>
    <w:p>
      <w:pPr>
        <w:pStyle w:val="BookText"/>
        <w:rPr/>
      </w:pPr>
      <w:r>
        <w:rPr>
          <w:rFonts w:ascii="Amiri" w:hAnsi="Amiri" w:eastAsia="Amiri" w:cs="Amiri"/>
          <w:color w:val="111111"/>
          <w:sz w:val="28"/>
          <w:sz w:val="28"/>
          <w:szCs w:val="28"/>
          <w:rtl w:val="true"/>
          <w:lang w:bidi="ar-SA"/>
        </w:rPr>
        <w:t>البروجردي، والشيخ محمود شلتوت، والشيخ عبد المجيد سليم، والشيخ محمد حسين كاشف الغطاء رحمهم اللّه تعالى، وغيرهم من الأعلام الذين اتّسموا بالإخلاص واتّساع الأفق والهمم العالية، بذلوا جهوداً مشتركة جبارة في توعية الأُمة وإرشادها إلى النهج القويم ودعوتها إلى الوحدة والتآلف والتضامن، وصيانتها من التفكّك والتمزّق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نذكر ذلك، نتمنّى أن يواصل الأعلام في هذه الأيام العصيبة، حمل لواء التقريب والوئام بين أبناء المذاهب الإسلامية، لدرء الفتنة التي تسعى لإثارتها أمريكا والكيان الصهيوني وأذنابهما، والّتي تستهدف بثّ الشقاق، وتأكيد الخلاف بين أبناء الأُمّة الواحدة من خلال تحريض المنتفعين والجهلة وقاصري النظر على إصدار أقوال وارتكاب أعمال سفيهة، يُراد منها تأجيج الصراع وإشعال المنطقة برمّتها وصولاً إلى الهدف المذكور آنفاً، وصدق شاعر حلب الكبير أبو فراس الحمداني،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يكبر الخطب اليسير وتجتني أكابر قوم ما جناه الأصاغر</w:t>
      </w:r>
    </w:p>
    <w:p>
      <w:pPr>
        <w:pStyle w:val="BookText"/>
        <w:rPr/>
      </w:pPr>
      <w:r>
        <w:rPr>
          <w:rFonts w:ascii="Amiri" w:hAnsi="Amiri" w:eastAsia="Amiri" w:cs="Amiri"/>
          <w:color w:val="111111"/>
          <w:sz w:val="28"/>
          <w:sz w:val="28"/>
          <w:szCs w:val="28"/>
          <w:rtl w:val="true"/>
          <w:lang w:bidi="ar-SA"/>
        </w:rPr>
        <w:t xml:space="preserve">ومهما تآمر الأعداء على أُمّتنا، فكلّي أمل وتفاؤل، بأنّ أُمّتنا، ستُفشل مخطّطاتهم وتُخيِّب مساعيهم، وستبقى أُمّة واحدة كالجسد الواحد، مادام فيها رجال مخلصون، من الطائفتين، تنبض قلوبهم غيرة على الإسلام، ويتواصلون بينهم في محبّة واستشعار بأُخوّة الإيمان، وأرى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المفضال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الأعلام الذين يُعوَّل عليهم في هذا الميدان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تعالى وسدّد خطاكم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الفضيلة الشيخ الجليل آية اللّه جعفر السبحاني أيده اللّه تعالى</w:t>
      </w:r>
    </w:p>
    <w:p>
      <w:pPr>
        <w:pStyle w:val="BookText"/>
        <w:rPr/>
      </w:pPr>
      <w:r>
        <w:rPr>
          <w:rFonts w:ascii="Amiri" w:hAnsi="Amiri" w:eastAsia="Amiri" w:cs="Amiri"/>
          <w:color w:val="111111"/>
          <w:sz w:val="28"/>
          <w:sz w:val="28"/>
          <w:szCs w:val="28"/>
          <w:rtl w:val="true"/>
          <w:lang w:bidi="ar-SA"/>
        </w:rPr>
        <w:t>السلام عليكم ورحمة اللّه وبركاته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أسأله سبحانه أن يتمّ عليكم نعمه ظاهرة وباطنة وأن يحميكم من كل سوء، ويحفظ عليكم نعمة الإيمان والصحّة والسلامة في الدين والدنيا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إنّني لشاكر فضلكم بإرسال 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 في ثوب قشيب وجديد بتتبع قصص الأنبياء عليهم الصلاة والسلام بحسب التسلسل التاريخي، وهو أحد إنجازاتكم العلمية المبتكرة الّتي يمطرها عليّ فضلكم العظيم بالهدايا المتتابعة الدالّة على وفائكم وصفاتكم الطيبة، والّتي غرست حبي وتقديري لسماحتكم منذ تشرّفي بزيارتكم في مركزكم العلمي العامر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بشّرني سماحة آية اللّه سفيركم الكبير في دمشق بأنّه سيعقد مؤتمراً للعلماء في سورية يجمع طوائف العلماء من كلّ بلد، وأنّكم في طليعة المدعوين، وأنتظر ذلك، ويشرّفني الاجتماع بكم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كما ذكرتم أهل العلم واجبنا الاتّفاق على مرضاة اللّه، والحفاظ على قيم الإسلام الكبرى فيما يخصّ اجتماعنا على الحقّ لمواجهة باطل المستعمرين الدخلاء والمستكبرين الذين يزرعون الفتن بين الطوائف الإسلامية، واللّه ناصرنا بفضله ومشيئته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حقّق اللّه الآمال، وأيدكم بروح من عنده، واللّه يحب المحسنين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أخوكم وهبة مصطفى الزحيلي دمشق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الآخر سنة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حضرة الأُستاذ الفاضل الدكتور وهبة الزحيلي المحترم</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تكونوا في دوام الصحّة والسلامة، جادّين في حلبة التحقيق والتأليف وإنارة الطريق لطلاب الحقّ وروّاده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سمعنا من الأخبار أنّ أحد المفتين أفتى بجواز الجمع بين الظهرين بالشكل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يصلي الظهر قرب نهاية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الساعة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يصلّي العصر، فتقع الظهر في آخر وقتها والعصر في ابتداء وقتها، وبذلك أزالوا الحرج ممّا يعانيه المصلّون جراء التفريق في الجو الحار أو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النوع من الجمع ليس بأقل حرجاً من التفريق الرائج، وأنّ دائرة الجمع أوسع من ذلك إذا نظرنا إلى 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قمت ببيان ذلك في رسالة خاصّة أُقدّمها إليكم، والرجاء إلقاء النظر فيها وتزويدنا بملاحظاتكم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أرجو أن لا تنسوني في صالح دعواتكم، في الخلوات وأعقاب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العلّامة الجليل الشيخ جعفر السبحاني أيّده اللّه</w:t>
      </w:r>
    </w:p>
    <w:p>
      <w:pPr>
        <w:pStyle w:val="BookText"/>
        <w:rPr/>
      </w:pPr>
      <w:r>
        <w:rPr>
          <w:rFonts w:ascii="Amiri" w:hAnsi="Amiri" w:eastAsia="Amiri" w:cs="Amiri"/>
          <w:color w:val="111111"/>
          <w:sz w:val="28"/>
          <w:sz w:val="28"/>
          <w:szCs w:val="28"/>
          <w:rtl w:val="true"/>
          <w:lang w:bidi="ar-SA"/>
        </w:rPr>
        <w:t>السلام عليكم ورحمة اللّه وبركاته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أدعواللّه تعالى لكم بطول العمر وغزارة النتاج العلمي وتمام العافية والصحّة، وأشكركم شكراً جزيلاً على أفضالكم ورفدكم العلمي الذي تتحفني به بين الفينة والأُخرى، علماً بأنّني لا أنسى زيارتي لمنزلكم العامر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وغرس محبتكم وتقديركم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والشكر موصول لسماحتكم على الكتابين الأخيرين الزاخرين في بيان طريق الوحدة والتعايش ومواقيت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مواقيت الصلاة فأحسنتم صنعاً ببيان أدلّة إثبات الأوقات الخمسة للفرائص الخمس من الآيات والأحاديث الثابتة، لا سيّما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مفروضة في أوقات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بين الصلاتين من جنس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يكون في وقت صلاة إحداهما جمع تقديم أو تأخير بسبب أداء مناسك الحج، والسفر، والمطر، والمرض، ويجوز الجمع للأعذار أو الحاجة استثناء من الأصل ولو في غير تلك الأعذار المذكورة، وهذا يعني لا يجوز اتخاذ الجمع طريقاً مشروعاً على مدى العمر من غير حاجة ولا عذر، وهذا مذهب الحنابلة في الجمع لعذر أو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على حقٍّ وصواب في ترجيح ذلك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وأنّه سماحة الإسلام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وأجاز الجمع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في الحقيقة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المالكية بأن</w:t>
      </w:r>
    </w:p>
    <w:p>
      <w:pPr>
        <w:pStyle w:val="BookText"/>
        <w:rPr/>
      </w:pPr>
      <w:r>
        <w:rPr>
          <w:rFonts w:ascii="Amiri" w:hAnsi="Amiri" w:eastAsia="Amiri" w:cs="Amiri"/>
          <w:color w:val="111111"/>
          <w:sz w:val="28"/>
          <w:sz w:val="28"/>
          <w:szCs w:val="28"/>
          <w:rtl w:val="true"/>
          <w:lang w:bidi="ar-SA"/>
        </w:rPr>
        <w:t>يُصلّى الظهر في آخر وقته، ثم العصر في أوّل وقته، وهو رأي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تعمّد الجمع من غير عذر ولا حاجة، وهو محلّ نظر وتأمّل، كما لا يصحّ تعمّد تأخير الصلاة لآخر الوقت من غير سبب، وهو رأيكم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أيضاً تأخير الصلاة لآخر الوقت عمداً لمنافاة ذلك للآيات، والإنكار النبوي على مَن يؤخّر الصلاة عن أوّل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أحسنتم في بيان الأفضل في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أدامكم اللّه ذخراً للإسلام والعلم،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مصطفى الزحيلي</w:t>
      </w:r>
    </w:p>
    <w:p>
      <w:pPr>
        <w:pStyle w:val="BookText"/>
        <w:rPr/>
      </w:pPr>
      <w:r>
        <w:rPr>
          <w:rFonts w:ascii="IRNazanin" w:hAnsi="IRNazanin" w:eastAsia="IRNazanin"/>
          <w:color w:val="111111"/>
          <w:sz w:val="28"/>
          <w:sz w:val="28"/>
          <w:szCs w:val="28"/>
          <w:rtl w:val="true"/>
          <w:lang w:bidi="fa-IR"/>
        </w:rPr>
        <w:t>دمشق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الآخر،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الأُستاد الفاضل الدكتور وهبة الزحيلي</w:t>
      </w:r>
    </w:p>
    <w:p>
      <w:pPr>
        <w:pStyle w:val="BookText"/>
        <w:rPr/>
      </w:pPr>
      <w:r>
        <w:rPr>
          <w:rFonts w:ascii="Amiri" w:hAnsi="Amiri" w:eastAsia="Amiri" w:cs="Amiri"/>
          <w:color w:val="111111"/>
          <w:sz w:val="28"/>
          <w:sz w:val="28"/>
          <w:szCs w:val="28"/>
          <w:rtl w:val="true"/>
          <w:lang w:bidi="ar-SA"/>
        </w:rPr>
        <w:t>دامت معاليه وتواترت بيض أياديه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وصلتني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رسالتكم القيّمة بواسطة الأخ العزيز السيد الوزيري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المرجو من سماحتكم إمعان النظر في الروايات الدالّة على جواز الجمع بين الصلاتين الّتي يناهز عددها الثلاثين، فإنّ حمل تلك الروايات على صورة الأعذار أو الجمع بين آخر وقت الصلاة الأُولى وأوّل وقت الثانية أمر لا تتحمّله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الاستدلال عندكم فالرجاء طرح المسألة في المجامع العلمية عسى أن يكون ذلك دعامة لتعرّف الآخرين على هذه الحنفية السهلة الّتي بعث بها النبي الخاتم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نبعث إليكم الآن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درسنا فيه أحكام شركات التأمين الحديثة الموجودة حالياً، أقدّمه إليكم عسى أن يقع موقع دراستكم ومناقشتكم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والرجاء الأكيد من فضيلة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يتمتع بكلمة نافذة في البيئات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المسلمين إلى الوحدة وتقارب الخطى عسى أن يعود المسلمون إخوة متحابّين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الجليل العلامة جعفر السبحاني حفظه اللّه تعالى</w:t>
      </w:r>
    </w:p>
    <w:p>
      <w:pPr>
        <w:pStyle w:val="BookText"/>
        <w:rPr/>
      </w:pPr>
      <w:r>
        <w:rPr>
          <w:rFonts w:ascii="Amiri" w:hAnsi="Amiri" w:eastAsia="Amiri" w:cs="Amiri"/>
          <w:color w:val="111111"/>
          <w:sz w:val="28"/>
          <w:sz w:val="28"/>
          <w:szCs w:val="28"/>
          <w:rtl w:val="true"/>
          <w:lang w:bidi="ar-SA"/>
        </w:rPr>
        <w:t>السلام عليكم ورحمة اللّه وبركاته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تعالى أن تكون مع أهلك وعيالك وأولادك بخير وعافية وسعادة غامرة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طلبته منّي من البحث في روايات الجمع فقد فعلت والقضية خلافية، وليس عندي قدرة على حمل المجامع على بحث موضوع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نظرت في الروايات وتبيّن لي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أغلبها صحيح، وبعضها ضعيف، ولكن بغض النظر عن هذه الروايات فإنّ أصل التشريع هو القرآن الكريم الذي نصّ على توقيت الصلوات الخمس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أي مفروضة في أوقاتها، ودلّت السنّة النبوية العملية والقولية والإجماع العملي القطعي على أنّ صلاة النبي صلى الله عليه و آله كانت في أوقاتها الخمسة، وسار الخلفاء الراشدون وبقية الصحابة والتابعين وعلى مدى القرون الأربعة عشر ونيِّف على توارث طريقة أداء هذه الصلوات، فلا نعطل أوّلاً هذه الأدلّة المقرّرة شرعاً وعقلاً ووارثاً، ولا نتعصّب لرواية ابن عباس على الرغم من صحّتها وقوله في الجمع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يحرج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أنّ الجمع الاستثنائي لأعذار فقط كالسفر والمطر والمرض أو بطريقة الجمع الصوري، ولو تجاوزنا ذلك لكان</w:t>
      </w:r>
    </w:p>
    <w:p>
      <w:pPr>
        <w:pStyle w:val="BookText"/>
        <w:rPr/>
      </w:pPr>
      <w:r>
        <w:rPr>
          <w:rFonts w:ascii="Amiri" w:hAnsi="Amiri" w:eastAsia="Amiri" w:cs="Amiri"/>
          <w:color w:val="111111"/>
          <w:sz w:val="28"/>
          <w:sz w:val="28"/>
          <w:szCs w:val="28"/>
          <w:rtl w:val="true"/>
          <w:lang w:bidi="ar-SA"/>
        </w:rPr>
        <w:t xml:space="preserve">ينبغي التزام قول ابن عباس في تجويز الجمع أحياناً، والقول بجواز الجمع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بأن لا يتخذ ذلك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نصح الإمام الخميني رحمه الله الشيعة بالتقيّد بالأوقات الخمسة لا الثلاثة كما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فالرجاء منكم وأنتم في قسمة الإفتاء والعلم التوجيه لهذا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وأشكركم على كتابكم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معلومات مدلّلة ومعلّلة وأُؤيدكم في إيراد ما يدلّ على الشخصية المعنوية من كلام الفقهاء، وربما لا أوافقكم على عدم تجويز الشركات المساهمة القائمة على أحكام شركتي العنان والمضاربة، وهذا اجتهاد الأغلبية، ولا غرر فيها مع تبيان أنظمة هذه الشركة في القوانين التي تحدّد معالمها وتصرفات مديرها ومجلس إدارتها، ممّا يمنع عنها الخلل، وكيف تمنعون هذه الشركة من أجل الغرر، ولا تمنعون شركات التأمين التقليدية القائمة على المعاوضة والغرر الفاحش باعتراف القانونيّين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معاوضة مشوبة بغرر، خلافاً للتأمين التعاوني القائم على التبرّع، لا المعاوضة، ومناقشتك قول المانعين بسبب الغرر أو الرهان أو المقامرة أو الربا محلّ نظر، والصحيح عكسه، ففي التأمين التقليدي مثالب وأسباب خمسة ذكرتموها ترجح قول القائلين بالمنع، وهو ما قررته المجامع الفقهية كلّها وكذلك جمهور الأئمة الأعلام، وإن كان الشيخ مصطفى الزرقا وبعض ا لعلماء أجازوا العقد، وأقرّوا بأنّ هذه الشركات تعتمد كالبنوك الربوية على نظام الفائدة الربوية، علماً بأنّ النهي عن الغرر أصل من أُصول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 عند الشافعية مشروعية ضمان الدَّرَك خلافاً لرأي البعض</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 اللّه الأُمّة بعلمكم، لكن الاقتصار على رأي الشيعة وحدهم ينفع أهل المذهب فقط، ولا يكون له أثر على جماهير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أكرر الإشادة بكم والشكر لمكارمكم في جلسة قصيرة في مكتبكم، ولما تفضّلتم به من تحف هداياكم من الكتب، وفقنا اللّه جميعاً لاتّباع الحق، والترّفع عن التعصّب،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مصطفى الزحيلي</w:t>
      </w:r>
    </w:p>
    <w:p>
      <w:pPr>
        <w:pStyle w:val="BookText"/>
        <w:rPr/>
      </w:pPr>
      <w:r>
        <w:rPr>
          <w:rFonts w:ascii="IRNazanin" w:hAnsi="IRNazanin" w:eastAsia="IRNazanin"/>
          <w:color w:val="111111"/>
          <w:sz w:val="28"/>
          <w:sz w:val="28"/>
          <w:szCs w:val="28"/>
          <w:rtl w:val="true"/>
          <w:lang w:bidi="fa-IR"/>
        </w:rPr>
        <w:t>دمشق</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الأُستاذ الفاضل الدكتور وهبة الزحيلي حفظه اللّه ورعاه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رسالتكم القيّمة، المعطرّة بالودّ والإخلاص ووقفت على آرائكم حول رسالتي في 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ذكرتم فيها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هذه الروايات فإنّ أصل التشريع هو القرآن الكريم الذي نصّ على توقيت الصلوات الخمس،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كانَتْ عَلَى الْمُؤْمِنِينَ كِتاباً مَوْقُوتاً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مفروضة في أوقاتها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الثلاثة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الصلاتين لا يعني إرجاع الأوقات الخمسة إلى ثلاثة، إذ لا يمكن لفقيه أن ينكر الأوقات الخمسة للصلوات غير أنّ الكلام في تحديد الأوقات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ففقهاء أهل السنّة على أنّ وقت صلاة الظهر هو من الزوال إلى أن يصير ظل الشاخص مثله، ثم يدخل وقت العصر إلى الغروب، وفقهاء الشيعة يقولون بنفس القول لكنّهم يحدّدون الوقت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صلاة الظهر يدخل من الزوال إلى أن يمضي من الوقت بمقدار أداء أربع ركعات، ثم بعدها يدخل</w:t>
      </w:r>
    </w:p>
    <w:p>
      <w:pPr>
        <w:pStyle w:val="BookText"/>
        <w:rPr/>
      </w:pPr>
      <w:r>
        <w:rPr>
          <w:rFonts w:ascii="Amiri" w:hAnsi="Amiri" w:eastAsia="Amiri" w:cs="Amiri"/>
          <w:color w:val="111111"/>
          <w:sz w:val="28"/>
          <w:sz w:val="28"/>
          <w:szCs w:val="28"/>
          <w:rtl w:val="true"/>
          <w:lang w:bidi="ar-SA"/>
        </w:rPr>
        <w:t>الوقت المشترك لصلاتي الظهر والعصر ويمتد حتّى يبقى إلى غروب الشمس بمقدار أربع ركعات وهو يختصّ بصلاة العصر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بجواز الجمع لا يختلف مع غيره في عدد المواقيت بل يختلفان في تحديدها، فقد جاء عن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دخل الوقتان إلّا أنّ هذه قبل هذه</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تبعاً لأئمتهم يعتقدون أنّ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مقدار أربع ركعات من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الصلاتين، على خلاف ما يذهب إليه فقهاء السنّة حيث لا يقولون بالوقت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الحكم في صلاتي المغرب والعشاء فلكل منهما وقت خاص ولهما وقت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فالقولان في عدد الأوقات سيّان، وإنّما الاختلاف في تحديدها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تفضّلتم أنّ صلاة النبي صلى الله عليه و آله كانت في أوقاتها الخمسة وسار الخلفاء الراشدون وبقية الصحابة والتابعين وعلى مدى القرون الأربعة عشر ونيف على المقرّرة عقلاً وشرعاً ووارثاً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بحمد اللّه تحيطون بعلم الأُصول ولكم فيه آثار مشرقة بين الايجاز والتبسيط، وأنتم من أبطال هذا العلم ومن المقرّر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العملية لا لسان لها، وإنّما يؤخذ من دلالتها بالقدر المتيقّن وهو جواز التفريق أو كونه أفضل وأمّا إيجابه، فلا يستفاد من السيرة، كما أنّ الترك يدلّ على جواز ترك الفعل ولا يدلّ على أنّ الفعل حرام خلافاً لبعض أنصاف المتعلّمين الذين يستدلّون بترك الصحابة شيئاً ما على عدم جوازه، مع أنّ الفعل والترك قاصران عن الدلالة على الوجوب في ناحية الفعل، وعلى الحرمة في ناحية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ينفعنا بعلومكم وآرائكم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والمأمول من طرح هذه البحوث هو رأب الصدع وتقريب الخطى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وبإمكانكم وأنتم في كلية الشريعة طرح النظريتين وإيكال القضاء بين القولين للحضّار، إذ فيه تنمية للعلم وخروج عن الجمود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ذكرتم حول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فنحيل الكلام فيه إلى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اللّه سبحانه أن يوفّقكم وكلّ من حولكم لكلّ الخير خدمة للإسلام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الأُستاذ الدكتور وهبة الزحيلي دامت معاليه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أمّا بعد؛ فيسرّني أن أغتنم فرصة حلول شهر رمضان المبارك بتقديم التبريكات الزاكية إلى سماحتكم وإلى جميع العلماء الفضلاء في سوريا المحميّة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هنا، أن أقتطف شيئاً من كلام رسول اللّه صلى الله عليه و آله في هذا الشهر الفضيل، قال صلى الله عليه و آله في خطبة له في آخر جمعة من شهر شعبان 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أقبل إليكم شهر اللّه بالبركة والرحمة والمغفرة،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ودعاؤكم فيه مستجاب، فأسألوا اللّه ربّكم بنيّات صادقة وقلوب طاهرة أن يوفّقكم لصيامه وتلاوة كتابه، فإنّ الشقي من حرم غفران اللّه في هذا الشهر العظيم</w:t>
      </w:r>
      <w:r>
        <w:rPr>
          <w:rFonts w:eastAsia="Amiri" w:cs="Amiri" w:ascii="Amiri" w:hAnsi="Amiri"/>
          <w:color w:val="111111"/>
          <w:sz w:val="28"/>
          <w:szCs w:val="28"/>
          <w:rtl w:val="true"/>
          <w:lang w:bidi="ar-SA"/>
        </w:rPr>
        <w:t>».</w:t>
      </w:r>
      <w:r>
        <w:rPr>
          <w:rStyle w:val="FootnoteAnchor"/>
          <w:rtl w:val="true"/>
        </w:rPr>
        <w:footnoteReference w:id="69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نقدّر لسماحتكم دعواتكم الطيّبة إلى جمع كلمة المسلمين، ولمّ شملهم، ونبذ الخلاف الذي يخدم مخططات الاستكبار العالمي التي تهدف</w:t>
      </w:r>
    </w:p>
    <w:p>
      <w:pPr>
        <w:pStyle w:val="BookText"/>
        <w:rPr/>
      </w:pPr>
      <w:r>
        <w:rPr>
          <w:rFonts w:ascii="Amiri" w:hAnsi="Amiri" w:eastAsia="Amiri" w:cs="Amiri"/>
          <w:color w:val="111111"/>
          <w:sz w:val="28"/>
          <w:sz w:val="28"/>
          <w:szCs w:val="28"/>
          <w:rtl w:val="true"/>
          <w:lang w:bidi="ar-SA"/>
        </w:rPr>
        <w:t>إلى القضاء على الأُمّة الإسلامية، وإدخال المسلمين في معارك جانبية يقتل فيها بعضهم بعضاً، ونهيب بكم، لما لكم من مقام سامٍ‌، بذل المزيد من المساعي في هذا المجال، ولكم 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الجليل جعفر السبحاني أيده اللّه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بعد</w:t>
      </w:r>
    </w:p>
    <w:p>
      <w:pPr>
        <w:pStyle w:val="BookText"/>
        <w:rPr/>
      </w:pPr>
      <w:r>
        <w:rPr>
          <w:rFonts w:ascii="Amiri" w:hAnsi="Amiri" w:eastAsia="Amiri" w:cs="Amiri"/>
          <w:color w:val="111111"/>
          <w:sz w:val="28"/>
          <w:sz w:val="28"/>
          <w:szCs w:val="28"/>
          <w:rtl w:val="true"/>
          <w:lang w:bidi="ar-SA"/>
        </w:rPr>
        <w:t>يسعدني تهنئتكم بحلول شهر رمضان المبارك، وأدعو اللّه تعالى أن يكون هذا الشهر مثلاً عالياً لتعميم سمو الشفافية والشعور بالمسؤولية والأُخوّة بين أبناء الأُمّة الواحدة، فذلك الشهر منطلق الخير والإحسان والتضامن والاتحاد، لتفويت الفرصة على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ما زلت في قسمة الدعاة إلى وحدة الصف والأُخوّة منذ أكثر من ربع قرن، وحينئذٍ نتجاوز عن الاختلافات المذهبية والسياسية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يحب المحسنين</w:t>
      </w:r>
    </w:p>
    <w:p>
      <w:pPr>
        <w:pStyle w:val="BookText"/>
        <w:rPr/>
      </w:pPr>
      <w:r>
        <w:rPr>
          <w:rFonts w:ascii="Amiri" w:hAnsi="Amiri" w:eastAsia="Amiri" w:cs="Amiri"/>
          <w:color w:val="111111"/>
          <w:sz w:val="28"/>
          <w:sz w:val="28"/>
          <w:szCs w:val="28"/>
          <w:rtl w:val="true"/>
          <w:lang w:bidi="ar-SA"/>
        </w:rPr>
        <w:t>وكل عام وأنتم بخير</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Amiri" w:hAnsi="Amiri" w:eastAsia="Amiri" w:cs="Amiri"/>
          <w:color w:val="111111"/>
          <w:sz w:val="28"/>
          <w:sz w:val="28"/>
          <w:szCs w:val="28"/>
          <w:rtl w:val="true"/>
          <w:lang w:bidi="ar-SA"/>
        </w:rPr>
        <w:t xml:space="preserve">الأربعاء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الفضيلة والسماحة العلّامة جعفر السبحاني أيّده اللّه</w:t>
      </w:r>
    </w:p>
    <w:p>
      <w:pPr>
        <w:pStyle w:val="BookText"/>
        <w:rPr/>
      </w:pPr>
      <w:r>
        <w:rPr>
          <w:rFonts w:ascii="Amiri" w:hAnsi="Amiri" w:eastAsia="Amiri" w:cs="Amiri"/>
          <w:color w:val="111111"/>
          <w:sz w:val="28"/>
          <w:sz w:val="28"/>
          <w:szCs w:val="28"/>
          <w:rtl w:val="true"/>
          <w:lang w:bidi="ar-SA"/>
        </w:rPr>
        <w:t>السلام عليكم ورحمة اللّه وبركاته و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وصلتني رسالتكم الكريمة المعبّرة عن روح الإخاء والصفاء والعلم الذي انطبع لدي منذ لقائكم الأوّل في قم، فبارك اللّه فيكم، وزادكم من فضله وحكمته، وجعلني وإيّاك ممّن يعملون على الدوام في التوفيق والتقريب بين وجهات النظر في الأُصول وترك إثارة المزيد من الخلافات في الفروع، لجمع الأُمّة الإسلامية وتبديد كلّ ما يثير النزاعات والمشكلات فيما بينها، حرصاً على وحدة الأُمّة أمام أعدائها، وعلينا جميعاً في مجال العلم والسياسة معاً أن نبقى على هذا المنهج، وإلّا كنا جميعاً مسؤولين 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وسعدت بإهداء كتابكم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الشيعة في الحديث والرجال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منطلقات الحياة العلمية والدينية أساساً للجمع والوفاق، وحسناً فعلتم في إبراز هذا الجانب في العناية بالسنّة النبوية الشريفة، وتقديمها على المرويات التي تحتاج إلى تدقيق وتحقيق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وقناعتي أنّه لن يستطيع فريق ثني الآخر عن أُصوله ومنهجه في استفتاء الأحكام الشرعية فذلك مما استقر أمره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بطبيعتي لا أحب الجدل والمماحكة، واعذر غيري في منهاجه وعمله، علماً بأنّني منذ ست سنوات أصبحت متقاعداً من جامعة دمشق وكلية الشريعة ولم يعد لي شأن في تسيير أُمورها ودراساتها، واللّه الموفق وسنبقى بإذن اللّه تعالى إخوة، لا تزعزعنا الاختلافات الفقهية، واللّه يرعاكم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مصطفى الزحيلي</w:t>
      </w:r>
    </w:p>
    <w:p>
      <w:pPr>
        <w:pStyle w:val="BookText"/>
        <w:rPr/>
      </w:pPr>
      <w:r>
        <w:rPr>
          <w:rFonts w:ascii="IRNazanin" w:hAnsi="IRNazanin" w:eastAsia="IRNazanin"/>
          <w:color w:val="111111"/>
          <w:sz w:val="28"/>
          <w:sz w:val="28"/>
          <w:szCs w:val="28"/>
          <w:rtl w:val="true"/>
          <w:lang w:bidi="fa-IR"/>
        </w:rPr>
        <w:t>دمشق</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bookmarkStart w:id="824" w:name="pg16776_179162"/>
    </w:p>
    <w:p>
      <w:pPr>
        <w:pStyle w:val="Heading3"/>
        <w:numPr>
          <w:ilvl w:val="2"/>
          <w:numId w:val="1"/>
        </w:numPr>
        <w:rPr/>
      </w:pPr>
      <w:bookmarkStart w:id="825" w:name="__RefHeading___Toc7071307_73709187"/>
      <w:bookmarkStart w:id="826" w:name="_Toc321"/>
      <w:bookmarkEnd w:id="824"/>
      <w:bookmarkEnd w:id="825"/>
      <w:r>
        <w:rPr/>
        <w:t>2</w:t>
      </w:r>
      <w:r>
        <w:rPr>
          <w:rtl w:val="true"/>
        </w:rPr>
        <w:t xml:space="preserve"> </w:t>
      </w:r>
      <w:r>
        <w:rPr>
          <w:rtl w:val="true"/>
        </w:rPr>
        <w:t>مراسلاتنا مع الدكتور عبد الوهاب إبراهيم أبو سليمان</w:t>
      </w:r>
      <w:bookmarkEnd w:id="826"/>
    </w:p>
    <w:p>
      <w:pPr>
        <w:pStyle w:val="Heading4"/>
        <w:numPr>
          <w:ilvl w:val="3"/>
          <w:numId w:val="1"/>
        </w:numPr>
        <w:rPr/>
      </w:pPr>
      <w:bookmarkStart w:id="827" w:name="__RefHeading___Toc7071309_73709187"/>
      <w:bookmarkStart w:id="828" w:name="_Toc322"/>
      <w:bookmarkEnd w:id="827"/>
      <w:r>
        <w:rPr>
          <w:rtl w:val="true"/>
        </w:rPr>
        <w:t>اشارة</w:t>
      </w:r>
      <w:bookmarkEnd w:id="828"/>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سماحة الفقيه الدكتور عبد الوهاب إبراهيم أبو سليمان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حيث إنّ الحقيقة بنت البحث، والنقاش مرقاة التكامل العلمي، فإنّي قرأت القسم الثاني من التطبيقات المعاصرة لقضايا الضرورة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الضرورة وتطبيقاته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أشرفتم على إعداده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أذكر لكم هنا مسألتين من مسائله وأتعرض لمناقشتهما وبيان مختارنا فيهما</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7071311_73709187"/>
      <w:bookmarkStart w:id="830" w:name="_Toc323"/>
      <w:bookmarkEnd w:id="829"/>
      <w:r>
        <w:rPr>
          <w:rtl w:val="true"/>
        </w:rPr>
        <w:t>المناقشة الأُولى حول الأوقات الشرعية في المناطق القطبية</w:t>
      </w:r>
      <w:bookmarkEnd w:id="830"/>
    </w:p>
    <w:p>
      <w:pPr>
        <w:pStyle w:val="Heading5"/>
        <w:numPr>
          <w:ilvl w:val="4"/>
          <w:numId w:val="1"/>
        </w:numPr>
        <w:rPr/>
      </w:pPr>
      <w:bookmarkStart w:id="831" w:name="__RefHeading___Toc7071313_73709187"/>
      <w:bookmarkStart w:id="832" w:name="_Toc324"/>
      <w:bookmarkEnd w:id="831"/>
      <w:r>
        <w:rPr>
          <w:rtl w:val="true"/>
        </w:rPr>
        <w:t>اشارة</w:t>
      </w:r>
      <w:bookmarkEnd w:id="83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اطّلعت في كتابكم المذكور على العلاج الّذي قدمته هيئة كبار العلماء في المملكة العربية السعودية في تاريخ </w:t>
      </w:r>
      <w:r>
        <w:rPr>
          <w:rFonts w:eastAsia="Amiri" w:cs="Amiri" w:ascii="Amiri" w:hAnsi="Amiri"/>
          <w:color w:val="111111"/>
          <w:sz w:val="28"/>
          <w:szCs w:val="28"/>
          <w:lang w:bidi="ar-SA"/>
        </w:rPr>
        <w:t>12/4/1398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فيما يتعلق بمواقيت الصلاة والصوم في الأقطار الّتي يقصر فيها الليل جدّاً في فترة من السنة ويقصر النهار جدّاً في فترة أُخرى، أو الّتي يستمر ظهور الشمس فيها ستة أشهر وغيابها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جوابهم يدور حول محاور ثلاثة</w:t>
      </w:r>
      <w:r>
        <w:rPr>
          <w:rFonts w:eastAsia="Amiri" w:cs="Amiri" w:ascii="Amiri" w:hAnsi="Amiri"/>
          <w:color w:val="111111"/>
          <w:sz w:val="28"/>
          <w:szCs w:val="28"/>
          <w:rtl w:val="true"/>
          <w:lang w:bidi="ar-SA"/>
        </w:rPr>
        <w:t>:</w:t>
      </w:r>
      <w:bookmarkStart w:id="833" w:name="pg16776_179163"/>
    </w:p>
    <w:p>
      <w:pPr>
        <w:pStyle w:val="BookText"/>
        <w:rPr/>
      </w:pPr>
      <w:bookmarkEnd w:id="8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البلاد الّتي يستمر فيها الليل أو النهار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فأكثر بحسب اختلاف فصول السنة، فقالوا بأنّه تقدّر مواقيت الصلاة والصيام وغيرهما في هذه البلاد على حسب أقرب الجهات إليها ممّا يكون فيها ليل، ونهار متمايزان في ظرف أربع وعشرين ساعة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البلاد الّتي لا يغيب فيها شفق الغروب حتّى يطلع الفجر، بحيث لا يتميز شفق الشروق من شفق الغروب فقالوا بأنّه في هذه الجهات يقدّر وقت العشاء الآخرة والإمساك في الصوم وقت صلاة الفجر بحسب آخر فترة يتمايز فيها الشفقان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البلاد الّتي يظهر فيها الليل والنهار خلال أربع وعشرين ساعة وتتمايز فيها الأوقات إلّاأنّ الليل يطول فيه في فترة من السنة طولاً مفرطاً ويطول النهار في فترة أُخرى طولاً مفرطاً، ففي هذه البلاد تصلى الصلوات الخمس في أوقاتها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عجز عن إتمام صوم يوم لطوله أفطر ويقضي الأيام الّتي أفطرها في أي شهر تمكّن من القضاء</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7071315_73709187"/>
      <w:bookmarkStart w:id="835" w:name="_Toc325"/>
      <w:bookmarkEnd w:id="834"/>
      <w:r>
        <w:rPr>
          <w:rtl w:val="true"/>
        </w:rPr>
        <w:t>ملاحظاتنا على هذه المحاور</w:t>
      </w:r>
      <w:r>
        <w:rPr>
          <w:rtl w:val="true"/>
        </w:rPr>
        <w:t>:</w:t>
      </w:r>
      <w:bookmarkEnd w:id="8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أفاده العلماء من الحل في المحور الأوّل إنما يناسب البيئة الّتي تتوفر فيها أدوات ووسائل حديثة ومتطورة يمكن للقاطنين هناك معرفة أوقات البلاد المتقاربة يوماً بعد يوم أو شهراً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أمكن ذلك في عصرنا الحاضر ولكنّه كان أمراً عسيراً في العصور الغابرة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اللّه سبحانه في كلّ عصر وزمان واحد، فهل كان الاطّلاع على وقت غروب وطلوع الفجر في البلاد المتقاربة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ربما تبعد مئات الفراسخ عن محل الابتلاء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سهلاً في عامّة العصور خصوصاً قبل تطوّر وسائل الاتصال السلكية واللاسلكية، والإسلام دين عامّة العصور، دين البساطة والسهولة‌؟</w:t>
      </w:r>
      <w:r>
        <w:rPr>
          <w:rFonts w:eastAsia="Amiri" w:cs="Amiri" w:ascii="Amiri" w:hAnsi="Amiri"/>
          <w:color w:val="111111"/>
          <w:sz w:val="28"/>
          <w:szCs w:val="28"/>
          <w:rtl w:val="true"/>
          <w:lang w:bidi="ar-SA"/>
        </w:rPr>
        <w:t>!</w:t>
      </w:r>
      <w:bookmarkStart w:id="836" w:name="pg16776_179164"/>
    </w:p>
    <w:p>
      <w:pPr>
        <w:pStyle w:val="BookText"/>
        <w:rPr/>
      </w:pPr>
      <w:bookmarkEnd w:id="83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المحور الثاني فإنّ العبارة فيه لا تخلو عن تشويش إذ أنّ المجيب افترض فيها أوّلاً عدم تميّز شفق الشروق من شفق الغروب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لا يتميز شفق الشروق من شفق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ذيل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بحسب آخر فترة يتمايز فيها الشفقان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فترة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يتمايز فيها الشفقان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هو المراد فيرد عليه أنّ الهيئة العلمية افترضت أنّ الليل والنهار غير مميّزين في المناطق القطبية وأنّ الزمان إمّا نهار فقط أو ليل فقط، ولذلك قدّموا هذه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الحقيقة ليست كذلك ولذلك قدّمنا حلولاً غيرها نأتيكم بنصّها</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7071317_73709187"/>
      <w:bookmarkStart w:id="838" w:name="_Toc326"/>
      <w:bookmarkEnd w:id="837"/>
      <w:r>
        <w:rPr>
          <w:rtl w:val="true"/>
        </w:rPr>
        <w:t>ما هو المختار عندنا في تحديد أوقات الصلاة والصوم‌؟</w:t>
      </w:r>
      <w:bookmarkEnd w:id="838"/>
    </w:p>
    <w:p>
      <w:pPr>
        <w:pStyle w:val="BookText"/>
        <w:rPr/>
      </w:pPr>
      <w:r>
        <w:rPr>
          <w:rFonts w:ascii="Amiri" w:hAnsi="Amiri" w:eastAsia="Amiri" w:cs="Amiri"/>
          <w:color w:val="111111"/>
          <w:sz w:val="28"/>
          <w:sz w:val="28"/>
          <w:szCs w:val="28"/>
          <w:rtl w:val="true"/>
          <w:lang w:bidi="ar-SA"/>
        </w:rPr>
        <w:t>المختار عندنا أنّ المناطق القطبية تتمتّع في عامّة الفصول بليل ونهار وإن كانت تختلف كيفية الليل والنهار عن المناطق المعتدلة، وبذلك تنحلّ العقدة، ويظهر ذلك في البيان التالي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النهار أطول من الليل وممتداً إلى شهر أو شهرين إلى أن يصل إلى ستة أشهر، فرائدنا في تمييز النهار عن الليل هو الشمس، حيث إنّ حركتها في تلك المناطق حسب الحس حركة رحوية حيث تدور حول الأُفق مرة واحدة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بأوج وحضيض، فتبدأ حركتها من الشرق إلى جانب الغرب في خط قوسيّ‌، وكلّما ارتفعت الشمس وسارت إلى الغرب ازداد ظلّ الشاخص إلى أن يصل إلى حدّ تتوقّف فيه الزيادة ثمّ ينعكس الأمر ويحدث في جانب الشرق، وعند ذلك تصل الشمس في تلك النقطة إلى نصف النهار، ويعلم بذلك أوقات الظهر والعصر، ثمّ تأخذ الشمس بالسير في هذا الخط المنحني إلى أن تنخفض نهاية الانخفاض وإن لم تغرب ثمّ تبدأ بالحركة من الغرب إلى الشرق وعند ذاك، يدخل الليل إلى أن تنتهي في حركتها إلى النقطة الّتي ابتدأت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قُبيل وصولها إلى نقطة الشرق أوّل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فحركة الشمس هي رائدنا في العلم بأوّل النهار ووسطه وأوّل الليل وبدء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أنّ ذلك استحسان منّا، بل المناخ يؤيد ذلك، وهو أنّه إذا بدأت الشمس بالحركة من الشرق إلى أن تنتهي إلى جانب الغرب يكون الجو مضيئاً جدّاً كنهار المناطق المعتدلة، وعندما انخفضت الشمس إلى جانب الغرب وبدأت بالحركة من الغرب إلى الشرق يميل الجو إلى الغبرة والظلمة الخفيفة، ولذلك يتعامل سُكّان تلك المناطق بالحركة الأُولى للشمس معاملة النهار وبالحركة الثانية معاملة الليل، فيقيمون أعمالهم فيها وينامون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فليس المناخ على وتيرة واحدة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بل يتغيّر من الإضاءة إلى الغبرة، أو من الإضاءة الشديدة إلى الضعيفة، وما ذلك إلّالأنّ الحركة الأُولى تلازم وجود النهار في المناطق المعتدلة كما أنّ الحركة الثانية تلازم وجود الليل فيها أيضاً، غير أنّ ميلان مركز دوران الأرض حول نفسها مقدار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سبَّب لأن تخيِّم الشمس عليها في بعض الفصول مدّة مديدة لا ترى لها غروباً وإن كان يُرى لها ارتفاعاً وانخفاضاً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ظلّ النهار مدّة مديدة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انعكس بأن غمر الليلُ تلك المناطق مدّة مديدة إلى أن ينتهي إلى ستة أشهر، فيعلم حكمه ممّا ذكرناه في الصورة الأُولى، فإنّ الشمس وإن كانت تغرب عن تلك المناطق مدّة طويلة لكن ليست الظلمة على نمط واحد، بل تتضاءل تارة وتزداد أُخرى، فزيادتها آية سلطة الليل في المناطق المعتدلة كما أنّ تضاؤلها علامة سلطة النهار عليها كذلك، وبذلك يمكن أن نميّز النهار عن الليل حيث إنّ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ظلمة دامسة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وظلمة داكنة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مزيجة بالنور الضئيل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فيعدّ ظهور الظلمة الداكنة الّتي يخالطها نور ضئيل فجراً لهم، وتستمر هذه الحالة ساعات إلى أن تحلّ الظلمة الدامسة، فهذا المقدار من</w:t>
      </w:r>
      <w:bookmarkStart w:id="839" w:name="pg16776_179166"/>
    </w:p>
    <w:p>
      <w:pPr>
        <w:pStyle w:val="BookText"/>
        <w:rPr/>
      </w:pPr>
      <w:bookmarkEnd w:id="839"/>
      <w:r>
        <w:rPr>
          <w:rFonts w:ascii="Amiri" w:hAnsi="Amiri" w:eastAsia="Amiri" w:cs="Amiri"/>
          <w:color w:val="111111"/>
          <w:sz w:val="28"/>
          <w:sz w:val="28"/>
          <w:szCs w:val="28"/>
          <w:rtl w:val="true"/>
          <w:lang w:bidi="ar-SA"/>
        </w:rPr>
        <w:t>الساعات يعدّ نهاراً لهم فيصام فيها، كما أنّ وسطه يعدّ ظهراً لهم فيقيمون الظهر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ذلك أنّ المناطق القطبية أو القريبة منها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الليل والنهار بشكل متميّز وإن كانا غير متساويين ولكنّ هناك شروقاً وغروباً، فتؤدّى الفرائض النهارية عند الشروق، والليلية عند الغروب وإن كان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نهار طويل سواء بلغ ستة أشهر أو لم يبلغ، فبما أنّ الشمس مرئية وحركتها رحوية، فإذا بدأت بحركتها من الشرق إلى الغرب يعدّ نهاراً، وإذا وصلت إلى دائرة نصف النهار يعدّ ظهراً، وإذا تمّت الحركة الشرقية وأخذت بالاتجاه إلى جانب الغرب يعدّ ليلاً، فإذا تمّت الحركة الغربية وبدأت بالحركة إلى جانب الشرق فهو أوّل فجرهم، وبذلك تتم الدورة النهارية والليلية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الطويل فالشمس فيها وإن كانت غير مرئية، لكن الظلمة ليست على نسق واحد، بل هي بين ظلمة دامسة وظلمة داكنة، فعندما تسود الأُولى يحسب ليلاً لهم وتكون بدايتها أوّل صلاة المغرب والعشاء، وإذا بدأت بالظلمة الداكنة وظهر بصيص من النور يحسب أوّل الفجر، فإذا خفّت الظلمة يعدّ نهاراً لهم إلى أن تعود الحالة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والرجاء عرض نظريتنا على هيئة كبار العلماء في المملكة، إذ أنّ في تضارب الآراء طريقاً لتجلي الحقيقة</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7071319_73709187"/>
      <w:bookmarkStart w:id="841" w:name="_Toc327"/>
      <w:bookmarkEnd w:id="840"/>
      <w:r>
        <w:rPr>
          <w:rtl w:val="true"/>
        </w:rPr>
        <w:t>المناقشة الثانية حول السعي فوق سقف المسعى‌</w:t>
      </w:r>
      <w:bookmarkEnd w:id="841"/>
    </w:p>
    <w:p>
      <w:pPr>
        <w:pStyle w:val="Heading5"/>
        <w:numPr>
          <w:ilvl w:val="4"/>
          <w:numId w:val="1"/>
        </w:numPr>
        <w:rPr/>
      </w:pPr>
      <w:bookmarkStart w:id="842" w:name="__RefHeading___Toc7071321_73709187"/>
      <w:bookmarkStart w:id="843" w:name="_Toc328"/>
      <w:bookmarkEnd w:id="842"/>
      <w:r>
        <w:rPr>
          <w:rtl w:val="true"/>
        </w:rPr>
        <w:t>اشارة</w:t>
      </w:r>
      <w:bookmarkEnd w:id="84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ألفت نظري إجابة هيئة كبار العلماء حول السعي فوق سقف المسعى، وقد خرجوا بالنتيجة التالية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بجواز السعي فوق سقف</w:t>
      </w:r>
      <w:bookmarkStart w:id="844" w:name="pg16776_179167"/>
    </w:p>
    <w:p>
      <w:pPr>
        <w:pStyle w:val="BookText"/>
        <w:rPr/>
      </w:pPr>
      <w:bookmarkEnd w:id="844"/>
      <w:r>
        <w:rPr>
          <w:rFonts w:ascii="Amiri" w:hAnsi="Amiri" w:eastAsia="Amiri" w:cs="Amiri"/>
          <w:color w:val="111111"/>
          <w:sz w:val="28"/>
          <w:sz w:val="28"/>
          <w:szCs w:val="28"/>
          <w:rtl w:val="true"/>
          <w:lang w:bidi="ar-SA"/>
        </w:rPr>
        <w:t>المسعى عند الحاجة بشرط استيعاب ما بين الصفا والمروة وأن لا يخرج عن مسامتة المسعى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بوجوه</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7071323_73709187"/>
      <w:bookmarkStart w:id="846" w:name="_Toc329"/>
      <w:bookmarkEnd w:id="845"/>
      <w:r>
        <w:rPr/>
        <w:t>1</w:t>
      </w:r>
      <w:r>
        <w:rPr>
          <w:rtl w:val="true"/>
        </w:rPr>
        <w:t xml:space="preserve">. </w:t>
      </w:r>
      <w:r>
        <w:rPr>
          <w:rtl w:val="true"/>
        </w:rPr>
        <w:t>حكم السعي فوق سقف المسعى حكمه على الأرض</w:t>
      </w:r>
      <w:bookmarkEnd w:id="846"/>
    </w:p>
    <w:p>
      <w:pPr>
        <w:pStyle w:val="BookText"/>
        <w:rPr/>
      </w:pPr>
      <w:r>
        <w:rPr>
          <w:rFonts w:ascii="Amiri" w:hAnsi="Amiri" w:eastAsia="Amiri" w:cs="Amiri"/>
          <w:color w:val="111111"/>
          <w:sz w:val="28"/>
          <w:sz w:val="28"/>
          <w:szCs w:val="28"/>
          <w:rtl w:val="true"/>
          <w:lang w:bidi="ar-SA"/>
        </w:rPr>
        <w:t>إنّ حكم أعلى الأرض وأسفلها تابع لحكمها في التملّك والاختصاص ونحوهما فللسعي فوق سقف المسعى حكم السعي على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حدّد وظيفة الناسك في المسعى بالسعي بين الجبلين أو الطواف بينهما،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الناسك أن يطوف بين الجبلين، وسقف المسعى إن كان بين الجبلين فالسعي فيه بينهما صحيح لا إشكال فيه، ولو كان فوق الجبلين فلا يصدق عليه التحديد الوارد في الآية، وعندئذ يسقط وجوب السعي لعدم التمكّن منه، إلّاإذا أرشدنا الدليل إلى حلول أُخرى، وسيوافيك بيانها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مقتضى الدليل في المقام، وأمّا ما استدل به على جواز السعي فوق سقف المسعى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حكم أعلى الأرض وأسفلها تابع لحكمها في التملّك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علاقة له بجواز السعي فوق سقف المسعى، لأنّ وحدة حكم الأعلى والأسفل في التملّك موضوع، والسعي فوق سقف المسعى وتحته موضوعٌ آخر، ولو قلنا بحجية القياس فإنّما نقول به فيما لو جمع المقيس والمقيس عليه جامع قريب كالإسكار بين الخمر وسائر 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اشتمال المسعى على الأسفل والأعلى كاشتمال الملك عليهما لا يكون مسوّغاً</w:t>
      </w:r>
      <w:bookmarkStart w:id="847" w:name="pg16776_179168"/>
    </w:p>
    <w:p>
      <w:pPr>
        <w:pStyle w:val="BookText"/>
        <w:rPr/>
      </w:pPr>
      <w:bookmarkEnd w:id="847"/>
      <w:r>
        <w:rPr>
          <w:rFonts w:ascii="Amiri" w:hAnsi="Amiri" w:eastAsia="Amiri" w:cs="Amiri"/>
          <w:color w:val="111111"/>
          <w:sz w:val="28"/>
          <w:sz w:val="28"/>
          <w:szCs w:val="28"/>
          <w:rtl w:val="true"/>
          <w:lang w:bidi="ar-SA"/>
        </w:rPr>
        <w:t>للقياس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يجب أن تكون بين المقدّم والتالي ملازمة عقلية أو شرعية أو عرفية، وأي تلازم بين مالكية الإنسان أعلى الأرض وأسفلها، وجواز السعي فوق سقف المسعى وأسفله، والتملّك أمر عقلاني، يكون تابعاً لسعة اعتبار العقلاء أو ضيقه، وجواز السعي حكم شرعي تابع لسعة جعل الشارع وضيقه، فكيف يستنتج من الأوّل، الأمر الثاني، ولو صحّ هذا النوع من الاستدلال يلزم تسويغ ترتّب آثار الأرض عامّة على المسعى وهو لا يخلو من توالي فاسدة غير خافية على سماحتكم</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7071325_73709187"/>
      <w:bookmarkStart w:id="849" w:name="_Toc330"/>
      <w:bookmarkEnd w:id="848"/>
      <w:r>
        <w:rPr/>
        <w:t>2</w:t>
      </w:r>
      <w:r>
        <w:rPr>
          <w:rtl w:val="true"/>
        </w:rPr>
        <w:t xml:space="preserve">. </w:t>
      </w:r>
      <w:r>
        <w:rPr>
          <w:rtl w:val="true"/>
        </w:rPr>
        <w:t>جواز السعي راجلاً وراكباً</w:t>
      </w:r>
      <w:bookmarkEnd w:id="849"/>
    </w:p>
    <w:p>
      <w:pPr>
        <w:pStyle w:val="BookText"/>
        <w:rPr/>
      </w:pPr>
      <w:r>
        <w:rPr>
          <w:rFonts w:ascii="Amiri" w:hAnsi="Amiri" w:eastAsia="Amiri" w:cs="Amiri"/>
          <w:color w:val="111111"/>
          <w:sz w:val="28"/>
          <w:sz w:val="28"/>
          <w:szCs w:val="28"/>
          <w:rtl w:val="true"/>
          <w:lang w:bidi="ar-SA"/>
        </w:rPr>
        <w:t>يجوز للحاج والمعتمر أن يطوف بالبيت ويسعى بين الصفا والمروة راكباً لعذر باتّفاق، ولغير عذر على خلاف من بعضهم، فمن يسعى فوق سقف المسعى يشبه مَن كان يسعى راكباً بعيراً ونحوه، إذ الكلّ غير مباشر للأرض في سعيه، وعلى رأي من لا يرى جواز السعي راكباً لغير عذر فإنّ ازدحام السعاة في الحج يعتبر عذراً يبرر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السعي فوق سقف المسعى لا يكمن في عدم مباشرة الأرض حتّى يدفع بوجود نفس الإشكال في السعي راكباً، وإنّما يكمن في الخروج عن التحديد الوارد في الآية،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الجبلين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والساعي فوق السقف، ساع فوق الجبلين، والساعي راكباً ساع بين الجبلين، ولايصح استنتاج حكم الصورة الأُولى من الثانية</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7071327_73709187"/>
      <w:bookmarkStart w:id="851" w:name="_Toc331"/>
      <w:bookmarkEnd w:id="850"/>
      <w:r>
        <w:rPr/>
        <w:t>3</w:t>
      </w:r>
      <w:r>
        <w:rPr>
          <w:rtl w:val="true"/>
        </w:rPr>
        <w:t xml:space="preserve">. </w:t>
      </w:r>
      <w:r>
        <w:rPr>
          <w:rtl w:val="true"/>
        </w:rPr>
        <w:t>قياس السعي باستقبال ما فوق الكعبة</w:t>
      </w:r>
      <w:bookmarkEnd w:id="85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أهل العلم على أنّ استقبال ما فوق الكعبة من هواء في الصلاة</w:t>
      </w:r>
      <w:bookmarkStart w:id="852" w:name="pg16776_179169"/>
    </w:p>
    <w:p>
      <w:pPr>
        <w:pStyle w:val="BookText"/>
        <w:rPr/>
      </w:pPr>
      <w:bookmarkEnd w:id="852"/>
      <w:r>
        <w:rPr>
          <w:rFonts w:ascii="Amiri" w:hAnsi="Amiri" w:eastAsia="Amiri" w:cs="Amiri"/>
          <w:color w:val="111111"/>
          <w:sz w:val="28"/>
          <w:sz w:val="28"/>
          <w:szCs w:val="28"/>
          <w:rtl w:val="true"/>
          <w:lang w:bidi="ar-SA"/>
        </w:rPr>
        <w:t>كاستقبال بنائها، بناء على أنّ العبرة بالبقعة لا بالبناء، فالسعي فوق سقف المسعى كالسعي على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الضرورة قاضية بأنّه ليس نفس البناء قبلة للمسلمين عامّة خصوصاً بعد وضوح القول بكروية الأرض فلا محال من أن يكون الميزان هوالبقعة حسب تعبيركم لا البناء أو الجهة حسب تعبير الفقهاء،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فالموضوع هو التوجّه إلى المسجد الحرام وهو متحقّق من القريب والبعيد، وأمّا المقام فالسعي هناك محدّد بما بين الجبلين، والساعي فوق السقف، ساع فوق الجبلين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الدليل على أنّ الكعبة من تخوم الأرض إلى عنان السماء قبلة، وأين هذه السعة من السعي‌؟</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7071329_73709187"/>
      <w:bookmarkStart w:id="854" w:name="_Toc332"/>
      <w:bookmarkEnd w:id="853"/>
      <w:r>
        <w:rPr/>
        <w:t>4</w:t>
      </w:r>
      <w:r>
        <w:rPr>
          <w:rtl w:val="true"/>
        </w:rPr>
        <w:t xml:space="preserve">. </w:t>
      </w:r>
      <w:r>
        <w:rPr>
          <w:rtl w:val="true"/>
        </w:rPr>
        <w:t>قياس السعي بالرمي راكباً</w:t>
      </w:r>
      <w:bookmarkEnd w:id="854"/>
    </w:p>
    <w:p>
      <w:pPr>
        <w:pStyle w:val="BookText"/>
        <w:rPr/>
      </w:pPr>
      <w:r>
        <w:rPr>
          <w:rFonts w:ascii="Amiri" w:hAnsi="Amiri" w:eastAsia="Amiri" w:cs="Amiri"/>
          <w:color w:val="111111"/>
          <w:sz w:val="28"/>
          <w:sz w:val="28"/>
          <w:szCs w:val="28"/>
          <w:rtl w:val="true"/>
          <w:lang w:bidi="ar-SA"/>
        </w:rPr>
        <w:t>اتّفق العلماء على أنّه يجوز الرمي راكباً، وماشياً، واختلفوا في الأفضل منهما، فإذا جاز رمي الجمرات راكباً جاز السعي فوق سقف المسعى، فإنّ كلّاً منهما نسك أُدّي من غير مباشرة مؤدّيه للأرض الّتي أدّاه عليها، بل السعي فوق السقف أقرب من أداء أي شعيرة من شعائر الحج أو العمرة فوق البعير ونحوه، لما في البناء من الثبات الّذي لا يوجد في المراكب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ناقشنا به الوجه السابق، فإنّ الإشكال ليس في عدم المباشرة للأرض حتّى يقاس السعي فوق السقف بالرمي راكباً، بل الإشكال في موضع آخر وهو أنّ الرمي لم يحدّد بشيء بل تمام الموضوع بصحّة الرمي هو</w:t>
      </w:r>
      <w:bookmarkStart w:id="855" w:name="pg16776_179170"/>
    </w:p>
    <w:p>
      <w:pPr>
        <w:pStyle w:val="BookText"/>
        <w:rPr/>
      </w:pPr>
      <w:bookmarkEnd w:id="855"/>
      <w:r>
        <w:rPr>
          <w:rFonts w:ascii="Amiri" w:hAnsi="Amiri" w:eastAsia="Amiri" w:cs="Amiri"/>
          <w:color w:val="111111"/>
          <w:sz w:val="28"/>
          <w:sz w:val="28"/>
          <w:szCs w:val="28"/>
          <w:rtl w:val="true"/>
          <w:lang w:bidi="ar-SA"/>
        </w:rPr>
        <w:t xml:space="preserve">الرمي المطلق من أي قيد مثلاً راجلاً أو راكباً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أخذاً بإطلاق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السعي فهو محدّد بما بين الجبلين فقياس الأمر المحدّد بغيره كما ترى</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7071331_73709187"/>
      <w:bookmarkStart w:id="857" w:name="_Toc333"/>
      <w:bookmarkEnd w:id="856"/>
      <w:r>
        <w:rPr/>
        <w:t>5</w:t>
      </w:r>
      <w:r>
        <w:rPr>
          <w:rtl w:val="true"/>
        </w:rPr>
        <w:t xml:space="preserve">. </w:t>
      </w:r>
      <w:r>
        <w:rPr>
          <w:rtl w:val="true"/>
        </w:rPr>
        <w:t>السعي فوق سقف المسعى لا يخرج عن مسمّى السعي بين الصفا والمروة</w:t>
      </w:r>
      <w:bookmarkEnd w:id="857"/>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التسامح إنّما يجوز إذا لم يكن هناك تحديد من الشرع فيتسامح فيه، وأمّا لو كان هناك تحديد من الشرع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 سبعة أشواط فلا يجوز الاكتفاء بالستة، وهكذا في غير هذا المورد</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7071333_73709187"/>
      <w:bookmarkStart w:id="859" w:name="_Toc334"/>
      <w:bookmarkEnd w:id="858"/>
      <w:r>
        <w:rPr>
          <w:rtl w:val="true"/>
        </w:rPr>
        <w:t>ما هو مقتضى القاعدة‌؟</w:t>
      </w:r>
      <w:bookmarkEnd w:id="859"/>
    </w:p>
    <w:p>
      <w:pPr>
        <w:pStyle w:val="BookText"/>
        <w:rPr/>
      </w:pPr>
      <w:r>
        <w:rPr>
          <w:rFonts w:ascii="Amiri" w:hAnsi="Amiri" w:eastAsia="Amiri" w:cs="Amiri"/>
          <w:color w:val="111111"/>
          <w:sz w:val="28"/>
          <w:sz w:val="28"/>
          <w:szCs w:val="28"/>
          <w:rtl w:val="true"/>
          <w:lang w:bidi="ar-SA"/>
        </w:rPr>
        <w:t>إذا كان السعي بين الصفا والمروة شاقّاً حرجيّاً على الناسك فمقتضى القاعدة هو الصبر حتّى يخف الزحام، ومن لم يتمكّن من الصبر أو علم باستمرار الزحام يجب عليه أن يستنيب مَنْ لا يكون عليه العمل شاقّاً، وفي غير هاتين الصورتين يسعى فوق سقف المسعى لقاعدة الميسور وهي قاعدة محكمة ناصعة في الفقه الإمامي فقد ورد عن رسول اللّه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يترك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وهذه القاعدة تكون مرجعاً عند الزحام، ولا تُرى أية منافاة بين مفاد الآية وهذه القاعدة، شأن كلّ العناوين الثانوية بالنسبة إلى العناوين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60" w:name="pg16776_179171"/>
    </w:p>
    <w:p>
      <w:pPr>
        <w:pStyle w:val="BookText"/>
        <w:rPr/>
      </w:pPr>
      <w:bookmarkEnd w:id="860"/>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861" w:name="__RefHeading___Toc7071335_73709187"/>
      <w:bookmarkStart w:id="862" w:name="_Toc335"/>
      <w:bookmarkEnd w:id="861"/>
      <w:r>
        <w:rPr>
          <w:rtl w:val="true"/>
        </w:rPr>
        <w:t>سماحة الشيخ جعفر السبحاني</w:t>
      </w:r>
      <w:bookmarkEnd w:id="862"/>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بنيتم رأيكم بالنسبة للأوقات الشرعية في المناطق القطبية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الشمس مرئية وحركتها محورية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الجزئية الأُولى فإنّها لا تتّفق مع واقع الشمس في تلك المناطق بل فيما هو أبعد منها ممّا لا يتميّز فيها الليل والنهار، فقد عشت في بريطانيا خمس سنوات، وعرفت شتاءها وصيفها في شمالها وجنوبها، وقد لاحظت نهارها في الشتاء وخصوصاً في الشمال لايميّز الليل من النهار خصوصاً وأنّ فصل الشتاء تكثر فيه الغيوم والأمطار، ولا يستطيع المرء أن يميّز النهار من الليل، وتزداد الدنيا ظلمة كلما اقتربنا من القطب الشمالي يكاد ينعدم النهار تماماً، وكذلك بالنسبة للصيف في الشمال فإنّ الليل، أو بالأصح تكسو الأفق ظلمة خفيفة جدّاً بما لا يزيد عن ساعة أو ساعتين، والأمر يزداد ويتضاعف بحيث لا يرى أثر لليل في الصيف، أو نهار في الشتاء كلّما اقتربنا من القطب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سماحتكم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نهار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صحيح وسليم لو فرض ظهور الشمس، ولكن ظهور الشمس هناك منعدم تماماً في الشتاء في</w:t>
      </w:r>
    </w:p>
    <w:p>
      <w:pPr>
        <w:pStyle w:val="BookText"/>
        <w:rPr/>
      </w:pPr>
      <w:r>
        <w:rPr>
          <w:rFonts w:ascii="Amiri" w:hAnsi="Amiri" w:eastAsia="Amiri" w:cs="Amiri"/>
          <w:color w:val="111111"/>
          <w:sz w:val="28"/>
          <w:sz w:val="28"/>
          <w:szCs w:val="28"/>
          <w:rtl w:val="true"/>
          <w:lang w:bidi="ar-SA"/>
        </w:rPr>
        <w:t>بعض البلاد التي تبعد عن القطب، فما بال سماحتكم بالقطب وما دنا منه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الظلمة فأُؤكد لسماحتكم في تلك البلاد فإنّها تجري على نسق واحد في الغالب كما عهدت هذا في شمال بريطانيا وفي البلاد الاسكندنافية القريبة من القطب، وكذلك بالنسبة للنهار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السعي فوق سقف المسعى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سماحتكم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فوق الجبلين فلايصدق عليه التحديد الوارد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أُجيب عن هذه النقطة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أكمل المسافة بين الصفا والمروة سعياً وامتد سعيه إلى أعلى الجبلين فقد أدّى ما وجب عليه أساساً وكمالاً، ويكون شأنه شأن المتوضّئ الذي يرتفع وضوء أعضائه إلى ما فوق الحدّ المعلوم، وهذا لامحظور فيه بل هو مندوب، أمّا سقوط وجوب السعي لعدم التمكّن فلا أعتقد أنّ هذا وارد هنا فقد جعل اللّه في الشريعة سعة، وأناط الأمر بالمجتهدين في كلّ زمان ومكان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هيئة كبار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حكم أعلى الأرض وأسفلها تابع لحكمها في التملّك والاختصاص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كما جاء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هذه الكلمة ليست موجودة بنسختكم فإنّه يدخل تحت هذه الكلمة أحكام العبادات فالصلاة جماعة في الدور الأعلى لها حكمها في الدور الأرضي، وهكذا كلّ مثال جاء في القرار يدخل تحت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سماحتكم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سماحتكم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الساعي فوق السقف ساع فوق الجبلين والساعي راكباً ساع بين الجبلين ولا يصح استنتاج حكم الصورة الأُولى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موقف من هاتين النقطتين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فوق السقف ساعٍ بين الجبلين وزيادة فقد أكمل المسافة بين الصفا والمروة وهي المطلوب وقد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راكباً الشاهد منه أنّ قدمي الراكب لم تباشر أرض المسعى، بل إنّه في حقيقة الأمر سعى في فضائها فكما أنّ حكم هذا الجواز فكذلك بالنسبة للساعي في الدور الثاني، والجامع بينهما هو كونها عبادة فهو قياس حالة في عبادة على حالة في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خلص سماحتكم إلى ما ذكرتموه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اقتراح في هذه الفقرة هو الصبر حتى يخف الزحام، أو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حلول سليمة في غير هذه الأيام التي تشابكت فيها الأُمور وتعقّدت من حجوزات للطيران، وزحام يستمر حتى نهاية شهر ذي الحجة والمحرّم، وعدم وجود النائب إلى غير ذلك ممّا يجعل الأمر أبعد من أن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رأيي القاصر أنّ الاجتهاد الذي توصّل إليه مجلس هيئة كبار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أشارك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من الناحية العلمية الفقهية ومتطابق مع الواقع، وهما أمران رئيسيان في صحّة الفتوى وانسجامها مع مقاصد الشريعة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عبدالوهاب أبو سليمان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63" w:name="pg16776_179174"/>
    </w:p>
    <w:p>
      <w:pPr>
        <w:pStyle w:val="BookText"/>
        <w:rPr/>
      </w:pPr>
      <w:bookmarkEnd w:id="863"/>
      <w:r>
        <w:rPr>
          <w:rFonts w:eastAsia="Times New Roman" w:cs="Times New Roman" w:ascii="Times New Roman" w:hAnsi="Times New Roman"/>
          <w:color w:val="111111"/>
          <w:sz w:val="28"/>
          <w:szCs w:val="28"/>
          <w:lang w:val="en-US" w:bidi="en-US"/>
        </w:rPr>
        <w:t>13</w:t>
      </w:r>
    </w:p>
    <w:p>
      <w:pPr>
        <w:pStyle w:val="Heading4"/>
        <w:numPr>
          <w:ilvl w:val="3"/>
          <w:numId w:val="1"/>
        </w:numPr>
        <w:rPr/>
      </w:pPr>
      <w:bookmarkStart w:id="864" w:name="__RefHeading___Toc7071337_73709187"/>
      <w:bookmarkStart w:id="865" w:name="_Toc336"/>
      <w:bookmarkEnd w:id="864"/>
      <w:r>
        <w:rPr>
          <w:rtl w:val="true"/>
        </w:rPr>
        <w:t>سماحة العلامة الشيخ جعفر السبحاني</w:t>
      </w:r>
      <w:bookmarkEnd w:id="865"/>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كما لا يخفى على سماحتكم أنّ رجم جمرة العقبة يبدأ من نصف ليلة عيد الأضحى عند الشافعية والحنابلة وهو وقت الجواز، ومن عداهم من طلوع الفجر، وهو وقت فضيلة عند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لي هذا العام أن مررت بمنى مبكراً قادماً من مزدلفة فشاهدت جموعاً من الشيعة متجّهين إلى رمي جمرة العقبة عشاء، فسألت أحد المرشدين فأخبرني بالجواز في مذهبهم، رجعت إلى كتابكم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الشريعة الإسلامية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أنّه لم يصله التأليف فعدت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العبارة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يستحب له إذا دخل منى بعد طلوع الشمس رمي جمرة العقبة حالة وصوله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8/214</w:t>
      </w:r>
      <w:r>
        <w:rPr>
          <w:rFonts w:ascii="Amiri" w:hAnsi="Amiri" w:eastAsia="Amiri" w:cs="Amiri"/>
          <w:color w:val="111111"/>
          <w:sz w:val="28"/>
          <w:sz w:val="28"/>
          <w:szCs w:val="28"/>
          <w:rtl w:val="true"/>
          <w:lang w:bidi="ar-SA"/>
        </w:rPr>
        <w:t>، لم يذكر وقت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الخلاف للإمام الطوسي رحمه الله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الاستحباب لرمي جمرة العقبة بعد طلوع الشمس من يوم النحر بلا خلاف، ووقت الإجزاء من عند طلوع الفجر عند الاختيار، فإن رمى قبل ذلك لم</w:t>
      </w:r>
    </w:p>
    <w:p>
      <w:pPr>
        <w:pStyle w:val="BookText"/>
        <w:rPr/>
      </w:pPr>
      <w:r>
        <w:rPr>
          <w:rFonts w:ascii="Amiri" w:hAnsi="Amiri" w:eastAsia="Amiri" w:cs="Amiri"/>
          <w:color w:val="111111"/>
          <w:sz w:val="28"/>
          <w:sz w:val="28"/>
          <w:szCs w:val="28"/>
          <w:rtl w:val="true"/>
          <w:lang w:bidi="ar-SA"/>
        </w:rPr>
        <w:t>يجزه، وللعليل، ولصاحب الضرورة والنساء يجوز الرمي بالليل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أمران أود الاستفسار عنهما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الرمي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مطلق الليل سواء قبل نصف الليل وبعده‌؟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عليلاً أو صاحب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الذكور والنساء هل يجوز له تقديم الرمي للعقبة قبل نصف الليل‌؟</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عبد الوهاب أبو سليمان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13/12/1427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66" w:name="pg16776_179176"/>
    </w:p>
    <w:p>
      <w:pPr>
        <w:pStyle w:val="BookText"/>
        <w:rPr/>
      </w:pPr>
      <w:bookmarkEnd w:id="866"/>
      <w:r>
        <w:rPr>
          <w:rFonts w:eastAsia="Times New Roman" w:cs="Times New Roman" w:ascii="Times New Roman" w:hAnsi="Times New Roman"/>
          <w:color w:val="111111"/>
          <w:sz w:val="28"/>
          <w:szCs w:val="28"/>
          <w:lang w:val="en-US" w:bidi="en-US"/>
        </w:rPr>
        <w:t>14</w:t>
      </w:r>
    </w:p>
    <w:p>
      <w:pPr>
        <w:pStyle w:val="Heading4"/>
        <w:numPr>
          <w:ilvl w:val="3"/>
          <w:numId w:val="1"/>
        </w:numPr>
        <w:rPr/>
      </w:pPr>
      <w:bookmarkStart w:id="867" w:name="__RefHeading___Toc7071339_73709187"/>
      <w:bookmarkStart w:id="868" w:name="_Toc337"/>
      <w:bookmarkEnd w:id="867"/>
      <w:r>
        <w:rPr>
          <w:rtl w:val="true"/>
        </w:rPr>
        <w:t>الأُستاذ الفاضل الدكتور عبد الوهاب إبراهيم أبو سليمان دام عزّه</w:t>
      </w:r>
      <w:bookmarkEnd w:id="868"/>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وأمّا ما طرحتموه من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والسائل أعلم من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امتثالاً لأمركم نذكر لكم ما هو المشهور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عند الإمامية أنّ وقت الرمي لغير المعذور هو من طلوع الشمس في الأيام الثلاثة إلى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الرمي في وقته، وهو من طلوع الشمس إلى غروبها، فلو رمى ليلة النحر أو قبل طلوع الشمس لم يجز إلّا للمعذور كالمريض والمرأة والخائف والعبد</w:t>
      </w:r>
      <w:r>
        <w:rPr>
          <w:rFonts w:eastAsia="Amiri" w:cs="Amiri" w:ascii="Amiri" w:hAnsi="Amiri"/>
          <w:color w:val="111111"/>
          <w:sz w:val="28"/>
          <w:szCs w:val="28"/>
          <w:rtl w:val="true"/>
          <w:lang w:bidi="ar-SA"/>
        </w:rPr>
        <w:t>.</w:t>
      </w:r>
      <w:r>
        <w:rPr>
          <w:rStyle w:val="FootnoteAnchor"/>
          <w:rtl w:val="true"/>
        </w:rPr>
        <w:footnoteReference w:id="69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بعض المشايخ كالشيخ الطوسي في الخلاف وابن زهرة في الغنية والعلّامة في التحرير إلى جواز رمي جمرة العقبة عند طلوع الفجر مع الاختيار، لكن هذا الرأي غير معروف عندهم، ففي صحيح صفوان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الجمار ما بين طلوع الشمس إلى غروبها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ترم الجمرة يوم النحر حتّى تطلع الشمس</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المختار، وأمّا المعذور فالمشهور عندهم أنّه يجوز له الإفاضة قبل طلوع الفجر من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الإفاضة قبل الفجر للمرأة ومن يخاف من غير جبران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قولهم صحيحة أبي بصيرقال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تقدّم النساء إذا زال الليل فيقفن عند المشعر ساعة، ثمّ ينطلق بهن إلى منى فيرمين الجمرة، ثم يصبرن ساعة، ثمّ يقصرن وينطلقن إلى مكّة فيطفن، إلّا أن يكن يردن أن يذبح عنهن فإنّهنّ يوكّلن من يذبح عنهن</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وقد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بانتصاف الليل فعلى هذا يجوز الرمي بعد انتصاف الليل قبل الفجر وبعده قبل طلوع الشمس، هذا هو المعروف لدى الإمامية في المختار والمضطرّ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أوضحنا حالها في الجزء الرابع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في الشريعة الإسلامية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قيد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أيضاً سؤال أُريد أن تشرحه لنا، وهو</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الرائج في مكّة والمدينة بل في دمشق وعمان الأذان قبل الفجر بساعة لإيقاظ الناس لصلاة الليل، ولا شكّ أنّ نافلة الليل عمل مستحب وكفى في حقّها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إلّاأنّ الأذان عبادة</w:t>
      </w:r>
    </w:p>
    <w:p>
      <w:pPr>
        <w:pStyle w:val="BookText"/>
        <w:rPr/>
      </w:pPr>
      <w:r>
        <w:rPr>
          <w:rFonts w:ascii="Amiri" w:hAnsi="Amiri" w:eastAsia="Amiri" w:cs="Amiri"/>
          <w:color w:val="111111"/>
          <w:sz w:val="28"/>
          <w:sz w:val="28"/>
          <w:szCs w:val="28"/>
          <w:rtl w:val="true"/>
          <w:lang w:bidi="ar-SA"/>
        </w:rPr>
        <w:t>توقيفية لا يُرخّص إلّافيما شُرّع وهو الأذان للفرائض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يطرح هذا السؤال هل هناك دليل خاصّ من السنّة على جواز الأذان لقيام الناس لصلاة الليل أوّلاً، وهل كانت هذه الطريقة موجودة في عصر النبي صلى الله عليه و آله و سلم أو بعده في عصر الخلفاء في مورد إيقاظ الناس لأداء نافلة الليل،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69" w:name="pg16776_179179"/>
    </w:p>
    <w:p>
      <w:pPr>
        <w:pStyle w:val="BookText"/>
        <w:rPr/>
      </w:pPr>
      <w:bookmarkEnd w:id="869"/>
      <w:r>
        <w:rPr>
          <w:rFonts w:eastAsia="Times New Roman" w:cs="Times New Roman" w:ascii="Times New Roman" w:hAnsi="Times New Roman"/>
          <w:color w:val="111111"/>
          <w:sz w:val="28"/>
          <w:szCs w:val="28"/>
          <w:lang w:val="en-US" w:bidi="en-US"/>
        </w:rPr>
        <w:t>15</w:t>
      </w:r>
    </w:p>
    <w:p>
      <w:pPr>
        <w:pStyle w:val="Heading4"/>
        <w:numPr>
          <w:ilvl w:val="3"/>
          <w:numId w:val="1"/>
        </w:numPr>
        <w:rPr/>
      </w:pPr>
      <w:bookmarkStart w:id="870" w:name="__RefHeading___Toc7071341_73709187"/>
      <w:bookmarkStart w:id="871" w:name="_Toc338"/>
      <w:bookmarkEnd w:id="870"/>
      <w:r>
        <w:rPr>
          <w:rtl w:val="true"/>
        </w:rPr>
        <w:t>صاحب السماحة العلّامة الشيخ جعفر السبحاني</w:t>
      </w:r>
      <w:bookmarkEnd w:id="871"/>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أفدتموني بموقف السادة من المذهب الإمامي في توقيت رمي جمرة العقبة ليلة عيد الأضحى، وهو موقف يتّفق مع مذهب السادة من المذاهب الأربعة وإن كان الأمر متّسعاً في المذهبين الشافعي والحنبلي بخصوص بداية رمي جمرة العقبة، فالجواز لدى هذين المذهبين يبدأ للجميع 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أتوقع أن يكون مَن سألته عن رمي مجموعة من إخوتنا الشيعة بعد أذان العشاء مباشرة أنّه يطبق المذهب ولكن تبيّن أنّ الأمر غير ذلك كما أفاد سماحتكم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سماحتكم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الرائج في مكة والمدينة بل في دمشق وعمان الأذان قبل الفجر بساعة لإيقاظ الناس لصلاة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به ولم يدر بخلد أحد أنّه أذان لقيام الناس</w:t>
      </w:r>
    </w:p>
    <w:p>
      <w:pPr>
        <w:pStyle w:val="BookText"/>
        <w:rPr/>
      </w:pPr>
      <w:r>
        <w:rPr>
          <w:rFonts w:ascii="Amiri" w:hAnsi="Amiri" w:eastAsia="Amiri" w:cs="Amiri"/>
          <w:color w:val="111111"/>
          <w:sz w:val="28"/>
          <w:sz w:val="28"/>
          <w:szCs w:val="28"/>
          <w:rtl w:val="true"/>
          <w:lang w:bidi="ar-SA"/>
        </w:rPr>
        <w:t>لصلاة الليل وأنّه أذان للنافلة، وما قال به أحد كتابة أو مقالة فيما أحاط به علمي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الأذان قصد به التأهّب والاستعداد لصلاة الفريضة لا غير، كما تدلّ عليه الأحاديث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كانت هذ الطريقة موجودة في عصر النبي صلى الله عليه و آله و سلم أو بعده في عصر الخلفاء في مورد إيقاظ الناس لأداء نافلة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سبق أن وضحت أنّ هذا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لأداء نافلة الليل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الواردة في الأذان الأوّل والهدف منه هو ما جاء ذكره من الأحاديث في صحيح البخاري صراحة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الأذان قبل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هذا باب في بيان حكم الأذان قبل طلوع الفجر هل هو مشروع أو لا؟ وإذا شرع هل يكتفي به عن إعادة الأذان بعد الفجر أم لا؟ وميل البخاري إلى الإعادة بدليل إيراده الأحاديث في هذا الباب الدالة على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الآتي يبيّن المقصود من الأذان الأوّل قبل دخول وقت الفجر ما رواه الإمام البخاري رحمه اللّه بسنده عن عبد اللّه بن مسعود رضى الله عنه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أو أحداً منكم أذان بلال من سحوره فإنّه يؤذن بليل؛ ليرجع قائمكم، ولينبّه نائمكم، وليس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أو الصبح، وقال بأصابعه ورفعها إلى فوق وطأطأ إلى أسفل حتّى يقول هكذا،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بسبابتيه إحداهما فوق الأُخرى، ثم مدهما عن يمينه وعن شماله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العيني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ومعناه يرد قائمكم أي المتهجد إلى راحته ليقوم إلى صلاة الصبح نشيطاً، وليوقظ نائمكم ليتأهب للصبح بفعل ما أراده من تهجد</w:t>
      </w:r>
    </w:p>
    <w:p>
      <w:pPr>
        <w:pStyle w:val="BookText"/>
        <w:rPr/>
      </w:pPr>
      <w:r>
        <w:rPr>
          <w:rFonts w:ascii="Amiri" w:hAnsi="Amiri" w:eastAsia="Amiri" w:cs="Amiri"/>
          <w:color w:val="111111"/>
          <w:sz w:val="28"/>
          <w:sz w:val="28"/>
          <w:szCs w:val="28"/>
          <w:rtl w:val="true"/>
          <w:lang w:bidi="ar-SA"/>
        </w:rPr>
        <w:t>قليل، أو تسحر، أو 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ثم يتبيّن لسماحتكم أنّ الأذان الأوّل لم يقصد به لا في الزمن الماضي ولا المتأخّر أن يكون أذاناً لنافلة الليل البتة، وبهذا يصدق ما ذكرتموه في رسالتكم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الأذان عبادة توقيفية لا يرخص إلّافيما شرع وهو الأذان للفرائض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اتّفاق من الجميع بل من الأُمور المجمع عليها من جميع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 هذا الأذان بمكة المكرمة والمدينة المنورة من ثلاثة عقود من السنين تقريباً للغرض المذكور في نصّ الحديث، وإنّي أرفق لسماحتكم صورة من شرح عمدة القاري شرح صحيح البخاري فيما يتصل بهذا الموضوع، سائلاً المولى جل وعلا أن ينفعنا بما علمنا وأن يبارك في عطائكم وعلمكم وأن يمنحكم الصحة والعافية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عبد الوهاب أبو سليمان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19/12/1427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72" w:name="pg16776_179182"/>
    </w:p>
    <w:p>
      <w:pPr>
        <w:pStyle w:val="BookText"/>
        <w:rPr/>
      </w:pPr>
      <w:bookmarkEnd w:id="872"/>
      <w:r>
        <w:rPr>
          <w:rFonts w:eastAsia="Times New Roman" w:cs="Times New Roman" w:ascii="Times New Roman" w:hAnsi="Times New Roman"/>
          <w:color w:val="111111"/>
          <w:sz w:val="28"/>
          <w:szCs w:val="28"/>
          <w:lang w:val="en-US" w:bidi="en-US"/>
        </w:rPr>
        <w:t>16</w:t>
      </w:r>
    </w:p>
    <w:p>
      <w:pPr>
        <w:pStyle w:val="Heading4"/>
        <w:numPr>
          <w:ilvl w:val="3"/>
          <w:numId w:val="1"/>
        </w:numPr>
        <w:rPr/>
      </w:pPr>
      <w:bookmarkStart w:id="873" w:name="__RefHeading___Toc7071343_73709187"/>
      <w:bookmarkStart w:id="874" w:name="_Toc339"/>
      <w:bookmarkEnd w:id="873"/>
      <w:r>
        <w:rPr>
          <w:rtl w:val="true"/>
        </w:rPr>
        <w:t>سماحة العلّامة الحجّة الدكتور عبد الوهاب إبراهيم أبو سليمان</w:t>
      </w:r>
      <w:bookmarkEnd w:id="874"/>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وصلتنا رسالتكم المبسوطة حول موضوع الأذان قبل الفجر وكانت رسالة مفيدة أوضحت لنا بعض النقاط الّتي كانت غائبة عنّا، شكر اللّه مساعيكم الجميلة، ومع ذلك فإنّي لم أقتنع بالأذان قبل الفجر على النحو الرائج في المدينة المنوّرة ومكة المكرّمة وسائر البلاد لوجوه سأذكرها تباعاً، وقبل ذلك نذكر ما رواه البخاري في المقام وهو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مسعود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يمنعن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بلالٍ من سحوره فإنّه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 ليرجع قائمكم ولينبه نائمكم وليس أن يقول الفجر أو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يؤذّن بليل فكلوا واشربوا حتّى يؤذّن ابنُ أُم مكتوم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 ألفاظ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بما ذُكر على مشروعية الأذان قبل الفجر على النحو الرائج في زماننا يواجه تساؤلات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أقصى ما تدلّ عليه هذه الروايات هو جواز الأذان قبل الفجر في شهر رمضان، وأمّا جوازه في غير هذا الشهر فلا يستفاد منها، وذلك لأنّه فرق بين الدليل اللفظي والدليل اللبيّ الّذي لم يرد فيه لفظ عن الرسول صلى الله عليه و آله و سلم وإنّما قرّر</w:t>
      </w:r>
    </w:p>
    <w:p>
      <w:pPr>
        <w:pStyle w:val="BookText"/>
        <w:rPr/>
      </w:pPr>
      <w:r>
        <w:rPr>
          <w:rFonts w:ascii="Amiri" w:hAnsi="Amiri" w:eastAsia="Amiri" w:cs="Amiri"/>
          <w:color w:val="111111"/>
          <w:sz w:val="28"/>
          <w:sz w:val="28"/>
          <w:szCs w:val="28"/>
          <w:rtl w:val="true"/>
          <w:lang w:bidi="ar-SA"/>
        </w:rPr>
        <w:t>عملاً صدر عن صحابي في حضوره ولم يعترض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الدليل اللفظي يؤخذ بالإطلاق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وسكت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أي الدليل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بالقدر المتيقّن ويقتصر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أن يقول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الأذان قبل الفجر فيؤخذ بإطلاقه، وبين أن يؤذّن أحد الصحابة في ظرف خاص بمرأى ومسمع من الرسول صلى الله عليه و آله و سلم فيقرّه عليه، فيؤخذ بنفس العمل في ذلك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 فالذي صدر من بلال رحمه الله ولم يعترض عليه النبي صلى الله عليه و آله و سلم كان في شهر رمضان والناس أيقاظ بين متهجّد وآكل للسحور أو مستعد للقيام، ففي هذه الظروف يصحّ الأذان قبل الفجر، وأمّا تعميمه لبقية الشهور والناس على غير هذه الحالة فإنّه يحتاج إلى دليل ولا يمكن التمسّك بالعمل الفاقد للسان بل يكتفى بالقدر المتيقّن كما 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أذان بلال قبل الفجر كان قبيل الفجر وكان الفاصل الزماني بين أذانه والفجر قليلاً جدّاً على نحو ربما كان بعض الناس يتخيّل دخول الفجر فنبّه النبي صلى الله عليه و آله و سلم بأنّ أذانه ليس دليلاً على دخول الفجر، فلو دلّ العمل على الجواز فإنّما يدلّ في هذا الحدّ، لا ما إذا كان الفاصل الزماني يقترب من ساعة كاملة كما هوالحال الآن، ولذلك ينقل ابن حجر في فتح الباري عن ابن دقيق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وقت الأذان مشتبهاً محتملاً لأن يكون عند طلوع الفجر فبيّن صلى الله عليه و آله و سلم أنّ ذلك لا يمنع الأكل والشرب بل الّذي يمنعه طلوع الفجر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تقارب وقت أذان بلال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ويقوّيه أيضاً ما تقدّم من أن الحكمة في مشروعيته، التأهّبُ لإدراك الصبح في أوّل وقتها</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جدّاً أنّ بلالاً كان يؤذّن ببعض فصول الأذان لا بأذان تام</w:t>
      </w:r>
    </w:p>
    <w:p>
      <w:pPr>
        <w:pStyle w:val="BookText"/>
        <w:rPr/>
      </w:pPr>
      <w:r>
        <w:rPr>
          <w:rFonts w:ascii="Amiri" w:hAnsi="Amiri" w:eastAsia="Amiri" w:cs="Amiri"/>
          <w:color w:val="111111"/>
          <w:sz w:val="28"/>
          <w:sz w:val="28"/>
          <w:szCs w:val="28"/>
          <w:rtl w:val="true"/>
          <w:lang w:bidi="ar-SA"/>
        </w:rPr>
        <w:t>الأجزاء، لأنّ الغرض كما نُصّ عليه في الرواية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ليرجع قائمكم ولينبّه نائمكم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ويفسّره العيني في شرحه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يؤذن بالليل ليعلمكم أنّ الصبح قريب فيرد القائم المتهجد إلى راحته لينام لحظة ليصبح نشيطاً ويوقظ نائمكم ليتأهّب للصبح بفعل ما أراده من تهجّد قليل أو تسحّر أو اغتسال</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يحصل ببعض الفصول لا بأذان تام، ولذلك نرى الاختلاف في النقل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في باب الأذان بعد الفجر عن عبد اللّه بن عمر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ينادي بليل، فكلوا واشربوا حتّى ينادي ابن أُمّ مكتوم، ولعل التعبير بالنداء والعدول عن كلمة الأذان إشارة إلى أنّ الصادر من بلال لم يكن أذاناً حقيقياً جامعاً لعامة فصوله بل كان يلتقط شيئاً من فصول الأذان وينادي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 أذان ابن أُم مكتوم أذاناً واقعياً والتعبير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وقوعه ضمن سياقه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نرى أنّ عبد اللّه بن مسعود يرويه على الوجهين فيقول فإنّه يؤذن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الحنفية ذهبت إلى أنّه لا يسنّ الأذان قبل وقت الصبح حتّى تجرّأ بعضهم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نداءً لا أذاناً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الأولى عندئذ ترك هذا الأذان والاكتفاء به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75" w:name="pg16776_179185"/>
    </w:p>
    <w:p>
      <w:pPr>
        <w:pStyle w:val="BookText"/>
        <w:rPr/>
      </w:pPr>
      <w:bookmarkEnd w:id="875"/>
      <w:r>
        <w:rPr>
          <w:rFonts w:eastAsia="Times New Roman" w:cs="Times New Roman" w:ascii="Times New Roman" w:hAnsi="Times New Roman"/>
          <w:color w:val="111111"/>
          <w:sz w:val="28"/>
          <w:szCs w:val="28"/>
          <w:lang w:val="en-US" w:bidi="en-US"/>
        </w:rPr>
        <w:t>17</w:t>
      </w:r>
    </w:p>
    <w:p>
      <w:pPr>
        <w:pStyle w:val="Heading4"/>
        <w:numPr>
          <w:ilvl w:val="3"/>
          <w:numId w:val="1"/>
        </w:numPr>
        <w:rPr/>
      </w:pPr>
      <w:bookmarkStart w:id="876" w:name="__RefHeading___Toc7071345_73709187"/>
      <w:bookmarkStart w:id="877" w:name="_Toc340"/>
      <w:bookmarkEnd w:id="876"/>
      <w:r>
        <w:rPr>
          <w:rtl w:val="true"/>
        </w:rPr>
        <w:t>سماحة العلّامة الحجّة الدكتور عبد الوهاب إبراهيم أبو سليمان</w:t>
      </w:r>
      <w:bookmarkEnd w:id="877"/>
    </w:p>
    <w:p>
      <w:pPr>
        <w:pStyle w:val="Heading5"/>
        <w:numPr>
          <w:ilvl w:val="4"/>
          <w:numId w:val="1"/>
        </w:numPr>
        <w:rPr/>
      </w:pPr>
      <w:bookmarkStart w:id="878" w:name="__RefHeading___Toc7071347_73709187"/>
      <w:bookmarkStart w:id="879" w:name="_Toc341"/>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دام عزّه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لقد سبرت مصنّفكم الموسوم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البحث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أنّ كافة البحوث الواردة فيه كانت جميلة ووافية، وأنّ الكتاب جدير بأن يتخذ منهجاً دراسياً في كلّيات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لا يصدنا عن أن نذكر شيئاً بسيطاً لا ينقص من قيمة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ذكرتم حفظكم اللّه في المبحث الثالث 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صناعة الاجتهاد ومتطلباتها في الوقت الحاضر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أفضتم فيه الكلام، ولكنّا نرى أنّ هذا البحث يتطلّب ذكر أُمور ثلاثة كلّها أيضاً من أدوات الاجتهاد</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7071349_73709187"/>
      <w:bookmarkStart w:id="881" w:name="_Toc342"/>
      <w:bookmarkEnd w:id="880"/>
      <w:r>
        <w:rPr>
          <w:rtl w:val="true"/>
        </w:rPr>
        <w:t>الأوّل</w:t>
      </w:r>
      <w:r>
        <w:rPr>
          <w:rtl w:val="true"/>
        </w:rPr>
        <w:t xml:space="preserve">: </w:t>
      </w:r>
      <w:r>
        <w:rPr>
          <w:rtl w:val="true"/>
        </w:rPr>
        <w:t>تاريخ التشريع الإسلامي</w:t>
      </w:r>
      <w:bookmarkEnd w:id="88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على الفقيه دراسة تاريخ التشريع الإسلامي فإنّ تاريخ العلم يلقي ضوءاً أو أضواء على نفس العلم، وقد عُرّف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العلم الّذي يبحث عن حالات الفقه الإسلامي في عصر الرسالة وما بعده من العصور، وبيان الظروف الّتي أُنشئت فيها تلك الأحكام، وبيان ما طرأ عليها، وعن سيرة الفقهاء والمجتهدين، وماكان لهم من دور في تخريج تلك الأحكام</w:t>
      </w:r>
      <w:r>
        <w:rPr>
          <w:rFonts w:eastAsia="Amiri" w:cs="Amiri" w:ascii="Amiri" w:hAnsi="Amiri"/>
          <w:color w:val="111111"/>
          <w:sz w:val="28"/>
          <w:szCs w:val="28"/>
          <w:rtl w:val="true"/>
          <w:lang w:bidi="ar-SA"/>
        </w:rPr>
        <w:t>.</w:t>
      </w:r>
      <w:bookmarkStart w:id="882" w:name="pg16776_179186"/>
    </w:p>
    <w:p>
      <w:pPr>
        <w:pStyle w:val="BookText"/>
        <w:rPr/>
      </w:pPr>
      <w:bookmarkEnd w:id="882"/>
      <w:r>
        <w:rPr>
          <w:rFonts w:ascii="Amiri" w:hAnsi="Amiri" w:eastAsia="Amiri" w:cs="Amiri"/>
          <w:color w:val="111111"/>
          <w:sz w:val="28"/>
          <w:sz w:val="28"/>
          <w:szCs w:val="28"/>
          <w:rtl w:val="true"/>
          <w:lang w:bidi="ar-SA"/>
        </w:rPr>
        <w:t>ولنذكر مثالاً لتأثير العلم بتاريخ التشريع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بعض الفقهاء على أنّ المتمتع يتخيّر بين الحلق والتقصير مستدلّاً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للتخيير، فقال بالتخيير بين الأمرين في الخروج عن الإحرام في حجّ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نابع عن عدم الاطّلاع على تاريخ التشريع، فإنّ الآية راجعة إلى العمرة المفردة الّتي أتى بها النبي الأكرم صلى الله عليه و آله و سلم في السنة السابعة، وأين هي من الإحرام لحج التمتع‌؟ وكم لهذا الموضوع من نظائر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ظل هذا العلم يعرف الناسخ من المنسوخ كما يتّضح مفاد آيات الأحكام، وغير ذلك من الفوائد</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7071351_73709187"/>
      <w:bookmarkStart w:id="884" w:name="_Toc343"/>
      <w:bookmarkEnd w:id="883"/>
      <w:r>
        <w:rPr>
          <w:rtl w:val="true"/>
        </w:rPr>
        <w:t>الثاني</w:t>
      </w:r>
      <w:r>
        <w:rPr>
          <w:rtl w:val="true"/>
        </w:rPr>
        <w:t xml:space="preserve">: </w:t>
      </w:r>
      <w:r>
        <w:rPr>
          <w:rtl w:val="true"/>
        </w:rPr>
        <w:t>التمييز بين ثابتات الأحكام ومتغيّراتها</w:t>
      </w:r>
      <w:bookmarkEnd w:id="884"/>
    </w:p>
    <w:p>
      <w:pPr>
        <w:pStyle w:val="BookText"/>
        <w:rPr/>
      </w:pPr>
      <w:r>
        <w:rPr>
          <w:rFonts w:ascii="Amiri" w:hAnsi="Amiri" w:eastAsia="Amiri" w:cs="Amiri"/>
          <w:color w:val="111111"/>
          <w:sz w:val="28"/>
          <w:sz w:val="28"/>
          <w:szCs w:val="28"/>
          <w:rtl w:val="true"/>
          <w:lang w:bidi="ar-SA"/>
        </w:rPr>
        <w:t>كما أنّ هذا الموضوع صار ذريعة لإنكار كثير من مسلمات الفقه الإسلامي تحت غطاء متطلّبات العصر ومتغيرات الأحكام، وكان على المؤلف حفظه اللّه إرخاء عنان القلم في هذا الموضوع لينبه القارئ على تقسيم الأحكام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تزعزعها عواصف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تتغير حسب المصالح ومتطلبات العصر</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7071353_73709187"/>
      <w:bookmarkStart w:id="886" w:name="_Toc344"/>
      <w:bookmarkEnd w:id="885"/>
      <w:r>
        <w:rPr>
          <w:rtl w:val="true"/>
        </w:rPr>
        <w:t>الثالث</w:t>
      </w:r>
      <w:r>
        <w:rPr>
          <w:rtl w:val="true"/>
        </w:rPr>
        <w:t xml:space="preserve">: </w:t>
      </w:r>
      <w:r>
        <w:rPr>
          <w:rtl w:val="true"/>
        </w:rPr>
        <w:t>التركيز على الاجتهاد المطلق</w:t>
      </w:r>
      <w:bookmarkEnd w:id="88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على المؤلّف أن يركّز على الاجتهاد الحر الخارج عن إطار المذاهب</w:t>
      </w:r>
    </w:p>
    <w:p>
      <w:pPr>
        <w:pStyle w:val="BookText"/>
        <w:rPr/>
      </w:pPr>
      <w:r>
        <w:rPr>
          <w:rFonts w:ascii="Amiri" w:hAnsi="Amiri" w:eastAsia="Amiri" w:cs="Amiri"/>
          <w:color w:val="111111"/>
          <w:sz w:val="28"/>
          <w:sz w:val="28"/>
          <w:szCs w:val="28"/>
          <w:rtl w:val="true"/>
          <w:lang w:bidi="ar-SA"/>
        </w:rPr>
        <w:t>المعيّنة، فهذا هو الأصل الّذي يجب أن يهتم به فقهاء العصر، وليس هذا بمعنى تناسي عطاءات قُدامى الفقهاء وما بذلوه من جهود في إرساء أركان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بمعنى أنّ كل واحد من أتباع هذه المذاهب إنسان غير معصوم قابل للخطأ فالأصحّ بذل الجهد في دائرة أوسع من التأثر بالمذاهب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البعيد أن ينال الآخرون ما لم ينله الأوائل، كما ورد في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أُؤكد على أنّ هذه التعليقة المختصرة لا تنقص من قيمة الكتاب قيد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87" w:name="pg16776_179188"/>
    </w:p>
    <w:p>
      <w:pPr>
        <w:pStyle w:val="BookText"/>
        <w:rPr/>
      </w:pPr>
      <w:bookmarkEnd w:id="887"/>
      <w:r>
        <w:rPr>
          <w:rFonts w:eastAsia="Times New Roman" w:cs="Times New Roman" w:ascii="Times New Roman" w:hAnsi="Times New Roman"/>
          <w:color w:val="111111"/>
          <w:sz w:val="28"/>
          <w:szCs w:val="28"/>
          <w:lang w:val="en-US" w:bidi="en-US"/>
        </w:rPr>
        <w:t>18</w:t>
      </w:r>
    </w:p>
    <w:p>
      <w:pPr>
        <w:pStyle w:val="Heading4"/>
        <w:numPr>
          <w:ilvl w:val="3"/>
          <w:numId w:val="1"/>
        </w:numPr>
        <w:rPr/>
      </w:pPr>
      <w:bookmarkStart w:id="888" w:name="__RefHeading___Toc7071355_73709187"/>
      <w:bookmarkStart w:id="889" w:name="_Toc345"/>
      <w:bookmarkEnd w:id="888"/>
      <w:r>
        <w:rPr>
          <w:rtl w:val="true"/>
        </w:rPr>
        <w:t>العلّامة الجليل فضيلة الشيخ جعفر السبحاني</w:t>
      </w:r>
      <w:bookmarkEnd w:id="889"/>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سعيد كل السعادة أن أجد من فضيلتكم الاهتمام الكامل، والدراسة الشاملة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البحث في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خصائصه، ونقائصه، وترتيب موضوعاته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وإبراز بعض النقاط والموضوعات الّتي يرى فضيلتكم أن تضم بين دفتي الكتاب، وهي لا شكّ مهمّة جداً، وسيكون لها مكانها من الكتاب في الطبعة القادمة إن شاء اللّه، وقد عنيتم فضيلتكم بالتحديد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البحث يتطلب ذكر أُمور ثلاثة كلها أيضاً من أدوات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اتفق مع فضيلتكم كل الاتفاق على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التشريع، التمييز بين ثابتات الأحكام ومتغيراتها، التركيز على الاجتهاد المطلق</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 الإشارة إلى نقطة منهجية بأنّ مجال هذا وتفصيله هو علم أُصول الفقه، وقد أفاض علماء أُصول الفقه في شروطه وأهميته، وهذا الكتاب في الحقيقة هو مجرد إضاءات لطالب الفقه والباحث فيه، وكما لا يخفى على فضيلتكم أنّ الباحثين فيه لا يجدون دليلاً يأخذ بأيديهم خصوصاً وأنّه قد قَلَّ‌</w:t>
      </w:r>
    </w:p>
    <w:p>
      <w:pPr>
        <w:pStyle w:val="BookText"/>
        <w:rPr/>
      </w:pPr>
      <w:r>
        <w:rPr>
          <w:rFonts w:ascii="Amiri" w:hAnsi="Amiri" w:eastAsia="Amiri" w:cs="Amiri"/>
          <w:color w:val="111111"/>
          <w:sz w:val="28"/>
          <w:sz w:val="28"/>
          <w:szCs w:val="28"/>
          <w:rtl w:val="true"/>
          <w:lang w:bidi="ar-SA"/>
        </w:rPr>
        <w:t>العلماء بيننا الذين ينيرون الطريق في هذا المجال، وكما رأى فضيلتكم أنّ الكثير من الموضوعات المدوّنة قد كتب فيها أكثر بكثير ممّا جرى عرضه، ومن أجل أن أوفّر على القارئ وقته أحلته في نهاية بعض الموضوعات إلى كتب أُخرى يشبع منها نهمه ويروي ظمأه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محبّكم</w:t>
      </w:r>
    </w:p>
    <w:p>
      <w:pPr>
        <w:pStyle w:val="BookText"/>
        <w:rPr/>
      </w:pPr>
      <w:r>
        <w:rPr>
          <w:rFonts w:ascii="Amiri" w:hAnsi="Amiri" w:eastAsia="Amiri" w:cs="Amiri"/>
          <w:color w:val="111111"/>
          <w:sz w:val="28"/>
          <w:sz w:val="28"/>
          <w:szCs w:val="28"/>
          <w:rtl w:val="true"/>
          <w:lang w:bidi="ar-SA"/>
        </w:rPr>
        <w:t>عبدالوهاب أبوسليمان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890" w:name="pg16776_179190"/>
    </w:p>
    <w:p>
      <w:pPr>
        <w:pStyle w:val="BookText"/>
        <w:rPr/>
      </w:pPr>
      <w:bookmarkEnd w:id="890"/>
      <w:r>
        <w:rPr>
          <w:rFonts w:eastAsia="Times New Roman" w:cs="Times New Roman" w:ascii="Times New Roman" w:hAnsi="Times New Roman"/>
          <w:color w:val="111111"/>
          <w:sz w:val="28"/>
          <w:szCs w:val="28"/>
          <w:lang w:val="en-US" w:bidi="en-US"/>
        </w:rPr>
        <w:t>19</w:t>
      </w:r>
    </w:p>
    <w:p>
      <w:pPr>
        <w:pStyle w:val="Heading4"/>
        <w:numPr>
          <w:ilvl w:val="3"/>
          <w:numId w:val="1"/>
        </w:numPr>
        <w:rPr/>
      </w:pPr>
      <w:bookmarkStart w:id="891" w:name="__RefHeading___Toc7071357_73709187"/>
      <w:bookmarkStart w:id="892" w:name="_Toc346"/>
      <w:bookmarkEnd w:id="891"/>
      <w:r>
        <w:rPr>
          <w:rtl w:val="true"/>
        </w:rPr>
        <w:t>سماحة العلّامة الدكتور عبد الوهاب إبراهيم أبو سليمان</w:t>
      </w:r>
      <w:bookmarkEnd w:id="892"/>
    </w:p>
    <w:p>
      <w:pPr>
        <w:pStyle w:val="BookText"/>
        <w:rPr/>
      </w:pPr>
      <w:r>
        <w:rPr>
          <w:rFonts w:ascii="Amiri" w:hAnsi="Amiri" w:eastAsia="Amiri" w:cs="Amiri"/>
          <w:color w:val="111111"/>
          <w:sz w:val="28"/>
          <w:sz w:val="28"/>
          <w:szCs w:val="28"/>
          <w:rtl w:val="true"/>
          <w:lang w:bidi="ar-SA"/>
        </w:rPr>
        <w:t>السلام عليكم وعلى من حولكم من الأعزاء الكرام ورحمة اللّه وبركاته</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وصلتني رسالتكم القيّمة المؤرّخة </w:t>
      </w:r>
      <w:r>
        <w:rPr>
          <w:rFonts w:eastAsia="Amiri" w:cs="Amiri" w:ascii="Amiri" w:hAnsi="Amiri"/>
          <w:color w:val="111111"/>
          <w:sz w:val="28"/>
          <w:szCs w:val="28"/>
          <w:lang w:bidi="ar-SA"/>
        </w:rPr>
        <w:t>1428/1/23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ولقد ذكرتم في رسالتكم بأنكم ستقومون بتحرير المواضع الثلاثة الّتي هي من أدوات الاجتهاد في الطبعة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حثّني على إرسال مقال حول واحد من هذه الأُمور، ألا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 بين الثوابت والمتغيرات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مشاركاً لكم في الأجر في هذا الصدد، ولعلكم تجدون فيه ثغرة أو ثغرات ننتظر أن تنبهوا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مستهل صفر المظفر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893" w:name="pg16776_179191"/>
    </w:p>
    <w:p>
      <w:pPr>
        <w:pStyle w:val="Heading4"/>
        <w:numPr>
          <w:ilvl w:val="3"/>
          <w:numId w:val="1"/>
        </w:numPr>
        <w:rPr/>
      </w:pPr>
      <w:bookmarkStart w:id="894" w:name="__RefHeading___Toc7071359_73709187"/>
      <w:bookmarkStart w:id="895" w:name="_Toc347"/>
      <w:bookmarkEnd w:id="893"/>
      <w:bookmarkEnd w:id="894"/>
      <w:r>
        <w:rPr>
          <w:rtl w:val="true"/>
        </w:rPr>
        <w:t>ملحق الأحكام الشرعية بين الثوابت والمتغيّرات</w:t>
      </w:r>
      <w:bookmarkEnd w:id="895"/>
    </w:p>
    <w:p>
      <w:pPr>
        <w:pStyle w:val="Heading5"/>
        <w:numPr>
          <w:ilvl w:val="4"/>
          <w:numId w:val="1"/>
        </w:numPr>
        <w:rPr/>
      </w:pPr>
      <w:bookmarkStart w:id="896" w:name="__RefHeading___Toc7071361_73709187"/>
      <w:bookmarkStart w:id="897" w:name="_Toc348"/>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ملحق</w:t>
      </w:r>
      <w:r>
        <w:rPr>
          <w:rStyle w:val="FootnoteAnchor"/>
          <w:rtl w:val="true"/>
        </w:rPr>
        <w:footnoteReference w:id="705"/>
      </w:r>
      <w:r>
        <w:rPr>
          <w:rFonts w:ascii="Amiri" w:hAnsi="Amiri" w:eastAsia="Amiri" w:cs="Amiri"/>
          <w:color w:val="111111"/>
          <w:sz w:val="28"/>
          <w:sz w:val="28"/>
          <w:szCs w:val="28"/>
          <w:rtl w:val="true"/>
          <w:lang w:bidi="ar-SA"/>
        </w:rPr>
        <w:t>الأحكام الشرعية بين الثوابت والمتغيّرات</w:t>
      </w:r>
    </w:p>
    <w:p>
      <w:pPr>
        <w:pStyle w:val="BookText"/>
        <w:rPr/>
      </w:pPr>
      <w:r>
        <w:rPr>
          <w:rFonts w:ascii="Amiri" w:hAnsi="Amiri" w:eastAsia="Amiri" w:cs="Amiri"/>
          <w:color w:val="111111"/>
          <w:sz w:val="28"/>
          <w:sz w:val="28"/>
          <w:szCs w:val="28"/>
          <w:rtl w:val="true"/>
          <w:lang w:bidi="ar-SA"/>
        </w:rPr>
        <w:t>اتّفق المسلمون على أنّ نبي الإسلام محمداً صلى الله عليه و آله و سلم هو خاتم الأنبياء وأنّ شريعته خاتمة الشرائع، وكتابه خاتم الكتب، وأنّ تشريعاته خالدة لا تنسخ إلى يوم القيامة، فهي ثابتة، خالدة، دائمة، إلى أن يرث اللّه الأرض ومن عليها،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أنّ التطوّر الاجتماعي يستلزم تطوّراً في قوانين المجتمع إذ القانون الموضوع في ظرف خاص ربما لا يجدي نفعاً في ظرف آخر، ومقتضيات الزمان تختلف باختلاف المجتمعات وألوان الحياة فما صحّ أمس لا يصحّ اليوم، وما يصحّ اليوم ربّما لا يصحّ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التوفيق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الّذي ربما يطرحه بعض المنبهرين بالقوانين الغربية، لغاية إحلال القوانين الوضعية محلّ القوانين الشرعية بحجة أنّ مقتضيات الزمان تتطلّب ذلك</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الحياة الاجتماعية لو استمرت على وتيرة واحدة،</w:t>
      </w:r>
    </w:p>
    <w:p>
      <w:pPr>
        <w:pStyle w:val="BookText"/>
        <w:rPr/>
      </w:pPr>
      <w:r>
        <w:rPr>
          <w:rFonts w:ascii="Amiri" w:hAnsi="Amiri" w:eastAsia="Amiri" w:cs="Amiri"/>
          <w:color w:val="111111"/>
          <w:sz w:val="28"/>
          <w:sz w:val="28"/>
          <w:szCs w:val="28"/>
          <w:rtl w:val="true"/>
          <w:lang w:bidi="ar-SA"/>
        </w:rPr>
        <w:t>لصحّ للتشريع أن يسود في جميع الأزمنة، وأمّا لو كانت على وتائر مختلفة متحوّلة ومتغيّرة، فلا يسود القانون الواحد في أزمنة متباينة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حلّ الإشكال الّذي علق بالكثير من الأذهان نميط الستر عمّا هو المراد بالقوانين الثابتة، وما هو المقصود بالمقرّرات المتغيّرة، على وجه لا يمسُ التغيّرُ والتحوّل صميمَ الشريعة، وفي نفس الوقت تنطبق الشريعة الخالدة على عامّة المقتضيات وألوان الحياة، وإليك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للإنسان مع قطع النظر عمّا يحيط به من شروط العيش المختلفة، روحيات وغرائز خاصّة تلازمه، ولا تنفك عنه، إذ هي في الحقيقة مشخّصات تكوينية له، بها يتميّز عن سائر الحيوانات وتلازم وجوده في كلّ عصر ولا تنفك عنه بمرور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فهاتيك الغرائز الثابتة والروحيات الخالدة، لا تستغني عن قانون ينظم اتّجاهها، وتشريع ينظمها، وحكم يصونها عن الإفراط والتفريط، فإذا كان القانون مطابقاً لمقتضى فطرته وصالحاً لتعديلها، ومقتضياً لصلاحها، ومانعاً لفسادها، لزم خلوده بخلودها وثبوته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قد قصروا النظر على ما يحيط به من شروط العيش المختلفة المتبدّلة، وذهلوا عن أنّ للإنسان خلقاً وروحيات وغرائز، قد فطر عليها، لاتنفك عنه ما دام إنساناً، وكلّ واحد منها يقتضي حكماً يناسبه ولايباينه، بل يلائمه، ويدوم بدوامه ويثبت بثبوته عبر الأجيال والقرون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ودونك نماذج من هذه الأُمور ليتبيّن لك بأنّ التطوّر لا يعمّ جميع نواحي الحياة، وأنّ الثابت منها يقتضي حكماً ثابتاً لا متطوّراً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الانسان بما هو موجود اجتماعي، يحتاج لحفظ حياته وبقاء نسله إلى العيش الاجتماعي والحياة العائلية، وهذان الأمران من أُسس حياة الإنسان، لا تفتأ تقوم عليهما في جملة ما تقوم عليه منذ بدء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كان التشريع الموضوع لتنظيم المجتمع مبنياً على العدالة، حافظاً لحقوق أفراده، خالياً عن الظلم والجور والتعسّف، وموضوعاً على ملاكات واقعية، ضامناً لمصلحة المجتمع وصائناً له عن الفساد والانهيار، لزم بقاؤه ودوامه، ما دام مرتكزاً على العدل والإنصاف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التفاوت بين الرجل والمرأة أمر طبيعي محسوس، فهما موجودان مختلفان اختلافاً عضوياً وروحياً، على رغم كلّ الدعايات السخيفة الكاذبة، التي تريد إزالة كلّ تفاوت بينهما، ولأجل ذلك، اختلفت أحكام كلّ منهما عن الآخر، اختلافاً يقتضيه طبع كلّ منهما، فإذا كان التشريع مطابقاً لفطرتهما ومسايراً لطبعهما، ظل ثابتاً لا يتغيّر بمرور الزمان، لثبات الموضوع، المقتضي ثبات محموله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الروابط العائلية، كرابطة الولد بالوالدين، والأخ بأخيه، هي روابط طبيعية، لوجود الوحدة الروحية، والوحدة النسبية بينهم، فالأحكام المتفرّقة المنسّقة لهذه الروابط من التوارث ولزوم التكريم، ثابتة لا تتغير بتغيّر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التشريع الإسلامي حريص جداً على صيانة الأخلاق وحفظها من الضياع والانحلال، وممّا لا شكّ فيه، أنّ في تعاطي الخمر، ولعب الميسر، وشيوع الإباحة الجنسية؛ ضربة قاضية للأخلاق، وقد عالج الإسلام تلك الناحية من حياة الإنسان بتحريمها، وإجراء الحدود على مقترفيها، فالأحكام المتعلّقة بها، من الأحكام الثابتة مدى الدهور والأجيال، لأنّ ضررها ثابت لا يتغيّر بتغيّر الزمان، فالخمر يزيل العقل، والميسر ينبت العداوة في المجتمع، والإباحية الجنسية تفسد النسل والحرث دائماً ما دامت السماوات والأرض، فتتبعها أحكامها في الثبات والدوام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وأمثاله من الموضوعات الثابتة في حياة الإنسان الاجتماعية قد حدّدها ونظّمها الإسلام بقوانين ثابتة تطابق فطرته، وتكفل للمجتمع تنسيق</w:t>
      </w:r>
      <w:bookmarkStart w:id="898" w:name="pg16776_179194"/>
    </w:p>
    <w:p>
      <w:pPr>
        <w:pStyle w:val="BookText"/>
        <w:rPr/>
      </w:pPr>
      <w:bookmarkEnd w:id="898"/>
      <w:r>
        <w:rPr>
          <w:rFonts w:ascii="Amiri" w:hAnsi="Amiri" w:eastAsia="Amiri" w:cs="Amiri"/>
          <w:color w:val="111111"/>
          <w:sz w:val="28"/>
          <w:sz w:val="28"/>
          <w:szCs w:val="28"/>
          <w:rtl w:val="true"/>
          <w:lang w:bidi="ar-SA"/>
        </w:rPr>
        <w:t>الروابط الاجتماعية والاقتصادية على أحسن نسق وحفظ حقوق الأفراد وتنظيم الروابط العائلية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تطور الحياة الاجتماعية في بعض نواحيها لا يستلزم تغيّر النظام السائد على غرار الفطرة، ولا تغيّر الأحكام الموضوعة على طبق ملاكات واقعية، من مصالح ومفاسد كامنة في موضوعاتها، فلو تغيّر لون الحياة في وسائل الركوب، ومعدّات التكتيك الحربي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 ذلك لا يقتضي أن تنسخ حرمة الظلم ووجوب العدل ولزوم أداء الأمانات ودفع الغرامات والوفاء بالعهود والأيمان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التشريع على غرار الفطرة الانسانية، وكان النظام السائد حافظاً لحقوق المجتمع وموضوعاً على ملاكات في نفس الأمر، تلازم الموضوع في جميع الأجيال، فذلك التشريع والنظام يحتلّ مكان التشريع الدائم</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7071363_73709187"/>
      <w:bookmarkStart w:id="900" w:name="_Toc349"/>
      <w:bookmarkEnd w:id="899"/>
      <w:r>
        <w:rPr>
          <w:rtl w:val="true"/>
        </w:rPr>
        <w:t>المقررات المتطوّرة في الإسلام</w:t>
      </w:r>
      <w:bookmarkEnd w:id="900"/>
    </w:p>
    <w:p>
      <w:pPr>
        <w:pStyle w:val="BookText"/>
        <w:rPr/>
      </w:pPr>
      <w:r>
        <w:rPr>
          <w:rFonts w:ascii="Amiri" w:hAnsi="Amiri" w:eastAsia="Amiri" w:cs="Amiri"/>
          <w:color w:val="111111"/>
          <w:sz w:val="28"/>
          <w:sz w:val="28"/>
          <w:szCs w:val="28"/>
          <w:rtl w:val="true"/>
          <w:lang w:bidi="ar-SA"/>
        </w:rPr>
        <w:t>إنّ للانسان مع هذه الصفات والمشخّصات الذاتية، ظروفَ عيش اخرى زمانية ومكانية، لا تزال تتغيّر، ويتغيّر معها وضع الانسان، من حال إلى حال، فمثل هذه الظروف الطارئة تتغيّر أحكامها بتغيّرها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نطلق على الأحكام المتعلّقة بهذه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نطلق على الأحكام المتعلّقة بالظروف الثابتة،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المقررات ليست بمعزل عن القوانين الكلية الإسلامية، ولا تكون اعتباطاً وفوضى بل تجري في ضوء القوانين الكلية الثابتة، بحيث لا تناقضها ولا تعطّلها،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أحكاماً وخطوطاً عريضة تمثل القاعدة المركزية في التشريع الإسلامي وهي مصونة عن التحوّل والتبدّل، مهما اختلفت الأوضاع وتباينت 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أحكام متفرّعة على تلكم الخطوط، مستخرجة منها، بإمعان ودراية خاصّة، يستنبطها الباحث الإسلامي باستفراغ وسعه على ضوء هذه الخطوط العريضة، بشرط أن لا يصادمها، وهذا القسم من الأحكام يتجدد بتجدد العهود وتباين الظروف وتعدّد الملابسات واختلاف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قواعد الدين الإسلامي ما هو خالد وثابت وهو ما يمس الفطرة الإنسانية وله صلة بالكون والطبيعة، وما هو متغيّر ومتبدّل، وهو الذي لا يمس واقع العلاقات الاجتماعية والشؤون البشرية، ولا يتجاوز حدود الظواهر الاجتماعية وقد منح هذا التطور الدين الاسلامي، أسباب الخلود والبقاء والمسايرة مع عامّة الحضارات، بشرط أن لا يصطدم التحوّل على أي أساس من أُسسه ولا يتجاوز حدّاً من 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الكلي الذي يعالج القضايا البشرية على غرار الفطرة، وصعيدها الكوني، ثابت وخالد في كل العصور والأزمنة، وإن تطورت الأوضاع الاجتماعية والسياسية واختلفت حاجات الناس فإنّ الأنظمة الإسلامية والدساتير الشرعية، تساير الفطرة الإنسانية الثابتة، وتوالي الطبيعة الكونية، ولا تتخلف عنهما قدر شعرة، فإذا كان التشريع معبّراً عن الكون الثابت، ومبتنياً عليه، فيخلد بخلوده ويدوم بدوامه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أنّ تقلّب الأحوال وتحوّل الأوضاع الاجتماعية يتطلّب تحوّلاً في السنن والأنظمة، وتبدّلاً في المقررات، غير أنّه لا يتطلّب تحولاً فيما يمس واقع الانسانية السائد في جميع الأحوال ومختلف الأوضاع، كما لا يتطلب تحوّلاً في القوانين الكونية التي أصبحت تدبّر الكون بأُصوله الثابتة، فلا تتغير النسب الرياضية ولا النتائج الهندسية وإن تطوّرت الأوضاع وتبدلت الحضارات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المتغير هو المظاهر والقشور، والشكل التطبيقي لهاتيك الأحكام في مختلف الأوضاع وتطور المجتمع، والمتأثّر بالأوضاع هو القسم الثاني لا الأوّل،</w:t>
      </w:r>
    </w:p>
    <w:p>
      <w:pPr>
        <w:pStyle w:val="BookText"/>
        <w:rPr/>
      </w:pPr>
      <w:r>
        <w:rPr>
          <w:rFonts w:ascii="Amiri" w:hAnsi="Amiri" w:eastAsia="Amiri" w:cs="Amiri"/>
          <w:color w:val="111111"/>
          <w:sz w:val="28"/>
          <w:sz w:val="28"/>
          <w:szCs w:val="28"/>
          <w:rtl w:val="true"/>
          <w:lang w:bidi="ar-SA"/>
        </w:rPr>
        <w:t>ولا ضير فيه فإنّ الدين الإسلامي إنّما يستعرض القضايا التي تمس واقع البشرية، والمسائل التي لها صلة بالكون والطبيعة، ويترك التطبيق بعد لنفس المكلف حسب ظروفه وأحواله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تقف على أنّ التطور والتحوّل، فيما كتب له التغيّر والتبدّل جزء جوهري للدين، عنصر داخل في بناء التشريع الإسلامي كما أنّ الثبات والدوام فيما فرض له ذلك، أحد عناصر الدين ومن أجزاء ذاك البناء التشريعي السامي، فتجريده من أي واحد من عنصريه يوجب انحلال المركب وفناء الدين، وتأخره عن مسايرة 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ودونك نماذج من هذا القسم، أي من الأحكام المتطورة المتغيّرة بتغيّر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مجال العلاقات الدولية الدبلوماسية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الدولة الإسلامية أن تراعي مصالح الإسلام والمسلمين، فهذا أصل ثابت وقاعدة عامة، وأمّا كيفية تلك الرعاية، فتختلف باختلاف الظروف الزمانية والمكانية، فتارة تقتضي المصلحة السلام والمهادنة والصلح مع العدو، واُخرى تقتضي ضد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تختلف المقررات والأحكام الخاصة في هذا المجال، باختلاف الظروف ولكنّها لا تخرج عن نطاق القانون العام الذي هو رعاية مصالح المسلمين،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w:t>
      </w:r>
    </w:p>
    <w:p>
      <w:pPr>
        <w:pStyle w:val="BookText"/>
        <w:rPr/>
      </w:pPr>
      <w:r>
        <w:rPr>
          <w:rFonts w:ascii="Amiri" w:hAnsi="Amiri" w:eastAsia="Amiri" w:cs="Amiri"/>
          <w:color w:val="111111"/>
          <w:sz w:val="28"/>
          <w:sz w:val="28"/>
          <w:szCs w:val="28"/>
          <w:rtl w:val="true"/>
          <w:lang w:bidi="ar-SA"/>
        </w:rPr>
        <w:t>عَلى إِخْراجِكُمْ أَنْ تَوَلَّوْهُمْ وَ مَنْ يَتَوَلَّهُمْ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العلاقات الدولية التجارية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تقتضي المصلحة عقد اتفاقيات اقتصادية وإنشاء شركات تجارية أو مؤسسات صناعية، مشتركة بين المسلمين وغيرهم، وقد تقتضي المصلحة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حكم الإمام المغفور له، الفقيد المجدد، السيد الشيرازي بتحريم التدخين ليمنع من تنفيذ الاتفاقية الاقتصادية التي عقدت في زمانه بين إيران وانجلترا، إذ كانت مجحفة بحقوق الاُمّة المسلمة الإيرانية لأنّها خوّلت لانجلترا حق احتكار التنباك الإيراني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بيضة الإسلام وحفظ استقلاله وصيانة حدوده من الأعداء، قانون ثابت لا يتغيّر، فالمقصد الأسنى لمشرّع الإسلام، إنّما هو صيانة سيادته عن خطر أعدائه وأضرارهم، ولأجل ذلك أوجب عليهم تحصيل قوّة ضاربة ضد الأعداء، وإعداد جيش عارم جرّار تجاه الأعداء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فهذا هو الأصل الثابت في الإسلام الذي يؤيده 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الدفاع وتكتيكه ونوع السلاح، أو لزوم الخدمة العسكرية وعدمه، فكلّها موكولة إلى مقتضيات الزمان، تتغير بتغيره، ولكن في إطار القوانين العامة فليس هناك في الإسلام أصل ثابت، حتى مسألة التجنيد الإلزامي، الذي أصبح من الاُمور الأصلية في غالب البلدان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نرى في الكتب الفقهية من تبويب باب، أو وضع كتاب خاص، لأحكام السبق والرماية، وغيرها من أنواع الفروسية التي كانت متعارفة في الأزمنة الغابرة ونقل أحاديث في ذلك الباب، عن الرسول الأكرم صلى الله عليه و آله و سلم وأئمّة الإسلام، فليست أحكامها أصلية ثابتة في الإسلام، دعا إليها الشارع بصورة</w:t>
      </w:r>
    </w:p>
    <w:p>
      <w:pPr>
        <w:pStyle w:val="BookText"/>
        <w:rPr/>
      </w:pPr>
      <w:r>
        <w:rPr>
          <w:rFonts w:ascii="Amiri" w:hAnsi="Amiri" w:eastAsia="Amiri" w:cs="Amiri"/>
          <w:color w:val="111111"/>
          <w:sz w:val="28"/>
          <w:sz w:val="28"/>
          <w:szCs w:val="28"/>
          <w:rtl w:val="true"/>
          <w:lang w:bidi="ar-SA"/>
        </w:rPr>
        <w:t>أساسية ثابتة، بل كانت هي نوع تطبيق لذلك الحكم، الغرض منه تحصيل القوّة الكافية، تّجاه العدو في تلكم العصور، وأمّا الأحكام التي ينبغي أن تطبق في العصر الحاضر، فإنّها تفوض إلى مقتضيات العصر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الحاكم الإسلامي تقوية جيشه وقواته المسلحة بالطرق التي يقدر معها على صيانة الإسلام ومعتنقيه عن الخطر، ويصدّ كلّ مؤامرة عليه من جانب الأعداء حسب إمكانيات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والمقنّن الذي يتوخّى ثبات قانونه ودوامه وسيادة نظامه الذي جاء به، لا يجب عليه التعرض إلى تفاصيل الاُمور وجزئياتها، بل الذي يجب عليه هو وضع الكليات والاُصول ليساير قانونه جميع الأزمنة بأشكالها وصورها المختلفة، ولو سلك غير هذا السبيل لصار حظه من البقاء قليلاً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والثقافة، واستكمال المعارف التي تضمن سيادة المجتمع مادّياً ومعنوياً يعتبر من الفرائض الإسلامية، أمّا تحقيق ذلك وتعيين نوعه ونوع وسائله فلا يتحدّد بحدّ خاص، بل يوكل إلى نظر الحاكم الإسلامي، واللجان المقررة لذلك من جانبه حسب الامكانات الراهنة في ضوء القوانين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ألزم الإسلام، رعاة المسلمين، وولاة الأمر نشر العلم بين أبناء الانسان واجتثاث مادة الجهل من بينهم ومكافحة أي لون من الاُمّية، وأمّا نوع العلم وخصوصياته، فكل ذلك موكول إلى نظر الحاكم الإسلامي وهو أعلم بحوائج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 علم لم يكن لازماً، لعدم الحاجة إليه، في العصور السابقة، ولكنّه أصبح اليوم في الرعيل الأوّل من العلوم اللازمة التي فيها صلاح المجتمع كالاقتصاد والسياسة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النظام وتأمين السبل والطرق، وتنظيم الاُمور الداخلية ورفع مستوى الاقتصاد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الضروريات، فيتبع فيه وأمثاله مقتضيات الظروف</w:t>
      </w:r>
    </w:p>
    <w:p>
      <w:pPr>
        <w:pStyle w:val="BookText"/>
        <w:rPr/>
      </w:pPr>
      <w:r>
        <w:rPr>
          <w:rFonts w:ascii="Amiri" w:hAnsi="Amiri" w:eastAsia="Amiri" w:cs="Amiri"/>
          <w:color w:val="111111"/>
          <w:sz w:val="28"/>
          <w:sz w:val="28"/>
          <w:szCs w:val="28"/>
          <w:rtl w:val="true"/>
          <w:lang w:bidi="ar-SA"/>
        </w:rPr>
        <w:t>وليس فيه للإسلام حكم خاص يُتبع، بل الذي يتوخّاه الإسلام هو الوصول إلى هذه الغايات، وتحقيقها بالوسائل الممكنة، دون تحديد وتعيين لنوع هذه الوسائل وإنّما ذلك متروك إلى امكانيات الزمان الذي يعيش فيه البشر، وكلّها في ضوء القوانين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 الإسلام بأصل ثابت في مجال الأموال وهو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وقد فرّع الفقهاء على هذا الأصل شرطاً في صحة عقد البيع أو المعاملة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المعاملة وجود فائدة مشروعة وإلّا فلا تصحّ المعاملة، ومن هنا حرّموا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تحريم بيع الدم أو شرائه ليس حكماً ثابتاً في الإسلام بل التحريم كان في الزمان السابق صورة تطبيقية لما أفادته الآية من حرمة أكل المال بالباطل، وكان بيع الدم في ذلك الزمان مصداقاً له فالحكم يدور مدار وجود الفائدة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تخرج المعاملة عن أن تكون أكل المال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 الفائدة، فلو ترتبت فائدة معقولة على بيع الدم أو شرائه فسوف يتبدّل حكم الحرمة إلى الحلّية، والحكم الثابت هنا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هذا المضمار ورد أنّ عليّاً عليه السلام سُئل عن قول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 صلى الله عليه و آله و سلم ذلك والدين قلٌّ‌، فأمّا الآن فقد اتسع نطاقه وضرب بجرانه فامرؤٌ وما اختار</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الشيخ الرئيس ابن سينا في هذا المقام في الشفاء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يفوّض كثير من الأحوال خصوصاً في المعاملات إلى الاجتهاد، فإنّ للأوقات أحكاماً لا يمكن أن تنضبط، وأمّا ضبط المدنية بعد ذلك</w:t>
      </w:r>
    </w:p>
    <w:p>
      <w:pPr>
        <w:pStyle w:val="BookText"/>
        <w:rPr/>
      </w:pPr>
      <w:r>
        <w:rPr>
          <w:rFonts w:ascii="Amiri" w:hAnsi="Amiri" w:eastAsia="Amiri" w:cs="Amiri"/>
          <w:color w:val="111111"/>
          <w:sz w:val="28"/>
          <w:sz w:val="28"/>
          <w:szCs w:val="28"/>
          <w:rtl w:val="true"/>
          <w:lang w:bidi="ar-SA"/>
        </w:rPr>
        <w:t>بمعرفة ترتيب الحفظة ومعرفة الدخل والخرج واعداد أُهب الأسلحة والحقوق والثغور وغير ذلك فينبغي أن يكون ذلك إلى السائس من حيث هو خليفة ولا تفرض فيها أحكام جزئية فإنّ في فرضها فساداً لأنّها تتغيّر مع تغيّر الأوقات، وفرض الكلّيات فيها مع تمام الاحتراز غير ممكن، فيجب أن يجعل ذلك إلى أهل المشورة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العناوين صار رمزاً لكل من أراد أن يتحرّر من القيم الأخلاقية، ويعيش متحلّلاً من كل قيد وحدّ، خالعاً كل عذار، والكثير من أفراد الانسان في العصر الحاضر، حينما رأوا، الاباحة الجنسية واختلاط الرجال والنساء، واتخاذ الملاهي على أنواعها وشرب المسكر واللعب بالميسر واقتراف المعاصي واخذ الربا مما راج في البيئات الغربية بلا استنكار وقد حرّمها الشرع ورفضتها قوانين الأخلاق الصحيحة، والفطرة السليمة، لم يجدوا مبرّراً لاقترافها والانصياع التام للشهوات الجامحة إلّا بأن يتمسّكوا بإحدى هذه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الغاية من هذه القالة عندهم، إلّااقتراف السيئات والانغمار في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هذه العناوين قد صارت ملجأ لكل من أراد هدم الثقافة الشرقية الأصيلة وتحويرها، وسوق الشرق إلى الإنصياع لتوجيهات الغرب، وتناسي كل ما كان له من كرامة قديمة وقطع صلته بها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المنادين باستعمال الحروف اللاتينية بدل الحروف الشرقية الإسلامية يتمسّكون بأعذار، ويستدلون بأُمور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من مقتضيات الزمان، ونتيجة يحتمها التاريخ، غير أنّ الباحث الحرّ، يرى للقديم كرامته الموروثة وللحديث نضارته الموجودة، فيأخذ منهما كل ما يليق بالأخذ ويصلح</w:t>
      </w:r>
    </w:p>
    <w:p>
      <w:pPr>
        <w:pStyle w:val="BookText"/>
        <w:rPr/>
      </w:pPr>
      <w:r>
        <w:rPr>
          <w:rFonts w:ascii="Amiri" w:hAnsi="Amiri" w:eastAsia="Amiri" w:cs="Amiri"/>
          <w:color w:val="111111"/>
          <w:sz w:val="28"/>
          <w:sz w:val="28"/>
          <w:szCs w:val="28"/>
          <w:rtl w:val="true"/>
          <w:lang w:bidi="ar-SA"/>
        </w:rPr>
        <w:t>للاقتفاء، فلا يعقد حلفاً مع كل قديم حتى الخرافات، ولا يكب على كل حديث وإن أضر به وبكرامته وشرفه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من يريد أن يحافظ على كرامة الإنسان وكيانه وقيمه الأخلاقية، أن يتوخّى الأصلح من مقتضيات الزمان ويصلحه على ضوء العقل والفطرة، لا أن يطبق عمله عليه، فليس مقتضى العصر وحياً اوحي إلى المجتمع، مصوناً عن الخطأ أو نقياً عن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هؤلاء المتشدّقين بأمثال 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تقليداً للغرب والحضارة الغربية بلا تأمّل ولا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عزب عنهم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اقتفاء مقتضى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ينادون بها، غير معترف بها عند أعيان القوم، ومفكري المجتمعات، بل أكابرهم فيها، فكم نبّه علماء وحذّر مفكرون من أبناء الغرب، من عواقب السير على منهج هذه الحضارة، واستخفّوا خطتها وتنبّأوا بانهيارها ونادوا بوجوب نقض أُسسها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bookmarkStart w:id="901" w:name="pg16776_179202"/>
    </w:p>
    <w:p>
      <w:pPr>
        <w:pStyle w:val="BookText"/>
        <w:rPr/>
      </w:pPr>
      <w:bookmarkEnd w:id="901"/>
      <w:r>
        <w:rPr>
          <w:rFonts w:eastAsia="Times New Roman" w:cs="Times New Roman" w:ascii="Times New Roman" w:hAnsi="Times New Roman"/>
          <w:color w:val="111111"/>
          <w:sz w:val="28"/>
          <w:szCs w:val="28"/>
          <w:lang w:val="en-US" w:bidi="en-US"/>
        </w:rPr>
        <w:t>20</w:t>
      </w:r>
    </w:p>
    <w:p>
      <w:pPr>
        <w:pStyle w:val="Heading5"/>
        <w:numPr>
          <w:ilvl w:val="4"/>
          <w:numId w:val="1"/>
        </w:numPr>
        <w:rPr/>
      </w:pPr>
      <w:bookmarkStart w:id="902" w:name="__RefHeading___Toc7071365_73709187"/>
      <w:bookmarkStart w:id="903" w:name="_Toc350"/>
      <w:bookmarkEnd w:id="902"/>
      <w:r>
        <w:rPr>
          <w:rtl w:val="true"/>
        </w:rPr>
        <w:t>سماحة العلّامة الشيخ جعفر السبحاني</w:t>
      </w:r>
      <w:bookmarkEnd w:id="903"/>
    </w:p>
    <w:p>
      <w:pPr>
        <w:pStyle w:val="BookText"/>
        <w:rPr/>
      </w:pPr>
      <w:r>
        <w:rPr>
          <w:rFonts w:ascii="Amiri" w:hAnsi="Amiri" w:eastAsia="Amiri" w:cs="Amiri"/>
          <w:color w:val="111111"/>
          <w:sz w:val="28"/>
          <w:sz w:val="28"/>
          <w:szCs w:val="28"/>
          <w:rtl w:val="true"/>
          <w:lang w:bidi="ar-SA"/>
        </w:rPr>
        <w:t>حفظه اللّه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ذكر فضيلتكم موضوع الصلاة حول الكعبة على الشكل الدائري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أوّلاً لفضيلتكم بالنصّ المقتبس من تاريخ الأزرقي حول هذه النقطة، ولعل ما فيه يكفي ويغني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نظري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الشكل الدائري لا يوجد تقدّم لمن هو في محيط الدائرة، والإمام ليس فيها فهو المتقدّم بل هو المتقدّم على الجميع في كل الاتجاهات، وموافقة وتأييد كبار علماء التابعين لهذا العمل وترجيحه يزيل الإشكال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مذاهب الأئمة عدم جواز تقدّم المأموم على الإمام عدا المالكية فيرون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تيسير متابعة المأموم للإمام، ومن دون تأخره في السابق لا تتيسر له المتابعة، وفي الوقت الحاضر وُجدت الوسائل والسبل الّتي تتيح له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هذا ما يرى من شدّة الزحام في مساجد مكّة المكرمة أيام الحج فإن الأخذ برأي</w:t>
      </w:r>
      <w:bookmarkStart w:id="904" w:name="pg16776_179203"/>
    </w:p>
    <w:p>
      <w:pPr>
        <w:pStyle w:val="BookText"/>
        <w:rPr/>
      </w:pPr>
      <w:bookmarkEnd w:id="904"/>
      <w:r>
        <w:rPr>
          <w:rFonts w:ascii="Amiri" w:hAnsi="Amiri" w:eastAsia="Amiri" w:cs="Amiri"/>
          <w:color w:val="111111"/>
          <w:sz w:val="28"/>
          <w:sz w:val="28"/>
          <w:szCs w:val="28"/>
          <w:rtl w:val="true"/>
          <w:lang w:bidi="ar-SA"/>
        </w:rPr>
        <w:t>المالكية هو الأولى توسعة للناس إذا ضمنت متابعة الإمام، والأمل في رأي سماحتكم من الموضوع حفظكم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وأسأل المولى جل وعلا أن يلهمنا الصواب وأن يسدد الرأي في صلاح الأُمّة ديناً ودنيا،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عبدالوهاب أبو سليمان</w:t>
      </w:r>
    </w:p>
    <w:p>
      <w:pPr>
        <w:pStyle w:val="BookText"/>
        <w:rPr/>
      </w:pPr>
      <w:r>
        <w:rPr>
          <w:rFonts w:ascii="Amiri" w:hAnsi="Amiri" w:eastAsia="Amiri" w:cs="Amiri"/>
          <w:color w:val="111111"/>
          <w:sz w:val="28"/>
          <w:sz w:val="28"/>
          <w:szCs w:val="28"/>
          <w:rtl w:val="true"/>
          <w:lang w:bidi="ar-SA"/>
        </w:rPr>
        <w:t xml:space="preserve">الخميس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4"/>
        <w:numPr>
          <w:ilvl w:val="3"/>
          <w:numId w:val="1"/>
        </w:numPr>
        <w:rPr/>
      </w:pPr>
      <w:bookmarkStart w:id="905" w:name="__RefHeading___Toc7071367_73709187"/>
      <w:bookmarkStart w:id="906" w:name="_Toc351"/>
      <w:bookmarkEnd w:id="905"/>
      <w:r>
        <w:rPr>
          <w:rtl w:val="true"/>
        </w:rPr>
        <w:t>ملحق أوّل من ادار الصفوف حول الكعبة</w:t>
      </w:r>
      <w:bookmarkEnd w:id="906"/>
    </w:p>
    <w:p>
      <w:pPr>
        <w:pStyle w:val="BookText"/>
        <w:rPr/>
      </w:pPr>
      <w:r>
        <w:rPr>
          <w:rFonts w:ascii="Amiri" w:hAnsi="Amiri" w:eastAsia="Amiri" w:cs="Amiri"/>
          <w:color w:val="111111"/>
          <w:sz w:val="28"/>
          <w:sz w:val="28"/>
          <w:szCs w:val="28"/>
          <w:rtl w:val="true"/>
          <w:lang w:bidi="ar-SA"/>
        </w:rPr>
        <w:t>ملحق أوّل من ادار الصفوف حول الكعبة</w:t>
      </w:r>
      <w:r>
        <w:rPr>
          <w:rStyle w:val="FootnoteAnchor"/>
          <w:rtl w:val="true"/>
        </w:rPr>
        <w:footnoteReference w:id="71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أدار الصفوف حول الكعبة خالد بن عبداللّه القسري،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حسن بن القاسم بن عقبة الأزرقي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يقومون قيام شهر رمضان في أعلى المسجد الحرام، تركز حربة خلف المقام بربوة فيصلي الإمام خلف الحربة والناس وراءه فمن أراد صلى مع الإمام ومن أراد طاف بالبيت</w:t>
      </w:r>
      <w:r>
        <w:rPr>
          <w:rStyle w:val="FootnoteAnchor"/>
          <w:rtl w:val="true"/>
        </w:rPr>
        <w:footnoteReference w:id="714"/>
      </w:r>
      <w:r>
        <w:rPr>
          <w:rFonts w:ascii="Amiri" w:hAnsi="Amiri" w:eastAsia="Amiri" w:cs="Amiri"/>
          <w:color w:val="111111"/>
          <w:sz w:val="28"/>
          <w:sz w:val="28"/>
          <w:szCs w:val="28"/>
          <w:rtl w:val="true"/>
          <w:lang w:bidi="ar-SA"/>
        </w:rPr>
        <w:t>وركع خلف المقام، فلما ولي خالد بن عبداللّه القسري مكّة لعبد الملك بن مروان وحضر شهر رمضان، أمر خالد القرّاء أن يتقدّموا فيصلوا خلف المقام، وأدار الصفوف حول الكعبة، وذلك أنّ الناس ضاق عليهم أعلى المسجد فأدارهم حول الكعبة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الطواف لغير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آمرهم يطوفن بين كل ترويحتين سبعاً فأمرهم ففصلوا بين كل ترويحتين بطواف سبع،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في مؤخر الكعبة وجوانبها من لا يعلم بانقضاء طواف</w:t>
      </w:r>
    </w:p>
    <w:p>
      <w:pPr>
        <w:pStyle w:val="BookText"/>
        <w:rPr/>
      </w:pPr>
      <w:r>
        <w:rPr>
          <w:rFonts w:ascii="Amiri" w:hAnsi="Amiri" w:eastAsia="Amiri" w:cs="Amiri"/>
          <w:color w:val="111111"/>
          <w:sz w:val="28"/>
          <w:sz w:val="28"/>
          <w:szCs w:val="28"/>
          <w:rtl w:val="true"/>
          <w:lang w:bidi="ar-SA"/>
        </w:rPr>
        <w:t>الطائف من مصل وغيره فيتهيأ للصلاة، فأمر عبيد الكعبة أن يكبروا حول الكعبة 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واللّه أكبر، فإذا بلغوا الركن الأسود في الطواف السادس سكتوا بين التكبيرتين سكتة حتّى يتهيأ الناس ممن في الحجر ومن في جوانب المسجد من مصل وغيره فيعرفون ذلك بانقطاع التكبير ويصلي ويخفف المصلي صلاته ثم يعمدون إلى التكبير حتّى يفرغوا من السبع، ويقوم مسمع فينادي الصلاة رحمكم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عطاء بن أبي رباح وعمرو بن دينار ونظراؤهم من العلماء يرون ذلك ولا ينكرونه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جدّي عن مسلم بن خالد الزنجي وسعيد بن سالم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الناس في المسجد الحرام أحب إليك أن يصلوا خلف المقام أو يكونوا صفاً واحداً حول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يكونوا صفاً واحداً حول الكعبة،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الْمَلائِكَةَ حَافِّينَ مِنْ حَوْلِ الْعَرْشِ‌</w:t>
      </w:r>
      <w:r>
        <w:rPr>
          <w:rFonts w:eastAsia="Amiri" w:cs="Amiri" w:ascii="Amiri" w:hAnsi="Amiri"/>
          <w:color w:val="111111"/>
          <w:sz w:val="28"/>
          <w:szCs w:val="28"/>
          <w:rtl w:val="true"/>
          <w:lang w:bidi="ar-SA"/>
        </w:rPr>
        <w:t>) .</w:t>
      </w:r>
      <w:r>
        <w:rPr>
          <w:rStyle w:val="FootnoteAnchor"/>
          <w:rtl w:val="true"/>
        </w:rPr>
        <w:footnoteReference w:id="715"/>
      </w:r>
      <w:bookmarkStart w:id="907" w:name="pg16776_179205"/>
    </w:p>
    <w:p>
      <w:pPr>
        <w:pStyle w:val="BookText"/>
        <w:rPr/>
      </w:pPr>
      <w:bookmarkEnd w:id="907"/>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908" w:name="__RefHeading___Toc7071369_73709187"/>
      <w:bookmarkStart w:id="909" w:name="_Toc352"/>
      <w:bookmarkEnd w:id="908"/>
      <w:r>
        <w:rPr/>
        <w:t>2</w:t>
      </w:r>
      <w:r>
        <w:rPr>
          <w:rtl w:val="true"/>
        </w:rPr>
        <w:t xml:space="preserve">. </w:t>
      </w:r>
      <w:r>
        <w:rPr>
          <w:rtl w:val="true"/>
        </w:rPr>
        <w:t>سماحة الأُستاذ الفاضل عبد الوهاب إبراهيم أبوسليمان</w:t>
      </w:r>
      <w:bookmarkEnd w:id="909"/>
    </w:p>
    <w:p>
      <w:pPr>
        <w:pStyle w:val="BookText"/>
        <w:rPr/>
      </w:pPr>
      <w:r>
        <w:rPr>
          <w:rFonts w:ascii="IRNazanin" w:hAnsi="IRNazanin" w:eastAsia="IRNazanin"/>
          <w:color w:val="111111"/>
          <w:sz w:val="28"/>
          <w:sz w:val="28"/>
          <w:szCs w:val="28"/>
          <w:rtl w:val="true"/>
          <w:lang w:bidi="fa-IR"/>
        </w:rPr>
        <w:t>دام علاه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إنّ سؤالي عن الصلاة جماعة حول الكعبة لم يكن مركّزاً على تقدّم المأموم على الإمام، حيث إنّ جوابكم عن هذا الإشكال واضح وكافٍ‌، إلّاأنّي كنت قد سألت عن مواجهة المأموم للإمام في بعض الصفوف، كما إذا وقف الإمام قريباً من مقام إبراهيم عليه السلام فالصفوف المنعقدة في النصف الثاني من المسجد يواجه المصلّون فيها إمام الجماعة، ولم أقف على مَن قال بصحّة الجماعة في حال مواجهة المأموم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فالتقدّم والتأخّر أمر مختلف فيه، فالسادة المالكية على الكراهة والباقون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مواجهة الإمام فهو موضوع آخر، فما هو الحل لهذه المشكلة، أفيدونا، شكر اللّه مساعيكم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10" w:name="pg16776_179206"/>
    </w:p>
    <w:p>
      <w:pPr>
        <w:pStyle w:val="BookText"/>
        <w:rPr/>
      </w:pPr>
      <w:bookmarkEnd w:id="910"/>
      <w:r>
        <w:rPr>
          <w:rFonts w:eastAsia="Times New Roman" w:cs="Times New Roman" w:ascii="Times New Roman" w:hAnsi="Times New Roman"/>
          <w:color w:val="111111"/>
          <w:sz w:val="28"/>
          <w:szCs w:val="28"/>
          <w:lang w:val="en-US" w:bidi="en-US"/>
        </w:rPr>
        <w:t>22</w:t>
      </w:r>
    </w:p>
    <w:p>
      <w:pPr>
        <w:pStyle w:val="BookText"/>
        <w:rPr/>
      </w:pPr>
      <w:r>
        <w:rPr>
          <w:rFonts w:ascii="Amiri" w:hAnsi="Amiri" w:eastAsia="Amiri" w:cs="Amiri"/>
          <w:color w:val="111111"/>
          <w:sz w:val="28"/>
          <w:sz w:val="28"/>
          <w:szCs w:val="28"/>
          <w:rtl w:val="true"/>
          <w:lang w:bidi="ar-SA"/>
        </w:rPr>
        <w:t>مؤسسة الإمام الصادق للتحقيق والتأليف</w:t>
      </w:r>
    </w:p>
    <w:p>
      <w:pPr>
        <w:pStyle w:val="Heading4"/>
        <w:numPr>
          <w:ilvl w:val="3"/>
          <w:numId w:val="1"/>
        </w:numPr>
        <w:rPr/>
      </w:pPr>
      <w:bookmarkStart w:id="911" w:name="__RefHeading___Toc7071371_73709187"/>
      <w:bookmarkStart w:id="912" w:name="_Toc353"/>
      <w:bookmarkEnd w:id="911"/>
      <w:r>
        <w:rPr>
          <w:rtl w:val="true"/>
        </w:rPr>
        <w:t>سماحة العلّامة الشيخ جعفر السبحاني</w:t>
      </w:r>
      <w:bookmarkEnd w:id="912"/>
    </w:p>
    <w:p>
      <w:pPr>
        <w:pStyle w:val="BookText"/>
        <w:rPr/>
      </w:pPr>
      <w:r>
        <w:rPr>
          <w:rFonts w:ascii="Amiri" w:hAnsi="Amiri" w:eastAsia="Amiri" w:cs="Amiri"/>
          <w:color w:val="111111"/>
          <w:sz w:val="28"/>
          <w:sz w:val="28"/>
          <w:szCs w:val="28"/>
          <w:rtl w:val="true"/>
          <w:lang w:bidi="ar-SA"/>
        </w:rPr>
        <w:t>حفظه اللّه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عرضكم لقضية مواجهة المصلّين إمام الجماعة وقول سماحتكم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مَن قال بصحّة الجماعة في مواجهة المأموم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الحل لهذه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مواجهة الإمام فهو 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عليكم أنّ الموضوع قد بحثه الفقهاء من هذا الوجه الّذي ذكرتموه وإنّي أبعث بالنصوص الواردة في هذا الموضوع عند كلّ من الحنفية والشافعية والحنابلة في كتبهم المعتمدة، آملاً أن تتطابق نصوصهم مع ما عرضتموه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عبدالوهاب أبو سليمان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13" w:name="pg16776_179207"/>
    </w:p>
    <w:p>
      <w:pPr>
        <w:pStyle w:val="BookText"/>
        <w:rPr/>
      </w:pPr>
      <w:bookmarkEnd w:id="913"/>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الحوزة العلمية مؤسسة الإمام الصادق للتحقيق والتأليف</w:t>
      </w:r>
    </w:p>
    <w:p>
      <w:pPr>
        <w:pStyle w:val="Heading4"/>
        <w:numPr>
          <w:ilvl w:val="3"/>
          <w:numId w:val="1"/>
        </w:numPr>
        <w:rPr/>
      </w:pPr>
      <w:bookmarkStart w:id="914" w:name="__RefHeading___Toc7071373_73709187"/>
      <w:bookmarkStart w:id="915" w:name="_Toc354"/>
      <w:bookmarkEnd w:id="914"/>
      <w:r>
        <w:rPr>
          <w:rtl w:val="true"/>
        </w:rPr>
        <w:t>سماحة العلّامة الفقيه الشيخ جعفرالسبحاني</w:t>
      </w:r>
      <w:bookmarkEnd w:id="915"/>
    </w:p>
    <w:p>
      <w:pPr>
        <w:pStyle w:val="BookText"/>
        <w:rPr/>
      </w:pPr>
      <w:r>
        <w:rPr>
          <w:rFonts w:ascii="Amiri" w:hAnsi="Amiri" w:eastAsia="Amiri" w:cs="Amiri"/>
          <w:color w:val="111111"/>
          <w:sz w:val="28"/>
          <w:sz w:val="28"/>
          <w:szCs w:val="28"/>
          <w:rtl w:val="true"/>
          <w:lang w:bidi="ar-SA"/>
        </w:rPr>
        <w:t>حفظه اللّه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سماحتكم لبحث رؤية الهلال مناقشة مفيدة احتاجت مني إلى تأملها بعناية واهتمام، واسمحوا أن أسطر لسماحتكم بعض النقاط التي قد تكون توضيحاً لبعض ما أثاره سماحتكم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سماحتكم في الفقرة الأخيرة من الصفحة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يحتج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الهلال، وأنّ الليلة أوّل الشهر لأنّ الصوم والإفطار معلّقان على الرؤية لا على العلم بوجود الهلال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وذكرتم سماحتكم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الفلكيين حجّة في مورد دون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سماحتكم يده على نقطة النزاع، أو كما يقول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اعتقادي أنّ محلّ النزاع هو هل الرؤية وسيلة، أو مقصد وغاية‌؟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محلّ النزاع بين العلماء فالذي آراه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يتعبّدنا بالرؤية بالعين المجردة والوسائل وإنّما تعبّدنا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بالعين المجردة</w:t>
      </w:r>
    </w:p>
    <w:p>
      <w:pPr>
        <w:pStyle w:val="BookText"/>
        <w:rPr/>
      </w:pPr>
      <w:r>
        <w:rPr>
          <w:rFonts w:ascii="Amiri" w:hAnsi="Amiri" w:eastAsia="Amiri" w:cs="Amiri"/>
          <w:color w:val="111111"/>
          <w:sz w:val="28"/>
          <w:sz w:val="28"/>
          <w:szCs w:val="28"/>
          <w:rtl w:val="true"/>
          <w:lang w:bidi="ar-SA"/>
        </w:rPr>
        <w:t>كانت الوسيلة الوحيدة في زمن النبوة والخلفاء الراشدين، ولكن ذكر الرؤية في الأحاديث الشريفة لا يصادر ولا يمنع ما عداها إذا أمكن أن يقودنا إلى الحقيقة الشرعية وهو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في البحث منهج الإمام الشاطبي عن مناط الحكم، ودليل الحكم، مناط الحكم من اختصاص أهل الذكر وهم هنا الفلكيون، والحكم ودليله شأن الفقهاء الرؤية المباشرة أو بمساعدة الأجهزة هما سبب واحد منصبّ على موضوع واحد، وقد بنى سماحتكم النظر على أنّهما سببان، وقد صدرت الفتوى عن المجامع الفقهية ودور الفتوى على أنّهما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الاستلزامات الفقهية التي ذكرتموها لا اتّفق في الرأي مع سماحتكم، إنّ بعض الأمثلة تتداخل فيها قواعد ومبادئ فقهية عديدة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موضوعنا الرؤية هو الواقع إذا علمناه بأي وسيلة متاحة، أمّا ما جهلناه ولم يبلغه علمنا فهو عفو وهذا معدود في سماحة الإسلام،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مثل هذه الأمثلة التي ذكرها سماحتكم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بالنسبة للرؤيا هو الصوم إذا توصلنا إلى ظهور الهلال بأي وسيلة بصرية أو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أن أطمئن سماحتكم أنّ الموقف الديني الرسمي في المملكة يلتزم الرؤية بالعين المجرّدة في كلّ المناسبات الدينية ولا يقيمون وزناً للفلكيين لا في النفي ولا في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عبدالوهاب أبو سليمان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28/12/1429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16" w:name="pg16776_179209"/>
    </w:p>
    <w:p>
      <w:pPr>
        <w:pStyle w:val="Heading3"/>
        <w:numPr>
          <w:ilvl w:val="2"/>
          <w:numId w:val="1"/>
        </w:numPr>
        <w:rPr/>
      </w:pPr>
      <w:bookmarkStart w:id="917" w:name="__RefHeading___Toc7071375_73709187"/>
      <w:bookmarkStart w:id="918" w:name="_Toc355"/>
      <w:bookmarkEnd w:id="916"/>
      <w:bookmarkEnd w:id="917"/>
      <w:r>
        <w:rPr/>
        <w:t>3</w:t>
      </w:r>
      <w:r>
        <w:rPr>
          <w:rtl w:val="true"/>
        </w:rPr>
        <w:t xml:space="preserve"> </w:t>
      </w:r>
      <w:r>
        <w:rPr>
          <w:rtl w:val="true"/>
        </w:rPr>
        <w:t>مراسلة مع الدكتور الشيخ علي محيي الدين القره داغي</w:t>
      </w:r>
      <w:bookmarkEnd w:id="918"/>
    </w:p>
    <w:p>
      <w:pPr>
        <w:pStyle w:val="Heading4"/>
        <w:numPr>
          <w:ilvl w:val="3"/>
          <w:numId w:val="1"/>
        </w:numPr>
        <w:rPr/>
      </w:pPr>
      <w:bookmarkStart w:id="919" w:name="__RefHeading___Toc7071377_73709187"/>
      <w:bookmarkStart w:id="920" w:name="_Toc356"/>
      <w:bookmarkEnd w:id="919"/>
      <w:r>
        <w:rPr>
          <w:rtl w:val="true"/>
        </w:rPr>
        <w:t>اشارة</w:t>
      </w:r>
      <w:bookmarkEnd w:id="920"/>
    </w:p>
    <w:p>
      <w:pPr>
        <w:pStyle w:val="BookText"/>
        <w:rPr/>
      </w:pPr>
      <w:r>
        <w:rPr>
          <w:rFonts w:eastAsia="Times New Roman" w:cs="Times New Roman" w:ascii="Times New Roman" w:hAnsi="Times New Roman"/>
          <w:color w:val="111111"/>
          <w:sz w:val="28"/>
          <w:szCs w:val="28"/>
          <w:lang w:val="en-US" w:bidi="en-US"/>
        </w:rPr>
        <w:t>24</w:t>
      </w:r>
    </w:p>
    <w:p>
      <w:pPr>
        <w:pStyle w:val="Heading4"/>
        <w:numPr>
          <w:ilvl w:val="3"/>
          <w:numId w:val="1"/>
        </w:numPr>
        <w:rPr/>
      </w:pPr>
      <w:bookmarkStart w:id="921" w:name="__RefHeading___Toc7071379_73709187"/>
      <w:bookmarkStart w:id="922" w:name="_Toc357"/>
      <w:bookmarkEnd w:id="921"/>
      <w:r>
        <w:rPr>
          <w:rtl w:val="true"/>
        </w:rPr>
        <w:t>فضيلة الدكتور الشيخ علي محيي الدين القره داغي</w:t>
      </w:r>
      <w:bookmarkEnd w:id="9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حفظه الباري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تكونوا في فلاح وصلاح وأن يمنّ على المسلمين بالأمن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المرجو من أمثالكم من العلماء الكبار التصدّي لدرء الفتنة وتوجيه النصيحة إلى المسؤولين من أجل إصلاح الوضع العام في المجتمع الإسلامي، فإنّ للعلماء في ذلك المجال مسؤولية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أبعث اليكم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القصاص في الشريعة الإسلامية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خرج شيء من آثاركم من الطبع، فنحن بشوق لرؤيته ومطالعته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من اللّه التوفيق</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جمادى 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23" w:name="pg16776_179210"/>
    </w:p>
    <w:p>
      <w:pPr>
        <w:pStyle w:val="BookText"/>
        <w:rPr/>
      </w:pPr>
      <w:bookmarkEnd w:id="923"/>
      <w:r>
        <w:rPr>
          <w:rFonts w:eastAsia="Times New Roman" w:cs="Times New Roman" w:ascii="Times New Roman" w:hAnsi="Times New Roman"/>
          <w:color w:val="111111"/>
          <w:sz w:val="28"/>
          <w:szCs w:val="28"/>
          <w:lang w:val="en-US" w:bidi="en-US"/>
        </w:rPr>
        <w:t>25</w:t>
      </w:r>
    </w:p>
    <w:p>
      <w:pPr>
        <w:pStyle w:val="Heading4"/>
        <w:numPr>
          <w:ilvl w:val="3"/>
          <w:numId w:val="1"/>
        </w:numPr>
        <w:rPr/>
      </w:pPr>
      <w:bookmarkStart w:id="924" w:name="__RefHeading___Toc7071381_73709187"/>
      <w:bookmarkStart w:id="925" w:name="_Toc358"/>
      <w:bookmarkEnd w:id="924"/>
      <w:r>
        <w:rPr>
          <w:rtl w:val="true"/>
        </w:rPr>
        <w:t>سماحة آية اللّه الشيخ جعفر السبحاني المحترم</w:t>
      </w:r>
      <w:bookmarkEnd w:id="925"/>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وبعد التحية والتقدير</w:t>
      </w:r>
    </w:p>
    <w:p>
      <w:pPr>
        <w:pStyle w:val="BookText"/>
        <w:rPr/>
      </w:pPr>
      <w:r>
        <w:rPr>
          <w:rFonts w:ascii="Amiri" w:hAnsi="Amiri" w:eastAsia="Amiri" w:cs="Amiri"/>
          <w:color w:val="111111"/>
          <w:sz w:val="28"/>
          <w:sz w:val="28"/>
          <w:szCs w:val="28"/>
          <w:rtl w:val="true"/>
          <w:lang w:bidi="ar-SA"/>
        </w:rPr>
        <w:t xml:space="preserve">قد تسلّمت بيد الشكر و التقدير كتبكم التي أرسلتموها إليّ مع سعادة الأخ الفاضل الأُستاذ محمد مهدي أحمدي المحترم، المستشار الثقافي لسفارة الجمهورية الإسلامية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وإنّني إذ أشكركم على إهداء هذه الكتب أتشرّف بأن أهدي إليكم كتيباً صغيراً حول السلم، داعياً اللّه تعالى أن يبارك في جهود الجميع لخدمة الإسلام، وعلومه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ودمتم في رعاية اللّه وعنايته</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أخوكم</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محيي الدين القره داغي</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أُستاذ بجامعة قطر و رئيس مجلس أُمناء جامعة التنمية البشرية والحائز على جائزة الدولة، والخبير بالمجامع الفقهية وعضو المجلس الأُوربي للإفتاء والبحوث</w:t>
      </w:r>
      <w:r>
        <w:rPr>
          <w:rFonts w:eastAsia="Amiri" w:cs="Amiri" w:ascii="Amiri" w:hAnsi="Amiri"/>
          <w:color w:val="111111"/>
          <w:sz w:val="28"/>
          <w:szCs w:val="28"/>
          <w:rtl w:val="true"/>
          <w:lang w:bidi="ar-SA"/>
        </w:rPr>
        <w:t>.</w:t>
      </w:r>
      <w:bookmarkStart w:id="926" w:name="pg16776_179211"/>
    </w:p>
    <w:p>
      <w:pPr>
        <w:pStyle w:val="Heading3"/>
        <w:numPr>
          <w:ilvl w:val="2"/>
          <w:numId w:val="1"/>
        </w:numPr>
        <w:rPr/>
      </w:pPr>
      <w:bookmarkStart w:id="927" w:name="__RefHeading___Toc7071383_73709187"/>
      <w:bookmarkStart w:id="928" w:name="_Toc359"/>
      <w:bookmarkEnd w:id="926"/>
      <w:bookmarkEnd w:id="927"/>
      <w:r>
        <w:rPr/>
        <w:t>4</w:t>
      </w:r>
      <w:r>
        <w:rPr>
          <w:rtl w:val="true"/>
        </w:rPr>
        <w:t xml:space="preserve"> </w:t>
      </w:r>
      <w:r>
        <w:rPr>
          <w:rtl w:val="true"/>
        </w:rPr>
        <w:t>مراسلة مع الشيخ أنس الكتبي الحسني</w:t>
      </w:r>
      <w:bookmarkEnd w:id="928"/>
    </w:p>
    <w:p>
      <w:pPr>
        <w:pStyle w:val="Heading4"/>
        <w:numPr>
          <w:ilvl w:val="3"/>
          <w:numId w:val="1"/>
        </w:numPr>
        <w:rPr/>
      </w:pPr>
      <w:bookmarkStart w:id="929" w:name="__RefHeading___Toc7071385_73709187"/>
      <w:bookmarkStart w:id="930" w:name="_Toc360"/>
      <w:bookmarkEnd w:id="929"/>
      <w:r>
        <w:rPr>
          <w:rtl w:val="true"/>
        </w:rPr>
        <w:t>اشارة</w:t>
      </w:r>
      <w:bookmarkEnd w:id="930"/>
    </w:p>
    <w:p>
      <w:pPr>
        <w:pStyle w:val="BookText"/>
        <w:rPr/>
      </w:pPr>
      <w:r>
        <w:rPr>
          <w:rFonts w:eastAsia="Times New Roman" w:cs="Times New Roman" w:ascii="Times New Roman" w:hAnsi="Times New Roman"/>
          <w:color w:val="111111"/>
          <w:sz w:val="28"/>
          <w:szCs w:val="28"/>
          <w:lang w:val="en-US" w:bidi="en-US"/>
        </w:rPr>
        <w:t>26</w:t>
      </w:r>
    </w:p>
    <w:p>
      <w:pPr>
        <w:pStyle w:val="Heading4"/>
        <w:numPr>
          <w:ilvl w:val="3"/>
          <w:numId w:val="1"/>
        </w:numPr>
        <w:rPr/>
      </w:pPr>
      <w:bookmarkStart w:id="931" w:name="__RefHeading___Toc7071387_73709187"/>
      <w:bookmarkStart w:id="932" w:name="_Toc361"/>
      <w:bookmarkEnd w:id="931"/>
      <w:r>
        <w:rPr>
          <w:rtl w:val="true"/>
        </w:rPr>
        <w:t>سماحة العلّامة الشيخ جعفر السبحاني دام ظله</w:t>
      </w:r>
      <w:bookmarkEnd w:id="932"/>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من جوار القبّة الخضراء والروضة الغرّاء وقبور الأئمة الأطهار نرسل لكم هذا الكتاب، من المدينة المنوّرة على ساكنها أفضل الصلاة والسلام وعلى آله الأطهار</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شيخنا الجليل منذ سنوات وقد دار الحديث بيني وبينكم حول شروعي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على المذاهب الإسلاميّة المختلفة، والهدف منه الوحدة الإسلاميّة مع اختلاف المذاهب ومدى التقارب، ولعمر اللّه أنّ الهدف من هذا التأليف هو مخاطبة طبقة العوام من الناس وأبنائنا من الأجيال الصاعدة والّتي احتارت واستهدفت من المتشدّدين والمتطرّفين بالمجازفة بالتكفير، دون الوعي لأدب الحوار والقول بالدليل والبرهان، والهدف هنا أن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فقه الإسلام في جميع المذاهب لا يختلف في جذوره بل هو متقارب الأفعال، وكلّ هؤلاء يأخذون من النبي وآله، وإنّ الكتاب والعترة هما الثقلان اللذان يعوّل عليهما، وإنّ عملاً كهذا يا سماحة الشيخ يحتاج إلى فريق عمل يقوم بمساعدتي، وقد تفضّلتم من قبل في إحدى رسائلكم لي بقولكم إنّ هذا العمل يحتاج إلى فريق يقوم على وجه الاعتبار بالمساعدة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إنّني وضعت خطة عمل بما أنهيته من قسم الطهارة، ولعلّ حامل هذه الرسالة حبيبنا الأجل صاحب الخطوات المحفوفة بالولاية الشيخ محمد مهدي المعراجي حفظه اللّه وبارك في جهوده يطلعكم عليها، وإنّنا ياسماحة شيخنا السبحاني نستمد من علمكم ونظرتكم لما لكم الباع الكبير في هذا المجال بتوجيهاتكم السديدة لما ترونه من إشراف ومتابعة، واللّه نسال أن يجعل ذلك في ميزان حسناتكم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وضعت بعض الاعتبارات لتنفيذ العمل وهي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إكمال الكتاب على غرار ما بدأنا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على الاختصار بالتبسيط والوصول إلى المضمون دون الإخلال في النص والنقل وقد أرفقت نموذج للعمل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الإحالة إلى أُمّهات المصادر لكلّ مذهب بحيث ان لا يقل عن أربع مصادر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الاستشهاد بالنص القرآني في بعض المواضع، والأحاديث المروية المعتبرة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الحرص على أن يكون هذا الكتاب مرجعاً مبسطاً خالياً من الألفاظ المعقّدة لكلّ بيت بسهولة العبارات ووصول الفتاوى دون أي تعقيدات أو إطالة، يستفيد منه العوام ويستأنس به طلبة العلم، ويعتمده العلماء، وقد قمت بعمل خطة مرفقة مع نماذج لطريقة العمل والإحالات، وتقسيم الأبواب والمطالب على المنهج الفقهي السليم، بما يقارب منهج كتاب الشيخ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الخمسة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أُؤكّد لسماحتكم أنّنا نرى أن نيسّر ولا نعسّر نكون للتقريب أقرب</w:t>
      </w:r>
      <w:bookmarkStart w:id="933" w:name="pg16776_179213"/>
    </w:p>
    <w:p>
      <w:pPr>
        <w:pStyle w:val="BookText"/>
        <w:rPr/>
      </w:pPr>
      <w:bookmarkEnd w:id="933"/>
      <w:r>
        <w:rPr>
          <w:rFonts w:ascii="Amiri" w:hAnsi="Amiri" w:eastAsia="Amiri" w:cs="Amiri"/>
          <w:color w:val="111111"/>
          <w:sz w:val="28"/>
          <w:sz w:val="28"/>
          <w:szCs w:val="28"/>
          <w:rtl w:val="true"/>
          <w:lang w:bidi="ar-SA"/>
        </w:rPr>
        <w:t>وللتنفير أبعد، نرى أن نعلّم العوام أنّنا تحت لواء الوحدة الإسلاميّة لا كما ينقل من المتطرفين المتنطعين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p>
    <w:p>
      <w:pPr>
        <w:pStyle w:val="BookText"/>
        <w:rPr/>
      </w:pPr>
      <w:r>
        <w:rPr>
          <w:rFonts w:ascii="Amiri" w:hAnsi="Amiri" w:eastAsia="Amiri" w:cs="Amiri"/>
          <w:color w:val="111111"/>
          <w:sz w:val="28"/>
          <w:sz w:val="28"/>
          <w:szCs w:val="28"/>
          <w:rtl w:val="true"/>
          <w:lang w:bidi="ar-SA"/>
        </w:rPr>
        <w:t>محبّكم</w:t>
      </w:r>
    </w:p>
    <w:p>
      <w:pPr>
        <w:pStyle w:val="BookText"/>
        <w:rPr/>
      </w:pPr>
      <w:r>
        <w:rPr>
          <w:rFonts w:ascii="Amiri" w:hAnsi="Amiri" w:eastAsia="Amiri" w:cs="Amiri"/>
          <w:color w:val="111111"/>
          <w:sz w:val="28"/>
          <w:sz w:val="28"/>
          <w:szCs w:val="28"/>
          <w:rtl w:val="true"/>
          <w:lang w:bidi="ar-SA"/>
        </w:rPr>
        <w:t>الشريف أنس بن يعقوب الكتبي الحسني</w:t>
      </w:r>
    </w:p>
    <w:p>
      <w:pPr>
        <w:pStyle w:val="Heading4"/>
        <w:numPr>
          <w:ilvl w:val="3"/>
          <w:numId w:val="1"/>
        </w:numPr>
        <w:rPr/>
      </w:pPr>
      <w:bookmarkStart w:id="934" w:name="__RefHeading___Toc7071389_73709187"/>
      <w:bookmarkStart w:id="935" w:name="_Toc362"/>
      <w:bookmarkEnd w:id="934"/>
      <w:r>
        <w:rPr>
          <w:rtl w:val="true"/>
        </w:rPr>
        <w:t xml:space="preserve">خطة العمل في كتاب </w:t>
      </w:r>
      <w:r>
        <w:rPr>
          <w:rtl w:val="true"/>
        </w:rPr>
        <w:t>«</w:t>
      </w:r>
      <w:r>
        <w:rPr>
          <w:rtl w:val="true"/>
        </w:rPr>
        <w:t>فقه الإسلام</w:t>
      </w:r>
      <w:r>
        <w:rPr>
          <w:rtl w:val="true"/>
        </w:rPr>
        <w:t>»</w:t>
      </w:r>
      <w:bookmarkEnd w:id="935"/>
    </w:p>
    <w:p>
      <w:pPr>
        <w:pStyle w:val="Heading5"/>
        <w:numPr>
          <w:ilvl w:val="4"/>
          <w:numId w:val="1"/>
        </w:numPr>
        <w:rPr/>
      </w:pPr>
      <w:bookmarkStart w:id="936" w:name="__RefHeading___Toc7071391_73709187"/>
      <w:bookmarkStart w:id="937" w:name="_Toc363"/>
      <w:bookmarkEnd w:id="936"/>
      <w:r>
        <w:rPr>
          <w:rtl w:val="true"/>
        </w:rPr>
        <w:t>اشارة</w:t>
      </w:r>
      <w:bookmarkEnd w:id="937"/>
    </w:p>
    <w:p>
      <w:pPr>
        <w:pStyle w:val="BookText"/>
        <w:rPr/>
      </w:pPr>
      <w:r>
        <w:rPr>
          <w:rFonts w:ascii="Amiri" w:hAnsi="Amiri" w:eastAsia="Amiri" w:cs="Amiri"/>
          <w:color w:val="111111"/>
          <w:sz w:val="28"/>
          <w:sz w:val="28"/>
          <w:szCs w:val="28"/>
          <w:rtl w:val="true"/>
          <w:lang w:bidi="ar-SA"/>
        </w:rPr>
        <w:t>الكتاب عبارة عن مرجع فقهي على منهج كتب الفقه المعتبرة، ويكون التخريج لكلّ فرقة بأُمّهات كتبها في الفقه، مع الاهتمام بالتخريج بتعدّد المراجع ولا يكون الاعتماد على كتاب أو كتابين بل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النبيّ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بتوافق مع أصل المذهب بين الإمامية والزيدية والإسماعيلية والعلوية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الإسماعيلية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الأباضية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العلويّة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أقوال ابن حزم والأوزاعي، أقوال الفقهاء السبعة، فقه سعيد بن المسيّب،</w:t>
      </w:r>
      <w:bookmarkStart w:id="938" w:name="pg16776_179214"/>
    </w:p>
    <w:p>
      <w:pPr>
        <w:pStyle w:val="BookText"/>
        <w:rPr/>
      </w:pPr>
      <w:bookmarkEnd w:id="938"/>
      <w:r>
        <w:rPr>
          <w:rFonts w:ascii="Amiri" w:hAnsi="Amiri" w:eastAsia="Amiri" w:cs="Amiri"/>
          <w:color w:val="111111"/>
          <w:sz w:val="28"/>
          <w:sz w:val="28"/>
          <w:szCs w:val="28"/>
          <w:rtl w:val="true"/>
          <w:lang w:bidi="ar-SA"/>
        </w:rPr>
        <w:t>إبراهيم النخعي، أبي ثور، الحسن البصري، سفيان الثوري، مكحول الشامي، إمام الحرمين الجويني، ابن تيمية، ابن جرير الطبري وحمّاد بن أبي سليمان، زيد بن ثابت، ابن رشد، عمر بن عبدالعزيز، الليث بن سعد، جابر بن عبداللّه، أبي هريرة، عبداللّه بن عمر، عبداللّه بن مسعود، عبداللّه بن عباس وغيرهم</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7071393_73709187"/>
      <w:bookmarkStart w:id="940" w:name="_Toc364"/>
      <w:bookmarkEnd w:id="939"/>
      <w:r>
        <w:rPr>
          <w:rtl w:val="true"/>
        </w:rPr>
        <w:t>القسم الأوّل</w:t>
      </w:r>
      <w:r>
        <w:rPr>
          <w:rtl w:val="true"/>
        </w:rPr>
        <w:t xml:space="preserve">: </w:t>
      </w:r>
      <w:r>
        <w:rPr>
          <w:rtl w:val="true"/>
        </w:rPr>
        <w:t>العبادات</w:t>
      </w:r>
      <w:bookmarkEnd w:id="940"/>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الوضوء ونواقضه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وأقسام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وآية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ستره وما يحرم النظر إليه 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ستره من البدن في حالة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الصلاة وأركانها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والشك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الكسوف والخسوف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مبطلات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الّتي تجب فيها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المستحقّين للزكاة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مواقيت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واجباته ومستحقّاته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محظورات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التعجّل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المدينة واجبة والسلام على الرسول الأعظم</w:t>
      </w:r>
      <w:r>
        <w:rPr>
          <w:rFonts w:eastAsia="Amiri" w:cs="Amiri" w:ascii="Amiri" w:hAnsi="Amiri"/>
          <w:color w:val="111111"/>
          <w:sz w:val="28"/>
          <w:szCs w:val="28"/>
          <w:rtl w:val="true"/>
          <w:lang w:bidi="ar-SA"/>
        </w:rPr>
        <w:t>.</w:t>
      </w:r>
      <w:bookmarkStart w:id="941" w:name="pg16776_179215"/>
    </w:p>
    <w:p>
      <w:pPr>
        <w:pStyle w:val="Heading5"/>
        <w:numPr>
          <w:ilvl w:val="4"/>
          <w:numId w:val="1"/>
        </w:numPr>
        <w:rPr/>
      </w:pPr>
      <w:bookmarkStart w:id="942" w:name="__RefHeading___Toc7071395_73709187"/>
      <w:bookmarkStart w:id="943" w:name="_Toc365"/>
      <w:bookmarkEnd w:id="941"/>
      <w:bookmarkEnd w:id="942"/>
      <w:r>
        <w:rPr>
          <w:rtl w:val="true"/>
        </w:rPr>
        <w:t>القسم الثاني</w:t>
      </w:r>
      <w:r>
        <w:rPr>
          <w:rtl w:val="true"/>
        </w:rPr>
        <w:t xml:space="preserve">: </w:t>
      </w:r>
      <w:r>
        <w:rPr>
          <w:rtl w:val="true"/>
        </w:rPr>
        <w:t>الأحوال الشخصية</w:t>
      </w:r>
      <w:bookmarkEnd w:id="943"/>
    </w:p>
    <w:p>
      <w:pPr>
        <w:pStyle w:val="BookText"/>
        <w:rPr/>
      </w:pPr>
      <w:r>
        <w:rPr>
          <w:rFonts w:ascii="Amiri" w:hAnsi="Amiri" w:eastAsia="Amiri" w:cs="Amiri"/>
          <w:color w:val="111111"/>
          <w:sz w:val="28"/>
          <w:sz w:val="28"/>
          <w:szCs w:val="28"/>
          <w:rtl w:val="true"/>
          <w:lang w:bidi="ar-SA"/>
        </w:rPr>
        <w:t>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وشروطه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الزوجة على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افتض الزوج بكارة الزوجة بغير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الصناعي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رجعي وبائن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المدّعي بلا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الظهار والإيلاء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تصرّفات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الموجبات 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وولد الملاعنة والزنا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المريض وطلاقه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الأولاد وأولادهم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الإخوة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الأعمام والأخوال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الحرقى والغرقى والمهدوم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الواقف وألفاظه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على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الوقف</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الصغير والمجنون والسفيه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المفلس</w:t>
      </w:r>
      <w:r>
        <w:rPr>
          <w:rFonts w:eastAsia="Amiri" w:cs="Amiri" w:ascii="Amiri" w:hAnsi="Amiri"/>
          <w:color w:val="111111"/>
          <w:sz w:val="28"/>
          <w:szCs w:val="28"/>
          <w:rtl w:val="true"/>
          <w:lang w:bidi="ar-SA"/>
        </w:rPr>
        <w:t>.</w:t>
      </w:r>
      <w:bookmarkStart w:id="944" w:name="pg16776_179216"/>
    </w:p>
    <w:p>
      <w:pPr>
        <w:pStyle w:val="BookText"/>
        <w:rPr/>
      </w:pPr>
      <w:bookmarkEnd w:id="944"/>
      <w:r>
        <w:rPr>
          <w:rFonts w:eastAsia="Times New Roman" w:cs="Times New Roman" w:ascii="Times New Roman" w:hAnsi="Times New Roman"/>
          <w:color w:val="111111"/>
          <w:sz w:val="28"/>
          <w:szCs w:val="28"/>
          <w:lang w:val="en-US" w:bidi="en-US"/>
        </w:rPr>
        <w:t>27</w:t>
      </w:r>
    </w:p>
    <w:p>
      <w:pPr>
        <w:pStyle w:val="Heading4"/>
        <w:numPr>
          <w:ilvl w:val="3"/>
          <w:numId w:val="1"/>
        </w:numPr>
        <w:rPr/>
      </w:pPr>
      <w:bookmarkStart w:id="945" w:name="__RefHeading___Toc7071397_73709187"/>
      <w:bookmarkStart w:id="946" w:name="_Toc366"/>
      <w:bookmarkEnd w:id="945"/>
      <w:r>
        <w:rPr>
          <w:rtl w:val="true"/>
        </w:rPr>
        <w:t>حضرة الفاضل الشيخ أنس الكتبي الحسني دام موفقاً</w:t>
      </w:r>
      <w:bookmarkEnd w:id="946"/>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تكونوا في جوار القبة الخضراء ومشاهد الأئمة الأطهار عليهم السلام في صلاح وفلاح موفقين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رسالتكم الشريفة المتضمّنة لمشروعكم الثقافي القيّم، الذي لا يقوم به إلّاالأمثل فالأمثل من رجال العلم، وكبار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فبشرى لكم من همة قعساء لا تدانيها قمم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شيخنا الجليل قرأنا ما كتبتم بدقة ولكن هذا العمل بالنحو الذي ذكرتموه بحاجة إلى مؤسسة علمية فقهية مؤلّفة من فرق وجماعات، يقوم كلّ فريق منهم بجانب من جوانب العمل، خاصّة ما أشرتم إليه في الصفحة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الفقهاء السبعة، وهذا أمر صعب ويحتاج إلى زمن طويل، فمن اللازم عليكم الاقتصار على المذاهب الخمسة أوّلاً، وأن لا يكتب عن كلّ مذهب فقهي، إلّا أحد أعلامه وأخصائيه ثانياً، وعليكم في الوقوف على آراء فقهاء الإمامية مراجعة واقتناء الكتب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للشيخ الطوسي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شرائع الإسلام للمحقّق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للفقيه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الموسوعات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ندعو اللّه تعالى أن يوفّقكم لمرضاته وأن لا تنسونا من صالح دعواتكم في الخلوات وأعقاب الصلوات، وبالأخصّ عند تشرّفكم للحرم النبوي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أبقاكم اللّه ورعاكم</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47" w:name="pg16776_179218"/>
    </w:p>
    <w:p>
      <w:pPr>
        <w:pStyle w:val="Heading3"/>
        <w:numPr>
          <w:ilvl w:val="2"/>
          <w:numId w:val="1"/>
        </w:numPr>
        <w:rPr/>
      </w:pPr>
      <w:bookmarkStart w:id="948" w:name="__RefHeading___Toc7071399_73709187"/>
      <w:bookmarkStart w:id="949" w:name="_Toc367"/>
      <w:bookmarkEnd w:id="947"/>
      <w:bookmarkEnd w:id="948"/>
      <w:r>
        <w:rPr/>
        <w:t>5</w:t>
      </w:r>
      <w:r>
        <w:rPr>
          <w:rtl w:val="true"/>
        </w:rPr>
        <w:t xml:space="preserve"> </w:t>
      </w:r>
      <w:r>
        <w:rPr>
          <w:rtl w:val="true"/>
        </w:rPr>
        <w:t>مراسلة مع الشيخ عبد اللّه دشتي</w:t>
      </w:r>
      <w:bookmarkEnd w:id="949"/>
    </w:p>
    <w:p>
      <w:pPr>
        <w:pStyle w:val="Heading4"/>
        <w:numPr>
          <w:ilvl w:val="3"/>
          <w:numId w:val="1"/>
        </w:numPr>
        <w:rPr/>
      </w:pPr>
      <w:bookmarkStart w:id="950" w:name="__RefHeading___Toc7071401_73709187"/>
      <w:bookmarkStart w:id="951" w:name="_Toc368"/>
      <w:bookmarkEnd w:id="950"/>
      <w:r>
        <w:rPr>
          <w:rtl w:val="true"/>
        </w:rPr>
        <w:t>اشارة</w:t>
      </w:r>
      <w:bookmarkEnd w:id="951"/>
    </w:p>
    <w:p>
      <w:pPr>
        <w:pStyle w:val="BookText"/>
        <w:rPr/>
      </w:pPr>
      <w:r>
        <w:rPr>
          <w:rFonts w:eastAsia="Times New Roman" w:cs="Times New Roman" w:ascii="Times New Roman" w:hAnsi="Times New Roman"/>
          <w:color w:val="111111"/>
          <w:sz w:val="28"/>
          <w:szCs w:val="28"/>
          <w:lang w:val="en-US" w:bidi="en-US"/>
        </w:rPr>
        <w:t>28</w:t>
      </w:r>
    </w:p>
    <w:p>
      <w:pPr>
        <w:pStyle w:val="Heading4"/>
        <w:numPr>
          <w:ilvl w:val="3"/>
          <w:numId w:val="1"/>
        </w:numPr>
        <w:rPr/>
      </w:pPr>
      <w:bookmarkStart w:id="952" w:name="__RefHeading___Toc7071403_73709187"/>
      <w:bookmarkStart w:id="953" w:name="_Toc369"/>
      <w:bookmarkEnd w:id="952"/>
      <w:r>
        <w:rPr>
          <w:rtl w:val="true"/>
        </w:rPr>
        <w:t>سماحة العلّامة الحجّة الشيخ عبد اللّه دشتي</w:t>
      </w:r>
      <w:bookmarkEnd w:id="953"/>
    </w:p>
    <w:p>
      <w:pPr>
        <w:pStyle w:val="BookText"/>
        <w:rPr/>
      </w:pPr>
      <w:r>
        <w:rPr>
          <w:rFonts w:ascii="Amiri" w:hAnsi="Amiri" w:eastAsia="Amiri" w:cs="Amiri"/>
          <w:color w:val="111111"/>
          <w:sz w:val="28"/>
          <w:sz w:val="28"/>
          <w:szCs w:val="28"/>
          <w:rtl w:val="true"/>
          <w:lang w:bidi="ar-SA"/>
        </w:rPr>
        <w:t>دامت معاليه وتواترت بيض أياديه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أمّا بعد؛ فقد حالفني التوفيق لقراءة ما دبّجه يراعكم حول تطهير المناهج من التكفير الذي أرسله إليّ الأخ الدكتور عبد العزيز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كافٍ لرد الجاحد عن جحوده، لو كانت هناك أسماعٌ صاغية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أن أُلفت نظركم السامي إلى أُمور ربّما تؤكّد آراءكم في 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آيات التي تدلّ بصراحة على أنّ المشركين في عهد الرسالة كانوا مشركين في الربوبية، وأُضيف إليها الآية الخامسة، قال تعالى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فقد كانوا يحملون أصنامهم في الحروب طلباً للنصر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الخصم على توحيد المشركين في الربوبية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السَّماواتِ‌</w:t>
      </w:r>
      <w:r>
        <w:rPr>
          <w:rFonts w:eastAsia="Amiri" w:cs="Amiri" w:ascii="Amiri" w:hAnsi="Amiri"/>
          <w:color w:val="111111"/>
          <w:sz w:val="28"/>
          <w:szCs w:val="28"/>
          <w:rtl w:val="true"/>
          <w:lang w:bidi="ar-SA"/>
        </w:rPr>
        <w:t>...)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يلاحظ على دليل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من أدلّة توحيد المشركين في الخالقية لا في الربوبية، فإنّ الخصم منذ زمن محمد بن عبد الوهاب لم يفرّقوا بين توحيد الخالقية وتوحيد الربوبية، فاستعملوا المصطلح الثاني مكان الأوّل مع أنّ بينهما بوناً شاسعاً، فالخالق هو الموجد من العدم، والرب هو مَن يدبر الشيء الموجود، فعلى هذا فهذه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الأجوبة التي تفضّلتم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صلة لها بتوحيد الربوبية، ولذلك يجب أن يفرّق بين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رَبُّ السَّماواتِ السَّبْعِ وَ رَبُّ الْعَرْشِ الْعَظِيمِ‌</w:t>
      </w:r>
      <w:r>
        <w:rPr>
          <w:rFonts w:eastAsia="Amiri" w:cs="Amiri" w:ascii="Amiri" w:hAnsi="Amiri"/>
          <w:color w:val="111111"/>
          <w:sz w:val="28"/>
          <w:szCs w:val="28"/>
          <w:rtl w:val="true"/>
          <w:lang w:bidi="ar-SA"/>
        </w:rPr>
        <w:t>) .</w:t>
      </w:r>
      <w:r>
        <w:rPr>
          <w:rStyle w:val="FootnoteAnchor"/>
          <w:rtl w:val="true"/>
        </w:rPr>
        <w:footnoteReference w:id="719"/>
      </w:r>
      <w:r>
        <w:rPr>
          <w:rFonts w:ascii="Amiri" w:hAnsi="Amiri" w:eastAsia="Amiri" w:cs="Amiri"/>
          <w:color w:val="111111"/>
          <w:sz w:val="28"/>
          <w:sz w:val="28"/>
          <w:szCs w:val="28"/>
          <w:rtl w:val="true"/>
          <w:lang w:bidi="ar-SA"/>
        </w:rPr>
        <w:t>نعم تدبير الكون يلازم الخالقية لكن الملازمة انّما هي في المصداق، إذ تدبير الكون إنّما هو بإفاضة الفيض، لا في المفهوم إذ هما حسب المفهوم مختلفان كما ربما يكونان كذلك مصداقاً في موارد، فربّ الضيعة غير خالقها، وربّ الدار غير بانيها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زعم أنّ اللّه سبحانه اتّخذ ولداً، فهذا النوع من الشرك يرجع إلى شرك آخر وهو التوحيد في الذات، فقد قال النصارى بالأقانيم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 الأب، إله الابن، وروح القدس؛ فالجميع في نظرهم آلهة متعدّدة، وفي الوقت نفسه إله واحد، معتقدين بأنّ هذا النوع من التناقض نؤمن به وإن لم نستطع حلّه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لا مُلزم لعدّ هذا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كلامكم دليلاً</w:t>
      </w:r>
    </w:p>
    <w:p>
      <w:pPr>
        <w:pStyle w:val="BookText"/>
        <w:rPr/>
      </w:pPr>
      <w:r>
        <w:rPr>
          <w:rFonts w:ascii="Amiri" w:hAnsi="Amiri" w:eastAsia="Amiri" w:cs="Amiri"/>
          <w:color w:val="111111"/>
          <w:sz w:val="28"/>
          <w:sz w:val="28"/>
          <w:szCs w:val="28"/>
          <w:rtl w:val="true"/>
          <w:lang w:bidi="ar-SA"/>
        </w:rPr>
        <w:t>على الشرك في الربوبية، بل هو شرك فوق الربوبية والخالقية، فلو كانت العرب في الجاهلية قائلة باتّخاذ الولد لكان شركهم أسوأ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صالح فوزان قسّم الدعاء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عبادة، ودعاء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غير مفيد وإنّما حاول صاحب الكلام الفرار عن السؤال في الأُمور الدنيوية، فزعم أنّ الميزان في تمييز التوحيد عن الشرك في دعاء المسألة هو كون المسؤول قادراً أو عاجزاً، فزعم أنّ الأوّل ليس بشرك، إذ عليه دعائم الحياة والبشرية، وأنّ الثاني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غفل عن أنّ الميزان في دعاء المسألة ليس كون المسؤول قادراً أو غير قادر، بل الميزان في تمييز الشرك عن التوحيد هو اعتقاد السائل بأنّ المسؤول يقوم بالعمل مستقلاً وبقدرة ذاتية أو يقوم به بإقدار من اللّه سبحانه؛ فعلى الأوّل فهو شرك حتى في الأُمور التي عليها دعائم الحياة ويعدّ من المقدورات كالسقي وغيره؛ وعلى الثاني لا يكون شركاً حتى في غير المقدور، غاية الأمر أنّ المسؤول لو كان قادراً على المسؤول عنه بإقدار من اللّه وإذنه، يكون صائباً في رأيه وإلّا يكون خاطئاً في رأيه وجاهلاً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فرضنا أنّ إنساناً سأل صاحب الحوت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يونس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إحياء الموتى بإذن اللّه، وفرضنا أنّ المسؤول لم يكن قادراً عليه وأنّه سبحانه لم يعط له تلك القدرة، فيكون عندئذٍ جاهلاً لا مشركاً ولا مبتدعاً كما في بعض كلماتكم حسب ما فهمته ولعلّي أكون خاطئاً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أغلاط القوم تفسير الإلوهية بالعبادة فإنّ الإله في القرآن ليس بمعنى المعبود ولا الإلوهية بمعنى العبادة، بل كونه معبوداً لازم كونه إلهاً،</w:t>
      </w:r>
    </w:p>
    <w:p>
      <w:pPr>
        <w:pStyle w:val="BookText"/>
        <w:rPr/>
      </w:pPr>
      <w:r>
        <w:rPr>
          <w:rFonts w:ascii="Amiri" w:hAnsi="Amiri" w:eastAsia="Amiri" w:cs="Amiri"/>
          <w:color w:val="111111"/>
          <w:sz w:val="28"/>
          <w:sz w:val="28"/>
          <w:szCs w:val="28"/>
          <w:rtl w:val="true"/>
          <w:lang w:bidi="ar-SA"/>
        </w:rPr>
        <w:t xml:space="preserve">ويدلّ على ذلك غير واحدة من الآيات وأوضحنا حال ذلك المصطلح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التعبير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السطر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 حاجة من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أخاك حاجة، لأنّ مادة السؤال تتعدّى بنفسها بالنسبة إلى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أتقدّم بالشكر إليكم من عالم مجاهد في سبيل اللّه لا يخاف لومة لائم وتقبّلوا منّي خالص الدعاء، وبلّغوا سلامي إلى من حولكم من الأخوان لا سيّما الدكتور عبد العزيز حسن الذي نعدّ هذا اللقاء الفكري من بركات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54" w:name="pg16776_179222"/>
    </w:p>
    <w:p>
      <w:pPr>
        <w:pStyle w:val="BookText"/>
        <w:rPr/>
      </w:pPr>
      <w:bookmarkEnd w:id="954"/>
      <w:r>
        <w:rPr>
          <w:rFonts w:eastAsia="Times New Roman" w:cs="Times New Roman" w:ascii="Times New Roman" w:hAnsi="Times New Roman"/>
          <w:color w:val="111111"/>
          <w:sz w:val="28"/>
          <w:szCs w:val="28"/>
          <w:lang w:val="en-US" w:bidi="en-US"/>
        </w:rPr>
        <w:t>29</w:t>
      </w:r>
    </w:p>
    <w:p>
      <w:pPr>
        <w:pStyle w:val="Heading4"/>
        <w:numPr>
          <w:ilvl w:val="3"/>
          <w:numId w:val="1"/>
        </w:numPr>
        <w:rPr/>
      </w:pPr>
      <w:bookmarkStart w:id="955" w:name="__RefHeading___Toc7071405_73709187"/>
      <w:bookmarkStart w:id="956" w:name="_Toc370"/>
      <w:bookmarkEnd w:id="955"/>
      <w:r>
        <w:rPr>
          <w:rtl w:val="true"/>
        </w:rPr>
        <w:t>المحضر المبارك للعلّامة الكبير آية اللّه الشيخ جعفر السبحاني</w:t>
      </w:r>
      <w:bookmarkEnd w:id="956"/>
    </w:p>
    <w:p>
      <w:pPr>
        <w:pStyle w:val="BookText"/>
        <w:rPr/>
      </w:pPr>
      <w:r>
        <w:rPr>
          <w:rFonts w:ascii="Amiri" w:hAnsi="Amiri" w:eastAsia="Amiri" w:cs="Amiri"/>
          <w:color w:val="111111"/>
          <w:sz w:val="28"/>
          <w:sz w:val="28"/>
          <w:szCs w:val="28"/>
          <w:rtl w:val="true"/>
          <w:lang w:bidi="ar-SA"/>
        </w:rPr>
        <w:t>دام ظلّه</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أمّا بعد؛ فقد انتابتني فرحة عارمة لعنايتكم بما سطّره العبد الفقير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تطهير المناهج من 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أمر ليس ببعيد عن شخصكم الكريم الذي عاش ومازال يعيش هموم الأُمّة ويتحمّل المسؤوليات الجسام في هدايتها لشرع اللّه وملّة رسوله الكريم ونهج أهل بيته الأطهار عليهم السلام، وما زال يسطّر بيده المباركة الكتب والرسائل التي تضيء للمؤمنين سبيل الحق والصراط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يسعني في هذه الفرصة إلّاأن أرفع لكم تقديري وتقدير كلّ المؤمنين،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صرفتم من عمركم المبارك في هذه الكتابات الإرشادية الرائعة على مستوى جميع فنون الإسلام وعلومه، فلقد كان لها الدور العظيم في ردّ الشبهات وتثبيت إيمان أيتام آل محمد صلى الله عليه و آله،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لعنايتكم الخاصّة بالأوضاع التي يمرّ بها وطننا الإسلامي، عموماً والخليجي بصورة خاصّة، فقد أبلغني الأخ العزيز الدكتور عبد العزيز حسن حفظه اللّه مدى متابعتكم لأوضاع المؤمنين عندنا واستجابتكم السريعة في صدّ الهجمات وسد الثغرات، فلك جزيل الشكر والعرفان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ونهايةً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حالفه الحظّ إلّاأنا الذي وفقت لأن ينظر علم من</w:t>
      </w:r>
    </w:p>
    <w:p>
      <w:pPr>
        <w:pStyle w:val="BookText"/>
        <w:rPr/>
      </w:pPr>
      <w:r>
        <w:rPr>
          <w:rFonts w:ascii="Amiri" w:hAnsi="Amiri" w:eastAsia="Amiri" w:cs="Amiri"/>
          <w:color w:val="111111"/>
          <w:sz w:val="28"/>
          <w:sz w:val="28"/>
          <w:szCs w:val="28"/>
          <w:rtl w:val="true"/>
          <w:lang w:bidi="ar-SA"/>
        </w:rPr>
        <w:t>أعلام الأُمّة لبضاعته المزجاة، وينقدها نقد الأُستاذ الخبير الناصح، ولا شكّ بأنّ لمثل هذه العناية الكريمة منكم أكبر الأثر في رفع همة أمثالي ودفعهم لبذل الجهد الأكبر والأدق على مستوى إيصال الخير والحقائق للناس عامّة والمسلمين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وسترى إن شاء اللّه انعكاس نقدكم على الطبعات الجديدة لو قدر لها ذلك، فلك جزيل الشكر وعظيم الامتنان منّي شيخنا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عبداللّه دشتي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57" w:name="pg16776_179225"/>
    </w:p>
    <w:p>
      <w:pPr>
        <w:pStyle w:val="Heading2"/>
        <w:numPr>
          <w:ilvl w:val="1"/>
          <w:numId w:val="1"/>
        </w:numPr>
        <w:rPr/>
      </w:pPr>
      <w:bookmarkStart w:id="958" w:name="__RefHeading___Toc7071407_73709187"/>
      <w:bookmarkStart w:id="959" w:name="_Toc371"/>
      <w:bookmarkEnd w:id="957"/>
      <w:bookmarkEnd w:id="958"/>
      <w:r>
        <w:rPr>
          <w:rtl w:val="true"/>
        </w:rPr>
        <w:t>الفصل الرابع رسائل وتقاريظ</w:t>
      </w:r>
      <w:bookmarkEnd w:id="959"/>
    </w:p>
    <w:p>
      <w:pPr>
        <w:pStyle w:val="Heading3"/>
        <w:numPr>
          <w:ilvl w:val="2"/>
          <w:numId w:val="1"/>
        </w:numPr>
        <w:rPr/>
      </w:pPr>
      <w:bookmarkStart w:id="960" w:name="__RefHeading___Toc7071409_73709187"/>
      <w:bookmarkStart w:id="961" w:name="_Toc372"/>
      <w:bookmarkEnd w:id="960"/>
      <w:r>
        <w:rPr>
          <w:rtl w:val="true"/>
        </w:rPr>
        <w:t>اشارة</w:t>
      </w:r>
      <w:bookmarkEnd w:id="9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وسعة آفاق مداليله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الشيخ محسن الأراكي حول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 في الأماكن المتباعدة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الأُستاذة عائشة يوسف المناعي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ضرورة دينية وحاجة ملحّة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إلى الاعتصام بحبل اللّه ونبذ الخلافات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الذكريات العطرة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من الدكتور أحمد بدر الدين حسّون المفتي العام في سورية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شيخ الجامع الأزهر فضيلة الدكتور أحمد الطيّب بمناسبة حلول شهر رمضان المبارك</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بين العلّامة المجتهدي والشاعر العراقي خضر عباس الصالحي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إلى الأخ الفاضل الدكتور عبدالعزيز حسن</w:t>
      </w:r>
      <w:bookmarkStart w:id="962" w:name="pg16776_179227"/>
    </w:p>
    <w:p>
      <w:pPr>
        <w:pStyle w:val="Heading3"/>
        <w:numPr>
          <w:ilvl w:val="2"/>
          <w:numId w:val="1"/>
        </w:numPr>
        <w:rPr/>
      </w:pPr>
      <w:bookmarkStart w:id="963" w:name="__RefHeading___Toc7071411_73709187"/>
      <w:bookmarkStart w:id="964" w:name="_Toc373"/>
      <w:bookmarkEnd w:id="962"/>
      <w:bookmarkEnd w:id="963"/>
      <w:r>
        <w:rPr/>
        <w:t>1</w:t>
      </w:r>
      <w:r>
        <w:rPr>
          <w:rtl w:val="true"/>
        </w:rPr>
        <w:t xml:space="preserve"> </w:t>
      </w:r>
      <w:r>
        <w:rPr>
          <w:rtl w:val="true"/>
        </w:rPr>
        <w:t>القرآن الكريم وسعة آفاق مداليله</w:t>
      </w:r>
      <w:bookmarkEnd w:id="9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وسعة آفاق مداليله</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القرآن الكريم، هو الحجر الأساس للتشريع الإسلامي، وهو أجلّ من أن يكون بحاجة إلى تعريف، إذ هو نور مستطيل شامل، ظاهر بنفسه مظهر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استطال الشيء قام بنفسه وصفات ضوء الشمس تذهب باطلا</w:t>
      </w:r>
    </w:p>
    <w:p>
      <w:pPr>
        <w:pStyle w:val="BookText"/>
        <w:rPr/>
      </w:pPr>
      <w:r>
        <w:rPr>
          <w:rFonts w:ascii="Amiri" w:hAnsi="Amiri" w:eastAsia="Amiri" w:cs="Amiri"/>
          <w:color w:val="111111"/>
          <w:sz w:val="28"/>
          <w:sz w:val="28"/>
          <w:szCs w:val="28"/>
          <w:rtl w:val="true"/>
          <w:lang w:bidi="ar-SA"/>
        </w:rPr>
        <w:t>القرآن الكريم الدعامة الأُولى للمسلمين واللبنة الأساسية في بناء الحضارة الإسلاميّة لا سيّما الجانب الأخلاقي والفقهي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وكفانا في ذلك قول النبي الأكرم صلى الله عليه و آله في الدعوة إلى التمسّك بالقرآن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التبست عليكم الفتن كقطع الليل المظلم فعليكم بالقرآن فإنّه شافع مشفّع، وماحل مصدّق، من جعله أمامه قاده إلى الجنة، ومن جعله خلفه ساقه إلى النار</w:t>
      </w:r>
      <w:r>
        <w:rPr>
          <w:rFonts w:eastAsia="Amiri" w:cs="Amiri" w:ascii="Amiri" w:hAnsi="Amiri"/>
          <w:color w:val="111111"/>
          <w:sz w:val="28"/>
          <w:szCs w:val="28"/>
          <w:rtl w:val="true"/>
          <w:lang w:bidi="ar-SA"/>
        </w:rPr>
        <w:t>».</w:t>
      </w:r>
      <w:r>
        <w:rPr>
          <w:rStyle w:val="FootnoteAnchor"/>
          <w:rtl w:val="true"/>
        </w:rPr>
        <w:footnoteReference w:id="72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هذا شأنه والذي يصفه الوحي الإلهي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لا مناص من أن يكون المصدر الرئيسي لاستنباط ما يحتاج إليه الإنسان في حياته الفردية والاجتماعية، ولذلك عكف العلماء، عبر القرون، على دراسته وعلى تفسيره بصور متنوّعة وأنماط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إنسان عامّة ما خدم به المسلمون ذلك الكتاب السماوي لشكّل مكتبة عظيمة تُبهر العقول وتملأ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ما ذهب إليه بعض إخواننا الإخباريين من أنّ القرآن الكريم لا يُحتجّ بنصوصه وظواهره إلّافي ظل النصوص الواردة عن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وإن عفا عليها الدهر، ومع ذلك كلّه ربّما بقي منها في بعض الأذهان صبابة قليلة، ولذلك عمد المتأخّرون من أصحابنا إلى الإجابة عنها، غير أنّ الذي نودّ أن نلفت إليه نظر أصحاب هذه النظرية ومن يميل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أئمّة أهل البيت عليهم السلام استدلّوا بظواهر القرآن بعمومه ومطلقاته وظواهره ومحكماته عند الإجابة عن أسئلة السائلين، وبذلك أقنعوا كثيراً من روّاد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اتّخذوا لأنفسهم عليهم السلام عند الاستدلال بالآيات موقف المعلم، المرشد إلى جهة دلالة الآيات على مقاصدهم مع غضّ النظر عن كونهم أئمّة معصومين رُزقوا العلم من عند اللّه سبحانه وورثوا علوم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آمالي في السنين السابقة جمع الأحاديث الّتي استدل بها الأئمّة عليهم السلام بالآيات الشريفة على الأحكام الشرعية بصفة أنّهم معلّمون والسامع متعلّم، وقد شرع بعض حضّار دروسنا في سالف الزمان، في تحقيق هذا الأمل، إلّا أنّ الحظّ لم يسعفه في مواصلة العمل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مضيّ سنين أتحفني الشيخ الفاضل حجة الإسلام محمد جعفر</w:t>
      </w:r>
    </w:p>
    <w:p>
      <w:pPr>
        <w:pStyle w:val="BookText"/>
        <w:rPr/>
      </w:pPr>
      <w:r>
        <w:rPr>
          <w:rFonts w:ascii="Amiri" w:hAnsi="Amiri" w:eastAsia="Amiri" w:cs="Amiri"/>
          <w:color w:val="111111"/>
          <w:sz w:val="28"/>
          <w:sz w:val="28"/>
          <w:szCs w:val="28"/>
          <w:rtl w:val="true"/>
          <w:lang w:bidi="ar-SA"/>
        </w:rPr>
        <w:t xml:space="preserve">الطبسي بباقة زهور بذل جهده في قطفها وتنضيدها، تمثّلت في موسوعته الّتي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 العترة الطاهرة بالقرآن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الجزء الأوّل منها الذي يزفّه الطبع إلى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اللازم الإشارة إلى أنّ لهذا الجهد الذي بذله شيخنا الفاضل أثراً آخر وهو تبيين سعة دلالة آفاق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ربّما غفل عنها أكثر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الاستدلال على الأحكام الشرعية فإنّ من رجع إلى تلك الأحاديث يظهر له هذا الأثر البارز، وها نحن نذكر نوعاً من هذه السعة حتّى يكون كأُنموذج لما لم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إلى المتوكّل رجل نصراني فجر بامرأة مسلمة فأراد أن يقيم عليه الحدّ، فأسلم، فقال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يمحو ما قبله،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ثلاثة حدود، فكتب المتوكّل إلى الإمام علي الهادي عليه السلام يسأله، فلمّا قرأ الكتاب، كتب يضرب حتّى يموت، فأنكر الفقهاء ذلك، فكتب إليه يسأله عن العلّة،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فأمر به المتوكّل فضرب حتّى مات</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الهادي عليه السلام ببيانه هذا شقّ طريقاً خاصّاً لاستنباط الأحكام من الذكر الحكيم، طريقاً لم يكن يحلم به فقهاء عصره، وكانوا يزعمون أنّ مصادر الأحكام الشرعية هي الآيات الواضحة في مجال الفقه الّتي لا تتجاوز ثلاثمائة</w:t>
      </w:r>
    </w:p>
    <w:p>
      <w:pPr>
        <w:pStyle w:val="BookText"/>
        <w:rPr/>
      </w:pPr>
      <w:r>
        <w:rPr>
          <w:rFonts w:ascii="Amiri" w:hAnsi="Amiri" w:eastAsia="Amiri" w:cs="Amiri"/>
          <w:color w:val="111111"/>
          <w:sz w:val="28"/>
          <w:sz w:val="28"/>
          <w:szCs w:val="28"/>
          <w:rtl w:val="true"/>
          <w:lang w:bidi="ar-SA"/>
        </w:rPr>
        <w:t>آية أو أزيد بقليل، وبذلك أبان للقرآن وجهاً خاصّاً لدلالته، لا يلتفت إليه إلّامَن نزل القرآن في بيتهم، وليس هذا الحديث غريباً في مورده، بل له نظائر في كلمات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رجع إلى المأثورات عن أئمّة أهل البيت عليهم السلام يقف على نظائر من هذا النوع من الاستنباط، وقد سمعنا عن سيد مشايخنا أنّ بعض الفقهاء استدلّوا بما ورد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على لفيف من الأحكام، كما استدلّوا بما ورد حول حوار موسى مع شعيب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ذكرته سورة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فقهية حول الصداق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يبعثنا على أن نرجع إلى القرآن الكريم من جديد ونستكشف آفاقه الواسعة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نبارك هذه الخطوة الموفّقة لشيخنا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 اللّه في عمره وتوفيقه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يزل منذ شبابه إلى يومه هذا جادّاً في طريق التأليف والتصنيف، ذاباً عن حريم أهل البيت عليهم السلام بقلمه وبنانه، وكلامه وبيانه، كيف وهو وليد بيت العلم والتقى والدين، وسليل آية اللّه الشيخ محمد رضا الطبسي أعلى اللّه مقامه، ولم يزل البيت شامخاً ومضيئاً بأبنائه الفضلاء واحداً 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 علمائنا وحفظ الباقين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المكرّم من شهور عام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65" w:name="pg16776_179231"/>
    </w:p>
    <w:p>
      <w:pPr>
        <w:pStyle w:val="Heading3"/>
        <w:numPr>
          <w:ilvl w:val="2"/>
          <w:numId w:val="1"/>
        </w:numPr>
        <w:rPr/>
      </w:pPr>
      <w:bookmarkStart w:id="966" w:name="__RefHeading___Toc7071413_73709187"/>
      <w:bookmarkStart w:id="967" w:name="_Toc374"/>
      <w:bookmarkEnd w:id="965"/>
      <w:bookmarkEnd w:id="966"/>
      <w:r>
        <w:rPr/>
        <w:t>2</w:t>
      </w:r>
      <w:r>
        <w:rPr>
          <w:rtl w:val="true"/>
        </w:rPr>
        <w:t xml:space="preserve"> </w:t>
      </w:r>
      <w:r>
        <w:rPr>
          <w:rtl w:val="true"/>
        </w:rPr>
        <w:t xml:space="preserve">سماحة حجّة الإسلام والمسلمين الشيخ محسن الأراكي </w:t>
      </w:r>
      <w:r>
        <w:rPr>
          <w:rtl w:val="true"/>
        </w:rPr>
        <w:t>(</w:t>
      </w:r>
      <w:r>
        <w:rPr>
          <w:rtl w:val="true"/>
        </w:rPr>
        <w:t>دامت بركاته</w:t>
      </w:r>
      <w:r>
        <w:rPr>
          <w:rtl w:val="true"/>
        </w:rPr>
        <w:t>)</w:t>
      </w:r>
      <w:bookmarkEnd w:id="967"/>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تكونوا في صلاح وفلاح وفي صحّة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 xml:space="preserve">أشكركم على هديتكم الثمينة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 في الأماكن المتباعدة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 الرسالة حسب ما سمح به الوقت، فوجدتها رسالة قيّمة جديرة بالمطالعة، فإنّ مسألة الهلال بعامّة جوانبها شائكة تحتاج إلى تحقيق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أوافقكم في الأمر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رؤيته بالعين المسلحة، ويدلّ على عدم الكفاية وراء ما تفضّلتم، أمران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الموضوع للإفطار كلتا الرؤيتين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المجردة والمسلحة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التخيير بين الأقل والأكثر، الأقل الذي يتقدّم على الأكثر دائماً، فتكون العلامة الثانية لغواً، وذلك لأنّ الرؤية بالعين المسلحة تتقدّم على الرؤية بالعين المجردة غالباً، فكيف جعل الشارع العلامتين حجّة مع أنّ الثانية لغو</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تخصّص العلامة الثانية بالفترات التي لم يكن للعين المسلحة عين</w:t>
      </w:r>
    </w:p>
    <w:p>
      <w:pPr>
        <w:pStyle w:val="BookText"/>
        <w:rPr/>
      </w:pPr>
      <w:r>
        <w:rPr>
          <w:rFonts w:ascii="Amiri" w:hAnsi="Amiri" w:eastAsia="Amiri" w:cs="Amiri"/>
          <w:color w:val="111111"/>
          <w:sz w:val="28"/>
          <w:sz w:val="28"/>
          <w:szCs w:val="28"/>
          <w:rtl w:val="true"/>
          <w:lang w:bidi="ar-SA"/>
        </w:rPr>
        <w:t>ولا أثر، وإثبات ذلك دونه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 أئمّة أهل البيت عليهم السلام مفطرين في رمضان وصائمين في شوال، فإنّ صيامهم وإفطارهم كانا بالعين المجردة، والمفروض أنّ الهلال الشرعي كان موجوداً محقّقاً ولم تكن لهم آلة للوصول إليه، فأفطروا في رمضان وصاموا في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الآخر الذي لا أوافقكم فيه فهو كفاية الرؤية الواحدة على عامّة الأمكنة والآفاق، وبتعبير واضح القول باتّحاد ثبوت الهلال في الأماكن المشتركة في جزء من الليل الذي ثبت فيه الهلال وإن تعدّدت وتباعدت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قلنا فيه بعدم الكفاية، وإن أصرّ عليه السيد الخوئي قدس سره، والدليل عليه ما قرّرناه في الرسالة المرفقة، فأرجوا النظر فيها لعلّ اللّه يحدث بعد ذلك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فائق الاحترام</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 مؤسسة الإمام الصادق عليه السلام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68" w:name="pg16776_179233"/>
    </w:p>
    <w:p>
      <w:pPr>
        <w:pStyle w:val="Heading3"/>
        <w:numPr>
          <w:ilvl w:val="2"/>
          <w:numId w:val="1"/>
        </w:numPr>
        <w:rPr/>
      </w:pPr>
      <w:bookmarkStart w:id="969" w:name="__RefHeading___Toc7071415_73709187"/>
      <w:bookmarkStart w:id="970" w:name="_Toc375"/>
      <w:bookmarkEnd w:id="968"/>
      <w:bookmarkEnd w:id="969"/>
      <w:r>
        <w:rPr/>
        <w:t>3</w:t>
      </w:r>
      <w:r>
        <w:rPr>
          <w:rtl w:val="true"/>
        </w:rPr>
        <w:t xml:space="preserve"> </w:t>
      </w:r>
      <w:r>
        <w:rPr>
          <w:rtl w:val="true"/>
        </w:rPr>
        <w:t xml:space="preserve">الأُستاذة الفاضلة عائشة يوسف المناعي </w:t>
      </w:r>
      <w:r>
        <w:rPr>
          <w:rtl w:val="true"/>
        </w:rPr>
        <w:t xml:space="preserve">- </w:t>
      </w:r>
      <w:r>
        <w:rPr>
          <w:rtl w:val="true"/>
        </w:rPr>
        <w:t xml:space="preserve">حفظها اللّه تعالى </w:t>
      </w:r>
      <w:r>
        <w:rPr>
          <w:rtl w:val="true"/>
        </w:rPr>
        <w:t>-</w:t>
      </w:r>
      <w:bookmarkEnd w:id="970"/>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أرجو من اللّه سبحانه أن يعيد على بلاد الإسلام والمسلمين الأمن والسلام حتّى يصبح أبناء الأُمة الإسلامية اخوّة متحابيّن وأن يقطع أيادي المجرمين عن بلادنا وأراضينا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بعثنا مع سماحة الأُستاذ أحمدي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الخالد لم ولن يحرّف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مرجعاً ثانياً لإكمال كتابكم، فما ورد فيه من النصوص يرجع غالبه إلى علماء الشيعة الإمامية، وقليل منه إلى علماء أهل السنّة الذين برّأوا ساحة الشيعة عن القول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ندعو اللّه لكافّة المسلمين بالفوز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جمادى 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71" w:name="pg16776_179234"/>
    </w:p>
    <w:p>
      <w:pPr>
        <w:pStyle w:val="BookText"/>
        <w:rPr/>
      </w:pPr>
      <w:bookmarkEnd w:id="971"/>
      <w:r>
        <w:rPr>
          <w:rFonts w:ascii="Amiri" w:hAnsi="Amiri" w:eastAsia="Amiri" w:cs="Amiri"/>
          <w:color w:val="111111"/>
          <w:sz w:val="28"/>
          <w:sz w:val="28"/>
          <w:szCs w:val="28"/>
          <w:rtl w:val="true"/>
          <w:lang w:bidi="ar-SA"/>
        </w:rPr>
        <w:t xml:space="preserve">إلى مؤتمر التقريب بين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Heading3"/>
        <w:numPr>
          <w:ilvl w:val="2"/>
          <w:numId w:val="1"/>
        </w:numPr>
        <w:rPr/>
      </w:pPr>
      <w:bookmarkStart w:id="972" w:name="__RefHeading___Toc7071417_73709187"/>
      <w:bookmarkStart w:id="973" w:name="_Toc376"/>
      <w:bookmarkEnd w:id="972"/>
      <w:r>
        <w:rPr/>
        <w:t>4</w:t>
      </w:r>
      <w:r>
        <w:rPr>
          <w:rtl w:val="true"/>
        </w:rPr>
        <w:t xml:space="preserve"> </w:t>
      </w:r>
      <w:r>
        <w:rPr>
          <w:rtl w:val="true"/>
        </w:rPr>
        <w:t>التقريب ضرورة دينية وحاجة ملحّة</w:t>
      </w:r>
      <w:bookmarkEnd w:id="973"/>
    </w:p>
    <w:p>
      <w:pPr>
        <w:pStyle w:val="BookText"/>
        <w:rPr/>
      </w:pPr>
      <w:r>
        <w:rPr>
          <w:rFonts w:ascii="Amiri" w:hAnsi="Amiri" w:eastAsia="Amiri" w:cs="Amiri"/>
          <w:color w:val="111111"/>
          <w:sz w:val="28"/>
          <w:sz w:val="28"/>
          <w:szCs w:val="28"/>
          <w:rtl w:val="true"/>
          <w:lang w:bidi="ar-SA"/>
        </w:rPr>
        <w:t>التقريب بين الطوائف الإسلامية من الأماني العزيزة، التي يتمنّاها كلّ مسلم واع بصير، خصوصاً في الأوضاع الراهنة، والأجواء السائدة على المسلمين، والظروف المحيطة بهم في شتّى النواحي والأقطار، ولا يشك في ضرورته إلّااثنان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مغفّل، وجاحد معاند ماكر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يمرّ على المسلمين يوم إلّاوفيه مجازر رهيبة، وحروب دامية طاحنة، فرضتها عليهم القوى الكافرة، التي تخاف من سيادة الإسلام في ربوع العالم، وانتشاره فيها، فعادتْ تؤجّج نار الحرب بين آونة وأُخرى، فتضرب المسلم بالمسلم تارة، وبالكافر أُخرى فَتحقّق أُمنيتها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المجازر الدامية في فلسطين المحتلة التي يرتكبها الصهاينة، بمرأى و مسمع من عامة المسلمين</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الحوادث والوقائع الأليمة وعشرات من أمثالها، تدفع المسلمَ الحرّ الذي يجري في عروقه دمُ الغيرة والحمية، إلى التفكير في داء مجتمعه ودوائه، وفي إعادة مجده التالد، وكيانه السابق، فلا يجدْ دواءً ناجعاً سوى التمسّك</w:t>
      </w:r>
    </w:p>
    <w:p>
      <w:pPr>
        <w:pStyle w:val="BookText"/>
        <w:rPr/>
      </w:pPr>
      <w:r>
        <w:rPr>
          <w:rFonts w:ascii="Amiri" w:hAnsi="Amiri" w:eastAsia="Amiri" w:cs="Amiri"/>
          <w:color w:val="111111"/>
          <w:sz w:val="28"/>
          <w:sz w:val="28"/>
          <w:szCs w:val="28"/>
          <w:rtl w:val="true"/>
          <w:lang w:bidi="ar-SA"/>
        </w:rPr>
        <w:t>بالإسلام في مجالي العقيدة والشريعة ومن أبرز أُصوله ما دعا إليه الذكر الحكيم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إلى غير ذلك من الآيات إلى تَحُثّ على الوحدة والوئام، والابتعاد عن التمزّق والتفرّق، وقد أكّد الرسولُ الكريم ما دعا إليه القرآن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المؤمنين في توادّهم وتعاطفهم وتراحمهم مثل الجسد إذا اشتكى منه شيء، تداعى له سائر الجسد بالسهر والحمى</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وقال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وألزموا السواد الأعظم، فإنّ يد اللّه مع الجماعة وإيّاكم والفرقة، فإنّ الشاذّ من الناس للشيطان كما أنّ الشاذ من الغنم للذئب، ألا مَنْدعا إلى هذا الشعار فاقتلوه ولو كان تحت عمامتي هذه</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وفي ضوء الوضع الراهن نخاطب المسلمين وفي مقدّمتهم الرُؤساء والمشايخ وقادة الفكر وأرباب القلم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قاربوا الخطى أيّها المسلمون، وقلِّلوا الخلافَ‌، وأكثروا الوئام، وتمسّكوا بالأُصول المشتركة المتوفّرة في مجالي العقيدة والشريعة، ابتعدوا عن التنافر والتناكر، حتى تكونوا صفّاً واحداً في وجه الأعداء لا يزعزعكم مكرُ الشياطين وحيل أعدائكم في المناطق كلّها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أراد المسلمون حفظ نواميسهم، ومقدّساتهم التي أصبحت في هذه</w:t>
      </w:r>
    </w:p>
    <w:p>
      <w:pPr>
        <w:pStyle w:val="BookText"/>
        <w:rPr/>
      </w:pPr>
      <w:r>
        <w:rPr>
          <w:rFonts w:ascii="Amiri" w:hAnsi="Amiri" w:eastAsia="Amiri" w:cs="Amiri"/>
          <w:color w:val="111111"/>
          <w:sz w:val="28"/>
          <w:sz w:val="28"/>
          <w:szCs w:val="28"/>
          <w:rtl w:val="true"/>
          <w:lang w:bidi="ar-SA"/>
        </w:rPr>
        <w:t>الأيام فريسة للصهاينة ومؤيّديهم، فعليهم أن يقاربوا الخطى ويتمسّكوا بحبل الوحدة الذي هو حبل اللّه المتين ويتعايشوا عيشة أخوية ويحمل كلّ ما عليه من الأفكار والعقائد في ظل مشتركات كثيرة، فإنّ ما يجمعهم أكثر وأكثر ممّا يفرقهم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974" w:name="pg16776_179240"/>
    </w:p>
    <w:p>
      <w:pPr>
        <w:pStyle w:val="Heading3"/>
        <w:numPr>
          <w:ilvl w:val="2"/>
          <w:numId w:val="1"/>
        </w:numPr>
        <w:rPr/>
      </w:pPr>
      <w:bookmarkStart w:id="975" w:name="__RefHeading___Toc7071419_73709187"/>
      <w:bookmarkStart w:id="976" w:name="_Toc377"/>
      <w:bookmarkEnd w:id="974"/>
      <w:bookmarkEnd w:id="975"/>
      <w:r>
        <w:rPr/>
        <w:t>5</w:t>
      </w:r>
      <w:r>
        <w:rPr>
          <w:rtl w:val="true"/>
        </w:rPr>
        <w:t xml:space="preserve"> </w:t>
      </w:r>
      <w:r>
        <w:rPr>
          <w:rtl w:val="true"/>
        </w:rPr>
        <w:t>الدعوة إلى الاعتصام بحبل اللّه ونبذ الخلافات</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إنّ اللّه سبحانه يأمر المسلمين أن يعتصموا بحبل اللّه، ولعلّ اختصاص الحبل بالذكر دون غيره للإشارة إلى أنّ مَثَل الأُمّة المتفكّكة المتفرّقة كالمتردّي في البئر، لا تكتب له النجاة منه إلّابالاعتصام بالحبل الذي يُلقى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أهمية ذلك أنّ الوحي الإلهي كلّما مرّ على توحيد الكلمة ورصّ الصف يمدحه ويأمر به، وكلّما مرّ على التفرقة يذمّها، حتّى أنّه عدّ التفرّق في عداد البلايا السماوية،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 أَوْ مِنْ تَحْتِ أَرْجُلِكُمْ أَوْ يَلْبِسَكُمْ شِيَعاً وَ يُذِيقَ بَعْضَكُمْ بَأْسَ بَعْضٍ‌</w:t>
      </w:r>
      <w:r>
        <w:rPr>
          <w:rFonts w:eastAsia="Amiri" w:cs="Amiri" w:ascii="Amiri" w:hAnsi="Amiri"/>
          <w:color w:val="111111"/>
          <w:sz w:val="28"/>
          <w:szCs w:val="28"/>
          <w:rtl w:val="true"/>
          <w:lang w:bidi="ar-SA"/>
        </w:rPr>
        <w:t>) .</w:t>
      </w:r>
      <w:r>
        <w:rPr>
          <w:rStyle w:val="FootnoteAnchor"/>
          <w:rtl w:val="true"/>
        </w:rPr>
        <w:footnoteReference w:id="73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المسلمين جميعاً أن يقتدوا بكتاب اللّه ويوحّدوا الصفوف ويجتنبوا عن كلّ ما يفرّقهم ويشتّتهم وخاصّة في هذه الأيام التي اتّفقت فيها قوى الكفر والاستكبار على تفتيتهم وتفريقهم وإراقة دماء بعضهم بيد بعض، بغية تحقيق مآربهم الشيطانية في الهيمنة على البلدان الإسلامية، ونهب خيراتها، وتوفير</w:t>
      </w:r>
    </w:p>
    <w:p>
      <w:pPr>
        <w:pStyle w:val="BookText"/>
        <w:rPr/>
      </w:pPr>
      <w:r>
        <w:rPr>
          <w:rFonts w:ascii="Amiri" w:hAnsi="Amiri" w:eastAsia="Amiri" w:cs="Amiri"/>
          <w:color w:val="111111"/>
          <w:sz w:val="28"/>
          <w:sz w:val="28"/>
          <w:szCs w:val="28"/>
          <w:rtl w:val="true"/>
          <w:lang w:bidi="ar-SA"/>
        </w:rPr>
        <w:t>الأمن للكيان الصهيوني الجاثم على صدر فلسطين الحبيبة والقدس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ظاهرة التكفير ظاهرة سيئة، فالمسلمون كلّهم يعبدون اللّه وحده ويعتقدون برسالة الرسول الخاتم صلى الله عليه و آله و سلم ويوم القيامة، وكفى ذلك في دخولهم في حضيرة الإسلام حسب ما رواه البخاري في صحيحه في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الإمام الإشعري حينما حضره الموت جمع تلاميذه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أنّني لا أُكفِّر أحداً من أهل القبلة بذنب، لأنّي رأيتهم كلّهم يشيرون إلى معبود واحد والإسلام يشملهم ويعمّهم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ذلك يلزمنا أن نحترم مشاعر الآخرين واعتقاداتهم ولا نقابلهم بشيء ممّا يسبّب التفرّق ويورث العداوة والبغضاء، وعلى ذلك كانت سيرة السلف الصالح الذين عاشوا متآلفين ومتحابين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تهمة سبّ الصحابة التي أُلصقت بالشيعة إنّما هي تهمة باطلة، وهم بُراء منها، وهم يقتدون في نظرتهم إلى الصحابة وفي موقفهم منهم بالإمام الطاهر علي بن الحسين عليهما السلام الذي كان يدعو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وأصحاب محمّد خاصّةً‌، الذين أحسنوا الصحبة، والذين أبلَوا البلاء الحسن في نصره، وكانفوه، وأسرعوا إلى وفادته، وسابقوا إلى دعوته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77" w:name="pg16776_179244"/>
    </w:p>
    <w:p>
      <w:pPr>
        <w:pStyle w:val="Heading3"/>
        <w:numPr>
          <w:ilvl w:val="2"/>
          <w:numId w:val="1"/>
        </w:numPr>
        <w:rPr/>
      </w:pPr>
      <w:bookmarkStart w:id="978" w:name="__RefHeading___Toc7071421_73709187"/>
      <w:bookmarkStart w:id="979" w:name="_Toc378"/>
      <w:bookmarkEnd w:id="977"/>
      <w:bookmarkEnd w:id="978"/>
      <w:r>
        <w:rPr/>
        <w:t>6</w:t>
      </w:r>
      <w:r>
        <w:rPr>
          <w:rtl w:val="true"/>
        </w:rPr>
        <w:t xml:space="preserve"> </w:t>
      </w:r>
      <w:r>
        <w:rPr>
          <w:rtl w:val="true"/>
        </w:rPr>
        <w:t>الذكريات العطرة</w:t>
      </w:r>
      <w:bookmarkEnd w:id="97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الذكريات العطرة</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رسله وخاتم أنبيائه محمّد وآله الطيبين الطاهرين، الغرّ الميامين،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السلام على الإخوة والأخوات جميعاً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يسرّني في بدء القول أن أقدّم جزيل الشكر والتقدير للإخوة المشرفين على عقد هذا المؤتمر الكريم الذي تشرّف باسم الإمام موسى بن جعفر عليه وعلى آبائه وأولاده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عقد هذا المؤتمر يعرب عن الولاء الخالص للعترة الطاهرة الذين فرض اللّه علينا طاعتهم ومودّتهم، وجعلهم أعدالاً للكتاب الكريم وقرناءه في حديث الثقلين، وشبّههم بسفينة نوح قائلاً بأنّ مَن تمسّك بها نجا ومَن تخلّف عنها غرق</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شيء مهما بلغ من السموّ والرفعة، فهو بحاجة إلى تعريف وتبيين حتّى يقف العالم على ما فيه من الجمال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يشذ عن تلك الضابطة</w:t>
      </w:r>
    </w:p>
    <w:p>
      <w:pPr>
        <w:pStyle w:val="BookText"/>
        <w:rPr/>
      </w:pPr>
      <w:r>
        <w:rPr>
          <w:rFonts w:ascii="Amiri" w:hAnsi="Amiri" w:eastAsia="Amiri" w:cs="Amiri"/>
          <w:color w:val="111111"/>
          <w:sz w:val="28"/>
          <w:sz w:val="28"/>
          <w:szCs w:val="28"/>
          <w:rtl w:val="true"/>
          <w:lang w:bidi="ar-SA"/>
        </w:rPr>
        <w:t>أئمة أهل البيت عليهم السلام فالتعرّف عليهم رهن التبيين والتشريح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الملتقى ينهض، إن شاء اللّه تعالى، بحمل شرف هذه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الهدف من إلقاء المحاضرات، وتدبيج المقالات، وتأليف الكتب والموسوعات، وعقد الندوات والمؤتمرات الّتي تتحدّث عن 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الهدف من كلّ ذلك هو الكشف عن الجوانب المشرقة من حياة هذا الإمام الهُمام، في شتىّ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والاجتماعية، والسياسية،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نأمل أن يكون هذا الملتقى مناراً على هذا الطريق، ومحققّاً لهذا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الإحاطة بما لرجال الوحي وأوصيائهم من الفضائل والمناقب والخدمات التي قدّموها للمجتمع الإسلامي أمر غير ميسّر؛ لأنّ الجانب الروحي لهؤلاء أشبه بعالَم الطبيعة، فكما أنّ الإحاطة بجميع أسرار الطبيعة ورموزها وقوانينها أمر غير ميسّر، وإنّما يقوم الأمثل فالأمثل بكشف جانب من أسرارها، فهكذا الحال في رجالات الوحي وأساتذة السماء وأوصيائهم، فلا غَرو في أن تقوم ثلّة جليلة من علماء المسلمين سنّة وشيعة، عبر القرون، بتأليف كتب وموسوعات حول حياة أئمة أهل البيت عليهم السلام المشكور عملهم، ومع ذلك تبقى هناك جوانب كثيرة بحاجة للبحث والتفتيش من قبل الثلة المتأخّرة حتى يعرف الناس كمالاتِهم ومناقبَهم وتضحياتهم على طريق نشر الإسلام وهداية الأُمم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جوار السيدة فاطمة المعصومة بنت الإمام موسى بن جعفر عليها السلام أبعث إليكم بهذه الكلمة القصيرة والّتي لا أرى أنّها تليق بتلك العتبة الطاهرة، لكنّني</w:t>
      </w:r>
    </w:p>
    <w:p>
      <w:pPr>
        <w:pStyle w:val="BookText"/>
        <w:rPr/>
      </w:pPr>
      <w:r>
        <w:rPr>
          <w:rFonts w:ascii="Amiri" w:hAnsi="Amiri" w:eastAsia="Amiri" w:cs="Amiri"/>
          <w:color w:val="111111"/>
          <w:sz w:val="28"/>
          <w:sz w:val="28"/>
          <w:szCs w:val="28"/>
          <w:rtl w:val="true"/>
          <w:lang w:bidi="ar-SA"/>
        </w:rPr>
        <w:t>كتبتها وحرّرتها رجاء أن يُكتب اسمي في قائمة المشاركين والحاضرين في هذا الملتقى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المتمسّكين بالعترة الطاهرة والمهتدين بهُداهم والمقتدين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أدعو اللّه تعالى أن يمنّ على هذا البلد بالأمن والاستقرار والعزّة والكرامة</w:t>
      </w:r>
    </w:p>
    <w:p>
      <w:pPr>
        <w:pStyle w:val="BookText"/>
        <w:rPr/>
      </w:pPr>
      <w:r>
        <w:rPr>
          <w:rFonts w:ascii="Amiri" w:hAnsi="Amiri" w:eastAsia="Amiri" w:cs="Amiri"/>
          <w:color w:val="111111"/>
          <w:sz w:val="28"/>
          <w:sz w:val="28"/>
          <w:szCs w:val="28"/>
          <w:rtl w:val="true"/>
          <w:lang w:bidi="ar-SA"/>
        </w:rPr>
        <w:t>إنّه بالإجابة جدير وعلى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من شهور سنة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15/5/2012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980" w:name="pg16776_179250"/>
    </w:p>
    <w:p>
      <w:pPr>
        <w:pStyle w:val="Heading3"/>
        <w:numPr>
          <w:ilvl w:val="2"/>
          <w:numId w:val="1"/>
        </w:numPr>
        <w:rPr/>
      </w:pPr>
      <w:bookmarkStart w:id="981" w:name="__RefHeading___Toc7071423_73709187"/>
      <w:bookmarkStart w:id="982" w:name="_Toc379"/>
      <w:bookmarkEnd w:id="980"/>
      <w:bookmarkEnd w:id="981"/>
      <w:r>
        <w:rPr/>
        <w:t>7</w:t>
      </w:r>
      <w:r>
        <w:rPr>
          <w:rtl w:val="true"/>
        </w:rPr>
        <w:t xml:space="preserve"> </w:t>
      </w:r>
      <w:r>
        <w:rPr>
          <w:rtl w:val="true"/>
        </w:rPr>
        <w:t>سماحة الشيخ جعفر السبحاني حفظه اللّه تعالى مرجع مؤسسة الإمام الصادق عليه السلام للتحقيق والتأليف</w:t>
      </w:r>
      <w:bookmarkEnd w:id="982"/>
    </w:p>
    <w:p>
      <w:pPr>
        <w:pStyle w:val="BookText"/>
        <w:rPr/>
      </w:pPr>
      <w:r>
        <w:rPr>
          <w:rFonts w:ascii="Amiri" w:hAnsi="Amiri" w:eastAsia="Amiri" w:cs="Amiri"/>
          <w:color w:val="111111"/>
          <w:sz w:val="28"/>
          <w:sz w:val="28"/>
          <w:szCs w:val="28"/>
          <w:rtl w:val="true"/>
          <w:lang w:bidi="ar-SA"/>
        </w:rPr>
        <w:t>السلام عليكم ورحمة اللّه وبركاته، 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نحمد اللّه إليكم على نعمة الإيمان والإسلام، ومحبة آل بيت رسول اللّه عليه الصلاة والسلام، وجمعنا اللّه وإيّاكم على ذلك، وحشرنا وإيّاكم على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 سماحتكم في كون المذاهب الفقهية تخرج من مشكاة واحدة، وتضيء طريق المؤمنين من سراج سيد الأنبياء والمرسلين، وبزيت متعدّد الخصائص، ولكنّه في النهاية زيت ربانيّ‌، ونور إلهيّ‌، يكشف للناس هدى الإسلام، وجمال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نشكر سماحتكم على هديتكم العلمية، فجزاكم اللّه خير الجزاء، عن أُمّة الإسلام، وبارك اللّه في جهود سماحتكم، ونفع العالم بعلومكم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عليكم ورحمة اللّه وبركاته دمشق في </w:t>
      </w:r>
      <w:r>
        <w:rPr>
          <w:rFonts w:eastAsia="Amiri" w:cs="Amiri" w:ascii="Amiri" w:hAnsi="Amiri"/>
          <w:color w:val="111111"/>
          <w:sz w:val="28"/>
          <w:szCs w:val="28"/>
          <w:lang w:bidi="ar-SA"/>
        </w:rPr>
        <w:t>1433/5/11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ل‍ </w:t>
      </w:r>
      <w:r>
        <w:rPr>
          <w:rFonts w:eastAsia="Amiri" w:cs="Amiri" w:ascii="Amiri" w:hAnsi="Amiri"/>
          <w:color w:val="111111"/>
          <w:sz w:val="28"/>
          <w:szCs w:val="28"/>
          <w:lang w:bidi="ar-SA"/>
        </w:rPr>
        <w:t>2012/4/2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المفتي العام</w:t>
      </w:r>
    </w:p>
    <w:p>
      <w:pPr>
        <w:pStyle w:val="BookText"/>
        <w:rPr/>
      </w:pPr>
      <w:r>
        <w:rPr>
          <w:rFonts w:ascii="Amiri" w:hAnsi="Amiri" w:eastAsia="Amiri" w:cs="Amiri"/>
          <w:color w:val="111111"/>
          <w:sz w:val="28"/>
          <w:sz w:val="28"/>
          <w:szCs w:val="28"/>
          <w:rtl w:val="true"/>
          <w:lang w:bidi="ar-SA"/>
        </w:rPr>
        <w:t>رئيس مجلس الإفتاء الأعلى في الجمهوريّة العربيّة السُّوريّة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أحمد بدر الدين حسّون</w:t>
      </w:r>
      <w:bookmarkStart w:id="983" w:name="pg16776_179252"/>
    </w:p>
    <w:p>
      <w:pPr>
        <w:pStyle w:val="Heading3"/>
        <w:numPr>
          <w:ilvl w:val="2"/>
          <w:numId w:val="1"/>
        </w:numPr>
        <w:rPr/>
      </w:pPr>
      <w:bookmarkStart w:id="984" w:name="__RefHeading___Toc7071425_73709187"/>
      <w:bookmarkStart w:id="985" w:name="_Toc380"/>
      <w:bookmarkEnd w:id="983"/>
      <w:bookmarkEnd w:id="984"/>
      <w:r>
        <w:rPr/>
        <w:t>8</w:t>
      </w:r>
      <w:r>
        <w:rPr>
          <w:rtl w:val="true"/>
        </w:rPr>
        <w:t xml:space="preserve"> </w:t>
      </w:r>
      <w:r>
        <w:rPr>
          <w:rtl w:val="true"/>
        </w:rPr>
        <w:t>فضيلة الدكتور أحمد الطيّب شيخ الجامع الأزهر</w:t>
      </w:r>
      <w:bookmarkEnd w:id="985"/>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أمّا بعد؛ فيسرّني أن أغتنم فرصة حلول شهر رمضان المبارك بتقديم التبريكات الزاكية إلى سماحتكم وإلى جميع العلماء الفضلاء في مصر المحميّة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وأودّ، هنا، أن أقتطف شيئاً من كلام رسول اللّه صلى الله عليه و آله في هذا الشهر الفضيل، قال صلى الله عليه و آله في خطبة له في آخر جمعة من شهر شعبان المعظّم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قد أقبل إليكم شهر اللّه بالبركة والرحمة و المغفرة، شهر هو عند اللّه أفضل الشهور، وأيامه أفضل الأيام، ولياليه أفضل الليالي، وساعاته أفضل الساعات، هو شهر دعيتم فيه إلى ضيافة اللّه، وجعلتم فيه من أهل كرامة اللّه، أنفاسكم فيه تسبيح، ونومكم فيه عبادة، وعملكم فيه مقبول، ودعاؤكم فيه مستجاب، فأسألوا اللّه ربّكم بنيّات صادقة وقلوب طاهرة أن يوفّقكم لصيامه وتلاوة كتابه، فإنّ الشقيّ من حرم غفران اللّه في هذا الشهر العظيم</w:t>
      </w:r>
      <w:r>
        <w:rPr>
          <w:rFonts w:eastAsia="Amiri" w:cs="Amiri" w:ascii="Amiri" w:hAnsi="Amiri"/>
          <w:color w:val="111111"/>
          <w:sz w:val="28"/>
          <w:szCs w:val="28"/>
          <w:rtl w:val="true"/>
          <w:lang w:bidi="ar-SA"/>
        </w:rPr>
        <w:t>».</w:t>
      </w:r>
      <w:r>
        <w:rPr>
          <w:rStyle w:val="FootnoteAnchor"/>
          <w:rtl w:val="true"/>
        </w:rPr>
        <w:footnoteReference w:id="73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نقدّر لسماحتكم دعواتكم الطيّبة إلى جمع كلمة المسلمين، ولمّ شملهم، ونبذ الخلاف الذي يخدم مخططات الاستكبار العالمي التي تهدف</w:t>
      </w:r>
    </w:p>
    <w:p>
      <w:pPr>
        <w:pStyle w:val="BookText"/>
        <w:rPr/>
      </w:pPr>
      <w:r>
        <w:rPr>
          <w:rFonts w:ascii="Amiri" w:hAnsi="Amiri" w:eastAsia="Amiri" w:cs="Amiri"/>
          <w:color w:val="111111"/>
          <w:sz w:val="28"/>
          <w:sz w:val="28"/>
          <w:szCs w:val="28"/>
          <w:rtl w:val="true"/>
          <w:lang w:bidi="ar-SA"/>
        </w:rPr>
        <w:t>إلى القضاء على الأُمّة الإسلامية، وإدخال المسلمين في معارك جانبية يقتل فيها بعضهم بعضاً، ونهيب بكم، لما لكم من مقام سام، بذل المزيد من المساعي في هذا المجال، ولكم من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المشرّفة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86" w:name="pg16776_179256"/>
    </w:p>
    <w:p>
      <w:pPr>
        <w:pStyle w:val="Heading3"/>
        <w:numPr>
          <w:ilvl w:val="2"/>
          <w:numId w:val="1"/>
        </w:numPr>
        <w:rPr/>
      </w:pPr>
      <w:bookmarkStart w:id="987" w:name="__RefHeading___Toc7071427_73709187"/>
      <w:bookmarkStart w:id="988" w:name="_Toc381"/>
      <w:bookmarkEnd w:id="986"/>
      <w:bookmarkEnd w:id="987"/>
      <w:r>
        <w:rPr/>
        <w:t>9</w:t>
      </w:r>
      <w:r>
        <w:rPr>
          <w:rtl w:val="true"/>
        </w:rPr>
        <w:t xml:space="preserve"> </w:t>
      </w:r>
      <w:r>
        <w:rPr>
          <w:rtl w:val="true"/>
        </w:rPr>
        <w:t>لقاء بين العلّامة المجتهدي والشاعر العراقي خضر عباس الصالحي</w:t>
      </w:r>
      <w:bookmarkEnd w:id="988"/>
    </w:p>
    <w:p>
      <w:pPr>
        <w:pStyle w:val="Heading4"/>
        <w:numPr>
          <w:ilvl w:val="3"/>
          <w:numId w:val="1"/>
        </w:numPr>
        <w:rPr/>
      </w:pPr>
      <w:bookmarkStart w:id="989" w:name="__RefHeading___Toc7071429_73709187"/>
      <w:bookmarkStart w:id="990" w:name="_Toc382"/>
      <w:bookmarkEnd w:id="989"/>
      <w:r>
        <w:rPr>
          <w:rtl w:val="true"/>
        </w:rPr>
        <w:t>مقدّمة</w:t>
      </w:r>
      <w:bookmarkEnd w:id="990"/>
    </w:p>
    <w:p>
      <w:pPr>
        <w:pStyle w:val="BookText"/>
        <w:rPr/>
      </w:pPr>
      <w:r>
        <w:rPr>
          <w:rFonts w:ascii="Amiri" w:hAnsi="Amiri" w:eastAsia="Amiri" w:cs="Amiri"/>
          <w:color w:val="111111"/>
          <w:sz w:val="28"/>
          <w:sz w:val="28"/>
          <w:szCs w:val="28"/>
          <w:rtl w:val="true"/>
          <w:lang w:bidi="ar-SA"/>
        </w:rPr>
        <w:t>زارني الصديق الشاعر العراقي خضر عباس الصالحي</w:t>
      </w:r>
      <w:r>
        <w:rPr>
          <w:rStyle w:val="FootnoteAnchor"/>
          <w:rtl w:val="true"/>
        </w:rPr>
        <w:footnoteReference w:id="735"/>
      </w:r>
      <w:r>
        <w:rPr>
          <w:rFonts w:ascii="Amiri" w:hAnsi="Amiri" w:eastAsia="Amiri" w:cs="Amiri"/>
          <w:color w:val="111111"/>
          <w:sz w:val="28"/>
          <w:sz w:val="28"/>
          <w:szCs w:val="28"/>
          <w:rtl w:val="true"/>
          <w:lang w:bidi="ar-SA"/>
        </w:rPr>
        <w:t xml:space="preserve">في مدينة تبريز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وطلب منّي ترتيب لقاء له مع العلّامة الحجّة المتتبّع الخبير الميرزا عبد اللّه بن الميرزا مصطفى المجتهدي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كان من نوابع عصره، ونوادر دهره، وكلّ مَن شاهده وجلس معه وحضر ناديه، تعجّب من إحاطته باللغة والتاريخ والأدب، وكان يتقن اللغة العربية إتقاناً كاملاً، ضمن إتقانه للغات كثيرة كالتركية الآذرية، والأناضولية، والفرنسية، والانجليزية، والروسية، وكان أديباً في اللغة الفرنسية مضافاً إلى كمالاته السامية في الرياضيات والفقه وأُصوله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قمت بترتيب اللقاء بين الأُستاذ خضر عباس الصالحي والعلّامة المجتهدي بتبريز، فكنت معهما فدار الكلام عن الشعر والأدب، والشخصيات</w:t>
      </w:r>
      <w:bookmarkStart w:id="991" w:name="pg16776_179258"/>
    </w:p>
    <w:p>
      <w:pPr>
        <w:pStyle w:val="BookText"/>
        <w:rPr/>
      </w:pPr>
      <w:bookmarkEnd w:id="991"/>
      <w:r>
        <w:rPr>
          <w:rFonts w:ascii="Amiri" w:hAnsi="Amiri" w:eastAsia="Amiri" w:cs="Amiri"/>
          <w:color w:val="111111"/>
          <w:sz w:val="28"/>
          <w:sz w:val="28"/>
          <w:szCs w:val="28"/>
          <w:rtl w:val="true"/>
          <w:lang w:bidi="ar-SA"/>
        </w:rPr>
        <w:t xml:space="preserve">الأدبية في الإسلام، فما زال الزائر العراقي يتعجّب من تبحّره في الأدب والتاريخ، وأنّه كيف أنجبت هذه البلاد شخصيات لامعة في الأدب العربي مع البعد بين البلدين، ولمّا غادر تبريز إلى طهران كتب مقالاً نشره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 أعرب عن إعجابه بالعلّامة المجتهدي وإحاطته بأسرار اللغة ودواوين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حسن الحظ استطعت العثور على المقال المذكور بعد البحث المضنيّ والمتابعة الطويلة، وها أنا أقوم بنشره مجدّداً وفاءً وتكريماً لصديقنا الأُستاذ خضر الصالحي رحمه الله والعلاّمة المجتهدي قدس سره واللّه وليّ التوفيق</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7071431_73709187"/>
      <w:bookmarkStart w:id="993" w:name="_Toc383"/>
      <w:bookmarkEnd w:id="992"/>
      <w:r>
        <w:rPr>
          <w:rtl w:val="true"/>
        </w:rPr>
        <w:t>لقاء مع الشيخ عبد اللّه مجتهدي علّامة تبريز الكبير</w:t>
      </w:r>
      <w:bookmarkEnd w:id="993"/>
    </w:p>
    <w:p>
      <w:pPr>
        <w:pStyle w:val="BookText"/>
        <w:rPr/>
      </w:pP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اتّصل صديقي الشيخ جعفر السبحاني تلفونياً بالعالم الأكبر الشيخ عبد اللّه مجتهدي، وضرب معه موعداً للالتقاء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الموعد المحدّد ذهبنا إلى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وصلنا البيت، طرق الشيخ جعفر السبحاني الباب، فخرج إلينا الخادم، ورحّب بنا، وأخذنا إلى غرفة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هي إلّالحظات قصار حتى أطلّ علينا العلّامة الكبير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مجتهدي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البشوش، وابتسامته الرائقة، وعينيه اللتين تتقدان ببريق الذكاء والعبقرية، وعانقنا بحرارة بالغة، ومودّة صادقة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والعالم الفذ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عبداللّه مجتهدي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الذائع الصيت، والذي طارت شهرته في الآفاق، قد أصبح اسمه ملء الأسماع والأبصار، بما يملك من النكات البارعة، والطرف النادرة، يرسلها من دون تكلّف، ويرويها في أناة، فجعلت منه</w:t>
      </w:r>
    </w:p>
    <w:p>
      <w:pPr>
        <w:pStyle w:val="BookText"/>
        <w:rPr/>
      </w:pPr>
      <w:r>
        <w:rPr>
          <w:rFonts w:ascii="Amiri" w:hAnsi="Amiri" w:eastAsia="Amiri" w:cs="Amiri"/>
          <w:color w:val="111111"/>
          <w:sz w:val="28"/>
          <w:sz w:val="28"/>
          <w:szCs w:val="28"/>
          <w:rtl w:val="true"/>
          <w:lang w:bidi="ar-SA"/>
        </w:rPr>
        <w:t xml:space="preserve">زينة المجالس، ويعدّ بحق ركيزة أساسية في الأبحاث الدينية المركّزة، وحجّة في الآداب العالمية الحيّة كالعربية والفارسية، والتركية والانجليزية والفرنسية، ومفخرة من مفاخر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أنجبته ابناً بارّاً رفع رأسها عالياً في مختلف مناحي الحياة الثقافية، فهو ذو شخصية متّسمة بالروعة الأدبية، والخصب الفكري والتعمّق العلمي، ومهما اتّسعت مسالك البحث كان هو المبرز فيها، لما يتمتع به من سعة الاطّلاع، والثقافة المميّزة ذات الأصالة، وتتطلّع إليه الأفئدة لما في روحه من قوة النفاذ، وما جبل عليه من خلق رفيع، فهو ممتلئ شهامة وكرماً ونبلاً، كبير الهمّة، عزيز النفس، عف الضمير، معروف بمناصرته للحقّ‌، وتجرّده عن الطمع، ينسى ذاته في سبيل خدمة أُمّته، ونفسه مفعمة بنوازع الخير، ونبل العواطف، يسعى دوماً إلى إسعاد الغير، مهما كابد من عناء وعنت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في الحياة منهج خاص، وموقف مقرّر، وخطة مرسومة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كلّ هذا فهو أحد القادة الأحرار في الطلائع النضالية التي لعبت دوراً عظيماً على مسرح الحياة، وسارت في درب الجهاد المقدّس حتى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لضمان استقلال إيران وصيانة وحدتها الوطنية، والحفاظ على حرية شعبها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فترة صمت قصيرة تكلّم العالم الجهبذ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مجتهدي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شفتيه ترتسم ابتسامة مشرقة، ووجه يطفح بالسرور، وروحه المرحة تطلّ بين كلماته فقال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الحقائق الناصعة التي لا يرقى إليها الشك أنّ العراق الجار العزيز، والبلد الشقيق، تربطنا به أوثق الصلات، وأمتن الوشائج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قوة العلاقات وعمق الروابط التي تشدّ القطرين إلى بعضهما لم تكن وليدة اليوم أو بنت الساعة، وإنّما تاريخها موغل في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ذلك النبراس الوهاج الذي</w:t>
      </w:r>
    </w:p>
    <w:p>
      <w:pPr>
        <w:pStyle w:val="BookText"/>
        <w:rPr/>
      </w:pPr>
      <w:r>
        <w:rPr>
          <w:rFonts w:ascii="Amiri" w:hAnsi="Amiri" w:eastAsia="Amiri" w:cs="Amiri"/>
          <w:color w:val="111111"/>
          <w:sz w:val="28"/>
          <w:sz w:val="28"/>
          <w:szCs w:val="28"/>
          <w:rtl w:val="true"/>
          <w:lang w:bidi="ar-SA"/>
        </w:rPr>
        <w:t>يوضح معالم الطريق، هو الذي عزّز بين الشعبين العربي والإيراني التلاحم الوطيد لضمان الوقوف بوجه كلّ ما يهدّد سلامة واستقلال البلدين، وأقام أرسخ دعائم التقارب لسعادة ورفاه وخير الشعبين على أساس المصالح المتبادلة، والاحترام المتقابل، والتعاون المخلص، فاستحكم بينهما تعاطف الأرواح والقلوب، وتوثّقت بينهما عرى الصداقة والمودّة، واحتضن كلّ منهما المراقد المقدّسة التي تفرض على سكان البلدين أن يفدوا إليهما سنوياً لزيارتها والتبرّك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زادت الأواصر توثّقاً، والعلاقات توطّداً في الظروف الراهنة، إذ أنّ الشعبين يتطلّعان إلى الحياة الكريمة الحرّة في ظل التعايش السلمي، ويدعمان الحركات التحرّرية للشعوب المستضعفة التي تكافح بضراوة وعنف لبلوغ الأهداف الوطنية في الخلاص من قيود الاستعمار، وأغلال التخلّف وكابوس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أدبية سليمة آثارت وافر إعجابي بشكل لا يوصف راح يتحدّث عن الشعر العربي المعاصر الذي هو مادّة الثقافة العربية، وحدّد المعالم الرئيسة لمسؤولية الشاعر، بما فيها من آراء هادفة، لها مساس مباشر بأفكار الشعب وأحاسيسه، واحتكاك بالجماهير وتعرّض لمعالجة مشاكل الحياة، وأداء دوره الطليعي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كتوجيه نقدات خالية من كلّ غرض شخصي، ساعية إلى خدمة مجموع المواطنين، وإلّا لظلّ الشعر في حالة تقوقع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يحزّ في النفس ويبعث على الأسف الشديد أنّ المفاهيم الجديدة قد غزت أذهان الشعراء من الشباب الذين يعتقدون أنّ نظم الشعر يجب أن يكون محاكاة للغرب، فانطلقوا وحطّموا كلّ المقاييس والقيم، وادّعوا لوناً جديداً من الشعر 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غير رصّ ألفاظ</w:t>
      </w:r>
    </w:p>
    <w:p>
      <w:pPr>
        <w:pStyle w:val="BookText"/>
        <w:rPr/>
      </w:pPr>
      <w:r>
        <w:rPr>
          <w:rFonts w:ascii="Amiri" w:hAnsi="Amiri" w:eastAsia="Amiri" w:cs="Amiri"/>
          <w:color w:val="111111"/>
          <w:sz w:val="28"/>
          <w:sz w:val="28"/>
          <w:szCs w:val="28"/>
          <w:rtl w:val="true"/>
          <w:lang w:bidi="ar-SA"/>
        </w:rPr>
        <w:t>جاهزة يلوكونها ويمضغونها ويجترونها إلى درجة الإسفاف والتبذّل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ركاكة الأُسلوب، وضحالة المادّة، وتفاهة المغزى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ركضاً وراء الشهرة الزائفة، وسعياً لنيل الأمجاد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المؤلم حقّاً أن تلقى هذه الحركة الشعرية المشبوهة كلّ مناصرة وتعضيد من لدن بعض الفئات الحاقدة على الشعر العمودي، والداعية إلى الخروج على الأوزان والقوافي، وترحّب به المجلّات المحلّية فتنشره في أماكن بارزة من صفحاتها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نعتقد بضرورة الأخذ به، ونرى في الأوزان والقوافي عناصر مهمة في إبراز العمل الشعري الناجح، والتحرّز منهما يعدّ ضرباً من الانحراف والتزييف لا مبرر لهما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في الأمر أنّ ناظمي الشعر الحر لا يستطيعون التمثّل به في مجالات الاستشهاد، ولا يتركون أي أثر في النفوس لو ألقوه في اجتماع جماهيري كبير، فهو لا يهزّ الجموع، ولا ينتزع تصفيق المستمعين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الكثير منهم لا يحفظونه عن ظهر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استثار عجبي حينما طفق يقرأ القصيدة الرائية التي قالها الشاعر العراقي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مهدي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الزعيم اللبناني الخالد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كرامي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يقارنها بقصيدة الشاعر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الروي والقافية، ويظهر لنا بمهارة فائقة السرقات التي استحوذ عليها الجواهري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الالتفاتة البارعة قد دلّلت على ما يتمتّع به شيخنا الجليل من رسوخ قدم في تاريخ الأدب العربي الحديث</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الشيخ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مجتهدي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الشعر ويأنس إليه، ملمّاً</w:t>
      </w:r>
    </w:p>
    <w:p>
      <w:pPr>
        <w:pStyle w:val="BookText"/>
        <w:rPr/>
      </w:pPr>
      <w:r>
        <w:rPr>
          <w:rFonts w:ascii="Amiri" w:hAnsi="Amiri" w:eastAsia="Amiri" w:cs="Amiri"/>
          <w:color w:val="111111"/>
          <w:sz w:val="28"/>
          <w:sz w:val="28"/>
          <w:szCs w:val="28"/>
          <w:rtl w:val="true"/>
          <w:lang w:bidi="ar-SA"/>
        </w:rPr>
        <w:t>بقضايا الفكر العالمية، وعناصر الدقّة العلمية، والموضوعات المنهجية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تميّزت أحاديثه التي لا تخلو من طرفة ونكتة، بإبداع في الرأي، وجودة في البيان، وفصاحة في اللسان، والنظرة العميقة، إلى الواقع، يدعمه العقل الحصيف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ويسنده الذكاء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مثالاً حيّاً للفكر الصائب، والرأي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والتوجيه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استأذّنا منه بالانصراف قام على الفور وعانقنا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خرجنا وادعنا إلى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وغادرنا منزله العامر، ونحن مأخوذون بكريم عاطفته، ورقيق شعوره، مسحورون بسجاياه النبيلة ومزاياه الأصيلة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لقينا منه ضروب التجلّة والتقدير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علي الصالحي</w:t>
      </w:r>
      <w:bookmarkStart w:id="994" w:name="pg16776_179268"/>
    </w:p>
    <w:p>
      <w:pPr>
        <w:pStyle w:val="Heading3"/>
        <w:numPr>
          <w:ilvl w:val="2"/>
          <w:numId w:val="1"/>
        </w:numPr>
        <w:rPr/>
      </w:pPr>
      <w:bookmarkStart w:id="995" w:name="__RefHeading___Toc7071433_73709187"/>
      <w:bookmarkStart w:id="996" w:name="_Toc384"/>
      <w:bookmarkEnd w:id="994"/>
      <w:bookmarkEnd w:id="995"/>
      <w:r>
        <w:rPr/>
        <w:t>10</w:t>
      </w:r>
      <w:r>
        <w:rPr>
          <w:rtl w:val="true"/>
        </w:rPr>
        <w:t xml:space="preserve"> </w:t>
      </w:r>
      <w:r>
        <w:rPr>
          <w:rtl w:val="true"/>
        </w:rPr>
        <w:t xml:space="preserve">سماحة الأخ الفاضل الدكتور عبد العزيز حسن </w:t>
      </w:r>
      <w:r>
        <w:rPr>
          <w:rtl w:val="true"/>
        </w:rPr>
        <w:t>(</w:t>
      </w:r>
      <w:r>
        <w:rPr>
          <w:rtl w:val="true"/>
        </w:rPr>
        <w:t>دام عزّه</w:t>
      </w:r>
      <w:r>
        <w:rPr>
          <w:rtl w:val="true"/>
        </w:rPr>
        <w:t>)</w:t>
      </w:r>
      <w:bookmarkEnd w:id="996"/>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عظّم اللّه أُجورنا وأُجوركم بمناسبة ذكرى وفاة النبي الخاتم صلى الله عليه و آله والسبط الأكبر وعالم آل محمد الإمام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Amiri" w:hAnsi="Amiri" w:eastAsia="Amiri" w:cs="Amiri"/>
          <w:color w:val="111111"/>
          <w:sz w:val="28"/>
          <w:sz w:val="28"/>
          <w:szCs w:val="28"/>
          <w:rtl w:val="true"/>
          <w:lang w:bidi="ar-SA"/>
        </w:rPr>
        <w:t>فقد زارنا العلّامة الحجّة الشيخ عبد اللّه الدشتي في مكتبنا زيارة قصيرة وكان الرجاء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أتحفنا به كراس نقل فيه عن ابن عثيمين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الموجب للوقوع في الشرك بخصوص لو دعا غير اللّه فيما لا يقدر عليه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 أيضاً عن مؤسّس منهجه ابن عبد الوهاب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ذكراه أمر باطل يضاد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عليه السلام طلب ممّن حوله أن يحضر له عرش بلقيس، قبل أن يقوم من مقامه، وهو أمر لا يقدر عليه أحد إلّااللّه، أفصار سليمان عليه السلام مشركاً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ولا ما كفر سليمان عليه السلام ولكنّ الشياطين كفروا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طلب أمراً مقدوراً للناس لكن بشرط أن يقوم به مستقلّاً من دون استعانة بقدرة اللّه فقد أشرك، وعليه عامّة المادّيّين في مناهجهم، فعلم بذلك أنّ الميزان ليس كون الشيء مقدوراً أو غير مقدور بل الميزان القيام بالفعل بقدرة اللّه وعونه فهو عين التوحيد سواء تعلّق بالأمر العادي أو غيره، ولو طلب</w:t>
      </w:r>
    </w:p>
    <w:p>
      <w:pPr>
        <w:pStyle w:val="BookText"/>
        <w:rPr/>
      </w:pPr>
      <w:r>
        <w:rPr>
          <w:rFonts w:ascii="Amiri" w:hAnsi="Amiri" w:eastAsia="Amiri" w:cs="Amiri"/>
          <w:color w:val="111111"/>
          <w:sz w:val="28"/>
          <w:sz w:val="28"/>
          <w:szCs w:val="28"/>
          <w:rtl w:val="true"/>
          <w:lang w:bidi="ar-SA"/>
        </w:rPr>
        <w:t>أن يقوم به مستقلّاً مستغنياً عن قدرة اللّه فهو مشرك من غير فرق بين كون المطلوب مقدوراً أو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وأرجو إبلاغ سلامنا إلى العلّامة الدشتي وهذه الورقة هدية منّا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حفظه اللّه من كاتب قدير وعالم جليل عارف بالظروف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997" w:name="pg16776_179272"/>
    </w:p>
    <w:p>
      <w:pPr>
        <w:pStyle w:val="Heading2"/>
        <w:numPr>
          <w:ilvl w:val="1"/>
          <w:numId w:val="1"/>
        </w:numPr>
        <w:rPr/>
      </w:pPr>
      <w:bookmarkStart w:id="998" w:name="__RefHeading___Toc7071435_73709187"/>
      <w:bookmarkStart w:id="999" w:name="_Toc385"/>
      <w:bookmarkEnd w:id="997"/>
      <w:bookmarkEnd w:id="998"/>
      <w:r>
        <w:rPr>
          <w:rtl w:val="true"/>
        </w:rPr>
        <w:t>الفصل الخامس بيانات وتعازى</w:t>
      </w:r>
      <w:bookmarkEnd w:id="999"/>
    </w:p>
    <w:p>
      <w:pPr>
        <w:pStyle w:val="Heading3"/>
        <w:numPr>
          <w:ilvl w:val="2"/>
          <w:numId w:val="1"/>
        </w:numPr>
        <w:rPr/>
      </w:pPr>
      <w:bookmarkStart w:id="1000" w:name="__RefHeading___Toc7071437_73709187"/>
      <w:bookmarkStart w:id="1001" w:name="_Toc386"/>
      <w:bookmarkEnd w:id="1000"/>
      <w:r>
        <w:rPr>
          <w:rtl w:val="true"/>
        </w:rPr>
        <w:t>اشارة</w:t>
      </w:r>
      <w:bookmarkEnd w:id="10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تأبينية بمناسبة وفاة العلّامة الشيخ محمد علي العمري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تعزية بمناسبة وفاة الشيخ محمد علي العمري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تعزية بمناسبة وفاة العالم الكبير الشيخ عبد الهادي الفضلي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تعزية واستنكار بمناسبة استشهاد الشيخ حسن شحاته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صادر بمناسبة اعتقال جماعة من العلماء والمؤمنين من قبل السلطات السعودية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تخريب قبر الصحابي الجليل حجر بن عدي رضي اللّه عنه</w:t>
      </w:r>
      <w:bookmarkStart w:id="1002" w:name="pg16776_179277"/>
    </w:p>
    <w:p>
      <w:pPr>
        <w:pStyle w:val="Heading3"/>
        <w:numPr>
          <w:ilvl w:val="2"/>
          <w:numId w:val="1"/>
        </w:numPr>
        <w:rPr/>
      </w:pPr>
      <w:bookmarkStart w:id="1003" w:name="__RefHeading___Toc7071439_73709187"/>
      <w:bookmarkStart w:id="1004" w:name="_Toc387"/>
      <w:bookmarkEnd w:id="1002"/>
      <w:bookmarkEnd w:id="1003"/>
      <w:r>
        <w:rPr/>
        <w:t>1</w:t>
      </w:r>
      <w:r>
        <w:rPr>
          <w:rtl w:val="true"/>
        </w:rPr>
        <w:t xml:space="preserve"> </w:t>
      </w:r>
      <w:r>
        <w:rPr>
          <w:rtl w:val="true"/>
        </w:rPr>
        <w:t>كلمة تأبينية بمناسبة وفاة العلّامة الشيخ محمد علي العمري</w:t>
      </w:r>
      <w:bookmarkEnd w:id="1004"/>
    </w:p>
    <w:p>
      <w:pPr>
        <w:pStyle w:val="BookText"/>
        <w:rPr/>
      </w:pPr>
      <w:r>
        <w:rPr>
          <w:rFonts w:ascii="Amiri" w:hAnsi="Amiri" w:eastAsia="Amiri" w:cs="Amiri"/>
          <w:color w:val="111111"/>
          <w:sz w:val="28"/>
          <w:sz w:val="28"/>
          <w:szCs w:val="28"/>
          <w:rtl w:val="true"/>
          <w:lang w:bidi="ar-SA"/>
        </w:rPr>
        <w:t>الحمدللّه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للشيعة تاريخاً عريقاً في المدينة المنوّرة، لأنّها مهد نبيّهم ومحلّ ولادة أئمّتهم أئمة أهل البيت عليهم السلام وموطنهم، وقد كان للصادقَين عليهما السلام مدرسة علمية زاخرة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تكون كذلك وقد كانت الحكومة فيها بيد الأشراف الحسنّيين منذ عام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زمان استيلاء الوهابيين على الحرمين الشريفين في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ابن حجر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الشيعة في القرن التاسع والعاشر بكثرة في الحرمين الشريفين، ولذلك برز من المدينة المنوّرة محدّثون وعلماء احتفل بهم التاريخ وكتب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لشيخنا الراحل العلّامة الحجّة محمدعلي العمري دوراً هامّاً في حفظ التشيّع في المدينة وصيانة الشيعة من التشرذم والتفرّق رغم وجود الضغط الشديد عليه وعلى الموالين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سمعت من العلّامة المحقّق 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أنّ الشيخ الراحل قد حُكم عليه بالحبس ستة أشهر لمجرّد حمله</w:t>
      </w:r>
    </w:p>
    <w:p>
      <w:pPr>
        <w:pStyle w:val="BookText"/>
        <w:rPr/>
      </w:pPr>
      <w:r>
        <w:rPr>
          <w:rFonts w:ascii="Amiri" w:hAnsi="Amiri" w:eastAsia="Amiri" w:cs="Amiri"/>
          <w:color w:val="111111"/>
          <w:sz w:val="28"/>
          <w:sz w:val="28"/>
          <w:szCs w:val="28"/>
          <w:rtl w:val="true"/>
          <w:lang w:bidi="ar-SA"/>
        </w:rPr>
        <w:t>كتاب الغدير وهو في طريق عودته من النجف إلى المدينة، ومن ذلك يظهر مقدار ما تحمّله الشيخ رحمه الله من القهر والاستبداد طول حياته في مهبط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الشيخ العمري سجّل منعطفاً رائعاً في تاريخ الشيعة وتحمّل في أداءِ رسالته المشاكل الكثيرة، حتى حكم عليه بالتبعيد أوّلاً، وبالإعدام ثانياً، ولكن اللّه سبحانه حفظه من شرور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المدينة المنوّرة هي أرض آبائه وأجداده من عصر الرسول الأكرم صلى الله عليه و آله إلى يومنا هذا، وهم الأصلاء فيها، وأمّا الآخرون فهم طارئون عليها، ولكنّ الأُمور عُكست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لحياة الشيخ رحمه الله أثر بالغ في حفظ التشيّع، فهكذا كان لرحيله أيضاً أثر بارز في حفظ وحدة الشيعة وتعاونهم، فقد شُيّع جثمانه تشييعاً جماهيرياً اشترك فيه جَمع كبير من أهل المدينة ومن خارجها، وكان تشييعاً مهيباً لم يُر مثله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خسارتنا بفقد الشيخ كبيرة، إلّاأنّ الآمال معقودة في زماننا هذا على نجله،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كاظم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إفاضاته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فعليه أن يقتفي خُطى الوالد في نشر مبادئ التعاون والتعاضد بين الشيعة، والعمل على نشر الثقافة بين الشباب حسب الإمكانات الموجودة، وذلك من خلال تأسيس حوزة علمية للبنين والبنات، ليواكب الشيعة ما تتطلّبه الظروف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على الشيخ الراحل يوم ولد ويوم توفّي ويوم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وتغمده اللّه 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05" w:name="pg16776_179281"/>
    </w:p>
    <w:p>
      <w:pPr>
        <w:pStyle w:val="Heading3"/>
        <w:numPr>
          <w:ilvl w:val="2"/>
          <w:numId w:val="1"/>
        </w:numPr>
        <w:rPr/>
      </w:pPr>
      <w:bookmarkStart w:id="1006" w:name="__RefHeading___Toc7071441_73709187"/>
      <w:bookmarkStart w:id="1007" w:name="_Toc388"/>
      <w:bookmarkEnd w:id="1005"/>
      <w:bookmarkEnd w:id="1006"/>
      <w:r>
        <w:rPr/>
        <w:t>2</w:t>
      </w:r>
      <w:r>
        <w:rPr>
          <w:rtl w:val="true"/>
        </w:rPr>
        <w:t xml:space="preserve"> </w:t>
      </w:r>
      <w:r>
        <w:rPr>
          <w:rtl w:val="true"/>
        </w:rPr>
        <w:t>رسالة تعزية بمناسبة وفاة الشيخ محمد علي العمري</w:t>
      </w:r>
      <w:bookmarkEnd w:id="1007"/>
    </w:p>
    <w:p>
      <w:pPr>
        <w:pStyle w:val="Heading4"/>
        <w:numPr>
          <w:ilvl w:val="3"/>
          <w:numId w:val="1"/>
        </w:numPr>
        <w:rPr/>
      </w:pPr>
      <w:bookmarkStart w:id="1008" w:name="__RefHeading___Toc7071443_73709187"/>
      <w:bookmarkStart w:id="1009" w:name="_Toc389"/>
      <w:bookmarkEnd w:id="1008"/>
      <w:r>
        <w:rPr>
          <w:rtl w:val="true"/>
        </w:rPr>
        <w:t xml:space="preserve">سماحة حجة الإسلام الشيخ محمد كاظم العمري </w:t>
      </w:r>
      <w:r>
        <w:rPr>
          <w:rtl w:val="true"/>
        </w:rPr>
        <w:t xml:space="preserve">- </w:t>
      </w:r>
      <w:r>
        <w:rPr>
          <w:rtl w:val="true"/>
        </w:rPr>
        <w:t xml:space="preserve">دامت بركاته </w:t>
      </w:r>
      <w:r>
        <w:rPr>
          <w:rtl w:val="true"/>
        </w:rPr>
        <w:t>-</w:t>
      </w:r>
      <w:bookmarkEnd w:id="1009"/>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تلقّينا ببالغ الحزن والأسى نبأ وفاة والدكم المعظّم حجة الإسلام والمسلمين الشيخ محمد علي العمري قدس سره فأمسى المصاب به إليماً، والرزء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الراحل إلى جوار ربّه، علماً من أعلام الإسلام، مدافعاً عن حوزة الدين وعن التشيع طيلة عمره الشريف، وقد لقي في هذا السبيل صعوبات ومشاكل تحمّلها للّه تعالى بإيمان وصبر راسخين، تغمّده اللّه برحمته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نتقدّم بأحرّ التعازي لكم، وللعلماء كافة وبالأخصّ علماء المدينة المنوّرة، ولسائر أفراد الأُسرة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يلهم الجميع الصبر والسلوان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10" w:name="pg16776_179283"/>
    </w:p>
    <w:p>
      <w:pPr>
        <w:pStyle w:val="Heading3"/>
        <w:numPr>
          <w:ilvl w:val="2"/>
          <w:numId w:val="1"/>
        </w:numPr>
        <w:rPr/>
      </w:pPr>
      <w:bookmarkStart w:id="1011" w:name="__RefHeading___Toc7071445_73709187"/>
      <w:bookmarkStart w:id="1012" w:name="_Toc390"/>
      <w:bookmarkEnd w:id="1010"/>
      <w:bookmarkEnd w:id="1011"/>
      <w:r>
        <w:rPr/>
        <w:t>3</w:t>
      </w:r>
      <w:r>
        <w:rPr>
          <w:rtl w:val="true"/>
        </w:rPr>
        <w:t xml:space="preserve"> </w:t>
      </w:r>
      <w:r>
        <w:rPr>
          <w:rtl w:val="true"/>
        </w:rPr>
        <w:t>بيان تعزية بمناسبة وفاة العالم الكبير الشيخ عبد الهادي الفضلي</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تلقينا ببالغ الحزن والألم نبأ رحيل العالم الجليل والمحقّق الكبير الشيخ عبدالهادي الفضلي رحمه الله، الذي كرّس حياته لخدمة الفقه والتاريخ والأدب وترك آثاراً قيمّة خالدة في حقول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وفقيدنا الغالي منذ أن أتمّ دراساته العالية في الجامعة الدينية الكبرى للشيعة في النجف الأشرف، انتقل إلى وطنه فخدم العلم والنشأ الجديد بقلمه وبيانه، وبذلك زرع له في قلوب المؤمنين، مكانة 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نعزّي إمام العصر والزمان، وعلماء الإسلام لاسيّما في المنطقة الشرقية وأُسرة الراحل وأبناءه ومحبيه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له أن يحشره مع مَن تولّاه من النبي الأكرم صلى الله عليه و آله و سلم والأئمة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يمنّ على أهله وذويه بالصبر والسلوان</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13" w:name="pg16776_179285"/>
    </w:p>
    <w:p>
      <w:pPr>
        <w:pStyle w:val="Heading3"/>
        <w:numPr>
          <w:ilvl w:val="2"/>
          <w:numId w:val="1"/>
        </w:numPr>
        <w:rPr/>
      </w:pPr>
      <w:bookmarkStart w:id="1014" w:name="__RefHeading___Toc7071447_73709187"/>
      <w:bookmarkStart w:id="1015" w:name="_Toc391"/>
      <w:bookmarkEnd w:id="1013"/>
      <w:bookmarkEnd w:id="1014"/>
      <w:r>
        <w:rPr/>
        <w:t>4</w:t>
      </w:r>
      <w:r>
        <w:rPr>
          <w:rtl w:val="true"/>
        </w:rPr>
        <w:t xml:space="preserve"> </w:t>
      </w:r>
      <w:r>
        <w:rPr>
          <w:rtl w:val="true"/>
        </w:rPr>
        <w:t>بيان تعزية واستنكار بمناسبة استشهاد الشيخ حسن شحاته</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ببالغ الأسى والأسف تلقّينا نبأ استشهاد الأُستاذ الفاضل، والمجاهد الكبير الشيخ حسن شحاته مع ثلاثة آخرين من أتباع أهل بيت رسول اللّه صلى الله عليه و آله و سلم في بلاد مصر الحبيبة على يد شرذمة من العصابات التكفيرية، التي ارتبطت بالحلف الشيطاني الذي تقوده أمريكا والكيان الصهيوني لإثارة الفتن ودواعي الشقاق والخصام بين أبناء الأُمّة الواحدة، وإشاعة الفوضى والخراب والدمار في بلادنا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المناسبة الأليمة، نعزّي إمام العصر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وعلماء المسلمين في أقطار الأرض لا سيّما شيوخ الأزهر وأساتذته، الذين نهيب بهم، وبالشعب المصري الكريم، أن يقفوا بوجه هذه الزُّمر الشرّيرة، التي تعيث فساداً في أقطارنا العربية والإسلامية، ويفضحوا أغراض هذا المخطّط اللئيم الذي يستهدف إسلامنا الحنيف وأُمّتنا وقيمنا الإنسانية النبيلة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شكّ أنّ الفتاوى التحريضية، الشاذّة عن الكتاب والسنّة هي من</w:t>
      </w:r>
    </w:p>
    <w:p>
      <w:pPr>
        <w:pStyle w:val="BookText"/>
        <w:rPr/>
      </w:pPr>
      <w:r>
        <w:rPr>
          <w:rFonts w:ascii="Amiri" w:hAnsi="Amiri" w:eastAsia="Amiri" w:cs="Amiri"/>
          <w:color w:val="111111"/>
          <w:sz w:val="28"/>
          <w:sz w:val="28"/>
          <w:szCs w:val="28"/>
          <w:rtl w:val="true"/>
          <w:lang w:bidi="ar-SA"/>
        </w:rPr>
        <w:t xml:space="preserve">أهم أسباب إيقاظ الفتنة، وإثارة الأحقاد والضغائن بين المسلمين، وهي التي أفضت إلى ارتكاب مثل هذه الفعلة الآثمة والجناية البشعة وغيرها من الجنايات بحق الشيوخ والنساء والأطفال، ولو لم يرفع العلماء المخلصون أصواتهم عالياً برفض تلك الفتاوى وإدانتها وفضح أصحابها الذين ارتبطت مصالحهم بمصالح الساسة الفاسدين، فإنّ ذلك سيفتح على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 لا ينسدّ أبداً، وستمتد مخالب هؤلاء الذين نزعت من قلوبهم مشاعر الخير والمحبّة والرحمة، لتنهش لحوم الناس، وتولغ في دمائهم، وتعتدي حتى على أصحاب تلك الفتاوى المقيتة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أنطِقنا بالهدى‌، وألهمنا التقوى‌، واستعملنا بما هو أرضى‌، واسلُك بنا الطريقة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16" w:name="pg16776_179289"/>
    </w:p>
    <w:p>
      <w:pPr>
        <w:pStyle w:val="Heading3"/>
        <w:numPr>
          <w:ilvl w:val="2"/>
          <w:numId w:val="1"/>
        </w:numPr>
        <w:rPr/>
      </w:pPr>
      <w:bookmarkStart w:id="1017" w:name="__RefHeading___Toc7071449_73709187"/>
      <w:bookmarkStart w:id="1018" w:name="_Toc392"/>
      <w:bookmarkEnd w:id="1016"/>
      <w:bookmarkEnd w:id="1017"/>
      <w:r>
        <w:rPr/>
        <w:t>5</w:t>
      </w:r>
      <w:r>
        <w:rPr>
          <w:rtl w:val="true"/>
        </w:rPr>
        <w:t xml:space="preserve"> </w:t>
      </w:r>
      <w:r>
        <w:rPr>
          <w:rtl w:val="true"/>
        </w:rPr>
        <w:t>بيان صادر بمناسبة اعتقال جماعة من العلماء والمؤمنين من قبل السلطات السعودية</w:t>
      </w:r>
      <w:bookmarkEnd w:id="1018"/>
    </w:p>
    <w:p>
      <w:pPr>
        <w:pStyle w:val="BookText"/>
        <w:rPr/>
      </w:pPr>
      <w:r>
        <w:rPr>
          <w:rFonts w:ascii="Amiri" w:hAnsi="Amiri" w:eastAsia="Amiri" w:cs="Amiri"/>
          <w:color w:val="111111"/>
          <w:sz w:val="28"/>
          <w:sz w:val="28"/>
          <w:szCs w:val="28"/>
          <w:rtl w:val="true"/>
          <w:lang w:bidi="ar-SA"/>
        </w:rPr>
        <w:t xml:space="preserve">ختم سماحة آية اللّه الشيخ جعفر السبحاني محاضراته الفقهية في يوم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رجلاً ينادي ياللمسلمين فلم يجبه، فليس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وهانحن نسمع ذلك النداء من رجال صالحين ومصلحين اعتقلوا من قبل السلطات في السعودية، بعد أن أُلصقت بهم تهم واهية، وعلى رأسهم سماحة الشيخ باقر النمر، الذي كرّس عمره في الوعظ والإرشاد وتربية الشباب تربية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اعتقل هو وإخوانه الذين عرفوا بالعلم والتقوى والصلاح، وما نقموا منهم إلّاأنّهم طالبوا برفع الاستضعاف عن شعبهم المستضعف عبر عقود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اعتقل هؤلاء بتهم واهية والتي تشهد حياتهم الطيبة في مجالي العلم والتربية وخدمة المجتمع على أنّها تهم مكذوبة شأنها شأن التهم التي يُرمى بها رجال الإصلاح في أقطار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رسالتهم الإصلاحية على طرف النقيض من مصالح الفئة الحاكمة لم تجد السلطات شيئاً في صحيفة حياتهم ما تبرّر به العنف إلّاإيكال تهم ليس لها وزن في ميزان العدل والقضاء وهم براء منها براءة يوسف ممّا اتّهم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نهيب بالسلطات السعودية التي تعاملت منذ تأسيسها مع هذه الطائفة بغصب الحقوق والضرب وهدم المساجد والبيوت إلى غير ذلك من الأعمال الظالمة، فلم تكن لهذه الأعمال من نتائج إلّاصمود الشعب أمام العنف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يجرّبوا أُسلوباً آخر وهو بسط العدل والإنصاف وإحقاق الحقوق إلى ذويها، ثم لينظروا أي الأُسلوبين أنفع في إقرار الأمن والسلام، أو فيه رضى اللّه ورضى رسوله ورضى المسلمين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 هُوَ شَهِيدٌ</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الحوزة العلمية</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019" w:name="pg16776_179292"/>
    </w:p>
    <w:p>
      <w:pPr>
        <w:pStyle w:val="Heading3"/>
        <w:numPr>
          <w:ilvl w:val="2"/>
          <w:numId w:val="1"/>
        </w:numPr>
        <w:rPr/>
      </w:pPr>
      <w:bookmarkStart w:id="1020" w:name="__RefHeading___Toc7071451_73709187"/>
      <w:bookmarkStart w:id="1021" w:name="_Toc393"/>
      <w:bookmarkEnd w:id="1019"/>
      <w:bookmarkEnd w:id="1020"/>
      <w:r>
        <w:rPr/>
        <w:t>6</w:t>
      </w:r>
      <w:r>
        <w:rPr>
          <w:rtl w:val="true"/>
        </w:rPr>
        <w:t xml:space="preserve"> </w:t>
      </w:r>
      <w:r>
        <w:rPr>
          <w:rtl w:val="true"/>
        </w:rPr>
        <w:t>تخريب قبر الصحابي الجليل حجر بن عدي رضى الله عنه</w:t>
      </w:r>
      <w:bookmarkEnd w:id="1021"/>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 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بلغنا أنّ مجموعة إرهابية تكفيرية من الذين لا يحفظون للّه ولرسوله وأصحابه حرمة، قاموا بالاعتداء على مقام الصحابي الجليل حجر بن عدي والعبث بقبره الشريف وحفره، وهذا العمل اعتداء سافر على المقدّسات الإسلاميّة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نناشد علماء الإسلام في كافة أقطار العالم الإسلامي بأن يقوموا بوجه هؤلاء المجرمين الذين يتذرّعون برفع شعار التوحيد ومكافحة الشرك، والدفاع عن الصحابة، إلّاأنّهم في الوقت نفسه يتجرّأون ويهتكون كرامة النبي صلى الله عليه و آله و سلم وصحبه الكرام الذين بذلوا مهجهم في طريق نشر التوحيد ونبذ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الجريمة وما سبقها بادرة خطيرة سوف تتبعها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أخطر، فيجب على الحكومات الإسلاميّة وعلماء المسلمين الأجلّاء وخطباء جمعهم ومساجدهم تعبئة الجماهير الإسلاميّة للوقوف بوجه هذه الموجة الحاقدة والخطرة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w:t>
      </w:r>
    </w:p>
    <w:p>
      <w:pPr>
        <w:pStyle w:val="BookText"/>
        <w:rPr/>
      </w:pPr>
      <w:r>
        <w:rPr>
          <w:rFonts w:ascii="Amiri" w:hAnsi="Amiri" w:eastAsia="Amiri" w:cs="Amiri"/>
          <w:color w:val="111111"/>
          <w:sz w:val="28"/>
          <w:sz w:val="28"/>
          <w:szCs w:val="28"/>
          <w:rtl w:val="true"/>
          <w:lang w:bidi="ar-SA"/>
        </w:rPr>
        <w:t>وإلى اللّه المشتكى‌</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الحوزة العلمية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1022" w:name="pg16776_179296"/>
    </w:p>
    <w:p>
      <w:pPr>
        <w:pStyle w:val="Heading2"/>
        <w:numPr>
          <w:ilvl w:val="1"/>
          <w:numId w:val="1"/>
        </w:numPr>
        <w:rPr/>
      </w:pPr>
      <w:bookmarkStart w:id="1023" w:name="__RefHeading___Toc7071453_73709187"/>
      <w:bookmarkStart w:id="1024" w:name="_Toc394"/>
      <w:bookmarkEnd w:id="1022"/>
      <w:bookmarkEnd w:id="1023"/>
      <w:r>
        <w:rPr>
          <w:rtl w:val="true"/>
        </w:rPr>
        <w:t>فهرس المحتويات</w:t>
      </w:r>
      <w:bookmarkEnd w:id="1024"/>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مقالات في الكلام والعقائد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 في كلمة 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ما هو المختار في معنى الإله ولفظ الجلالة‌؟ وفيه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اللفظين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بعدم وجود إله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التوحيد بلزوم الفساد عند تعدّد الآلهة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الإلوهية وعدم ورود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اختلال المعنى لو فسّر بالمعبود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لفظ الجلالة مكان الآخر وبالعكس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تثليث النصارى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لحصر الشؤون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الإله عند الوثنيين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انتقال هُبَل إلى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في كلام الإمام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تصحيح خطأ 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كعب الأحبار أوّل من نشر فكرة الرؤية بين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تركيز كعب الأحبار على التجسيم والرؤية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الآيات التي استدلّ بها صاحب المقال على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نظرية تافهة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حوار بين الإمام الرضا عليه السلام وبعض المحدّثين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الصفات الخبرية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هو الميزان في معرفة صفاته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صرف الظاهر عن 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أقوال المحدّثين والعلماء في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المثبّتة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بين التشبيه والتعقيد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إكمال وإيضاح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التفويض أو تعطيل العقول عن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ثبات الأنواع أو تطوّرها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التصوير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نفخ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دليل القائل بتطوّر الأنواع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النبي الأكرم صلى الله عليه و آله قبل البعثة حافلة بالكرامات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الكرامة الإلهية أيام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تعرّف نصارى الحبشة عليه وهو طفل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ابتعاده عن الوثنية منذ نعومة أظفاره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إعراضه عن الحلف باللّات والعزّى</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رعيُه الغنم وتعويد النفس على مشاقّ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مشاركته في حلف الفضول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أئمة أهل البيت عليهم السلام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العصمة، وفيها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 الدرجة القصوى من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العلم القطعي بعواقب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الاستشعار بعظمة الرب وكماله وجماله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العصمة عن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لا تلازم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أدلّة عصمة أهل البيت عليهم السلام كتاباً وسنة وفيه بحثان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أهل البيت عليهم السلام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شبهتان ضئيلتان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سؤال وإجابة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طاعة أُولي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أهل البيت عليهم السلام في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بالقرآن، منهج مؤيّد بالقرآن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هل هذا المنهج يهدف إلى كفاية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هذا المنهج عبارة عن ضرب القرآن بعضه ببعض‌؟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أسئلة حول البسملة وأجوبتها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معنى 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سبب حذف الهمزة عند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نستعين بالاسم لا بالذات‌؟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الاسمين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الفرق بين الرحمن والرحيم‌؟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تقدّم الرحمن على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الناشئ الجديد والظروف المحدقة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الهداية العامّة والخاصّة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في أقسام الهداية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العامّة التكوينية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العامّة 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الهداية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ظاهرة التكفير على ضوء القرآن والسنّة الشريفة، وفيها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المتطرّفون وتكفير رجال العلم في القرون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جذور التكفير في القرون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أُسامة بن زيد والآية النازلة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الوليد بن عقبة بن أبي معيط والآية النازلة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ذوالخويصرة التميمي واعتراضه على توزيع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صدّق الخُبر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خلق القرآن وتفرّق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مرتكب الكبيرة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الفرق والمذاهب الإسلامية وتأجيح نار الفتنة عبر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محنة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هدم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التطرّف في تفسير الصفات الخبرية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فتنة الجهر بالبسملة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إحراق مسجد الشوافع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التشكيك في شيخ 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موت البوريّ بحلواء مسمومة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الأشاعرة في المدرسة النظامية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تكفير أهل القبلة على لسان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علماء المسلمين تكفير أهل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الشيخ الجليل الأقدم الفضل بن شاذان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الإمام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ابن حزم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القاضي الإيجي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تقي الدين السبكي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التفتازاني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نشوء ظاهرة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اختلاق خيانة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الشريعة عن طريق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الشيعة بتهم زائفة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بالمفاهيم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كلمات اللغويين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كلمات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التعريف الصحيح للعبادة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هي الخضوع الناشئ عن الاعتقاد بأُلوهية المعبود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الخضوع لشيء على أنّه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الخضوع أمام من يعتقد بأنّه يملك شأناً من شؤون وجوده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على رأي ابن عاشور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دعاء الصالحين ليس عبادة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دعاء الصالحين في حديث النبي الأكرم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البدعة مفهومها وحدّها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تعريف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الإشاعة ودعوة الآخرين إلى ما أُحدث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عدم وجود أصل لها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نماذج من الأُمور التي يصفها الوهابيون بالبدعة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 الرحال لزيارة قبر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قبض اليد اليمنى باليسرى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ملاك الكفر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ما يجب الإيمان به تفصيلاً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المرونة في قبول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بعض التهم الموجّهة للشيعة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الإيمان بخلافة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الأئمة عليهم السلام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من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بيان واقتراح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البهائية وتحريف الآية الخامسة من سورة 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تحريف مفاد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مقالات في الأُصول والفقه والرجال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فلسفة أُصول الفقه، وفيها بحوث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الغاية من تأسيس علم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الّتي بُني عليها علم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المداليل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النظري في باب الملازمات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البديهيّة للعقل النظري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العملي في باب التحسين والتقبيح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مرجّحات باب التعارض</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علم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المختلفة في تدوين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القواعد الأُصولية المنتزعة من الفروع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الجمع بين الطريقتين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طريقة التأليف عند فقهاء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علم الأُصول ومكانته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علم الأُصول تعريفاً جامعاً ومانعاً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الأدوار التي مرّ بها علم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النشأة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التبلور والتفتح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الإبداع والابتكار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قمّة التكامل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المنهج الأُصولي للمحقّق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أداة الشرط تقع موقع الفرض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وجوب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الحروف موضوعة لبيان الوجود الرابط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البراءة قبل الفحص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في المعاملات ليست مجعولة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العدلان في الواجب التخييري، واجبان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الإجمالي عند الإصفهاني علّة تامّة للامتثال القطعي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العرض الذاتي هو المأخوذ في تحديد 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المصدر ليس مادة المشتقّات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أعدام الملكات نظير الاستعدادات، له حظ من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الخطابات القانونية ودورها في المسائل الأُصوليّة، وفيها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الحكم المشترك إلى إنشائي وفعليّ‌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شرطية الابتلاء في صحّة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وجوب الاجتناب عن الطرف الآخر في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شرط التكليف لكلّ مكلّف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القانوني مكان الخطاب الشخصي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الحكم الإنشائي والفعلي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شرطية الابتلاء في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الطرف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وجود الشرائط في جمع من المكلّفين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تصحيح الترتّب بخطابين عرضيّين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أُسس آراء المحقّق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آراؤه الأُصولية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المشاكل عن طريق القضايا الحقيقية والخارجية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إرجاع الشروط إلى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الإطلاق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الأمر بالحصّة المقدورة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الحجّية في الأمارات بجعل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تبعية الدلالة الالتزامية للمطابقية في الحجّية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غير المتعلّق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العقود إلى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ابتناء القول بالإشاعة على القول ببطلان قول الجزء لا يتجزّأ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الاجتماع وكيفية تركيب المادّة والصورة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بعض آراء المحقّق النائيني الفلسفية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قاعدة الشيء ما لم يجب لم يوجد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الإرادة بوجه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المسانيد في عصر الأئمّة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ابن أبي عمير حياته، ومكانته العلمية والاجتماعية اسمه ونسبه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موطنه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كلمات الثناء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ثباته على المبدأ، والتزامه بالشريعة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مكانته العلمية والاجتماعية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تآليفه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حافظته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غزارة رواياته عن أئمّة أهل البيت عليهم السلام مشافهة أو بالواسطة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تحقيق موجز حول 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الوزير المغربي تفسيره ومذهبه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الوزير المغربي في مصادر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القرائن الخارجية الدالّة على تشيّعه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القرائن الداخلية الدالّة على تشيّعه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الصلاة على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بسملة كلّ 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الحجّة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متعة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كلامه في آية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الغنائم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كلامه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مآخذ أو 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الكرّ مساحةً ووزناً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الكُرّ لغةً واصطلاحاً، وفيه مقامان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أقوال أصحابنا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ما ورد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مستدير ليس له عرض وطول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تقدير الكرّ بالوزن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الكر بالكيلو غرام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مشكلة الاختلاف بين الوزن والحجم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الصلاة في مساجد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حكم بناء المساجد على قبور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كيفية الاستدلال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زلّة لا تستقال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تأويل مردود للألباني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عود إلى كلام عثمان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الإهانة لأهل البيت عليهم السلام والتابعين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أدلّة المانعين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وجود المساجد في المشاهد المشرّفة لا صلة له بهذه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دراسة مقاطع ثلاثة في كلام عثمان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دراسة المقطع الثاني من كلامه وفيه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يذكرون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يستغيثون بغير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يدعون غير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الشيعة يسبّون الأولياء من الصحابة والخلفاء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النقد والتقييم غير السبّ‌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دراسة المقطع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صوم مَن به داء العطش ومَن أصابه العطش، وفيها مسألتان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داء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أصابه العطش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 التاريخ والتشريع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تمهيد وفيه جوانب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منى العَلمَ على 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شوارع منى الرئيسية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تسميتها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منى، أسماؤها وخصائصها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 منى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منى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في ذاكرة التاريخ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الأماكن المأثورة الثابتة تاريخياً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القرآن الكريم وحفظ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الزوجين في دوام العقد وانقطاعه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لزوم الأخذ بطبع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الرسائل المتبادلة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مراسلاتنا مع الدكتور وهبة الزحيلي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مراسلاتنا مع الدكتور عبد الوهاب إبراهيم أبو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ملاحظات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الضرورة وتطبيقاته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مناقشتان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المناقشة الأُولى حول الأوقات الشرعية في المناطق القطبية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ملاحظاتنا على هذه المحاور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ما هو المختار عندنا في تحديد أوقات الصلاة والصوم‌؟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المناقشة الثانية حول السعي فوق سقف المسعى‌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السعي فوق سقف المسعى حكمه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السعي راجلاً وراكباً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قياس السعي باستقبال ما فوق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قياس السعي بالرمي راكباً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السعي فوق سقف المسعى لا يخرج عن مسمّى السعي بين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ما هو مقتضى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جواب الدكتور على رسالتنا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سؤال الدكتور أبو سليمان عن الرمي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جواب العلّامة السبحاني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الأذان قبل الفجر وتوضيح الدكتور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اشكالات العلّامة السبحاني حول مسألة الأذان قبل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ملاحظات حول كتاب منهج البحث في الفقه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أُمور من أدوات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التشريع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بين ثابتات الأحكام ومتغيّراتها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الاجتهاد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الشرعية بين الثوابت والمتغيّرات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المقررات المتطوّرة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الصلاة حول الكعبة بشكل دائري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ادار الصفوف حول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مراسلة مع الدكتور الشيخ علي محيي الدين القره داغي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مراسلة مع الشيخ أنس الكتبي الحسني دام موفقاً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مراسلة مع الشيخ عبد اللّه دشتي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رسائل وتقاريظ</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وسعة آفاق مداليله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الشيخ الأراكي حول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الهلال في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الأُستاذة الفاضلة عائشة يوسف المناعي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ضرورة دينية وحاجة ملحّة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دعوة إلى الاعتصام بحبل اللّه ونبذ الخلافات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الذكريات العطرة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من الدكتور أحمد بدرالدين حسون المفتي العام في سورية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إلى فضيلة الدكتور أحمد الطيّب شيخ الجامع الأزهر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لقاء بين العلّامة المجتهدي والشاعر العراقي خضر عباس الصالحي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إلى الأخ الفاضل الدكتور عبد العزيز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بيانات وتعازي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كلمة تأبينية بمناسبة وفاة العلّامة الشيخ محمد علي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تعزية بمناسبة وفاة سماحة حجة الإسلام الشيخ محمد 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تعزية بمناسبة وفاة العالم الكبير الشيخ عبد الهادي الفضلي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تعزية واستنكار بمناسبة استشهاد الشيخ حسن شحاته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صادر بمناسبة اعتقال جماعة من العلماء والمؤمنين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تخريب قبر الصحابي الجليل حجر بن عدي رضى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المُدَّه، جمع مادِه، وهو المادح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 المفهرس لألفاظ القرآن الكريم الّذي صنّفه محمّد فؤاد عبد الباقي المصريّ‌، فقد استعمل في كثير من الآيات في مورد المعبود الباطل، لو سلّمنا وضعه للمعبود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قلنا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المعبود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في معناه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باب بلد النبي صلى الله عليه و آله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رسائل، الرسالة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طبعة القاهرة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مزامير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حزقيال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باب معرفة طريق الرؤية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تفسير الجلالين في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تَقُولَنَّ لِشَيْ‌ءٍ إِنِّي فاعِلٌ ذلِكَ غَداً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أَنْزَلْناهُ إِلَيْكَ مُبارَكٌ لِيَدَّبَّرُوا آياتِهِ وَ لِيَتَذَكَّرَ أُولُوا الْأَلْبابِ‌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تفسير سورة القصص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نقلاً عن الرسالة الواعظية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للّه خالق الكون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خالياً من اللبن ولم يكن يدرّ به، والجهام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لا ماء فيه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الثدي الأيمن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امتلأ شدقيه كفم رأس الزق، بأمر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392/15</w:t>
      </w:r>
      <w:r>
        <w:rPr>
          <w:rFonts w:ascii="IRNazanin" w:hAnsi="IRNazanin" w:eastAsia="IRNazanin"/>
          <w:b w:val="false"/>
          <w:b w:val="false"/>
          <w:bCs w:val="false"/>
          <w:i w:val="false"/>
          <w:i w:val="false"/>
          <w:iCs w:val="false"/>
          <w:color w:val="333333"/>
          <w:sz w:val="20"/>
          <w:sz w:val="20"/>
          <w:szCs w:val="20"/>
          <w:rtl w:val="true"/>
        </w:rPr>
        <w:t>، نقلاً عن المنتقى للكازروني، الباب الثاني من القسم الثاني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فضائل الصحابة؛ 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وقد صحّحه الحاكم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21727</w:t>
      </w:r>
      <w:r>
        <w:rPr>
          <w:rFonts w:ascii="IRNazanin" w:hAnsi="IRNazanin" w:eastAsia="IRNazanin"/>
          <w:b w:val="false"/>
          <w:b w:val="false"/>
          <w:bCs w:val="false"/>
          <w:i w:val="false"/>
          <w:i w:val="false"/>
          <w:iCs w:val="false"/>
          <w:color w:val="333333"/>
          <w:sz w:val="20"/>
          <w:sz w:val="20"/>
          <w:szCs w:val="20"/>
          <w:rtl w:val="true"/>
        </w:rPr>
        <w:t xml:space="preserve">، دار الفكر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ascii="IRNazanin" w:hAnsi="IRNazanin" w:eastAsia="IRNazanin"/>
          <w:b w:val="false"/>
          <w:b w:val="false"/>
          <w:bCs w:val="false"/>
          <w:i w:val="false"/>
          <w:i w:val="false"/>
          <w:iCs w:val="false"/>
          <w:color w:val="333333"/>
          <w:sz w:val="20"/>
          <w:sz w:val="20"/>
          <w:szCs w:val="20"/>
          <w:rtl w:val="true"/>
        </w:rPr>
        <w:t>، باب فضائل أهل بيت النبي صلى الله عليه و آله و سلم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للشيخ محمد حسين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إلى تحقيق الحق من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للسيد محمود الآلوسي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في تفسير 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باب فضائل علي 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باب ما جاء في فضل فاطمة عليها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الشوكاني في 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 بيروت؛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8/127</w:t>
      </w:r>
      <w:r>
        <w:rPr>
          <w:rFonts w:ascii="IRNazanin" w:hAnsi="IRNazanin" w:eastAsia="IRNazanin"/>
          <w:b w:val="false"/>
          <w:b w:val="false"/>
          <w:bCs w:val="false"/>
          <w:i w:val="false"/>
          <w:i w:val="false"/>
          <w:iCs w:val="false"/>
          <w:color w:val="333333"/>
          <w:sz w:val="20"/>
          <w:sz w:val="20"/>
          <w:szCs w:val="20"/>
          <w:rtl w:val="true"/>
        </w:rPr>
        <w:t xml:space="preserve">، طبعة دار الفكر،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باب ما جاء أنّ الخلفاء من قريش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عن زيد بن أرقم،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والنسائي عن جابر ونقله عنهما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عن زيد بن أرقم ونقله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طبعة المحمدية بمصر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 للسيد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تحقيق حسين الراضي، 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الطبعة المحمدية، مصر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العلم 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الذكر،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 للعلّامة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طبعة صيدا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لأبي حامد أحمد بن محمد الأنطاكي، المعروف بأبي الرقعمق، نادرة الزمان وجملة الإحسان، وممّن تصرّف بالشعر الجزل في أنواع الجد والهزل، وأحرز قصب الفضل، وهو أحد المداحين المجيدين والفضلاء المحسنين، وهو بالشام كابن الحجّاج في العراق، وكان شاعراً فكهاً، وأقام بمصر طويلاً يمدح ملوكها ووزراءها، وتوفّي فيها سنة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الأصيلة للفيض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الديات،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أَحْياها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الايمان، باب تحريم قتل الكافر بعد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استتابة المرتدّين باب قتل الخوارج والملحدين بعد إقامة الحجّة عليهم، الحديث رقم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تفصيل ذلك في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عبداللّه بن سليمان بن الأشعث السِّجستاني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الابتداءيُنسب إلى شيء من النَّصْب، فنفاه ابن الفرات من بغداد إلى واسط، فردّه ابن عيسى فحدّث، وأظهر</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14/277</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عيسى بن داود ابن الجرّاح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المقتدر العباسي والقاهر، وأحد العلماءالرؤساء من أهل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ديوان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أعانه عليه ابن مجاهد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مسكويه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السيد ابن طاووس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بالمنن في التعريف بالفتن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9/614</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12/158</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حوادث عام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كتاب المغازي، برقم </w:t>
      </w:r>
      <w:r>
        <w:rPr>
          <w:rFonts w:eastAsia="IRNazanin" w:cs="IRNazanin"/>
          <w:b w:val="false"/>
          <w:bCs w:val="false"/>
          <w:i w:val="false"/>
          <w:iCs w:val="false"/>
          <w:color w:val="333333"/>
          <w:sz w:val="20"/>
          <w:szCs w:val="20"/>
        </w:rPr>
        <w:t>4269</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10625</w:t>
      </w:r>
      <w:r>
        <w:rPr>
          <w:rFonts w:ascii="IRNazanin" w:hAnsi="IRNazanin" w:eastAsia="IRNazanin"/>
          <w:b w:val="false"/>
          <w:b w:val="false"/>
          <w:bCs w:val="false"/>
          <w:i w:val="false"/>
          <w:i w:val="false"/>
          <w:iCs w:val="false"/>
          <w:color w:val="333333"/>
          <w:sz w:val="20"/>
          <w:sz w:val="20"/>
          <w:szCs w:val="20"/>
          <w:rtl w:val="true"/>
        </w:rPr>
        <w:t>، وفي 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كتاب المغازي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مَن قال لأخيه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كافر، من كتاب الإيمان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كبار فقهاء الإمامية ومتكلّميهم، كثير التصانيف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قدره أشهر من أن 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مؤسسة الأعلمي،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طبعة عام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نقل هذه النصوص عن مجلة رسالة الثقلين، العدد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القصيمي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وهابي تزندق في آخر عمره، وألف كتاباً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ذلّ‌المسلمون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ألف كتاباً آخر باسم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هذي هي الأغلال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آثار الكتاب الثاني غضب الوهابيين، فقام بعضهم بالرد عليه بكتاب أسماه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القويم على ملحد القصيم، ثم توالت الردود على كتابه حتّى أنّهم انشأوا فيه قصائد، ورد في أحدها هذا البيت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من قصيدة للشيخ عبدالظاهر أبي السمح إمام المسجد الحرام وخطيبه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تحقيق الدكتور مفيد محمد قميحة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ابن شاهين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عبدالرحمن بن مالك بن مِغْول، عن أبيه 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ابن تيمية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4949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رواه زكريا الساجي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غير الساجي عن ابن المثنى‌، فقال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زيدي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أشبه، فإنّ الزيدية إنّما وُجدوا بعد الشعبيّ بمدّة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لنا الذهبي اسم هذا الراوي 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ويعدّ الساجي من الثقات عندهم، وقد مات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هوية التشيّع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ناقش مؤلّفه الدكتور الشيخ أحمد الوائلي، هذه الرواية، وزيّفها بأُمور بلغت أحد عشر أمراً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كتاب أحاديث الأنبياء،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وتدبيره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 والصحيح ما أثبتناه، وفقاً للطبعة الحجرية من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طبعة 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فكراً ومنهجاً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 غريب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نخل الدقيق بالمُنْخُل بدعة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للشاطبي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كتاب العزلة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للمباركفوري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طبعة الهند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أبيات القصيدة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11/212</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باب لا تشدّ الرحال إلّاإلى ثلاثة مساجد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للدكتور عبدالملك السعدي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مختصرة في السدل للدكتور عبدالحميد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الحديث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أبا بكر محمد بن الطيّب الباقلاني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كبار متكلّمي الأشاعرة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أبا إسحاق إبراهيم بن محمد الاسفراييني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مجتهدي الشافعية ومتكلّميهم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الّتي ورد فيها ذكر الماء ونزول المطر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كتاب فضائل الصحابة، باب من فضائل علي عليه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كتاب الإيمان، باب أداء الخمس</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الإيمان،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تَابُوا وَ أَقَامُوا الصَّلَوةَ‌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عبداللّه بن إبراهيم بن علي بن المرتضى الحسني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أثنى عليه الشوكاني، ونعته بالمجتهد المطلق،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لا يشبه كلام أهل عصره وكلام من بعده، بل هو من نمط كلام ابن حزم وابن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 على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دار الكتب العلمية، بيروت، الطبعة الثانية،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الصلاة على أتباع الرُّسل ومصدّقيهم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609/1</w:t>
      </w:r>
      <w:r>
        <w:rPr>
          <w:rFonts w:ascii="IRNazanin" w:hAnsi="IRNazanin" w:eastAsia="IRNazanin"/>
          <w:b w:val="false"/>
          <w:b w:val="false"/>
          <w:bCs w:val="false"/>
          <w:i w:val="false"/>
          <w:i w:val="false"/>
          <w:iCs w:val="false"/>
          <w:color w:val="333333"/>
          <w:sz w:val="20"/>
          <w:sz w:val="20"/>
          <w:szCs w:val="20"/>
          <w:rtl w:val="true"/>
        </w:rPr>
        <w:t xml:space="preserve">، نشر مؤسسة سيد الشهداء عليه السلام،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للشيخ المظفر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لقيت هذه المحاضرة في الندوة العلمية الأُصولية حول نظرية الخطاب القانوني مكان الخطاب الشخصي الذي ذهب إليه السيد الأُستاذ الإمام الخميني قدس سره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دار الكتاب العربي؛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دار الكتب العلمية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لآقا بزرگ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المهلّب بن أبي صُفرة الأزدي العَتَكي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إمارة البصرة لمصعب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وفقئت عينه بسمرقند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ولّاه عبد الملك بن مروان ولاية خراسان، فقدمها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ومات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الصادق عليه السلام،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سيتضح الأمر أكثر عند الكلام عن المكانة العلمية لابن أبي عمير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دار الجيل، طبع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البحث في كون مراسيله حجّة، أو ليست بحجّة، فموكول إلى الكتب التي تناولت هذا الموضوع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المطبعة العلمية في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تحقيق السيد محمد رضا الجلاليّ‌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ففيه من الأدلة والقرائن ما يثبت عدم صحة جعل هؤلاء الخمسة من مشايخه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 xml:space="preserve">، كتاب الصلاة،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 xml:space="preserve">، تحقيق ونشر مؤسسة النشر الإسلامي، طبع عام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المجلس الخامس،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كتاب الصيام، باب من وجب عليه صوم شهرين متتابعين،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والواسطتان،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عمّار، وابن مسكان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صفاء الدين الخزرجي في مقالته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أبي عمير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العدد من الروايات عنه، وسها عن ذكر ما ورد عنه من روايات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العناوين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يُشار إلى أنّ الشيخ صفاء الدين الخزرجي استخرج من فهرست الشيخ الطوسي فقط، ما رواه ابن أبي عمير من أصول وكتب مشايخ، فبلغ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 وكتاباً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 عليهم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فقه أهل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الترجمة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الدكتوراه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2537/6</w:t>
      </w:r>
      <w:r>
        <w:rPr>
          <w:rFonts w:ascii="IRNazanin" w:hAnsi="IRNazanin" w:eastAsia="IRNazanin"/>
          <w:b w:val="false"/>
          <w:b w:val="false"/>
          <w:bCs w:val="false"/>
          <w:i w:val="false"/>
          <w:i w:val="false"/>
          <w:iCs w:val="false"/>
          <w:color w:val="333333"/>
          <w:sz w:val="20"/>
          <w:sz w:val="20"/>
          <w:szCs w:val="20"/>
          <w:rtl w:val="true"/>
        </w:rPr>
        <w:t>، وقد بسط الكلام في ترجمته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 في تاريخ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الإستار بالكسر أربعة في العدد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بدء الخلق، و ج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سورة الأحزاب، و ج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كتاب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للزحيلي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الفقه على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ولاحظ نخبة الأزهار للوالد، رسالة في تحديد الكر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تقرير دروس شيخه شيخ الشريعة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والتنقيح في شرح العروة الوثقى للغروي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دروس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توضيح الرواية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عطفاً على ثلاثة أشبار المنصوبة لكونها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بعضها الآخركالوسائل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مجروراً على حذف المضاف وإبقاء أثره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حدّ قول القائل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الرجالية الميسرة، برقم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كتاب الحج،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المؤلّف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دلالة الرواية على أنّ الكرّ ما يبلغ مكسّره ثلاث وأربعين شبراً إلّاثمن شبر، فصورته</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وجود الاختلاف فيها في المتن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الثاني من المقالة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باب حدّ الرضاع الذي يحرّم،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والظاهر أنّه سهو من قلمه الشريف</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تحديد الكر بالوزن والمساحة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نخبة الأزهار في أحكام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حسين السبحاني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وصورته هكذا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في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بالوزنة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بحوث شيخ الشريعة بقلم الوالد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غرائب القرآن ورغائب الفرقان المطبوع بهامش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من 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من 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من 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من 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من 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من 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كتاب الجنائز، باب ما يكره من اتّخاذ المساجد على القبور، بعد رقم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يكره من اتّخاذ المساجد على القبور برقم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كتاب المساجد؛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باب بناء المساجد على 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مال إلى هذا المعنى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النهي إنّما هو عمّا يؤدّي بالقبر إلى ما عليه أهل الكتاب، أمّا غير ذلك فلا إشكال فيه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الأزهر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17782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فصل في بعض أحكام المسجد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 الساجد من اتّخاذ القبور مساجد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ما جاء في شأن الصراط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 لزيني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قصار كلامه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الصلاة على مصدّقي الرسل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بشرح الكرماني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الرقاق، باب في الحوض، برقم </w:t>
      </w:r>
      <w:r>
        <w:rPr>
          <w:rFonts w:eastAsia="IRNazanin" w:cs="IRNazanin"/>
          <w:b w:val="false"/>
          <w:bCs w:val="false"/>
          <w:i w:val="false"/>
          <w:iCs w:val="false"/>
          <w:color w:val="333333"/>
          <w:sz w:val="20"/>
          <w:szCs w:val="20"/>
        </w:rPr>
        <w:t>6576</w:t>
      </w:r>
      <w:r>
        <w:rPr>
          <w:rFonts w:ascii="IRNazanin" w:hAnsi="IRNazanin" w:eastAsia="IRNazanin"/>
          <w:b w:val="false"/>
          <w:b w:val="false"/>
          <w:bCs w:val="false"/>
          <w:i w:val="false"/>
          <w:i w:val="false"/>
          <w:iCs w:val="false"/>
          <w:color w:val="333333"/>
          <w:sz w:val="20"/>
          <w:sz w:val="20"/>
          <w:szCs w:val="20"/>
          <w:rtl w:val="true"/>
        </w:rPr>
        <w:t>، ولاحظ بقية الأحاديث بالأرقام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ascii="IRNazanin" w:hAnsi="IRNazanin" w:eastAsia="IRNazanin"/>
          <w:b w:val="false"/>
          <w:b w:val="false"/>
          <w:bCs w:val="false"/>
          <w:i w:val="false"/>
          <w:i w:val="false"/>
          <w:iCs w:val="false"/>
          <w:color w:val="333333"/>
          <w:sz w:val="20"/>
          <w:sz w:val="20"/>
          <w:szCs w:val="20"/>
          <w:rtl w:val="true"/>
        </w:rPr>
        <w:t>، كتاب الصوم، الفصل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الرخصة في الإفطار،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مؤسسة النشر الإسلامي،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تعليقتهما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الخوئي أيضاً في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المفطرات، كتاب الصوم،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الطريحي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باب العاجز عن الصيام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الصيام،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بالحجم المتوسط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في مطابع سحر بجدّة، ولوأسماه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 تاريخاً وتشريعاً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أفضل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الناس يستقرّون فيه بمنى‌، وقيل هو اسم لليوم الثاني من أيام التشريق</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 للأزرقي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 لمكّة وبيت اللّه الكريم لمحمد طاهر الكردي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 لمكّة وبيت اللّه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التمتع للنائي والقران لمن ساق الهدي في مذهب أئمّة أهل البيت عليهم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 بالرمي من طلوع الشمس إلى المغرب في مذهب أئمّة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مسلم في صحيحه كيفية حج رسول اللّه صلى الله عليه و آله عن الإمام الباقر عليه السلام، لاحظ للوقوف على تفصيل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حجّة النبي صلى الله عليه و آله؛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شرح صحيح مسلم للنووي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باب حجّة النبي صلى الله عليه و آله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طواف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فقه مذهب أهل البيت عليهم السلام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الأحكام الشرعية نابعة عن مقاصد وغايات ترجع إلى صلاح الفرد والمجتمع، وإنّما يعتبر ملاكاً لتسرية الحكم إلى ما لا نصّ فيه فيما لو دلّ الدليل الشرعي على أنّ ما دلّ عليه الدليل ملاك قطعيّ فريد في بابه، وليس من مقولة الحكمة، والتفصيل في محلّه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هذا الموضوع راجع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يصدق وفقاً للتفكير المسيحي المنحرف الذي يذهب إلى أنّ المسيح عليه السلام صلب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حسب النظرية الإسلامية فلا يصح</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ط دارالعلم، أهواز،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أرقام الرسائل حسب ترتيبنا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خطبة الرسول صلى الله عليه و آله في شهر رمضان،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رمي جمرة العقبة،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ولاحظ المنتهى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بالرسالة السابقة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القصار،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قسم الالهيات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نذكر على سبيل المثال منهم،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الكسيس كارل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إلى ما حرره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ذلك المجهول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بالرسالة السابقة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تمسّك العترة الطاهرة بالقرآن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جعفر الطبسي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كتاب فضل القرآن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الدعاء الرابع، الصلاة على مصدّقي الرُّسل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إلى المؤتمر الكريم الذي أُقيم في الكاظمية في جوار قبر الإمام موسى بن جعفر سلام اللّه عليهما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خطبة الرسول صلى الله عليه و آله في شهر رمضان؛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 عباس الصالحي كان أديباً شاعراً متمكّناً من 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في دار المعلّمين الريفية، وتخرج منها وزاول التعليم في عدّة مدارس حتى استقر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 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ديواناً شعرياً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ضباب 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له مساهمات شعرية في المهرجانات التي كانت تقام في مدينة كربلاء خلال الفترة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كما نشرت أشعاره في المجلات الأدبية كمجلّة العرفان ومجلّة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ببغداد سنة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عن خمسين سنة من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المقال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في طهران، العدد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السنة السابعة،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الموافق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513</Pages>
  <Words>45777</Words>
  <Characters>207722</Characters>
  <CharactersWithSpaces>250740</CharactersWithSpaces>
  <Paragraphs>2645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2026-08-22T04:25:20Z</dcterms:created>
  <dc:creator>ghaemiyeh.com</dc:creator>
  <dc:description/>
  <dc:language>en-US</dc:language>
  <cp:lastModifiedBy/>
  <dcterms:modified xsi:type="dcterms:W3CDTF">2026-08-22T07:55:36Z</dcterms:modified>
  <cp:revision>1</cp:revision>
  <dc:subject/>
  <dc:title>رسائل و مقالات تبحث فی مواضیع فقهیه اصولیه کلامیه تراجم و مکاتبات و حورات مع بعض الاعلام جلد 9</dc:title>
</cp:coreProperties>
</file>

<file path=docProps/custom.xml><?xml version="1.0" encoding="utf-8"?>
<Properties xmlns="http://schemas.openxmlformats.org/officeDocument/2006/custom-properties" xmlns:vt="http://schemas.openxmlformats.org/officeDocument/2006/docPropsVTypes"/>
</file>