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5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مستند الشیعه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24305_73709187">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5524307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524309_73709187">
            <w:r>
              <w:rPr>
                <w:webHidden/>
                <w:rStyle w:val="IndexLink"/>
                <w:rtl w:val="true"/>
              </w:rPr>
              <w:t xml:space="preserve">الباب الأوّل </w:t>
            </w:r>
            <w:r>
              <w:rPr>
                <w:rStyle w:val="IndexLink"/>
                <w:rtl w:val="true"/>
              </w:rPr>
              <w:t xml:space="preserve">: </w:t>
            </w:r>
            <w:r>
              <w:rPr>
                <w:rStyle w:val="IndexLink"/>
                <w:rtl w:val="true"/>
              </w:rPr>
              <w:t>في الوضوء‌</w:t>
            </w:r>
            <w:r>
              <w:rPr>
                <w:rStyle w:val="IndexLink"/>
                <w:rtl w:val="true"/>
              </w:rPr>
              <w:tab/>
            </w:r>
            <w:r>
              <w:rPr>
                <w:rStyle w:val="IndexLink"/>
              </w:rPr>
              <w:t>11</w:t>
            </w:r>
          </w:hyperlink>
        </w:p>
        <w:p>
          <w:pPr>
            <w:pStyle w:val="Contents3"/>
            <w:tabs>
              <w:tab w:val="clear" w:pos="8459"/>
              <w:tab w:val="right" w:pos="9026" w:leader="dot"/>
            </w:tabs>
            <w:rPr/>
          </w:pPr>
          <w:hyperlink w:anchor="__RefHeading___Toc5524311_73709187">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5524313_73709187">
            <w:r>
              <w:rPr>
                <w:webHidden/>
                <w:rStyle w:val="IndexLink"/>
                <w:rtl w:val="true"/>
              </w:rPr>
              <w:t xml:space="preserve">الفصل الأوّل </w:t>
            </w:r>
            <w:r>
              <w:rPr>
                <w:rStyle w:val="IndexLink"/>
                <w:rtl w:val="true"/>
              </w:rPr>
              <w:t xml:space="preserve">: </w:t>
            </w:r>
            <w:r>
              <w:rPr>
                <w:rStyle w:val="IndexLink"/>
                <w:rtl w:val="true"/>
              </w:rPr>
              <w:t>في أسبابه</w:t>
            </w:r>
            <w:r>
              <w:rPr>
                <w:rStyle w:val="IndexLink"/>
                <w:rtl w:val="true"/>
              </w:rPr>
              <w:tab/>
            </w:r>
            <w:r>
              <w:rPr>
                <w:rStyle w:val="IndexLink"/>
              </w:rPr>
              <w:t>12</w:t>
            </w:r>
          </w:hyperlink>
        </w:p>
        <w:p>
          <w:pPr>
            <w:pStyle w:val="Contents3"/>
            <w:tabs>
              <w:tab w:val="clear" w:pos="8459"/>
              <w:tab w:val="right" w:pos="9026" w:leader="dot"/>
            </w:tabs>
            <w:rPr/>
          </w:pPr>
          <w:hyperlink w:anchor="__RefHeading___Toc5524315_73709187">
            <w:r>
              <w:rPr>
                <w:webHidden/>
                <w:rStyle w:val="IndexLink"/>
                <w:rtl w:val="true"/>
              </w:rPr>
              <w:t xml:space="preserve">الفصل الثاني </w:t>
            </w:r>
            <w:r>
              <w:rPr>
                <w:rStyle w:val="IndexLink"/>
                <w:rtl w:val="true"/>
              </w:rPr>
              <w:t xml:space="preserve">: </w:t>
            </w:r>
            <w:r>
              <w:rPr>
                <w:rStyle w:val="IndexLink"/>
                <w:rtl w:val="true"/>
              </w:rPr>
              <w:t>في أقسامه</w:t>
            </w:r>
            <w:r>
              <w:rPr>
                <w:rStyle w:val="IndexLink"/>
                <w:rtl w:val="true"/>
              </w:rPr>
              <w:tab/>
            </w:r>
            <w:r>
              <w:rPr>
                <w:rStyle w:val="IndexLink"/>
              </w:rPr>
              <w:t>28</w:t>
            </w:r>
          </w:hyperlink>
        </w:p>
        <w:p>
          <w:pPr>
            <w:pStyle w:val="Contents4"/>
            <w:tabs>
              <w:tab w:val="clear" w:pos="8176"/>
              <w:tab w:val="right" w:pos="9026" w:leader="dot"/>
            </w:tabs>
            <w:rPr/>
          </w:pPr>
          <w:hyperlink w:anchor="__RefHeading___Toc5524317_73709187">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5524319_73709187">
            <w:r>
              <w:rPr>
                <w:webHidden/>
                <w:rStyle w:val="IndexLink"/>
                <w:rtl w:val="true"/>
              </w:rPr>
              <w:t xml:space="preserve">البحث الأوّل </w:t>
            </w:r>
            <w:r>
              <w:rPr>
                <w:rStyle w:val="IndexLink"/>
                <w:rtl w:val="true"/>
              </w:rPr>
              <w:t xml:space="preserve">: </w:t>
            </w:r>
            <w:r>
              <w:rPr>
                <w:rStyle w:val="IndexLink"/>
                <w:rtl w:val="true"/>
              </w:rPr>
              <w:t>في الواجب منه</w:t>
            </w:r>
            <w:r>
              <w:rPr>
                <w:rStyle w:val="IndexLink"/>
                <w:rtl w:val="true"/>
              </w:rPr>
              <w:tab/>
            </w:r>
            <w:r>
              <w:rPr>
                <w:rStyle w:val="IndexLink"/>
              </w:rPr>
              <w:t>28</w:t>
            </w:r>
          </w:hyperlink>
        </w:p>
        <w:p>
          <w:pPr>
            <w:pStyle w:val="Contents4"/>
            <w:tabs>
              <w:tab w:val="clear" w:pos="8176"/>
              <w:tab w:val="right" w:pos="9026" w:leader="dot"/>
            </w:tabs>
            <w:rPr/>
          </w:pPr>
          <w:hyperlink w:anchor="__RefHeading___Toc5524321_73709187">
            <w:r>
              <w:rPr>
                <w:webHidden/>
                <w:rStyle w:val="IndexLink"/>
                <w:rtl w:val="true"/>
              </w:rPr>
              <w:t xml:space="preserve">البحث الثاني </w:t>
            </w:r>
            <w:r>
              <w:rPr>
                <w:rStyle w:val="IndexLink"/>
                <w:rtl w:val="true"/>
              </w:rPr>
              <w:t xml:space="preserve">: </w:t>
            </w:r>
            <w:r>
              <w:rPr>
                <w:rStyle w:val="IndexLink"/>
                <w:rtl w:val="true"/>
              </w:rPr>
              <w:t>في الوضوء المستحب</w:t>
            </w:r>
            <w:r>
              <w:rPr>
                <w:rStyle w:val="IndexLink"/>
                <w:rtl w:val="true"/>
              </w:rPr>
              <w:tab/>
            </w:r>
            <w:r>
              <w:rPr>
                <w:rStyle w:val="IndexLink"/>
              </w:rPr>
              <w:t>35</w:t>
            </w:r>
          </w:hyperlink>
        </w:p>
        <w:p>
          <w:pPr>
            <w:pStyle w:val="Contents3"/>
            <w:tabs>
              <w:tab w:val="clear" w:pos="8459"/>
              <w:tab w:val="right" w:pos="9026" w:leader="dot"/>
            </w:tabs>
            <w:rPr/>
          </w:pPr>
          <w:hyperlink w:anchor="__RefHeading___Toc5524323_73709187">
            <w:r>
              <w:rPr>
                <w:webHidden/>
                <w:rStyle w:val="IndexLink"/>
                <w:rtl w:val="true"/>
              </w:rPr>
              <w:t xml:space="preserve">الفصل الثالث </w:t>
            </w:r>
            <w:r>
              <w:rPr>
                <w:rStyle w:val="IndexLink"/>
                <w:rtl w:val="true"/>
              </w:rPr>
              <w:t xml:space="preserve">: </w:t>
            </w:r>
            <w:r>
              <w:rPr>
                <w:rStyle w:val="IndexLink"/>
                <w:rtl w:val="true"/>
              </w:rPr>
              <w:t>في واجباته من الأفعال والشرائط</w:t>
            </w:r>
            <w:r>
              <w:rPr>
                <w:rStyle w:val="IndexLink"/>
                <w:rtl w:val="true"/>
              </w:rPr>
              <w:tab/>
            </w:r>
            <w:r>
              <w:rPr>
                <w:rStyle w:val="IndexLink"/>
              </w:rPr>
              <w:t>48</w:t>
            </w:r>
          </w:hyperlink>
        </w:p>
        <w:p>
          <w:pPr>
            <w:pStyle w:val="Contents4"/>
            <w:tabs>
              <w:tab w:val="clear" w:pos="8176"/>
              <w:tab w:val="right" w:pos="9026" w:leader="dot"/>
            </w:tabs>
            <w:rPr/>
          </w:pPr>
          <w:hyperlink w:anchor="__RefHeading___Toc5524325_73709187">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5524327_73709187">
            <w:r>
              <w:rPr>
                <w:webHidden/>
                <w:rStyle w:val="IndexLink"/>
                <w:rtl w:val="true"/>
              </w:rPr>
              <w:t xml:space="preserve">الأوّل </w:t>
            </w:r>
            <w:r>
              <w:rPr>
                <w:rStyle w:val="IndexLink"/>
                <w:rtl w:val="true"/>
              </w:rPr>
              <w:t xml:space="preserve">: </w:t>
            </w:r>
            <w:r>
              <w:rPr>
                <w:rStyle w:val="IndexLink"/>
                <w:rtl w:val="true"/>
              </w:rPr>
              <w:t>النية</w:t>
            </w:r>
            <w:r>
              <w:rPr>
                <w:rStyle w:val="IndexLink"/>
                <w:rtl w:val="true"/>
              </w:rPr>
              <w:tab/>
            </w:r>
            <w:r>
              <w:rPr>
                <w:rStyle w:val="IndexLink"/>
              </w:rPr>
              <w:t>48</w:t>
            </w:r>
          </w:hyperlink>
        </w:p>
        <w:p>
          <w:pPr>
            <w:pStyle w:val="Contents5"/>
            <w:tabs>
              <w:tab w:val="clear" w:pos="7892"/>
              <w:tab w:val="right" w:pos="9026" w:leader="dot"/>
            </w:tabs>
            <w:rPr/>
          </w:pPr>
          <w:hyperlink w:anchor="__RefHeading___Toc5524329_73709187">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5524331_73709187">
            <w:r>
              <w:rPr>
                <w:webHidden/>
                <w:rStyle w:val="IndexLink"/>
                <w:rtl w:val="true"/>
              </w:rPr>
              <w:t xml:space="preserve">فروع </w:t>
            </w:r>
            <w:r>
              <w:rPr>
                <w:rStyle w:val="IndexLink"/>
                <w:rtl w:val="true"/>
              </w:rPr>
              <w:t>:</w:t>
              <w:tab/>
            </w:r>
            <w:r>
              <w:rPr>
                <w:rStyle w:val="IndexLink"/>
              </w:rPr>
              <w:t>77</w:t>
            </w:r>
          </w:hyperlink>
        </w:p>
        <w:p>
          <w:pPr>
            <w:pStyle w:val="Contents5"/>
            <w:tabs>
              <w:tab w:val="clear" w:pos="7892"/>
              <w:tab w:val="right" w:pos="9026" w:leader="dot"/>
            </w:tabs>
            <w:rPr/>
          </w:pPr>
          <w:hyperlink w:anchor="__RefHeading___Toc5524333_73709187">
            <w:r>
              <w:rPr>
                <w:webHidden/>
                <w:rStyle w:val="IndexLink"/>
                <w:rtl w:val="true"/>
              </w:rPr>
              <w:t xml:space="preserve">فروع مما يتعلق بالنية </w:t>
            </w:r>
            <w:r>
              <w:rPr>
                <w:rStyle w:val="IndexLink"/>
                <w:rtl w:val="true"/>
              </w:rPr>
              <w:t>:</w:t>
              <w:tab/>
            </w:r>
            <w:r>
              <w:rPr>
                <w:rStyle w:val="IndexLink"/>
              </w:rPr>
              <w:t>84</w:t>
            </w:r>
          </w:hyperlink>
        </w:p>
        <w:p>
          <w:pPr>
            <w:pStyle w:val="Contents4"/>
            <w:tabs>
              <w:tab w:val="clear" w:pos="8176"/>
              <w:tab w:val="right" w:pos="9026" w:leader="dot"/>
            </w:tabs>
            <w:rPr/>
          </w:pPr>
          <w:hyperlink w:anchor="__RefHeading___Toc5524335_73709187">
            <w:r>
              <w:rPr>
                <w:webHidden/>
                <w:rStyle w:val="IndexLink"/>
                <w:rtl w:val="true"/>
              </w:rPr>
              <w:t xml:space="preserve">الثاني من واجبات الوضوء </w:t>
            </w:r>
            <w:r>
              <w:rPr>
                <w:rStyle w:val="IndexLink"/>
                <w:rtl w:val="true"/>
              </w:rPr>
              <w:t xml:space="preserve">: </w:t>
            </w:r>
            <w:r>
              <w:rPr>
                <w:rStyle w:val="IndexLink"/>
                <w:rtl w:val="true"/>
              </w:rPr>
              <w:t>غسل الوجه</w:t>
            </w:r>
            <w:r>
              <w:rPr>
                <w:rStyle w:val="IndexLink"/>
                <w:rtl w:val="true"/>
              </w:rPr>
              <w:tab/>
            </w:r>
            <w:r>
              <w:rPr>
                <w:rStyle w:val="IndexLink"/>
              </w:rPr>
              <w:t>90</w:t>
            </w:r>
          </w:hyperlink>
        </w:p>
        <w:p>
          <w:pPr>
            <w:pStyle w:val="Contents5"/>
            <w:tabs>
              <w:tab w:val="clear" w:pos="7892"/>
              <w:tab w:val="right" w:pos="9026" w:leader="dot"/>
            </w:tabs>
            <w:rPr/>
          </w:pPr>
          <w:hyperlink w:anchor="__RefHeading___Toc5524337_73709187">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5524339_73709187">
            <w:r>
              <w:rPr>
                <w:webHidden/>
                <w:rStyle w:val="IndexLink"/>
                <w:rtl w:val="true"/>
              </w:rPr>
              <w:t xml:space="preserve">فروع </w:t>
            </w:r>
            <w:r>
              <w:rPr>
                <w:rStyle w:val="IndexLink"/>
                <w:rtl w:val="true"/>
              </w:rPr>
              <w:t>:</w:t>
              <w:tab/>
            </w:r>
            <w:r>
              <w:rPr>
                <w:rStyle w:val="IndexLink"/>
              </w:rPr>
              <w:t>95</w:t>
            </w:r>
          </w:hyperlink>
        </w:p>
        <w:p>
          <w:pPr>
            <w:pStyle w:val="Contents5"/>
            <w:tabs>
              <w:tab w:val="clear" w:pos="7892"/>
              <w:tab w:val="right" w:pos="9026" w:leader="dot"/>
            </w:tabs>
            <w:rPr/>
          </w:pPr>
          <w:hyperlink w:anchor="__RefHeading___Toc5524341_73709187">
            <w:r>
              <w:rPr>
                <w:webHidden/>
                <w:rStyle w:val="IndexLink"/>
                <w:rtl w:val="true"/>
              </w:rPr>
              <w:t xml:space="preserve">فرعان </w:t>
            </w:r>
            <w:r>
              <w:rPr>
                <w:rStyle w:val="IndexLink"/>
                <w:rtl w:val="true"/>
              </w:rPr>
              <w:t>:</w:t>
              <w:tab/>
            </w:r>
            <w:r>
              <w:rPr>
                <w:rStyle w:val="IndexLink"/>
              </w:rPr>
              <w:t>121</w:t>
            </w:r>
          </w:hyperlink>
        </w:p>
        <w:p>
          <w:pPr>
            <w:pStyle w:val="Contents5"/>
            <w:tabs>
              <w:tab w:val="clear" w:pos="7892"/>
              <w:tab w:val="right" w:pos="9026" w:leader="dot"/>
            </w:tabs>
            <w:rPr/>
          </w:pPr>
          <w:hyperlink w:anchor="__RefHeading___Toc5524343_73709187">
            <w:r>
              <w:rPr>
                <w:webHidden/>
                <w:rStyle w:val="IndexLink"/>
                <w:rtl w:val="true"/>
              </w:rPr>
              <w:t xml:space="preserve">فروع </w:t>
            </w:r>
            <w:r>
              <w:rPr>
                <w:rStyle w:val="IndexLink"/>
                <w:rtl w:val="true"/>
              </w:rPr>
              <w:t>:</w:t>
              <w:tab/>
            </w:r>
            <w:r>
              <w:rPr>
                <w:rStyle w:val="IndexLink"/>
              </w:rPr>
              <w:t>131</w:t>
            </w:r>
          </w:hyperlink>
        </w:p>
        <w:p>
          <w:pPr>
            <w:pStyle w:val="Contents5"/>
            <w:tabs>
              <w:tab w:val="clear" w:pos="7892"/>
              <w:tab w:val="right" w:pos="9026" w:leader="dot"/>
            </w:tabs>
            <w:rPr/>
          </w:pPr>
          <w:hyperlink w:anchor="__RefHeading___Toc5524345_73709187">
            <w:r>
              <w:rPr>
                <w:webHidden/>
                <w:rStyle w:val="IndexLink"/>
                <w:rtl w:val="true"/>
              </w:rPr>
              <w:t xml:space="preserve">فروع </w:t>
            </w:r>
            <w:r>
              <w:rPr>
                <w:rStyle w:val="IndexLink"/>
                <w:rtl w:val="true"/>
              </w:rPr>
              <w:t>:</w:t>
              <w:tab/>
            </w:r>
            <w:r>
              <w:rPr>
                <w:rStyle w:val="IndexLink"/>
              </w:rPr>
              <w:t>156</w:t>
            </w:r>
          </w:hyperlink>
        </w:p>
        <w:p>
          <w:pPr>
            <w:pStyle w:val="Contents5"/>
            <w:tabs>
              <w:tab w:val="clear" w:pos="7892"/>
              <w:tab w:val="right" w:pos="9026" w:leader="dot"/>
            </w:tabs>
            <w:rPr/>
          </w:pPr>
          <w:hyperlink w:anchor="__RefHeading___Toc5524347_73709187">
            <w:r>
              <w:rPr>
                <w:webHidden/>
                <w:rStyle w:val="IndexLink"/>
                <w:rtl w:val="true"/>
              </w:rPr>
              <w:t xml:space="preserve">فروع </w:t>
            </w:r>
            <w:r>
              <w:rPr>
                <w:rStyle w:val="IndexLink"/>
                <w:rtl w:val="true"/>
              </w:rPr>
              <w:t>:</w:t>
              <w:tab/>
            </w:r>
            <w:r>
              <w:rPr>
                <w:rStyle w:val="IndexLink"/>
              </w:rPr>
              <w:t>164</w:t>
            </w:r>
          </w:hyperlink>
        </w:p>
        <w:p>
          <w:pPr>
            <w:pStyle w:val="Contents3"/>
            <w:tabs>
              <w:tab w:val="clear" w:pos="8459"/>
              <w:tab w:val="right" w:pos="9026" w:leader="dot"/>
            </w:tabs>
            <w:rPr/>
          </w:pPr>
          <w:hyperlink w:anchor="__RefHeading___Toc5524349_73709187">
            <w:r>
              <w:rPr>
                <w:webHidden/>
                <w:rStyle w:val="IndexLink"/>
                <w:rtl w:val="true"/>
              </w:rPr>
              <w:t xml:space="preserve">الفصل الرابع </w:t>
            </w:r>
            <w:r>
              <w:rPr>
                <w:rStyle w:val="IndexLink"/>
                <w:rtl w:val="true"/>
              </w:rPr>
              <w:t xml:space="preserve">: </w:t>
            </w:r>
            <w:r>
              <w:rPr>
                <w:rStyle w:val="IndexLink"/>
                <w:rtl w:val="true"/>
              </w:rPr>
              <w:t>في آدابه</w:t>
            </w:r>
            <w:r>
              <w:rPr>
                <w:rStyle w:val="IndexLink"/>
                <w:rtl w:val="true"/>
              </w:rPr>
              <w:tab/>
            </w:r>
            <w:r>
              <w:rPr>
                <w:rStyle w:val="IndexLink"/>
              </w:rPr>
              <w:t>166</w:t>
            </w:r>
          </w:hyperlink>
        </w:p>
        <w:p>
          <w:pPr>
            <w:pStyle w:val="Contents4"/>
            <w:tabs>
              <w:tab w:val="clear" w:pos="8176"/>
              <w:tab w:val="right" w:pos="9026" w:leader="dot"/>
            </w:tabs>
            <w:rPr/>
          </w:pPr>
          <w:hyperlink w:anchor="__RefHeading___Toc5524351_73709187">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5524353_73709187">
            <w:r>
              <w:rPr>
                <w:webHidden/>
                <w:rStyle w:val="IndexLink"/>
                <w:rtl w:val="true"/>
              </w:rPr>
              <w:t xml:space="preserve">البحث الأول </w:t>
            </w:r>
            <w:r>
              <w:rPr>
                <w:rStyle w:val="IndexLink"/>
                <w:rtl w:val="true"/>
              </w:rPr>
              <w:t xml:space="preserve">: </w:t>
            </w:r>
            <w:r>
              <w:rPr>
                <w:rStyle w:val="IndexLink"/>
                <w:rtl w:val="true"/>
              </w:rPr>
              <w:t>في مستحباته</w:t>
            </w:r>
            <w:r>
              <w:rPr>
                <w:rStyle w:val="IndexLink"/>
                <w:rtl w:val="true"/>
              </w:rPr>
              <w:tab/>
            </w:r>
            <w:r>
              <w:rPr>
                <w:rStyle w:val="IndexLink"/>
              </w:rPr>
              <w:t>166</w:t>
            </w:r>
          </w:hyperlink>
        </w:p>
        <w:p>
          <w:pPr>
            <w:pStyle w:val="Contents4"/>
            <w:tabs>
              <w:tab w:val="clear" w:pos="8176"/>
              <w:tab w:val="right" w:pos="9026" w:leader="dot"/>
            </w:tabs>
            <w:rPr/>
          </w:pPr>
          <w:hyperlink w:anchor="__RefHeading___Toc5524355_73709187">
            <w:r>
              <w:rPr>
                <w:webHidden/>
                <w:rStyle w:val="IndexLink"/>
                <w:rtl w:val="true"/>
              </w:rPr>
              <w:t xml:space="preserve">البحث الثاني </w:t>
            </w:r>
            <w:r>
              <w:rPr>
                <w:rStyle w:val="IndexLink"/>
                <w:rtl w:val="true"/>
              </w:rPr>
              <w:t xml:space="preserve">: </w:t>
            </w:r>
            <w:r>
              <w:rPr>
                <w:rStyle w:val="IndexLink"/>
                <w:rtl w:val="true"/>
              </w:rPr>
              <w:t>في مكروهاته</w:t>
            </w:r>
            <w:r>
              <w:rPr>
                <w:rStyle w:val="IndexLink"/>
                <w:rtl w:val="true"/>
              </w:rPr>
              <w:tab/>
            </w:r>
            <w:r>
              <w:rPr>
                <w:rStyle w:val="IndexLink"/>
              </w:rPr>
              <w:t>182</w:t>
            </w:r>
          </w:hyperlink>
        </w:p>
        <w:p>
          <w:pPr>
            <w:pStyle w:val="Contents3"/>
            <w:tabs>
              <w:tab w:val="clear" w:pos="8459"/>
              <w:tab w:val="right" w:pos="9026" w:leader="dot"/>
            </w:tabs>
            <w:rPr/>
          </w:pPr>
          <w:hyperlink w:anchor="__RefHeading___Toc5524357_73709187">
            <w:r>
              <w:rPr>
                <w:webHidden/>
                <w:rStyle w:val="IndexLink"/>
                <w:rtl w:val="true"/>
              </w:rPr>
              <w:t xml:space="preserve">الفصل الخامس </w:t>
            </w:r>
            <w:r>
              <w:rPr>
                <w:rStyle w:val="IndexLink"/>
                <w:rtl w:val="true"/>
              </w:rPr>
              <w:t xml:space="preserve">: </w:t>
            </w:r>
            <w:r>
              <w:rPr>
                <w:rStyle w:val="IndexLink"/>
                <w:rtl w:val="true"/>
              </w:rPr>
              <w:t>في أحكامه</w:t>
            </w:r>
            <w:r>
              <w:rPr>
                <w:rStyle w:val="IndexLink"/>
                <w:rtl w:val="true"/>
              </w:rPr>
              <w:tab/>
            </w:r>
            <w:r>
              <w:rPr>
                <w:rStyle w:val="IndexLink"/>
              </w:rPr>
              <w:t>186</w:t>
            </w:r>
          </w:hyperlink>
        </w:p>
        <w:p>
          <w:pPr>
            <w:pStyle w:val="Contents4"/>
            <w:tabs>
              <w:tab w:val="clear" w:pos="8176"/>
              <w:tab w:val="right" w:pos="9026" w:leader="dot"/>
            </w:tabs>
            <w:rPr/>
          </w:pPr>
          <w:hyperlink w:anchor="__RefHeading___Toc5524359_73709187">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5524361_73709187">
            <w:r>
              <w:rPr>
                <w:webHidden/>
                <w:rStyle w:val="IndexLink"/>
                <w:rtl w:val="true"/>
              </w:rPr>
              <w:t xml:space="preserve">فروع </w:t>
            </w:r>
            <w:r>
              <w:rPr>
                <w:rStyle w:val="IndexLink"/>
                <w:rtl w:val="true"/>
              </w:rPr>
              <w:t>:</w:t>
              <w:tab/>
            </w:r>
            <w:r>
              <w:rPr>
                <w:rStyle w:val="IndexLink"/>
              </w:rPr>
              <w:t>214</w:t>
            </w:r>
          </w:hyperlink>
        </w:p>
        <w:p>
          <w:pPr>
            <w:pStyle w:val="Contents4"/>
            <w:tabs>
              <w:tab w:val="clear" w:pos="8176"/>
              <w:tab w:val="right" w:pos="9026" w:leader="dot"/>
            </w:tabs>
            <w:rPr/>
          </w:pPr>
          <w:hyperlink w:anchor="__RefHeading___Toc5524363_73709187">
            <w:r>
              <w:rPr>
                <w:webHidden/>
                <w:rStyle w:val="IndexLink"/>
                <w:rtl w:val="true"/>
              </w:rPr>
              <w:t xml:space="preserve">فروع </w:t>
            </w:r>
            <w:r>
              <w:rPr>
                <w:rStyle w:val="IndexLink"/>
                <w:rtl w:val="true"/>
              </w:rPr>
              <w:t>:</w:t>
              <w:tab/>
            </w:r>
            <w:r>
              <w:rPr>
                <w:rStyle w:val="IndexLink"/>
              </w:rPr>
              <w:t>224</w:t>
            </w:r>
          </w:hyperlink>
        </w:p>
        <w:p>
          <w:pPr>
            <w:pStyle w:val="Contents4"/>
            <w:tabs>
              <w:tab w:val="clear" w:pos="8176"/>
              <w:tab w:val="right" w:pos="9026" w:leader="dot"/>
            </w:tabs>
            <w:rPr/>
          </w:pPr>
          <w:hyperlink w:anchor="__RefHeading___Toc5524365_73709187">
            <w:r>
              <w:rPr>
                <w:webHidden/>
                <w:rStyle w:val="IndexLink"/>
                <w:rtl w:val="true"/>
              </w:rPr>
              <w:t xml:space="preserve">فرع </w:t>
            </w:r>
            <w:r>
              <w:rPr>
                <w:rStyle w:val="IndexLink"/>
                <w:rtl w:val="true"/>
              </w:rPr>
              <w:t>:</w:t>
              <w:tab/>
            </w:r>
            <w:r>
              <w:rPr>
                <w:rStyle w:val="IndexLink"/>
              </w:rPr>
              <w:t>250</w:t>
            </w:r>
          </w:hyperlink>
        </w:p>
        <w:p>
          <w:pPr>
            <w:pStyle w:val="Contents2"/>
            <w:tabs>
              <w:tab w:val="clear" w:pos="8743"/>
              <w:tab w:val="right" w:pos="9026" w:leader="dot"/>
            </w:tabs>
            <w:rPr/>
          </w:pPr>
          <w:hyperlink w:anchor="__RefHeading___Toc5524367_73709187">
            <w:r>
              <w:rPr>
                <w:webHidden/>
                <w:rStyle w:val="IndexLink"/>
                <w:rtl w:val="true"/>
              </w:rPr>
              <w:t xml:space="preserve">الباب الثاني </w:t>
            </w:r>
            <w:r>
              <w:rPr>
                <w:rStyle w:val="IndexLink"/>
                <w:rtl w:val="true"/>
              </w:rPr>
              <w:t xml:space="preserve">: </w:t>
            </w:r>
            <w:r>
              <w:rPr>
                <w:rStyle w:val="IndexLink"/>
                <w:rtl w:val="true"/>
              </w:rPr>
              <w:t>في الأغسال</w:t>
            </w:r>
            <w:r>
              <w:rPr>
                <w:rStyle w:val="IndexLink"/>
                <w:rtl w:val="true"/>
              </w:rPr>
              <w:tab/>
            </w:r>
            <w:r>
              <w:rPr>
                <w:rStyle w:val="IndexLink"/>
              </w:rPr>
              <w:t>254</w:t>
            </w:r>
          </w:hyperlink>
        </w:p>
        <w:p>
          <w:pPr>
            <w:pStyle w:val="Contents3"/>
            <w:tabs>
              <w:tab w:val="clear" w:pos="8459"/>
              <w:tab w:val="right" w:pos="9026" w:leader="dot"/>
            </w:tabs>
            <w:rPr/>
          </w:pPr>
          <w:hyperlink w:anchor="__RefHeading___Toc5524369_73709187">
            <w:r>
              <w:rPr>
                <w:webHidden/>
                <w:rStyle w:val="IndexLink"/>
                <w:rtl w:val="true"/>
              </w:rPr>
              <w:t>اشارة</w:t>
            </w:r>
            <w:r>
              <w:rPr>
                <w:rStyle w:val="IndexLink"/>
                <w:rtl w:val="true"/>
              </w:rPr>
              <w:tab/>
            </w:r>
            <w:r>
              <w:rPr>
                <w:rStyle w:val="IndexLink"/>
              </w:rPr>
              <w:t>254</w:t>
            </w:r>
          </w:hyperlink>
        </w:p>
        <w:p>
          <w:pPr>
            <w:pStyle w:val="Contents3"/>
            <w:tabs>
              <w:tab w:val="clear" w:pos="8459"/>
              <w:tab w:val="right" w:pos="9026" w:leader="dot"/>
            </w:tabs>
            <w:rPr/>
          </w:pPr>
          <w:hyperlink w:anchor="__RefHeading___Toc5524371_73709187">
            <w:r>
              <w:rPr>
                <w:webHidden/>
                <w:rStyle w:val="IndexLink"/>
                <w:rtl w:val="true"/>
              </w:rPr>
              <w:t xml:space="preserve">المطلب الأوّل </w:t>
            </w:r>
            <w:r>
              <w:rPr>
                <w:rStyle w:val="IndexLink"/>
                <w:rtl w:val="true"/>
              </w:rPr>
              <w:t xml:space="preserve">: </w:t>
            </w:r>
            <w:r>
              <w:rPr>
                <w:rStyle w:val="IndexLink"/>
                <w:rtl w:val="true"/>
              </w:rPr>
              <w:t>في الواجبة منها</w:t>
            </w:r>
            <w:r>
              <w:rPr>
                <w:rStyle w:val="IndexLink"/>
                <w:rtl w:val="true"/>
              </w:rPr>
              <w:tab/>
            </w:r>
            <w:r>
              <w:rPr>
                <w:rStyle w:val="IndexLink"/>
              </w:rPr>
              <w:t>254</w:t>
            </w:r>
          </w:hyperlink>
        </w:p>
        <w:p>
          <w:pPr>
            <w:pStyle w:val="Contents4"/>
            <w:tabs>
              <w:tab w:val="clear" w:pos="8176"/>
              <w:tab w:val="right" w:pos="9026" w:leader="dot"/>
            </w:tabs>
            <w:rPr/>
          </w:pPr>
          <w:hyperlink w:anchor="__RefHeading___Toc5524373_73709187">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5524375_73709187">
            <w:r>
              <w:rPr>
                <w:webHidden/>
                <w:rStyle w:val="IndexLink"/>
                <w:rtl w:val="true"/>
              </w:rPr>
              <w:t xml:space="preserve">الفصل الأوّل </w:t>
            </w:r>
            <w:r>
              <w:rPr>
                <w:rStyle w:val="IndexLink"/>
                <w:rtl w:val="true"/>
              </w:rPr>
              <w:t xml:space="preserve">: </w:t>
            </w:r>
            <w:r>
              <w:rPr>
                <w:rStyle w:val="IndexLink"/>
                <w:rtl w:val="true"/>
              </w:rPr>
              <w:t>في غسل الجنابة</w:t>
            </w:r>
            <w:r>
              <w:rPr>
                <w:rStyle w:val="IndexLink"/>
                <w:rtl w:val="true"/>
              </w:rPr>
              <w:tab/>
            </w:r>
            <w:r>
              <w:rPr>
                <w:rStyle w:val="IndexLink"/>
              </w:rPr>
              <w:t>256</w:t>
            </w:r>
          </w:hyperlink>
        </w:p>
        <w:p>
          <w:pPr>
            <w:pStyle w:val="Contents5"/>
            <w:tabs>
              <w:tab w:val="clear" w:pos="7892"/>
              <w:tab w:val="right" w:pos="9026" w:leader="dot"/>
            </w:tabs>
            <w:rPr/>
          </w:pPr>
          <w:hyperlink w:anchor="__RefHeading___Toc5524377_73709187">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5524379_73709187">
            <w:r>
              <w:rPr>
                <w:webHidden/>
                <w:rStyle w:val="IndexLink"/>
                <w:rtl w:val="true"/>
              </w:rPr>
              <w:t xml:space="preserve">البحث الأوّل </w:t>
            </w:r>
            <w:r>
              <w:rPr>
                <w:rStyle w:val="IndexLink"/>
                <w:rtl w:val="true"/>
              </w:rPr>
              <w:t xml:space="preserve">: </w:t>
            </w:r>
            <w:r>
              <w:rPr>
                <w:rStyle w:val="IndexLink"/>
                <w:rtl w:val="true"/>
              </w:rPr>
              <w:t>في سببها</w:t>
            </w:r>
            <w:r>
              <w:rPr>
                <w:rStyle w:val="IndexLink"/>
                <w:rtl w:val="true"/>
              </w:rPr>
              <w:tab/>
            </w:r>
            <w:r>
              <w:rPr>
                <w:rStyle w:val="IndexLink"/>
              </w:rPr>
              <w:t>256</w:t>
            </w:r>
          </w:hyperlink>
        </w:p>
        <w:p>
          <w:pPr>
            <w:pStyle w:val="Contents6"/>
            <w:tabs>
              <w:tab w:val="clear" w:pos="7609"/>
              <w:tab w:val="right" w:pos="9026" w:leader="dot"/>
            </w:tabs>
            <w:rPr/>
          </w:pPr>
          <w:hyperlink w:anchor="__RefHeading___Toc5524381_73709187">
            <w:r>
              <w:rPr>
                <w:webHidden/>
                <w:rStyle w:val="IndexLink"/>
                <w:rtl w:val="true"/>
              </w:rPr>
              <w:t>اشارة</w:t>
            </w:r>
            <w:r>
              <w:rPr>
                <w:rStyle w:val="IndexLink"/>
                <w:rtl w:val="true"/>
              </w:rPr>
              <w:tab/>
            </w:r>
            <w:r>
              <w:rPr>
                <w:rStyle w:val="IndexLink"/>
              </w:rPr>
              <w:t>256</w:t>
            </w:r>
          </w:hyperlink>
        </w:p>
        <w:p>
          <w:pPr>
            <w:pStyle w:val="Contents6"/>
            <w:tabs>
              <w:tab w:val="clear" w:pos="7609"/>
              <w:tab w:val="right" w:pos="9026" w:leader="dot"/>
            </w:tabs>
            <w:rPr/>
          </w:pPr>
          <w:hyperlink w:anchor="__RefHeading___Toc5524383_73709187">
            <w:r>
              <w:rPr>
                <w:webHidden/>
                <w:rStyle w:val="IndexLink"/>
                <w:rtl w:val="true"/>
              </w:rPr>
              <w:t xml:space="preserve">فروع </w:t>
            </w:r>
            <w:r>
              <w:rPr>
                <w:rStyle w:val="IndexLink"/>
                <w:rtl w:val="true"/>
              </w:rPr>
              <w:t>:</w:t>
              <w:tab/>
            </w:r>
            <w:r>
              <w:rPr>
                <w:rStyle w:val="IndexLink"/>
              </w:rPr>
              <w:t>282</w:t>
            </w:r>
          </w:hyperlink>
        </w:p>
        <w:p>
          <w:pPr>
            <w:pStyle w:val="Contents5"/>
            <w:tabs>
              <w:tab w:val="clear" w:pos="7892"/>
              <w:tab w:val="right" w:pos="9026" w:leader="dot"/>
            </w:tabs>
            <w:rPr/>
          </w:pPr>
          <w:hyperlink w:anchor="__RefHeading___Toc5524385_73709187">
            <w:r>
              <w:rPr>
                <w:webHidden/>
                <w:rStyle w:val="IndexLink"/>
                <w:rtl w:val="true"/>
              </w:rPr>
              <w:t xml:space="preserve">البحث الثاني </w:t>
            </w:r>
            <w:r>
              <w:rPr>
                <w:rStyle w:val="IndexLink"/>
                <w:rtl w:val="true"/>
              </w:rPr>
              <w:t xml:space="preserve">: </w:t>
            </w:r>
            <w:r>
              <w:rPr>
                <w:rStyle w:val="IndexLink"/>
                <w:rtl w:val="true"/>
              </w:rPr>
              <w:t>في أحكام الجنب</w:t>
            </w:r>
            <w:r>
              <w:rPr>
                <w:rStyle w:val="IndexLink"/>
                <w:rtl w:val="true"/>
              </w:rPr>
              <w:tab/>
            </w:r>
            <w:r>
              <w:rPr>
                <w:rStyle w:val="IndexLink"/>
              </w:rPr>
              <w:t>288</w:t>
            </w:r>
          </w:hyperlink>
        </w:p>
        <w:p>
          <w:pPr>
            <w:pStyle w:val="Contents5"/>
            <w:tabs>
              <w:tab w:val="clear" w:pos="7892"/>
              <w:tab w:val="right" w:pos="9026" w:leader="dot"/>
            </w:tabs>
            <w:rPr/>
          </w:pPr>
          <w:hyperlink w:anchor="__RefHeading___Toc5524387_73709187">
            <w:r>
              <w:rPr>
                <w:webHidden/>
                <w:rStyle w:val="IndexLink"/>
                <w:rtl w:val="true"/>
              </w:rPr>
              <w:t xml:space="preserve">البحث الثالث </w:t>
            </w:r>
            <w:r>
              <w:rPr>
                <w:rStyle w:val="IndexLink"/>
                <w:rtl w:val="true"/>
              </w:rPr>
              <w:t xml:space="preserve">: </w:t>
            </w:r>
            <w:r>
              <w:rPr>
                <w:rStyle w:val="IndexLink"/>
                <w:rtl w:val="true"/>
              </w:rPr>
              <w:t>في غايات غسل الجنابة</w:t>
            </w:r>
            <w:r>
              <w:rPr>
                <w:rStyle w:val="IndexLink"/>
                <w:rtl w:val="true"/>
              </w:rPr>
              <w:tab/>
            </w:r>
            <w:r>
              <w:rPr>
                <w:rStyle w:val="IndexLink"/>
              </w:rPr>
              <w:t>314</w:t>
            </w:r>
          </w:hyperlink>
        </w:p>
        <w:p>
          <w:pPr>
            <w:pStyle w:val="Contents5"/>
            <w:tabs>
              <w:tab w:val="clear" w:pos="7892"/>
              <w:tab w:val="right" w:pos="9026" w:leader="dot"/>
            </w:tabs>
            <w:rPr/>
          </w:pPr>
          <w:hyperlink w:anchor="__RefHeading___Toc5524389_73709187">
            <w:r>
              <w:rPr>
                <w:webHidden/>
                <w:rStyle w:val="IndexLink"/>
                <w:rtl w:val="true"/>
              </w:rPr>
              <w:t xml:space="preserve">البحث الرابع </w:t>
            </w:r>
            <w:r>
              <w:rPr>
                <w:rStyle w:val="IndexLink"/>
                <w:rtl w:val="true"/>
              </w:rPr>
              <w:t xml:space="preserve">: </w:t>
            </w:r>
            <w:r>
              <w:rPr>
                <w:rStyle w:val="IndexLink"/>
                <w:rtl w:val="true"/>
              </w:rPr>
              <w:t>في واجباته</w:t>
            </w:r>
            <w:r>
              <w:rPr>
                <w:rStyle w:val="IndexLink"/>
                <w:rtl w:val="true"/>
              </w:rPr>
              <w:tab/>
            </w:r>
            <w:r>
              <w:rPr>
                <w:rStyle w:val="IndexLink"/>
              </w:rPr>
              <w:t>319</w:t>
            </w:r>
          </w:hyperlink>
        </w:p>
        <w:p>
          <w:pPr>
            <w:pStyle w:val="Contents6"/>
            <w:tabs>
              <w:tab w:val="clear" w:pos="7609"/>
              <w:tab w:val="right" w:pos="9026" w:leader="dot"/>
            </w:tabs>
            <w:rPr/>
          </w:pPr>
          <w:hyperlink w:anchor="__RefHeading___Toc5524391_73709187">
            <w:r>
              <w:rPr>
                <w:webHidden/>
                <w:rStyle w:val="IndexLink"/>
                <w:rtl w:val="true"/>
              </w:rPr>
              <w:t>اشارة</w:t>
            </w:r>
            <w:r>
              <w:rPr>
                <w:rStyle w:val="IndexLink"/>
                <w:rtl w:val="true"/>
              </w:rPr>
              <w:tab/>
            </w:r>
            <w:r>
              <w:rPr>
                <w:rStyle w:val="IndexLink"/>
              </w:rPr>
              <w:t>319</w:t>
            </w:r>
          </w:hyperlink>
        </w:p>
        <w:p>
          <w:pPr>
            <w:pStyle w:val="Contents6"/>
            <w:tabs>
              <w:tab w:val="clear" w:pos="7609"/>
              <w:tab w:val="right" w:pos="9026" w:leader="dot"/>
            </w:tabs>
            <w:rPr/>
          </w:pPr>
          <w:hyperlink w:anchor="__RefHeading___Toc5524393_73709187">
            <w:r>
              <w:rPr>
                <w:webHidden/>
                <w:rStyle w:val="IndexLink"/>
                <w:rtl w:val="true"/>
              </w:rPr>
              <w:t xml:space="preserve">فروع </w:t>
            </w:r>
            <w:r>
              <w:rPr>
                <w:rStyle w:val="IndexLink"/>
                <w:rtl w:val="true"/>
              </w:rPr>
              <w:t>:</w:t>
              <w:tab/>
            </w:r>
            <w:r>
              <w:rPr>
                <w:rStyle w:val="IndexLink"/>
              </w:rPr>
              <w:t>323</w:t>
            </w:r>
          </w:hyperlink>
        </w:p>
        <w:p>
          <w:pPr>
            <w:pStyle w:val="Contents5"/>
            <w:tabs>
              <w:tab w:val="clear" w:pos="7892"/>
              <w:tab w:val="right" w:pos="9026" w:leader="dot"/>
            </w:tabs>
            <w:rPr/>
          </w:pPr>
          <w:hyperlink w:anchor="__RefHeading___Toc5524395_73709187">
            <w:r>
              <w:rPr>
                <w:webHidden/>
                <w:rStyle w:val="IndexLink"/>
                <w:rtl w:val="true"/>
              </w:rPr>
              <w:t xml:space="preserve">البحث الخامس </w:t>
            </w:r>
            <w:r>
              <w:rPr>
                <w:rStyle w:val="IndexLink"/>
                <w:rtl w:val="true"/>
              </w:rPr>
              <w:t xml:space="preserve">: </w:t>
            </w:r>
            <w:r>
              <w:rPr>
                <w:rStyle w:val="IndexLink"/>
                <w:rtl w:val="true"/>
              </w:rPr>
              <w:t>في آداب غسل الجنابة وسننه</w:t>
            </w:r>
            <w:r>
              <w:rPr>
                <w:rStyle w:val="IndexLink"/>
                <w:rtl w:val="true"/>
              </w:rPr>
              <w:tab/>
            </w:r>
            <w:r>
              <w:rPr>
                <w:rStyle w:val="IndexLink"/>
              </w:rPr>
              <w:t>342</w:t>
            </w:r>
          </w:hyperlink>
        </w:p>
        <w:p>
          <w:pPr>
            <w:pStyle w:val="Contents5"/>
            <w:tabs>
              <w:tab w:val="clear" w:pos="7892"/>
              <w:tab w:val="right" w:pos="9026" w:leader="dot"/>
            </w:tabs>
            <w:rPr/>
          </w:pPr>
          <w:hyperlink w:anchor="__RefHeading___Toc5524397_73709187">
            <w:r>
              <w:rPr>
                <w:webHidden/>
                <w:rStyle w:val="IndexLink"/>
                <w:rtl w:val="true"/>
              </w:rPr>
              <w:t xml:space="preserve">البحث السادس </w:t>
            </w:r>
            <w:r>
              <w:rPr>
                <w:rStyle w:val="IndexLink"/>
                <w:rtl w:val="true"/>
              </w:rPr>
              <w:t xml:space="preserve">: </w:t>
            </w:r>
            <w:r>
              <w:rPr>
                <w:rStyle w:val="IndexLink"/>
                <w:rtl w:val="true"/>
              </w:rPr>
              <w:t>في أحكامه</w:t>
            </w:r>
            <w:r>
              <w:rPr>
                <w:rStyle w:val="IndexLink"/>
                <w:rtl w:val="true"/>
              </w:rPr>
              <w:tab/>
            </w:r>
            <w:r>
              <w:rPr>
                <w:rStyle w:val="IndexLink"/>
              </w:rPr>
              <w:t>352</w:t>
            </w:r>
          </w:hyperlink>
        </w:p>
        <w:p>
          <w:pPr>
            <w:pStyle w:val="Contents6"/>
            <w:tabs>
              <w:tab w:val="clear" w:pos="7609"/>
              <w:tab w:val="right" w:pos="9026" w:leader="dot"/>
            </w:tabs>
            <w:rPr/>
          </w:pPr>
          <w:hyperlink w:anchor="__RefHeading___Toc5524399_73709187">
            <w:r>
              <w:rPr>
                <w:webHidden/>
                <w:rStyle w:val="IndexLink"/>
                <w:rtl w:val="true"/>
              </w:rPr>
              <w:t>اشارة</w:t>
            </w:r>
            <w:r>
              <w:rPr>
                <w:rStyle w:val="IndexLink"/>
                <w:rtl w:val="true"/>
              </w:rPr>
              <w:tab/>
            </w:r>
            <w:r>
              <w:rPr>
                <w:rStyle w:val="IndexLink"/>
              </w:rPr>
              <w:t>352</w:t>
            </w:r>
          </w:hyperlink>
        </w:p>
        <w:p>
          <w:pPr>
            <w:pStyle w:val="Contents6"/>
            <w:tabs>
              <w:tab w:val="clear" w:pos="7609"/>
              <w:tab w:val="right" w:pos="9026" w:leader="dot"/>
            </w:tabs>
            <w:rPr/>
          </w:pPr>
          <w:hyperlink w:anchor="__RefHeading___Toc5524401_73709187">
            <w:r>
              <w:rPr>
                <w:webHidden/>
                <w:rStyle w:val="IndexLink"/>
                <w:rtl w:val="true"/>
              </w:rPr>
              <w:t xml:space="preserve">فروع </w:t>
            </w:r>
            <w:r>
              <w:rPr>
                <w:rStyle w:val="IndexLink"/>
                <w:rtl w:val="true"/>
              </w:rPr>
              <w:t>:</w:t>
              <w:tab/>
            </w:r>
            <w:r>
              <w:rPr>
                <w:rStyle w:val="IndexLink"/>
              </w:rPr>
              <w:t>356</w:t>
            </w:r>
          </w:hyperlink>
        </w:p>
        <w:p>
          <w:pPr>
            <w:pStyle w:val="Contents6"/>
            <w:tabs>
              <w:tab w:val="clear" w:pos="7609"/>
              <w:tab w:val="right" w:pos="9026" w:leader="dot"/>
            </w:tabs>
            <w:rPr/>
          </w:pPr>
          <w:hyperlink w:anchor="__RefHeading___Toc5524403_73709187">
            <w:r>
              <w:rPr>
                <w:webHidden/>
                <w:rStyle w:val="IndexLink"/>
                <w:rtl w:val="true"/>
              </w:rPr>
              <w:t xml:space="preserve">فرعان </w:t>
            </w:r>
            <w:r>
              <w:rPr>
                <w:rStyle w:val="IndexLink"/>
                <w:rtl w:val="true"/>
              </w:rPr>
              <w:t>:</w:t>
              <w:tab/>
            </w:r>
            <w:r>
              <w:rPr>
                <w:rStyle w:val="IndexLink"/>
              </w:rPr>
              <w:t>360</w:t>
            </w:r>
          </w:hyperlink>
        </w:p>
        <w:p>
          <w:pPr>
            <w:pStyle w:val="Contents4"/>
            <w:tabs>
              <w:tab w:val="clear" w:pos="8176"/>
              <w:tab w:val="right" w:pos="9026" w:leader="dot"/>
            </w:tabs>
            <w:rPr/>
          </w:pPr>
          <w:hyperlink w:anchor="__RefHeading___Toc5524405_73709187">
            <w:r>
              <w:rPr>
                <w:webHidden/>
                <w:rStyle w:val="IndexLink"/>
                <w:rtl w:val="true"/>
              </w:rPr>
              <w:t xml:space="preserve">الفصل الثاني </w:t>
            </w:r>
            <w:r>
              <w:rPr>
                <w:rStyle w:val="IndexLink"/>
                <w:rtl w:val="true"/>
              </w:rPr>
              <w:t xml:space="preserve">: </w:t>
            </w:r>
            <w:r>
              <w:rPr>
                <w:rStyle w:val="IndexLink"/>
                <w:rtl w:val="true"/>
              </w:rPr>
              <w:t>في غسل الحيض</w:t>
            </w:r>
            <w:r>
              <w:rPr>
                <w:rStyle w:val="IndexLink"/>
                <w:rtl w:val="true"/>
              </w:rPr>
              <w:tab/>
            </w:r>
            <w:r>
              <w:rPr>
                <w:rStyle w:val="IndexLink"/>
              </w:rPr>
              <w:t>378</w:t>
            </w:r>
          </w:hyperlink>
        </w:p>
        <w:p>
          <w:pPr>
            <w:pStyle w:val="Contents5"/>
            <w:tabs>
              <w:tab w:val="clear" w:pos="7892"/>
              <w:tab w:val="right" w:pos="9026" w:leader="dot"/>
            </w:tabs>
            <w:rPr/>
          </w:pPr>
          <w:hyperlink w:anchor="__RefHeading___Toc5524407_73709187">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5524409_73709187">
            <w:r>
              <w:rPr>
                <w:webHidden/>
                <w:rStyle w:val="IndexLink"/>
                <w:rtl w:val="true"/>
              </w:rPr>
              <w:t xml:space="preserve">البحث الأوّل </w:t>
            </w:r>
            <w:r>
              <w:rPr>
                <w:rStyle w:val="IndexLink"/>
                <w:rtl w:val="true"/>
              </w:rPr>
              <w:t xml:space="preserve">: </w:t>
            </w:r>
            <w:r>
              <w:rPr>
                <w:rStyle w:val="IndexLink"/>
                <w:rtl w:val="true"/>
              </w:rPr>
              <w:t>في بيان دم الحيض ومعرفته</w:t>
            </w:r>
            <w:r>
              <w:rPr>
                <w:rStyle w:val="IndexLink"/>
                <w:rtl w:val="true"/>
              </w:rPr>
              <w:tab/>
            </w:r>
            <w:r>
              <w:rPr>
                <w:rStyle w:val="IndexLink"/>
              </w:rPr>
              <w:t>378</w:t>
            </w:r>
          </w:hyperlink>
        </w:p>
        <w:p>
          <w:pPr>
            <w:pStyle w:val="Contents6"/>
            <w:tabs>
              <w:tab w:val="clear" w:pos="7609"/>
              <w:tab w:val="right" w:pos="9026" w:leader="dot"/>
            </w:tabs>
            <w:rPr/>
          </w:pPr>
          <w:hyperlink w:anchor="__RefHeading___Toc5524411_73709187">
            <w:r>
              <w:rPr>
                <w:webHidden/>
                <w:rStyle w:val="IndexLink"/>
                <w:rtl w:val="true"/>
              </w:rPr>
              <w:t>اشارة</w:t>
            </w:r>
            <w:r>
              <w:rPr>
                <w:rStyle w:val="IndexLink"/>
                <w:rtl w:val="true"/>
              </w:rPr>
              <w:tab/>
            </w:r>
            <w:r>
              <w:rPr>
                <w:rStyle w:val="IndexLink"/>
              </w:rPr>
              <w:t>378</w:t>
            </w:r>
          </w:hyperlink>
        </w:p>
        <w:p>
          <w:pPr>
            <w:pStyle w:val="Contents6"/>
            <w:tabs>
              <w:tab w:val="clear" w:pos="7609"/>
              <w:tab w:val="right" w:pos="9026" w:leader="dot"/>
            </w:tabs>
            <w:rPr/>
          </w:pPr>
          <w:hyperlink w:anchor="__RefHeading___Toc5524413_73709187">
            <w:r>
              <w:rPr>
                <w:webHidden/>
                <w:rStyle w:val="IndexLink"/>
                <w:rtl w:val="true"/>
              </w:rPr>
              <w:t xml:space="preserve">فروع </w:t>
            </w:r>
            <w:r>
              <w:rPr>
                <w:rStyle w:val="IndexLink"/>
                <w:rtl w:val="true"/>
              </w:rPr>
              <w:t>:</w:t>
              <w:tab/>
            </w:r>
            <w:r>
              <w:rPr>
                <w:rStyle w:val="IndexLink"/>
              </w:rPr>
              <w:t>446</w:t>
            </w:r>
          </w:hyperlink>
        </w:p>
        <w:p>
          <w:pPr>
            <w:pStyle w:val="Contents5"/>
            <w:tabs>
              <w:tab w:val="clear" w:pos="7892"/>
              <w:tab w:val="right" w:pos="9026" w:leader="dot"/>
            </w:tabs>
            <w:rPr/>
          </w:pPr>
          <w:hyperlink w:anchor="__RefHeading___Toc5524415_73709187">
            <w:r>
              <w:rPr>
                <w:webHidden/>
                <w:rStyle w:val="IndexLink"/>
                <w:rtl w:val="true"/>
              </w:rPr>
              <w:t xml:space="preserve">البحث الثاني </w:t>
            </w:r>
            <w:r>
              <w:rPr>
                <w:rStyle w:val="IndexLink"/>
                <w:rtl w:val="true"/>
              </w:rPr>
              <w:t xml:space="preserve">: </w:t>
            </w:r>
            <w:r>
              <w:rPr>
                <w:rStyle w:val="IndexLink"/>
                <w:rtl w:val="true"/>
              </w:rPr>
              <w:t>في أحكام الحائض</w:t>
            </w:r>
            <w:r>
              <w:rPr>
                <w:rStyle w:val="IndexLink"/>
                <w:rtl w:val="true"/>
              </w:rPr>
              <w:tab/>
            </w:r>
            <w:r>
              <w:rPr>
                <w:rStyle w:val="IndexLink"/>
              </w:rPr>
              <w:t>465</w:t>
            </w:r>
          </w:hyperlink>
        </w:p>
        <w:p>
          <w:pPr>
            <w:pStyle w:val="Contents6"/>
            <w:tabs>
              <w:tab w:val="clear" w:pos="7609"/>
              <w:tab w:val="right" w:pos="9026" w:leader="dot"/>
            </w:tabs>
            <w:rPr/>
          </w:pPr>
          <w:hyperlink w:anchor="__RefHeading___Toc5524417_73709187">
            <w:r>
              <w:rPr>
                <w:webHidden/>
                <w:rStyle w:val="IndexLink"/>
                <w:rtl w:val="true"/>
              </w:rPr>
              <w:t>اشارة</w:t>
            </w:r>
            <w:r>
              <w:rPr>
                <w:rStyle w:val="IndexLink"/>
                <w:rtl w:val="true"/>
              </w:rPr>
              <w:tab/>
            </w:r>
            <w:r>
              <w:rPr>
                <w:rStyle w:val="IndexLink"/>
              </w:rPr>
              <w:t>465</w:t>
            </w:r>
          </w:hyperlink>
        </w:p>
        <w:p>
          <w:pPr>
            <w:pStyle w:val="Contents6"/>
            <w:tabs>
              <w:tab w:val="clear" w:pos="7609"/>
              <w:tab w:val="right" w:pos="9026" w:leader="dot"/>
            </w:tabs>
            <w:rPr/>
          </w:pPr>
          <w:hyperlink w:anchor="__RefHeading___Toc5524419_73709187">
            <w:r>
              <w:rPr>
                <w:webHidden/>
                <w:rStyle w:val="IndexLink"/>
                <w:rtl w:val="true"/>
              </w:rPr>
              <w:t xml:space="preserve">فروع </w:t>
            </w:r>
            <w:r>
              <w:rPr>
                <w:rStyle w:val="IndexLink"/>
                <w:rtl w:val="true"/>
              </w:rPr>
              <w:t>:</w:t>
              <w:tab/>
            </w:r>
            <w:r>
              <w:rPr>
                <w:rStyle w:val="IndexLink"/>
              </w:rPr>
              <w:t>496</w:t>
            </w:r>
          </w:hyperlink>
        </w:p>
        <w:p>
          <w:pPr>
            <w:pStyle w:val="Contents2"/>
            <w:tabs>
              <w:tab w:val="clear" w:pos="8743"/>
              <w:tab w:val="right" w:pos="9026" w:leader="dot"/>
            </w:tabs>
            <w:rPr/>
          </w:pPr>
          <w:hyperlink w:anchor="__RefHeading___Toc5524421_73709187">
            <w:r>
              <w:rPr>
                <w:webHidden/>
                <w:rStyle w:val="IndexLink"/>
                <w:rtl w:val="true"/>
              </w:rPr>
              <w:t>فهرس الموضوعات</w:t>
            </w:r>
            <w:r>
              <w:rPr>
                <w:rStyle w:val="IndexLink"/>
                <w:rtl w:val="true"/>
              </w:rPr>
              <w:tab/>
            </w:r>
            <w:r>
              <w:rPr>
                <w:rStyle w:val="IndexLink"/>
              </w:rPr>
              <w:t>504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12_110633"/>
      <w:bookmarkStart w:id="1" w:name="pg11612_110633"/>
      <w:bookmarkEnd w:id="1"/>
    </w:p>
    <w:p>
      <w:pPr>
        <w:pStyle w:val="Heading2"/>
        <w:numPr>
          <w:ilvl w:val="1"/>
          <w:numId w:val="1"/>
        </w:numPr>
        <w:rPr/>
      </w:pPr>
      <w:bookmarkStart w:id="2" w:name="pg11612_110633"/>
      <w:bookmarkStart w:id="3" w:name="__RefHeading___Toc5524305_7370918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مستند الشيعة</w:t>
      </w:r>
    </w:p>
    <w:p>
      <w:pPr>
        <w:pStyle w:val="BookText"/>
        <w:rPr/>
      </w:pPr>
      <w:r>
        <w:rPr>
          <w:rFonts w:ascii="Amiri" w:hAnsi="Amiri" w:eastAsia="Amiri" w:cs="Amiri"/>
          <w:color w:val="111111"/>
          <w:sz w:val="28"/>
          <w:sz w:val="28"/>
          <w:szCs w:val="28"/>
          <w:rtl w:val="true"/>
          <w:lang w:bidi="ar-SA"/>
        </w:rPr>
        <w:t>في أحكام الشريعة</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نراقي، احمدبن محمد مهدي، </w:t>
      </w:r>
      <w:r>
        <w:rPr>
          <w:rFonts w:ascii="Amiri" w:hAnsi="Amiri" w:eastAsia="Amiri" w:cs="Amiri"/>
          <w:color w:val="111111"/>
          <w:sz w:val="28"/>
          <w:sz w:val="28"/>
          <w:szCs w:val="28"/>
          <w:lang w:bidi="ar-SA"/>
        </w:rPr>
        <w:t>۱۱۸۵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۱۲۴۵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مستند‌الشيعه في احكام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احمدبن محمدمهدي النراقي؛ تحقيق موسسه آل‌البيت عليهم‌السلام لاحياء‌التراث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الثرات،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آل‌البيت لاحياء التراث؛ </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۷۵۰۰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 5):)ISBN 964-5503-75-2 (set): ISBN 964-5503-75-2 (8 vols): ISBN 964-5503-82-5 (v.7): ISBN 964-5503-81-7 (v. 6): ISBN 964-5503-80-9</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آل البيت عليهم‌السلام لاحياء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۳۴۲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۱۲۵۶</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24307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مستند الشيعة</w:t>
      </w:r>
    </w:p>
    <w:p>
      <w:pPr>
        <w:pStyle w:val="BookText"/>
        <w:rPr/>
      </w:pPr>
      <w:r>
        <w:rPr>
          <w:rFonts w:ascii="Amiri" w:hAnsi="Amiri" w:eastAsia="Amiri" w:cs="Amiri"/>
          <w:color w:val="111111"/>
          <w:sz w:val="28"/>
          <w:sz w:val="28"/>
          <w:szCs w:val="28"/>
          <w:rtl w:val="true"/>
          <w:lang w:bidi="ar-SA"/>
        </w:rPr>
        <w:t>في أحكام الشريعة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الفقيه المولى أحمد بن محمد مهدي النراقي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تحقيق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موسسة آل البيت عليهم السلام لإحياء التراث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موسسة آل البيت عليهم السلام لإحياء التراث</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lang w:bidi="ar-SA"/>
        </w:rPr>
        <w:t>541431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544805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E-mail:alalbayt@inco.com.lb</w:t>
      </w:r>
      <w:r>
        <w:rPr>
          <w:rFonts w:eastAsia="Times New Roman" w:cs="Times New Roman" w:ascii="Times New Roman" w:hAnsi="Times New Roman"/>
          <w:color w:val="111111"/>
          <w:sz w:val="28"/>
          <w:szCs w:val="28"/>
          <w:rtl w:val="true"/>
          <w:lang w:val="en-US" w:bidi="en-US"/>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1612_110638"/>
    </w:p>
    <w:p>
      <w:pPr>
        <w:pStyle w:val="Heading2"/>
        <w:numPr>
          <w:ilvl w:val="1"/>
          <w:numId w:val="1"/>
        </w:numPr>
        <w:rPr/>
      </w:pPr>
      <w:bookmarkStart w:id="8" w:name="__RefHeading___Toc5524309_73709187"/>
      <w:bookmarkStart w:id="9" w:name="_Toc3"/>
      <w:bookmarkEnd w:id="7"/>
      <w:bookmarkEnd w:id="8"/>
      <w:r>
        <w:rPr>
          <w:rtl w:val="true"/>
        </w:rPr>
        <w:t xml:space="preserve">الباب الأوّل </w:t>
      </w:r>
      <w:r>
        <w:rPr>
          <w:rtl w:val="true"/>
        </w:rPr>
        <w:t xml:space="preserve">: </w:t>
      </w:r>
      <w:r>
        <w:rPr>
          <w:rtl w:val="true"/>
        </w:rPr>
        <w:t>في الوضوء‌</w:t>
      </w:r>
      <w:bookmarkEnd w:id="9"/>
    </w:p>
    <w:p>
      <w:pPr>
        <w:pStyle w:val="Heading3"/>
        <w:numPr>
          <w:ilvl w:val="2"/>
          <w:numId w:val="1"/>
        </w:numPr>
        <w:rPr/>
      </w:pPr>
      <w:bookmarkStart w:id="10" w:name="__RefHeading___Toc5524311_73709187"/>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والبحث عن أسبابه ، وأقسامه ، وواجباته ، وآدابه ، وأحكامه يقع في فصول خمسة </w:t>
      </w:r>
      <w:r>
        <w:rPr>
          <w:rFonts w:eastAsia="Amiri" w:cs="Amiri" w:ascii="Amiri" w:hAnsi="Amiri"/>
          <w:color w:val="111111"/>
          <w:sz w:val="28"/>
          <w:szCs w:val="28"/>
          <w:rtl w:val="true"/>
          <w:lang w:bidi="ar-SA"/>
        </w:rPr>
        <w:t xml:space="preserve">: </w:t>
      </w:r>
      <w:bookmarkStart w:id="12" w:name="pg11612_110639"/>
    </w:p>
    <w:p>
      <w:pPr>
        <w:pStyle w:val="Heading3"/>
        <w:numPr>
          <w:ilvl w:val="2"/>
          <w:numId w:val="1"/>
        </w:numPr>
        <w:rPr/>
      </w:pPr>
      <w:bookmarkStart w:id="13" w:name="__RefHeading___Toc5524313_73709187"/>
      <w:bookmarkStart w:id="14" w:name="_Toc5"/>
      <w:bookmarkEnd w:id="12"/>
      <w:bookmarkEnd w:id="13"/>
      <w:r>
        <w:rPr>
          <w:rtl w:val="true"/>
        </w:rPr>
        <w:t xml:space="preserve">الفصل الأوّل </w:t>
      </w:r>
      <w:r>
        <w:rPr>
          <w:rtl w:val="true"/>
        </w:rPr>
        <w:t xml:space="preserve">: </w:t>
      </w:r>
      <w:r>
        <w:rPr>
          <w:rtl w:val="true"/>
        </w:rPr>
        <w:t>في أسبابه</w:t>
      </w:r>
      <w:bookmarkEnd w:id="14"/>
    </w:p>
    <w:p>
      <w:pPr>
        <w:pStyle w:val="BookText"/>
        <w:rPr/>
      </w:pPr>
      <w:r>
        <w:rPr>
          <w:rFonts w:ascii="Amiri" w:hAnsi="Amiri" w:eastAsia="Amiri" w:cs="Amiri"/>
          <w:color w:val="111111"/>
          <w:sz w:val="28"/>
          <w:sz w:val="28"/>
          <w:szCs w:val="28"/>
          <w:rtl w:val="true"/>
          <w:lang w:bidi="ar-SA"/>
        </w:rPr>
        <w:t xml:space="preserve">وهي 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والثاني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والغائط والريح من الموضع الطبيعي المعتاد خروجه منه لعامة الناس وإن لم يعتد 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والنقض بها إجماعي ، ونقل الإجماع عليه مستفيض </w:t>
      </w:r>
      <w:r>
        <w:rPr>
          <w:rStyle w:val="FootnoteAnchor"/>
          <w:rtl w:val="true"/>
        </w:rPr>
        <w:footnoteReference w:id="2"/>
      </w:r>
      <w:r>
        <w:rPr>
          <w:rFonts w:ascii="Amiri" w:hAnsi="Amiri" w:eastAsia="Amiri" w:cs="Amiri"/>
          <w:color w:val="111111"/>
          <w:sz w:val="28"/>
          <w:sz w:val="28"/>
          <w:szCs w:val="28"/>
          <w:rtl w:val="true"/>
          <w:lang w:bidi="ar-SA"/>
        </w:rPr>
        <w:t xml:space="preserve">، والمستفيضة عليه دالّة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ينقض الوضوء؟ فقالا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يخرج من طرفيك الأسفلين من الدبر والذكر ، غائط أو بول أو مني أو ريح ، والنوم حتى يذهب العقل ، وكل النوم يكره إلاّ أن تكون تسمع الصوت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يوجب الوضوء إلاّ غائط أو بول أو ضرطة تسمع صوتها أو فسوة تجد ريحها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ورواية زكريا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ينقض الوضوء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والغائط والريح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أبي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ينقض الوضوء إلاّ ما خرج من طرفيك الأسفلين اللذين أنعم اللّه عليك بهما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الوضوء إلاّ ما خرج من طرفيك أو النوم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وتقييد الريح الناقض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بأحد الوصفين محمول على صورة حصول الشك بدونهما ، وفائدته بيان لزوم تيقّن الخروج وعدم كفاية الشك بل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التيقن فلا ريب في ناقضيته مطلقا ، للإجماع ، والمروي في مسائل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في صلاته ، فيعلم أنّ ريحا قد خرجت ولا يجد ريحها ولا يسمع صوتها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الوضوء والصلاة ولا يعتدّ بشي‌ء ممّا صلّى إذا علم ذلك يقينا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استيقنت أنّها خرجت منك فأعد الوضوء سمعت وقعها أو لم تسمع ، وشممت ريحها أو لم تشم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وضعفهما منجبر بالإجماع المنقول بل المحقّق ، فبهما وبه </w:t>
      </w:r>
      <w:r>
        <w:rPr>
          <w:rStyle w:val="FootnoteAnchor"/>
          <w:rtl w:val="true"/>
        </w:rPr>
        <w:footnoteReference w:id="11"/>
      </w:r>
      <w:r>
        <w:rPr>
          <w:rFonts w:ascii="Amiri" w:hAnsi="Amiri" w:eastAsia="Amiri" w:cs="Amiri"/>
          <w:color w:val="111111"/>
          <w:sz w:val="28"/>
          <w:sz w:val="28"/>
          <w:szCs w:val="28"/>
          <w:rtl w:val="true"/>
          <w:lang w:bidi="ar-SA"/>
        </w:rPr>
        <w:t xml:space="preserve">يخصص عموم الثانية وينزّل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بعض المتأخّرين </w:t>
      </w:r>
      <w:r>
        <w:rPr>
          <w:rStyle w:val="FootnoteAnchor"/>
          <w:rtl w:val="true"/>
        </w:rPr>
        <w:footnoteReference w:id="13"/>
      </w:r>
      <w:r>
        <w:rPr>
          <w:rFonts w:ascii="Amiri" w:hAnsi="Amiri" w:eastAsia="Amiri" w:cs="Amiri"/>
          <w:color w:val="111111"/>
          <w:sz w:val="28"/>
          <w:sz w:val="28"/>
          <w:szCs w:val="28"/>
          <w:rtl w:val="true"/>
          <w:lang w:bidi="ar-SA"/>
        </w:rPr>
        <w:t xml:space="preserve">اشتراط الناقضية بأحد الوصفين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بعض مشايخنا </w:t>
      </w:r>
      <w:r>
        <w:rPr>
          <w:rStyle w:val="FootnoteAnchor"/>
          <w:rtl w:val="true"/>
        </w:rPr>
        <w:footnoteReference w:id="14"/>
      </w:r>
      <w:r>
        <w:rPr>
          <w:rFonts w:ascii="Amiri" w:hAnsi="Amiri" w:eastAsia="Amiri" w:cs="Amiri"/>
          <w:color w:val="111111"/>
          <w:sz w:val="28"/>
          <w:sz w:val="28"/>
          <w:szCs w:val="28"/>
          <w:rtl w:val="true"/>
          <w:lang w:bidi="ar-SA"/>
        </w:rPr>
        <w:t xml:space="preserve">، بل نقل الفتوى به عن بعض علماء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أنّ ردّ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دلالتها على عدم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أحد الوصفين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بمفهوم الوصف وهو ليس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بعض مشايخنا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حكم الطبيعي غيره إن كان خلقيّاً أو انسدّ الطبيعي ، لظاهر الوفاق ، بل عليه الإجماع في المنتهى والمدارك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اعتبار الاعتياد هنا كنهاية الإحكام </w:t>
      </w:r>
      <w:r>
        <w:rPr>
          <w:rStyle w:val="FootnoteAnchor"/>
          <w:rtl w:val="true"/>
        </w:rPr>
        <w:footnoteReference w:id="18"/>
      </w:r>
      <w:r>
        <w:rPr>
          <w:rFonts w:ascii="Amiri" w:hAnsi="Amiri" w:eastAsia="Amiri" w:cs="Amiri"/>
          <w:color w:val="111111"/>
          <w:sz w:val="28"/>
          <w:sz w:val="28"/>
          <w:szCs w:val="28"/>
          <w:rtl w:val="true"/>
          <w:lang w:bidi="ar-SA"/>
        </w:rPr>
        <w:t xml:space="preserve">، أو عدمه كظاهر المنتهى </w:t>
      </w:r>
      <w:r>
        <w:rPr>
          <w:rStyle w:val="FootnoteAnchor"/>
          <w:rtl w:val="true"/>
        </w:rPr>
        <w:footnoteReference w:id="19"/>
      </w:r>
      <w:r>
        <w:rPr>
          <w:rFonts w:ascii="IRNazanin" w:hAnsi="IRNazanin" w:eastAsia="IRNazanin"/>
          <w:color w:val="111111"/>
          <w:sz w:val="28"/>
          <w:sz w:val="28"/>
          <w:szCs w:val="28"/>
          <w:rtl w:val="true"/>
          <w:lang w:bidi="fa-IR"/>
        </w:rPr>
        <w:t xml:space="preserve">احتمالان ، أظهرهما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 انتفاء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عدم النقض مطلقا ، كظاهر الشرائع </w:t>
      </w:r>
      <w:r>
        <w:rPr>
          <w:rStyle w:val="FootnoteAnchor"/>
          <w:rtl w:val="true"/>
        </w:rPr>
        <w:footnoteReference w:id="20"/>
      </w:r>
      <w:r>
        <w:rPr>
          <w:rFonts w:ascii="Amiri" w:hAnsi="Amiri" w:eastAsia="Amiri" w:cs="Amiri"/>
          <w:color w:val="111111"/>
          <w:sz w:val="28"/>
          <w:sz w:val="28"/>
          <w:szCs w:val="28"/>
          <w:rtl w:val="true"/>
          <w:lang w:bidi="ar-SA"/>
        </w:rPr>
        <w:t xml:space="preserve">وطائفة من متأخّري المتأخّرين </w:t>
      </w:r>
      <w:r>
        <w:rPr>
          <w:rStyle w:val="FootnoteAnchor"/>
          <w:rtl w:val="true"/>
        </w:rPr>
        <w:footnoteReference w:id="21"/>
      </w:r>
      <w:r>
        <w:rPr>
          <w:rFonts w:ascii="Amiri" w:hAnsi="Amiri" w:eastAsia="Amiri" w:cs="Amiri"/>
          <w:color w:val="111111"/>
          <w:sz w:val="28"/>
          <w:sz w:val="28"/>
          <w:szCs w:val="28"/>
          <w:rtl w:val="true"/>
          <w:lang w:bidi="ar-SA"/>
        </w:rPr>
        <w:t xml:space="preserve">منهم والدي العلاّمة ، أو النقض كذلك ، كالسرائر والتذكرة </w:t>
      </w:r>
      <w:r>
        <w:rPr>
          <w:rStyle w:val="FootnoteAnchor"/>
          <w:rtl w:val="true"/>
        </w:rPr>
        <w:footnoteReference w:id="22"/>
      </w:r>
      <w:r>
        <w:rPr>
          <w:rFonts w:ascii="Amiri" w:hAnsi="Amiri" w:eastAsia="Amiri" w:cs="Amiri"/>
          <w:color w:val="111111"/>
          <w:sz w:val="28"/>
          <w:sz w:val="28"/>
          <w:szCs w:val="28"/>
          <w:rtl w:val="true"/>
          <w:lang w:bidi="ar-SA"/>
        </w:rPr>
        <w:t xml:space="preserve">، أو التفصيل بالاعتياد وعدمه ، كما في المعتبر </w:t>
      </w:r>
      <w:r>
        <w:rPr>
          <w:rStyle w:val="FootnoteAnchor"/>
          <w:rtl w:val="true"/>
        </w:rPr>
        <w:footnoteReference w:id="23"/>
      </w:r>
      <w:r>
        <w:rPr>
          <w:rFonts w:ascii="Amiri" w:hAnsi="Amiri" w:eastAsia="Amiri" w:cs="Amiri"/>
          <w:color w:val="111111"/>
          <w:sz w:val="28"/>
          <w:sz w:val="28"/>
          <w:szCs w:val="28"/>
          <w:rtl w:val="true"/>
          <w:lang w:bidi="ar-SA"/>
        </w:rPr>
        <w:t xml:space="preserve">والقواعد والدروس والذكرى </w:t>
      </w:r>
      <w:r>
        <w:rPr>
          <w:rStyle w:val="FootnoteAnchor"/>
          <w:rtl w:val="true"/>
        </w:rPr>
        <w:footnoteReference w:id="24"/>
      </w:r>
      <w:r>
        <w:rPr>
          <w:rFonts w:ascii="IRNazanin" w:hAnsi="IRNazanin" w:eastAsia="IRNazanin"/>
          <w:color w:val="111111"/>
          <w:sz w:val="28"/>
          <w:sz w:val="28"/>
          <w:szCs w:val="28"/>
          <w:rtl w:val="true"/>
          <w:lang w:bidi="fa-IR"/>
        </w:rPr>
        <w:t xml:space="preserve">، بل نسب إلى المشهور </w:t>
      </w:r>
      <w:r>
        <w:rPr>
          <w:rStyle w:val="FootnoteAnchor"/>
          <w:rtl w:val="true"/>
        </w:rPr>
        <w:footnoteReference w:id="25"/>
      </w:r>
      <w:r>
        <w:rPr>
          <w:rFonts w:ascii="Amiri" w:hAnsi="Amiri" w:eastAsia="Amiri" w:cs="Amiri"/>
          <w:color w:val="111111"/>
          <w:sz w:val="28"/>
          <w:sz w:val="28"/>
          <w:szCs w:val="28"/>
          <w:rtl w:val="true"/>
          <w:lang w:bidi="ar-SA"/>
        </w:rPr>
        <w:t xml:space="preserve">، وبالخروج عن تحت المعدة فينقض ، وفوقها فلا ينقض ، كما عن المبسوط والخلاف </w:t>
      </w:r>
      <w:r>
        <w:rPr>
          <w:rStyle w:val="FootnoteAnchor"/>
          <w:rtl w:val="true"/>
        </w:rPr>
        <w:footnoteReference w:id="26"/>
      </w:r>
      <w:r>
        <w:rPr>
          <w:rFonts w:ascii="IRNazanin" w:hAnsi="IRNazanin" w:eastAsia="IRNazanin"/>
          <w:color w:val="111111"/>
          <w:sz w:val="28"/>
          <w:sz w:val="28"/>
          <w:szCs w:val="28"/>
          <w:rtl w:val="true"/>
          <w:lang w:bidi="fa-IR"/>
        </w:rPr>
        <w:t>، أقوال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هو الأوّل ، للأصل ، وفقد المانع كما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جاءَ أَحَدٌ مِنْكُمْ </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وعموم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والثالثة ، واحتياج الشغل اليقيني إلى البراءة اليقينية ، وتنقيح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القيام من النوم كما في الأخبار ، فهي المخصص لعمومه لو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تعارضه مع الأخبار المصرّحة بأنّ يقين الوضوء لا ينقضه إلاّ يقين الحدث ، والناهية عن الوضوء إلاّ مع يقينه ، والحاصرة للنقض بالخارج عن السبيلين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إرادة الحقيقة من المجي‌ء عن الغائط الذي هو المكان المنخفض ، فيمكن أن يكون مجازه التخلّي للتغوّط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العموم فيهما سيما في أولهما ، ولو كان فإطلاقه ينصرف إلى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بدّ فيهما من ارتكاب تجوّز أو تقدير مضاف ، ضرورة عدم كون نفس البول وأخويه ناقضا ، فيمكن أن يكون البول مثلا مجازا عن فرد خاص هو البول الخارج على نحو خاص حال كونه كذلك ، أو عن خروجه على نحو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معارضته مع الصحيحتين الأخيرتين بالعموم من وجه فيرجع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القطع بالاشتغال بأزيد من الصلاة مع مثل هذا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كونه قطعيا ، لعدم العلم بالعلة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الطرفين اللذين أنعم اللّه بعد الاعتياد ، وعدم منافاة </w:t>
      </w:r>
    </w:p>
    <w:p>
      <w:pPr>
        <w:pStyle w:val="BookText"/>
        <w:rPr/>
      </w:pPr>
      <w:r>
        <w:rPr>
          <w:rFonts w:ascii="IRNazanin" w:hAnsi="IRNazanin" w:eastAsia="IRNazanin"/>
          <w:color w:val="111111"/>
          <w:sz w:val="28"/>
          <w:sz w:val="28"/>
          <w:szCs w:val="28"/>
          <w:rtl w:val="true"/>
          <w:lang w:bidi="fa-IR"/>
        </w:rPr>
        <w:t>الانصراف إلى المعتاد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والأوّل ممنوع ، مع أنّ التقييد بالأسفلين ينافي عموم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ينصرف إليه المطلق هو المعتاد من أفراد المهية لا لشخص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للرابع على الجزء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ما مرّ مع 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الاسم على الخارج من الفوق ، وضعفه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الشائع المتبادر من الريح ما خرج من الدبر ، فلا ينقض الخارج من القبل مطلقا ، وفاقا للمنقول عن السرائر والمنتهى والمهذب والبيان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التذكرة القطع بنقض الخارج منه من قبل المرأة </w:t>
      </w:r>
      <w:r>
        <w:rPr>
          <w:rStyle w:val="FootnoteAnchor"/>
          <w:rtl w:val="true"/>
        </w:rPr>
        <w:footnoteReference w:id="31"/>
      </w:r>
      <w:r>
        <w:rPr>
          <w:rFonts w:ascii="Amiri" w:hAnsi="Amiri" w:eastAsia="Amiri" w:cs="Amiri"/>
          <w:color w:val="111111"/>
          <w:sz w:val="28"/>
          <w:sz w:val="28"/>
          <w:szCs w:val="28"/>
          <w:rtl w:val="true"/>
          <w:lang w:bidi="ar-SA"/>
        </w:rPr>
        <w:t xml:space="preserve">، واستقر به في المعتبر والذكرى </w:t>
      </w:r>
      <w:r>
        <w:rPr>
          <w:rStyle w:val="FootnoteAnchor"/>
          <w:rtl w:val="true"/>
        </w:rPr>
        <w:footnoteReference w:id="32"/>
      </w:r>
      <w:r>
        <w:rPr>
          <w:rFonts w:ascii="Amiri" w:hAnsi="Amiri" w:eastAsia="Amiri" w:cs="Amiri"/>
          <w:color w:val="111111"/>
          <w:sz w:val="28"/>
          <w:sz w:val="28"/>
          <w:szCs w:val="28"/>
          <w:rtl w:val="true"/>
          <w:lang w:bidi="ar-SA"/>
        </w:rPr>
        <w:t>مع الاعتياد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ومستندهما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باعتبار الشيوع في نفس الخروج أيضا لتبادر الخروج المعتاد من المطلقات ، ويفرّع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خرجت المقعدة ملوثة بالغائط ثمَّ عادت ولم ينفصل لم ينقض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بعد تفريع ذلك على اعتبار الشيوع في الخروج لا وجه للتقييد بالعود وعدم الانفصال ، إذ الخروج الكذائي غير شائع عادت المقعدة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انفصل الغائط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ذلك الاعتبار في نفس الخروج يوجب عدم النقض بالخارج بالإصبع ونحوها ، وبالاحتقان ودوس البطن وتناول المسهل والدود المتلطخ ونحوها إلاّ بدليل آخر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في موضعه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الانصراف إلى المتعارف إنّما هو إذا بلغ </w:t>
      </w:r>
    </w:p>
    <w:p>
      <w:pPr>
        <w:pStyle w:val="BookText"/>
        <w:rPr/>
      </w:pPr>
      <w:r>
        <w:rPr>
          <w:rFonts w:ascii="Amiri" w:hAnsi="Amiri" w:eastAsia="Amiri" w:cs="Amiri"/>
          <w:color w:val="111111"/>
          <w:sz w:val="28"/>
          <w:sz w:val="28"/>
          <w:szCs w:val="28"/>
          <w:rtl w:val="true"/>
          <w:lang w:bidi="ar-SA"/>
        </w:rPr>
        <w:t>التعارف بحيث يتبادر معه إرادة المتعارف ويكون قرينة معينة لإرادته ، وهو هنا ليس كذلك ، ولذا يحكم بالنقض بالغائط الأسود والأبيض والبول الأحمر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بالمقعدة المذكورة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المعطل للسمع والعقل ولو تقديرا مطلقا ، بالإجماع المحقّق والمحكي في الخلاف والتهذيب والمعتبر </w:t>
      </w:r>
      <w:r>
        <w:rPr>
          <w:rStyle w:val="FootnoteAnchor"/>
          <w:rtl w:val="true"/>
        </w:rPr>
        <w:footnoteReference w:id="35"/>
      </w:r>
      <w:r>
        <w:rPr>
          <w:rFonts w:ascii="Amiri" w:hAnsi="Amiri" w:eastAsia="Amiri" w:cs="Amiri"/>
          <w:color w:val="111111"/>
          <w:sz w:val="28"/>
          <w:sz w:val="28"/>
          <w:szCs w:val="28"/>
          <w:rtl w:val="true"/>
          <w:lang w:bidi="ar-SA"/>
        </w:rPr>
        <w:t xml:space="preserve">وغيرها </w:t>
      </w:r>
      <w:r>
        <w:rPr>
          <w:rStyle w:val="FootnoteAnchor"/>
          <w:rtl w:val="true"/>
        </w:rPr>
        <w:footnoteReference w:id="36"/>
      </w:r>
      <w:r>
        <w:rPr>
          <w:rFonts w:ascii="Amiri" w:hAnsi="Amiri" w:eastAsia="Amiri" w:cs="Amiri"/>
          <w:color w:val="111111"/>
          <w:sz w:val="28"/>
          <w:sz w:val="28"/>
          <w:szCs w:val="28"/>
          <w:rtl w:val="true"/>
          <w:lang w:bidi="ar-SA"/>
        </w:rPr>
        <w:t xml:space="preserve">، وعن الانتصار والناصريات </w:t>
      </w:r>
      <w:r>
        <w:rPr>
          <w:rStyle w:val="FootnoteAnchor"/>
          <w:rtl w:val="true"/>
        </w:rPr>
        <w:footnoteReference w:id="37"/>
      </w:r>
      <w:r>
        <w:rPr>
          <w:rFonts w:ascii="Amiri" w:hAnsi="Amiri" w:eastAsia="Amiri" w:cs="Amiri"/>
          <w:color w:val="111111"/>
          <w:sz w:val="28"/>
          <w:sz w:val="28"/>
          <w:szCs w:val="28"/>
          <w:rtl w:val="true"/>
          <w:lang w:bidi="ar-SA"/>
        </w:rPr>
        <w:t xml:space="preserve">، وجعله في الخصال من دين الإمامية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وخلاف ابني بابويه في مطلقه </w:t>
      </w:r>
      <w:r>
        <w:rPr>
          <w:rStyle w:val="FootnoteAnchor"/>
          <w:rtl w:val="true"/>
        </w:rPr>
        <w:footnoteReference w:id="39"/>
      </w:r>
      <w:r>
        <w:rPr>
          <w:rFonts w:ascii="Amiri" w:hAnsi="Amiri" w:eastAsia="Amiri" w:cs="Amiri"/>
          <w:color w:val="111111"/>
          <w:sz w:val="28"/>
          <w:sz w:val="28"/>
          <w:szCs w:val="28"/>
          <w:rtl w:val="true"/>
          <w:lang w:bidi="ar-SA"/>
        </w:rPr>
        <w:t xml:space="preserve">كأحدهما في غير حالة الانفراج </w:t>
      </w:r>
      <w:r>
        <w:rPr>
          <w:rStyle w:val="FootnoteAnchor"/>
          <w:rtl w:val="true"/>
        </w:rPr>
        <w:footnoteReference w:id="40"/>
      </w:r>
      <w:r>
        <w:rPr>
          <w:rFonts w:ascii="Amiri" w:hAnsi="Amiri" w:eastAsia="Amiri" w:cs="Amiri"/>
          <w:color w:val="111111"/>
          <w:sz w:val="28"/>
          <w:sz w:val="28"/>
          <w:szCs w:val="28"/>
          <w:rtl w:val="true"/>
          <w:lang w:bidi="ar-SA"/>
        </w:rPr>
        <w:t xml:space="preserve">لم يثبت ، وكلامهما لو دلّ عليه بظاهره ، يجب فيه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عدم ناقضيته في نفسه ، بل لكونه مظنة الريح غالبا ، فلذلك ينقض ولو عدم خروج الريح لما في الخصال ، مع أنّه لو ثبت ، ففي الإجماع لا يقدح ، فهو الحجة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المستفيضة كصحيحتي زرارة المتقدمتين </w:t>
      </w:r>
      <w:r>
        <w:rPr>
          <w:rStyle w:val="FootnoteAnchor"/>
          <w:rtl w:val="true"/>
        </w:rPr>
        <w:footnoteReference w:id="41"/>
      </w:r>
      <w:r>
        <w:rPr>
          <w:rFonts w:ascii="Amiri" w:hAnsi="Amiri" w:eastAsia="Amiri" w:cs="Amiri"/>
          <w:color w:val="111111"/>
          <w:sz w:val="28"/>
          <w:sz w:val="28"/>
          <w:szCs w:val="28"/>
          <w:rtl w:val="true"/>
          <w:lang w:bidi="ar-SA"/>
        </w:rPr>
        <w:t xml:space="preserve">، 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زرارة قد تنام العين ولا ينام القلب والاذن ، فإذا نامت العين والاذن والقلب وجب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حرّك إلى جنبه شي‌ء ولم يعلم 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حتى يستيقن أنّه قد نام حتى يجي‌ء من ذلك أمر بيّن ، وإلاّ فإنّه على يقين من وضوئه ، ولا ينقض اليقين أبدا بالشك ، ولكن ينقضه بيقين آخر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ابن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وجد طعم النوم قائما أو قاعدا فقد وجب عليه الوضوء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عبد الحميد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نام وهو راكع أو ساجد أو ماش على أيّ الحالات فعليه الوضوء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ينام على دابته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ذهب النوم بالعقل فليعد الوضوء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خلاّد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به علّة لا يقدر على الاضطجاع ، والوضوء يشتد عليه ، وهو قاعد مستند بالوسائد ، فربما أغفى وهو قاعد على تلك الحال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الوضوء يشتد عليه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خفي عليه الصوت فقد وجب عليه الوضوء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ينقض النوم الوضوء؟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إذا غلب على السمع ولا يسمع الصوت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أذنان وعينان ، تنام العينان ولا تنام الأذنان وذلك لا ينقض الوضوء ، فإذا نامت العينان والأذنان انتقض الوضوء </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وإطلاق بعضها بالنسبة إلى غير الغالب على السمع والعقل مقيد بالمقيدات ، </w:t>
      </w:r>
    </w:p>
    <w:p>
      <w:pPr>
        <w:pStyle w:val="BookText"/>
        <w:rPr/>
      </w:pPr>
      <w:r>
        <w:rPr>
          <w:rFonts w:ascii="Amiri" w:hAnsi="Amiri" w:eastAsia="Amiri" w:cs="Amiri"/>
          <w:color w:val="111111"/>
          <w:sz w:val="28"/>
          <w:sz w:val="28"/>
          <w:szCs w:val="28"/>
          <w:rtl w:val="true"/>
          <w:lang w:bidi="ar-SA"/>
        </w:rPr>
        <w:t>مع أنّه سنة 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وتعطيل السمع والعقل متلازمان كما يومئ إليه صحيحتا زرارة </w:t>
      </w:r>
      <w:r>
        <w:rPr>
          <w:rStyle w:val="FootnoteAnchor"/>
          <w:rtl w:val="true"/>
        </w:rPr>
        <w:footnoteReference w:id="49"/>
      </w:r>
      <w:r>
        <w:rPr>
          <w:rFonts w:ascii="Amiri" w:hAnsi="Amiri" w:eastAsia="Amiri" w:cs="Amiri"/>
          <w:color w:val="111111"/>
          <w:sz w:val="28"/>
          <w:sz w:val="28"/>
          <w:szCs w:val="28"/>
          <w:rtl w:val="true"/>
          <w:lang w:bidi="ar-SA"/>
        </w:rPr>
        <w:t>أيضا ، فالاكتفاء بأحدهما في بعضها غير 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وبتلك الأخبار يخصّص ما دلّ على انتفاء الناقض غير ما يخرج عن السبيلين مطلقا ، فالحصر فيه إضافي بالنسبة إلى ما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الظواهر النافي للنقض في بعض الحالات ، كموثّقة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يخفق رأسه وهو في الصلاة قائما أو راكعا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وضوء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نام وهو جالس لم يتعمد النوم فلا وضوء عليه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يرقد وهو قاعد ، عليه الوضوء؟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وضوء عليه ما دام قاعدا إن لم ينفرج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الحضرمي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نام الرجل وهو جالس مجتمع فليس عليه وضوء ، وإذا نام مضطجعا فعليه الوضوء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يضر ، لضعفها بالشذوذ ، ومخالفتها للشهرة بل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المذكور في الأولى الخفق وهو النعاس أي ابتداء النوم ، وفي الثانية عدم التعمد ، ويمكن أن يكون بالغين المعجمة فيراد به ما لم يعطل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قطع النظر عن ذلك كله يتعارض مع بعض ما مر ، والترجيح لنا ، لموافقة أخبارنا الكتاب ومخالفتها العامة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هل ينقض وضوؤه إذا نام وهو جالس؟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كان يوم الجمعة وهو في المسجد فلا وضوء عليه ، وذلك بأنّه في حال الضرورة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فمحمول إمّا على عدم إمكان الخروج من المسجد فيتيمّم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في بابه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التقية ، لعدم الضرورة 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منع الحملان فيكون متروك الظاهر عند الأصحاب كلا ، فلا حجية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النوم ناقض بنفسه ، لظاهر الأخبار المتقدمة ، وصريح حسنة الأشعري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الوضوء إلاّ حدث ، والنوم حدث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لكونه مظنة الريح كما يظهر من بعض الروايات </w:t>
      </w:r>
      <w:r>
        <w:rPr>
          <w:rStyle w:val="FootnoteAnchor"/>
          <w:rtl w:val="true"/>
        </w:rPr>
        <w:footnoteReference w:id="58"/>
      </w:r>
      <w:r>
        <w:rPr>
          <w:rFonts w:ascii="Amiri" w:hAnsi="Amiri" w:eastAsia="Amiri" w:cs="Amiri"/>
          <w:color w:val="111111"/>
          <w:sz w:val="28"/>
          <w:sz w:val="28"/>
          <w:szCs w:val="28"/>
          <w:rtl w:val="true"/>
          <w:lang w:bidi="ar-SA"/>
        </w:rPr>
        <w:t xml:space="preserve">، لضعفه وموافقته العامة ، وتصريح صحيحة زرارة المتقدمة </w:t>
      </w:r>
      <w:r>
        <w:rPr>
          <w:rStyle w:val="FootnoteAnchor"/>
          <w:rtl w:val="true"/>
        </w:rPr>
        <w:footnoteReference w:id="59"/>
      </w:r>
      <w:r>
        <w:rPr>
          <w:rFonts w:ascii="Amiri" w:hAnsi="Amiri" w:eastAsia="Amiri" w:cs="Amiri"/>
          <w:color w:val="111111"/>
          <w:sz w:val="28"/>
          <w:sz w:val="28"/>
          <w:szCs w:val="28"/>
          <w:rtl w:val="true"/>
          <w:lang w:bidi="ar-SA"/>
        </w:rPr>
        <w:t>بعدم النقض باحتمال طروّ الناقض ظنا أو 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التعليل بكونه مظنته غالبا لا ينافي النقض به مطلقا ، فإنّ أمثال هذه التعليلات في الشرع كثيرة ، فإنّ هذه العلّة صارت علة للكلية كما في الخمر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يخفق في الصلاة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لا يحفظ حدثا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الوضوء وإعادة الصلاة ، وإن كان يستيقن أنّه لم يحدث فليس عليه وضوء ولا إعادة </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فلا ينافي ما ذكرنا ، لأنّ المراد أنّه إن غلب على العقل ، فعليه الوضوء وإلاّ فلا ، لأنّ عدم حفظ الحدث في الصلاة يستلزم ذهاب العقل ، كما أنّ استيقان عدمه لا يكون إلاّ مع بقاء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مزيل للعقل من جنون أو سكر أو إغماء ، بالإجماع المحقق والمحكي في التهذيب </w:t>
      </w:r>
      <w:r>
        <w:rPr>
          <w:rStyle w:val="FootnoteAnchor"/>
          <w:rtl w:val="true"/>
        </w:rPr>
        <w:footnoteReference w:id="61"/>
      </w:r>
      <w:r>
        <w:rPr>
          <w:rFonts w:ascii="IRNazanin" w:hAnsi="IRNazanin" w:eastAsia="IRNazanin"/>
          <w:color w:val="111111"/>
          <w:sz w:val="28"/>
          <w:sz w:val="28"/>
          <w:szCs w:val="28"/>
          <w:rtl w:val="true"/>
          <w:lang w:bidi="fa-IR"/>
        </w:rPr>
        <w:t xml:space="preserve">والخصال </w:t>
      </w:r>
      <w:r>
        <w:rPr>
          <w:rStyle w:val="FootnoteAnchor"/>
          <w:rtl w:val="true"/>
        </w:rPr>
        <w:footnoteReference w:id="62"/>
      </w:r>
      <w:r>
        <w:rPr>
          <w:rFonts w:ascii="Amiri" w:hAnsi="Amiri" w:eastAsia="Amiri" w:cs="Amiri"/>
          <w:color w:val="111111"/>
          <w:sz w:val="28"/>
          <w:sz w:val="28"/>
          <w:szCs w:val="28"/>
          <w:rtl w:val="true"/>
          <w:lang w:bidi="ar-SA"/>
        </w:rPr>
        <w:t xml:space="preserve">والمعتمد وغيرها </w:t>
      </w:r>
      <w:r>
        <w:rPr>
          <w:rStyle w:val="FootnoteAnchor"/>
          <w:rtl w:val="true"/>
        </w:rPr>
        <w:footnoteReference w:id="63"/>
      </w:r>
      <w:r>
        <w:rPr>
          <w:rFonts w:ascii="Amiri" w:hAnsi="Amiri" w:eastAsia="Amiri" w:cs="Amiri"/>
          <w:color w:val="111111"/>
          <w:sz w:val="28"/>
          <w:sz w:val="28"/>
          <w:szCs w:val="28"/>
          <w:rtl w:val="true"/>
          <w:lang w:bidi="ar-SA"/>
        </w:rPr>
        <w:t xml:space="preserve">، 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فيه مخالفا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بعض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المرء إذا توضأ صلى بوضوئه ذلك ما شاء من الصلاة ما لم يحدث أو ينم أو يجامع أو يغم عليه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والاستدلال بصحيحة ابن خلاّد </w:t>
      </w:r>
      <w:r>
        <w:rPr>
          <w:rStyle w:val="FootnoteAnchor"/>
          <w:rtl w:val="true"/>
        </w:rPr>
        <w:footnoteReference w:id="66"/>
      </w:r>
      <w:r>
        <w:rPr>
          <w:rFonts w:ascii="Amiri" w:hAnsi="Amiri" w:eastAsia="Amiri" w:cs="Amiri"/>
          <w:color w:val="111111"/>
          <w:sz w:val="28"/>
          <w:sz w:val="28"/>
          <w:szCs w:val="28"/>
          <w:rtl w:val="true"/>
          <w:lang w:bidi="ar-SA"/>
        </w:rPr>
        <w:t xml:space="preserve">من جهة الإغفاء ، أو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خفي عليه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تعليق نقض النوم بذهاب العقل من باب التنبيه أو الأولوية ، أو بالنقض بالنوم من باب تنقيح المناط ،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أفراد الاستحاضة كما يأتي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الحدث الأكبر فهو وإن كان ناقضا للوضوء إلاّ أنّه ليس من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تحقق الناقض لا عبرة به ، وكذا الظن ، لأنّ اليقين بالطهارة لا ينقض إلاّ بيقين مثله كما صرّح به في الأخبار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ولصحيحة ابن عمار </w:t>
      </w:r>
      <w:r>
        <w:rPr>
          <w:rStyle w:val="FootnoteAnchor"/>
          <w:rtl w:val="true"/>
        </w:rPr>
        <w:footnoteReference w:id="68"/>
      </w:r>
      <w:r>
        <w:rPr>
          <w:rFonts w:ascii="Amiri" w:hAnsi="Amiri" w:eastAsia="Amiri" w:cs="Amiri"/>
          <w:color w:val="111111"/>
          <w:sz w:val="28"/>
          <w:sz w:val="28"/>
          <w:szCs w:val="28"/>
          <w:rtl w:val="true"/>
          <w:lang w:bidi="ar-SA"/>
        </w:rPr>
        <w:t xml:space="preserve">وخبر البصري </w:t>
      </w:r>
      <w:r>
        <w:rPr>
          <w:rStyle w:val="FootnoteAnchor"/>
          <w:rtl w:val="true"/>
        </w:rPr>
        <w:footnoteReference w:id="69"/>
      </w:r>
      <w:r>
        <w:rPr>
          <w:rFonts w:ascii="Amiri" w:hAnsi="Amiri" w:eastAsia="Amiri" w:cs="Amiri"/>
          <w:color w:val="111111"/>
          <w:sz w:val="28"/>
          <w:sz w:val="28"/>
          <w:szCs w:val="28"/>
          <w:rtl w:val="true"/>
          <w:lang w:bidi="ar-SA"/>
        </w:rPr>
        <w:t xml:space="preserve">في الريح ، وإحدى صحاح زرارة </w:t>
      </w:r>
    </w:p>
    <w:p>
      <w:pPr>
        <w:pStyle w:val="BookText"/>
        <w:rPr/>
      </w:pPr>
      <w:r>
        <w:rPr>
          <w:rFonts w:ascii="Amiri" w:hAnsi="Amiri" w:eastAsia="Amiri" w:cs="Amiri"/>
          <w:color w:val="111111"/>
          <w:sz w:val="28"/>
          <w:sz w:val="28"/>
          <w:szCs w:val="28"/>
          <w:rtl w:val="true"/>
          <w:lang w:bidi="ar-SA"/>
        </w:rPr>
        <w:t xml:space="preserve">في النوم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والشك في سماع الصوت كالشك في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اعتبار بالرؤيا ، لإمكان تحققه مع عدم بطلان العقل والسمع إذا قوي الخيال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للوضوء غير ما ذكر سبب موجب على الأظهر الأشهر رواية وفتوى ، وإن اختلفت الأخبار بل الأقوال في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فيه الإسكافي ، فقال بنقضه للوضوء إن خرج بشهوة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ويشعر كلام التهذيب بالنقض مع الكثرة </w:t>
      </w:r>
      <w:r>
        <w:rPr>
          <w:rStyle w:val="FootnoteAnchor"/>
          <w:rtl w:val="true"/>
        </w:rPr>
        <w:footnoteReference w:id="72"/>
      </w:r>
      <w:r>
        <w:rPr>
          <w:rFonts w:ascii="IRNazanin" w:hAnsi="IRNazanin" w:eastAsia="IRNazanin"/>
          <w:color w:val="111111"/>
          <w:sz w:val="28"/>
          <w:sz w:val="28"/>
          <w:szCs w:val="28"/>
          <w:rtl w:val="true"/>
          <w:lang w:bidi="fa-IR"/>
        </w:rPr>
        <w:t xml:space="preserve">، وذهب </w:t>
      </w:r>
      <w:r>
        <w:rPr>
          <w:rStyle w:val="FootnoteAnchor"/>
          <w:rtl w:val="true"/>
        </w:rPr>
        <w:footnoteReference w:id="73"/>
      </w:r>
      <w:r>
        <w:rPr>
          <w:rFonts w:ascii="Amiri" w:hAnsi="Amiri" w:eastAsia="Amiri" w:cs="Amiri"/>
          <w:color w:val="111111"/>
          <w:sz w:val="28"/>
          <w:sz w:val="28"/>
          <w:szCs w:val="28"/>
          <w:rtl w:val="true"/>
          <w:lang w:bidi="ar-SA"/>
        </w:rPr>
        <w:t xml:space="preserve">العامة إلى النقض به مطلقا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الأصل والإجماع المحقق والمحكي في التذكرة </w:t>
      </w:r>
      <w:r>
        <w:rPr>
          <w:rStyle w:val="FootnoteAnchor"/>
          <w:rtl w:val="true"/>
        </w:rPr>
        <w:footnoteReference w:id="75"/>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المستفيضة المتواترة معنى من الصحاح وغيرها المصرّحة بعدم النقض بالمذي مطلقا ، كالصحاح الثلاث للشحّام </w:t>
      </w:r>
      <w:r>
        <w:rPr>
          <w:rStyle w:val="FootnoteAnchor"/>
          <w:rtl w:val="true"/>
        </w:rPr>
        <w:footnoteReference w:id="77"/>
      </w:r>
      <w:r>
        <w:rPr>
          <w:rFonts w:ascii="Amiri" w:hAnsi="Amiri" w:eastAsia="Amiri" w:cs="Amiri"/>
          <w:color w:val="111111"/>
          <w:sz w:val="28"/>
          <w:sz w:val="28"/>
          <w:szCs w:val="28"/>
          <w:rtl w:val="true"/>
          <w:lang w:bidi="ar-SA"/>
        </w:rPr>
        <w:t xml:space="preserve">وابن بزيع </w:t>
      </w:r>
      <w:r>
        <w:rPr>
          <w:rStyle w:val="FootnoteAnchor"/>
          <w:rtl w:val="true"/>
        </w:rPr>
        <w:footnoteReference w:id="78"/>
      </w:r>
      <w:r>
        <w:rPr>
          <w:rFonts w:ascii="IRNazanin" w:hAnsi="IRNazanin" w:eastAsia="IRNazanin"/>
          <w:color w:val="111111"/>
          <w:sz w:val="28"/>
          <w:sz w:val="28"/>
          <w:szCs w:val="28"/>
          <w:rtl w:val="true"/>
          <w:lang w:bidi="fa-IR"/>
        </w:rPr>
        <w:t xml:space="preserve">وابن سنان </w:t>
      </w:r>
      <w:r>
        <w:rPr>
          <w:rStyle w:val="FootnoteAnchor"/>
          <w:rtl w:val="true"/>
        </w:rPr>
        <w:footnoteReference w:id="79"/>
      </w:r>
      <w:r>
        <w:rPr>
          <w:rFonts w:ascii="Amiri" w:hAnsi="Amiri" w:eastAsia="Amiri" w:cs="Amiri"/>
          <w:color w:val="111111"/>
          <w:sz w:val="28"/>
          <w:sz w:val="28"/>
          <w:szCs w:val="28"/>
          <w:rtl w:val="true"/>
          <w:lang w:bidi="ar-SA"/>
        </w:rPr>
        <w:t xml:space="preserve">، وحسنة بريد </w:t>
      </w:r>
    </w:p>
    <w:p>
      <w:pPr>
        <w:pStyle w:val="BookText"/>
        <w:rPr/>
      </w:pPr>
      <w:r>
        <w:rPr>
          <w:rFonts w:ascii="Amiri" w:hAnsi="Amiri" w:eastAsia="Amiri" w:cs="Amiri"/>
          <w:color w:val="111111"/>
          <w:sz w:val="28"/>
          <w:sz w:val="28"/>
          <w:szCs w:val="28"/>
          <w:rtl w:val="true"/>
          <w:lang w:bidi="ar-SA"/>
        </w:rPr>
        <w:t xml:space="preserve">ابن معاوية </w:t>
      </w:r>
      <w:r>
        <w:rPr>
          <w:rStyle w:val="FootnoteAnchor"/>
          <w:rtl w:val="true"/>
        </w:rPr>
        <w:footnoteReference w:id="80"/>
      </w:r>
      <w:r>
        <w:rPr>
          <w:rFonts w:ascii="Amiri" w:hAnsi="Amiri" w:eastAsia="Amiri" w:cs="Amiri"/>
          <w:color w:val="111111"/>
          <w:sz w:val="28"/>
          <w:sz w:val="28"/>
          <w:szCs w:val="28"/>
          <w:rtl w:val="true"/>
          <w:lang w:bidi="ar-SA"/>
        </w:rPr>
        <w:t xml:space="preserve">، وموثقة ابن عمّار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ولو مع السيلان ، كصحيحة الفضلاء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ولو بلغ عقبيك ، أو الفخذ كحسنتي زرارة </w:t>
      </w:r>
      <w:r>
        <w:rPr>
          <w:rStyle w:val="FootnoteAnchor"/>
          <w:rtl w:val="true"/>
        </w:rPr>
        <w:footnoteReference w:id="83"/>
      </w:r>
      <w:r>
        <w:rPr>
          <w:rFonts w:ascii="Amiri" w:hAnsi="Amiri" w:eastAsia="Amiri" w:cs="Amiri"/>
          <w:color w:val="111111"/>
          <w:sz w:val="28"/>
          <w:sz w:val="28"/>
          <w:szCs w:val="28"/>
          <w:rtl w:val="true"/>
          <w:lang w:bidi="ar-SA"/>
        </w:rPr>
        <w:t xml:space="preserve">ومحمّد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الشهوة كمرسلتي ابن أبي عمير </w:t>
      </w:r>
      <w:r>
        <w:rPr>
          <w:rStyle w:val="FootnoteAnchor"/>
          <w:rtl w:val="true"/>
        </w:rPr>
        <w:footnoteReference w:id="85"/>
      </w:r>
      <w:r>
        <w:rPr>
          <w:rFonts w:ascii="Amiri" w:hAnsi="Amiri" w:eastAsia="Amiri" w:cs="Amiri"/>
          <w:color w:val="111111"/>
          <w:sz w:val="28"/>
          <w:sz w:val="28"/>
          <w:szCs w:val="28"/>
          <w:rtl w:val="true"/>
          <w:lang w:bidi="ar-SA"/>
        </w:rPr>
        <w:t xml:space="preserve">وابن رباط ، وفي الأخيرة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من الإحليل المني والودي والوذي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المذي فهو الذي يخرج من الشهوة ولا شي‌ء فيه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وغير ذلك ، وفي كثير منها أنّه بمنزلة النخامة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والمصرّح به في كلام جماعة من الفقهاء </w:t>
      </w:r>
      <w:r>
        <w:rPr>
          <w:rStyle w:val="FootnoteAnchor"/>
          <w:rtl w:val="true"/>
        </w:rPr>
        <w:footnoteReference w:id="87"/>
      </w:r>
      <w:r>
        <w:rPr>
          <w:rFonts w:ascii="Amiri" w:hAnsi="Amiri" w:eastAsia="Amiri" w:cs="Amiri"/>
          <w:color w:val="111111"/>
          <w:sz w:val="28"/>
          <w:sz w:val="28"/>
          <w:szCs w:val="28"/>
          <w:rtl w:val="true"/>
          <w:lang w:bidi="ar-SA"/>
        </w:rPr>
        <w:t xml:space="preserve">، وطائفة من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كصاحبي الصحاح والقاموس وابن الأثير والهروي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المذي هو الخارج عقيب الشهوة ، وتدل عليه مرسلة ابن 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فتوصيفه في مرسلة ابن أبي عمير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والاستعمال في الأعم في بعض الأخبار تجوّز</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ما يتمسك به للإسكافي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ابن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المذي أينقض الوضوء؟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بشهوة نقض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وبمضمونها روايتا أبي بصير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والكاهلي </w:t>
      </w:r>
      <w:r>
        <w:rPr>
          <w:rStyle w:val="FootnoteAnchor"/>
          <w:rtl w:val="true"/>
        </w:rPr>
        <w:footnoteReference w:id="91"/>
      </w:r>
      <w:r>
        <w:rPr>
          <w:rFonts w:ascii="Amiri" w:hAnsi="Amiri" w:eastAsia="Amiri" w:cs="Amiri"/>
          <w:color w:val="111111"/>
          <w:sz w:val="28"/>
          <w:sz w:val="28"/>
          <w:szCs w:val="28"/>
          <w:rtl w:val="true"/>
          <w:lang w:bidi="ar-SA"/>
        </w:rPr>
        <w:t xml:space="preserve">، وصحيحة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يمذي في الصلاة من شهوة أو من غير شهوة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المذي منه الوضوء </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معارضا لما تقدّم بالتساوي ، ومطابقا لمذهب العامة ، ولأجله يرجّح ما تقدّم ، بل ولولاه أيضا ، لموافقته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هذه الأخبار ليست بحجة ، لمخالفتها للشهرة القديمة والجديدة ، ولعمل راويها ، وبعضها كالأخيرة على الوجوب غير 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يجاب لو عمّم المذي لغة حتى يكون من تعارض المطلق والمقيد ، مضافا إلى تساويها مع المرسلتين فتقدّمان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وضعفهما سندا عندنا غير ضائر ، ولو كان ، فالعمل لهما جابر ، مع أنّ ابن أبي عمير ممّن أجمعت العصابة على تصحيح ما يصح عنه ، ومراسيله كالمسانيد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تقبيل المرأة بشهوة ، ومسّ الفرجين من الغير كذلك ، ومسّ باطنهما مطلقا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خالف فيها الإسكافي </w:t>
      </w:r>
      <w:r>
        <w:rPr>
          <w:rStyle w:val="FootnoteAnchor"/>
          <w:rtl w:val="true"/>
        </w:rPr>
        <w:footnoteReference w:id="93"/>
      </w:r>
      <w:r>
        <w:rPr>
          <w:rFonts w:ascii="Amiri" w:hAnsi="Amiri" w:eastAsia="Amiri" w:cs="Amiri"/>
          <w:color w:val="111111"/>
          <w:sz w:val="28"/>
          <w:sz w:val="28"/>
          <w:szCs w:val="28"/>
          <w:rtl w:val="true"/>
          <w:lang w:bidi="ar-SA"/>
        </w:rPr>
        <w:t xml:space="preserve">، وفي الأخير الصدوق </w:t>
      </w:r>
      <w:r>
        <w:rPr>
          <w:rStyle w:val="FootnoteAnchor"/>
          <w:rtl w:val="true"/>
        </w:rPr>
        <w:footnoteReference w:id="94"/>
      </w:r>
      <w:r>
        <w:rPr>
          <w:rFonts w:ascii="Amiri" w:hAnsi="Amiri" w:eastAsia="Amiri" w:cs="Amiri"/>
          <w:color w:val="111111"/>
          <w:sz w:val="28"/>
          <w:sz w:val="28"/>
          <w:szCs w:val="28"/>
          <w:rtl w:val="true"/>
          <w:lang w:bidi="ar-SA"/>
        </w:rPr>
        <w:t xml:space="preserve">أيضا مع ضم فتح الإحليل ، لرواية أبي بصير </w:t>
      </w:r>
      <w:r>
        <w:rPr>
          <w:rStyle w:val="FootnoteAnchor"/>
          <w:rtl w:val="true"/>
        </w:rPr>
        <w:footnoteReference w:id="95"/>
      </w:r>
      <w:r>
        <w:rPr>
          <w:rFonts w:ascii="Amiri" w:hAnsi="Amiri" w:eastAsia="Amiri" w:cs="Amiri"/>
          <w:color w:val="111111"/>
          <w:sz w:val="28"/>
          <w:sz w:val="28"/>
          <w:szCs w:val="28"/>
          <w:rtl w:val="true"/>
          <w:lang w:bidi="ar-SA"/>
        </w:rPr>
        <w:t xml:space="preserve">وموثقة عمّار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دلالة أولاهما على الأزيد من الاستحباب ، ومعارضتهما مع مرسلة ابن أبي عمير </w:t>
      </w:r>
      <w:r>
        <w:rPr>
          <w:rStyle w:val="FootnoteAnchor"/>
          <w:rtl w:val="true"/>
        </w:rPr>
        <w:footnoteReference w:id="97"/>
      </w:r>
      <w:r>
        <w:rPr>
          <w:rFonts w:ascii="Amiri" w:hAnsi="Amiri" w:eastAsia="Amiri" w:cs="Amiri"/>
          <w:color w:val="111111"/>
          <w:sz w:val="28"/>
          <w:sz w:val="28"/>
          <w:szCs w:val="28"/>
          <w:rtl w:val="true"/>
          <w:lang w:bidi="ar-SA"/>
        </w:rPr>
        <w:t xml:space="preserve">والصحاح الخمس للحلبي </w:t>
      </w:r>
      <w:r>
        <w:rPr>
          <w:rStyle w:val="FootnoteAnchor"/>
          <w:rtl w:val="true"/>
        </w:rPr>
        <w:footnoteReference w:id="98"/>
      </w:r>
      <w:r>
        <w:rPr>
          <w:rFonts w:ascii="Amiri" w:hAnsi="Amiri" w:eastAsia="Amiri" w:cs="Amiri"/>
          <w:color w:val="111111"/>
          <w:sz w:val="28"/>
          <w:sz w:val="28"/>
          <w:szCs w:val="28"/>
          <w:rtl w:val="true"/>
          <w:lang w:bidi="ar-SA"/>
        </w:rPr>
        <w:t xml:space="preserve">وزرارة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نواقض الوضوء 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الاستبصار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نواقض الوضوء 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ورواية عبد الرحمن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تصلحان للحجية ، لمخالفتهما لعمل معظم الطائفة بل إجماع الفرقة على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القهقهة في الصلاة متعمدا للنظر إلى المضحك أو سماعه ، والحقنة ، والدم الخارج من السبيلين المشكوك في مصاحبة الناقض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خالف فيها الإسكافي </w:t>
      </w:r>
      <w:r>
        <w:rPr>
          <w:rStyle w:val="FootnoteAnchor"/>
          <w:rtl w:val="true"/>
        </w:rPr>
        <w:footnoteReference w:id="100"/>
      </w:r>
      <w:r>
        <w:rPr>
          <w:rFonts w:ascii="Amiri" w:hAnsi="Amiri" w:eastAsia="Amiri" w:cs="Amiri"/>
          <w:color w:val="111111"/>
          <w:sz w:val="28"/>
          <w:sz w:val="28"/>
          <w:szCs w:val="28"/>
          <w:rtl w:val="true"/>
          <w:lang w:bidi="ar-SA"/>
        </w:rPr>
        <w:t xml:space="preserve">أيضا ، لمضمرتي ابن أبي عمير </w:t>
      </w:r>
      <w:r>
        <w:rPr>
          <w:rStyle w:val="FootnoteAnchor"/>
          <w:rtl w:val="true"/>
        </w:rPr>
        <w:footnoteReference w:id="101"/>
      </w:r>
      <w:r>
        <w:rPr>
          <w:rFonts w:ascii="Amiri" w:hAnsi="Amiri" w:eastAsia="Amiri" w:cs="Amiri"/>
          <w:color w:val="111111"/>
          <w:sz w:val="28"/>
          <w:sz w:val="28"/>
          <w:szCs w:val="28"/>
          <w:rtl w:val="true"/>
          <w:lang w:bidi="ar-SA"/>
        </w:rPr>
        <w:t xml:space="preserve">وسماعة </w:t>
      </w:r>
      <w:r>
        <w:rPr>
          <w:rStyle w:val="FootnoteAnchor"/>
          <w:rtl w:val="true"/>
        </w:rPr>
        <w:footnoteReference w:id="102"/>
      </w:r>
      <w:r>
        <w:rPr>
          <w:rFonts w:ascii="Amiri" w:hAnsi="Amiri" w:eastAsia="Amiri" w:cs="Amiri"/>
          <w:color w:val="111111"/>
          <w:sz w:val="28"/>
          <w:sz w:val="28"/>
          <w:szCs w:val="28"/>
          <w:rtl w:val="true"/>
          <w:lang w:bidi="ar-SA"/>
        </w:rPr>
        <w:t>في الأوّل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ما مر من الشذوذ المخرج عن الحجية ، مع معارضتهما لحسنة زرارة </w:t>
      </w:r>
      <w:r>
        <w:rPr>
          <w:rStyle w:val="FootnoteAnchor"/>
          <w:rtl w:val="true"/>
        </w:rPr>
        <w:footnoteReference w:id="103"/>
      </w:r>
      <w:r>
        <w:rPr>
          <w:rFonts w:ascii="Amiri" w:hAnsi="Amiri" w:eastAsia="Amiri" w:cs="Amiri"/>
          <w:color w:val="111111"/>
          <w:sz w:val="28"/>
          <w:sz w:val="28"/>
          <w:szCs w:val="28"/>
          <w:rtl w:val="true"/>
          <w:lang w:bidi="ar-SA"/>
        </w:rPr>
        <w:t>، مضافا إلى ضعف الأولى من جهة الدلالة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أعثر له في الباقيين على حجة ، بل الأخبار على عدم النقض بالثاني مصرّحة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الحيض فيظهر من بعضهم كونه ناقضا للوضوء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وتظهر الفائدة في ما إذا كانت متوضّئة وحاضت وأرادت الاشتغال بما يشترط فيه الوضوء وجوبا ولا يمنعه الحيض ، كالنوم ، وفي النفساء حيث إنّ لا أقل للنفاس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كونه بنفسه ناقضا له ، للأصل وعدم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غسل فيه وضوء </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لا يثبت ناقضية الحيض ، لأنّه مع عدم إفادته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إلاّ على مطلوبية تقدم الوضوء على الغسل ، وهو لا يدل على مطلوبية وضوء آخر غير ما تقدم على سبب الغسل إلاّ بعد ثبوت انتقاضه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الانتقاض به أيضا ، كما يأتي في بحث غسل المس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قد ذكرنا أنّ هذه الأمور ليست أسبابا موجبة للوضوء ، وأمّا استحبابه بعروضها فالظاهر ثبوته في الجميع ، غير الحقنة والدم الخارج من السبيلين ، لما مرّ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أيضا للرعاف ، والقي‌ء ، والتخليل السائل منه الدم إذا استكره شي‌ء منها ، لصحيحة الحذّاء </w:t>
      </w:r>
      <w:r>
        <w:rPr>
          <w:rStyle w:val="FootnoteAnchor"/>
          <w:rtl w:val="true"/>
        </w:rPr>
        <w:footnoteReference w:id="108"/>
      </w:r>
      <w:r>
        <w:rPr>
          <w:rFonts w:ascii="Amiri" w:hAnsi="Amiri" w:eastAsia="Amiri" w:cs="Amiri"/>
          <w:color w:val="111111"/>
          <w:sz w:val="28"/>
          <w:sz w:val="28"/>
          <w:szCs w:val="28"/>
          <w:rtl w:val="true"/>
          <w:lang w:bidi="ar-SA"/>
        </w:rPr>
        <w:t xml:space="preserve">في الجميع ، والوشاء </w:t>
      </w:r>
      <w:r>
        <w:rPr>
          <w:rStyle w:val="FootnoteAnchor"/>
          <w:rtl w:val="true"/>
        </w:rPr>
        <w:footnoteReference w:id="109"/>
      </w:r>
      <w:r>
        <w:rPr>
          <w:rFonts w:ascii="Amiri" w:hAnsi="Amiri" w:eastAsia="Amiri" w:cs="Amiri"/>
          <w:color w:val="111111"/>
          <w:sz w:val="28"/>
          <w:sz w:val="28"/>
          <w:szCs w:val="28"/>
          <w:rtl w:val="true"/>
          <w:lang w:bidi="ar-SA"/>
        </w:rPr>
        <w:t>أيضا في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وخروج البلل بعد الاستبراء ، لمكاتبة محمّد بن عيسى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الاستنجاء بالماء من الغائط والبول للمتوضّئ قبله ولو كان قد استجمر ، لموثّقتي عمّار </w:t>
      </w:r>
      <w:r>
        <w:rPr>
          <w:rStyle w:val="FootnoteAnchor"/>
          <w:rtl w:val="true"/>
        </w:rPr>
        <w:footnoteReference w:id="111"/>
      </w:r>
      <w:r>
        <w:rPr>
          <w:rFonts w:ascii="Amiri" w:hAnsi="Amiri" w:eastAsia="Amiri" w:cs="Amiri"/>
          <w:color w:val="111111"/>
          <w:sz w:val="28"/>
          <w:sz w:val="28"/>
          <w:szCs w:val="28"/>
          <w:rtl w:val="true"/>
          <w:lang w:bidi="ar-SA"/>
        </w:rPr>
        <w:t xml:space="preserve">وسماعة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والظلم ، والكذب ، والزائد من الأربعة من باطل الشعر ، لموثقة سماعة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والغيبة ، لرواية الحسين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 المعاصي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والغضب ، للمروي في دعوات الراوندي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غضب أحدكم فليتوضأ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ولمس الكلب ، ومصافحة المجوسي ، للخبر فيهما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الوضوء الناقص لعذر بعد رفعه كالتقية والجبيرة ، خروجا من خلاف من أوجبه </w:t>
      </w:r>
      <w:bookmarkStart w:id="15" w:name="pg11612_110655"/>
    </w:p>
    <w:p>
      <w:pPr>
        <w:pStyle w:val="Heading3"/>
        <w:numPr>
          <w:ilvl w:val="2"/>
          <w:numId w:val="1"/>
        </w:numPr>
        <w:rPr/>
      </w:pPr>
      <w:bookmarkStart w:id="16" w:name="__RefHeading___Toc5524315_73709187"/>
      <w:bookmarkStart w:id="17" w:name="_Toc6"/>
      <w:bookmarkEnd w:id="15"/>
      <w:bookmarkEnd w:id="16"/>
      <w:r>
        <w:rPr>
          <w:rtl w:val="true"/>
        </w:rPr>
        <w:t xml:space="preserve">الفصل الثاني </w:t>
      </w:r>
      <w:r>
        <w:rPr>
          <w:rtl w:val="true"/>
        </w:rPr>
        <w:t xml:space="preserve">: </w:t>
      </w:r>
      <w:r>
        <w:rPr>
          <w:rtl w:val="true"/>
        </w:rPr>
        <w:t>في أقسامه</w:t>
      </w:r>
      <w:bookmarkEnd w:id="17"/>
    </w:p>
    <w:p>
      <w:pPr>
        <w:pStyle w:val="Heading4"/>
        <w:numPr>
          <w:ilvl w:val="3"/>
          <w:numId w:val="1"/>
        </w:numPr>
        <w:rPr/>
      </w:pPr>
      <w:bookmarkStart w:id="18" w:name="__RefHeading___Toc5524317_73709187"/>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 xml:space="preserve">وهو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ومندوب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فهاهنا بحثان</w:t>
      </w:r>
      <w:r>
        <w:rPr>
          <w:rFonts w:eastAsia="IRNazanin" w:cs="IRNazanin"/>
          <w:color w:val="111111"/>
          <w:sz w:val="28"/>
          <w:szCs w:val="28"/>
          <w:rtl w:val="true"/>
          <w:lang w:bidi="fa-IR"/>
        </w:rPr>
        <w:t>.</w:t>
      </w:r>
    </w:p>
    <w:p>
      <w:pPr>
        <w:pStyle w:val="Heading4"/>
        <w:numPr>
          <w:ilvl w:val="3"/>
          <w:numId w:val="1"/>
        </w:numPr>
        <w:rPr/>
      </w:pPr>
      <w:bookmarkStart w:id="20" w:name="__RefHeading___Toc5524319_73709187"/>
      <w:bookmarkStart w:id="21" w:name="_Toc8"/>
      <w:bookmarkEnd w:id="20"/>
      <w:r>
        <w:rPr>
          <w:rtl w:val="true"/>
        </w:rPr>
        <w:t xml:space="preserve">البحث الأوّل </w:t>
      </w:r>
      <w:r>
        <w:rPr>
          <w:rtl w:val="true"/>
        </w:rPr>
        <w:t xml:space="preserve">: </w:t>
      </w:r>
      <w:r>
        <w:rPr>
          <w:rtl w:val="true"/>
        </w:rPr>
        <w:t>في الواجب منه</w:t>
      </w:r>
      <w:bookmarkEnd w:id="21"/>
    </w:p>
    <w:p>
      <w:pPr>
        <w:pStyle w:val="BookText"/>
        <w:rPr/>
      </w:pPr>
      <w:r>
        <w:rPr>
          <w:rFonts w:ascii="Amiri" w:hAnsi="Amiri" w:eastAsia="Amiri" w:cs="Amiri"/>
          <w:color w:val="111111"/>
          <w:sz w:val="28"/>
          <w:sz w:val="28"/>
          <w:szCs w:val="28"/>
          <w:rtl w:val="true"/>
          <w:lang w:bidi="ar-SA"/>
        </w:rPr>
        <w:t>وهو يجب للصلاة الواجبة ، بالإجماع بل الضرورة والكتاب والسنة المتواترة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يجب لها شرعا يجب شرطا ، فيتوقف صحتها عليه أيضا بالأربعة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ويكفيك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جعفر المروي في الفقيه والتهذيب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والروايات الواردة في وجوب إعادة الصلاة بترك الوضوء ونسيانه أو نسيان جزء منه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أيضا دليل آخر على وجوبه الشرعي ، لوجوب مقدمة الواجب ، كما أنّ الأوّل أيضا دليل على الثاني باعتبار كون الأمر بالشي‌ء نهيا عن ضده ، فالأمر بالوضوء حال إرادة الصلاة نهي عنها موجب لفسادها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أكثر ما ذكر دليلا على الوجوبين يعم جميع الصلوات الواجبة يومية كانت أو غيرها ، فوجوبه شرعا وشرطا له مما 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صلاة الجنازة فليست صلاة حقيقة ، فلا ينافي العموم عدم وجوبه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على فرض كونها صلاة تكون مخصّصة بالأدلة الآتية في موضعه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بالصلاة أجزاؤها المنسية ، وسجود السهو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سجود </w:t>
      </w:r>
    </w:p>
    <w:p>
      <w:pPr>
        <w:pStyle w:val="BookText"/>
        <w:rPr/>
      </w:pPr>
      <w:r>
        <w:rPr>
          <w:rFonts w:ascii="Amiri" w:hAnsi="Amiri" w:eastAsia="Amiri" w:cs="Amiri"/>
          <w:color w:val="111111"/>
          <w:sz w:val="28"/>
          <w:sz w:val="28"/>
          <w:szCs w:val="28"/>
          <w:rtl w:val="true"/>
          <w:lang w:bidi="ar-SA"/>
        </w:rPr>
        <w:t xml:space="preserve">التلاوة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الكلام في كل منها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وللطواف الواجب دون المندوب ، وليس شرطا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كما يأتي في 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ولمسّ خط المصحف ، ووجب ، لحرمة مسّها بدونه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ولنذر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ومتعلقه إن تعين من وضوء أو غسل أو تيمم تعين ، وإلاّ كفى المسمّى مع مشروعيته في الصورتين ، فلا يكفي الوضوء مع غسل الجنابة ، أو غسل الجمعة يوم الأربعاء ، أو التيمم مع الماء ، لعدم كونه طهارة ، بل عدم ثبوت مشروعيته ، فلو نذره بخصوصه لم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نذره في وقت معيّن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صادف أحد أسبابه وجب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 لأنّه موقوف على صحة النذر ، وهو بإطلاقه ممنوع ، بل إطلاقه يصح إن كان المنذور راجحا مطلقا ، وإلاّ فلا ، فلا يصح نذر التيمم في وقت معين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يصادفه ، فمع تعذّر تحصيله يسقط قطعا ، كنذر غسل الجنابة غدا مع تعذّر تحصيل الجنابة ، أو نذر التيمم عند النوم مع تعذّر إعدام الماء على القول باشتراط عدمه حينئذ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إمكانه ، فإن كان فعل تلك الطهارة راجحا على ما هي عليه قبل حصول موجبه ، يجب تحصيل الموجب ما لم يكن محرما ، سواء كان تحصيل الموجب أيضا راجحا في نفسه كالجنابة لغسله ، أو لا كالحدث للوضوء الرافع على القول بكونه أفضل من التجديدي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يكن راجحا على ما هو عليه ، لم يجب ، لأنّ النذر إن شمل مثل تلك </w:t>
      </w:r>
    </w:p>
    <w:p>
      <w:pPr>
        <w:pStyle w:val="BookText"/>
        <w:rPr/>
      </w:pPr>
      <w:r>
        <w:rPr>
          <w:rFonts w:ascii="Amiri" w:hAnsi="Amiri" w:eastAsia="Amiri" w:cs="Amiri"/>
          <w:color w:val="111111"/>
          <w:sz w:val="28"/>
          <w:sz w:val="28"/>
          <w:szCs w:val="28"/>
          <w:rtl w:val="true"/>
          <w:lang w:bidi="ar-SA"/>
        </w:rPr>
        <w:t>الحال أيضا ، لم ينعقد ، لعدم الرجحان ، كالتيمم مع إهراق الماء لمن يجده ، فإنّ التيمم حينئذ ليس راجحا على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والدي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وجوب تحصيل الموجب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الوضوء أيضا للتحمل عن الغير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أريد ما يجب لأجل تحمل الصلاة ، فهو داخل في الوجوب لها ، وإن أريد غيره كما إذا نذر أحد الوضوء ومات قبل أن يأتي به ، فلم تثبت مشروعية التحمل فيه ، ولذا لم يذكره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الوضوء بنفسه على المعروف من مذهب الأصحاب ، كما في المدارك </w:t>
      </w:r>
      <w:r>
        <w:rPr>
          <w:rStyle w:val="FootnoteAnchor"/>
          <w:rtl w:val="true"/>
        </w:rPr>
        <w:footnoteReference w:id="124"/>
      </w:r>
      <w:r>
        <w:rPr>
          <w:rFonts w:ascii="Amiri" w:hAnsi="Amiri" w:eastAsia="Amiri" w:cs="Amiri"/>
          <w:color w:val="111111"/>
          <w:sz w:val="28"/>
          <w:sz w:val="28"/>
          <w:szCs w:val="28"/>
          <w:rtl w:val="true"/>
          <w:lang w:bidi="ar-SA"/>
        </w:rPr>
        <w:t xml:space="preserve">، وعن التذكرة </w:t>
      </w:r>
      <w:r>
        <w:rPr>
          <w:rStyle w:val="FootnoteAnchor"/>
          <w:rtl w:val="true"/>
        </w:rPr>
        <w:footnoteReference w:id="125"/>
      </w:r>
      <w:r>
        <w:rPr>
          <w:rFonts w:ascii="IRNazanin" w:hAnsi="IRNazanin" w:eastAsia="IRNazanin"/>
          <w:color w:val="111111"/>
          <w:sz w:val="28"/>
          <w:sz w:val="28"/>
          <w:szCs w:val="28"/>
          <w:rtl w:val="true"/>
          <w:lang w:bidi="fa-IR"/>
        </w:rPr>
        <w:t xml:space="preserve">والمحقق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قال الوحيد البهبهاني في حاشية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نقل جمع من الفقهاء الإجماع مثل العلامة في التذكرة والمحقق الشيخ علي والشهيد الثاني ونحوه في الذخيرة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والكركي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والعاملي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اللوامع والمعتمد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 بل 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أمالي الصدوق كون وجوبه لغيره خاصة من دين الإمامية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Style w:val="FootnoteAnchor"/>
          <w:rtl w:val="true"/>
        </w:rPr>
        <w:footnoteReference w:id="127"/>
      </w:r>
      <w:r>
        <w:rPr>
          <w:rFonts w:ascii="Amiri" w:hAnsi="Amiri" w:eastAsia="Amiri" w:cs="Amiri"/>
          <w:color w:val="111111"/>
          <w:sz w:val="28"/>
          <w:sz w:val="28"/>
          <w:szCs w:val="28"/>
          <w:rtl w:val="true"/>
          <w:lang w:bidi="ar-SA"/>
        </w:rPr>
        <w:t xml:space="preserve">، والإجماع الثابت من التتبع ، وممّا يعهد من فقهاء </w:t>
      </w:r>
    </w:p>
    <w:p>
      <w:pPr>
        <w:pStyle w:val="BookText"/>
        <w:rPr/>
      </w:pPr>
      <w:r>
        <w:rPr>
          <w:rFonts w:ascii="Amiri" w:hAnsi="Amiri" w:eastAsia="Amiri" w:cs="Amiri"/>
          <w:color w:val="111111"/>
          <w:sz w:val="28"/>
          <w:sz w:val="28"/>
          <w:szCs w:val="28"/>
          <w:rtl w:val="true"/>
          <w:lang w:bidi="ar-SA"/>
        </w:rPr>
        <w:t xml:space="preserve">الأعصار من عدم التزامهم رفع الحدث الأصغر عند ظن الوفاة لأنفسهم أو غيرهم ، ومفهوم الشرط في الآية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والإيراد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يدل على وجوبه عند إرادتها ، لعدم إمكان إبقاء القيام على حقيقته ، والإرادة تتحقق قبل الوقت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مردود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يكون مستعملا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بإطلاقه ، لعدم العلاقة ، فيكون مستعملا في أردتم القيام ، ولا يمكن أن يكون المراد بالقيام حقيقته ، لعدم وجوبه له بل للصلاة ، فيلزم المحذور المذكور ، مضافا إلى أنّه يصير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أردتم الصلاة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 لأنّ المستعمل في الصلاة هو القيام المأخوذ في المعنى المجازي دون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قبيل سبك المجاز من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يمنع جواز مثل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يمنع عدم وجوب الوضوء للقيام الذي هو جزء ، فيمكن إبقاء القيام المأخوذ في المعنى المجازي على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 الآية لا تصريح فيها بالوجوب للصلاة ، ولا ضير فيه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يستلزم الوجوب للكل ، فتأمل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غايته وجوبه قبل الوقت أيضا ، ولا مانع من كون الواجب لغيره واجبا قبل دخول وقت الغير كما يأتي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عدم إمكان إبقاء القيام على حقيقته ممنوع ، فإنّه إنّما هو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قمتم في الصلاة ، حتى تكون حقيقته هو القيام الذي هو جزؤها ، ولكنه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الصلاة ، والمتبادر من القيام إلى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إلى إيجاده ، وظاهر أنّ ذلك لا يكون الاّ وقت تأتّي ذلك الشي‌ء وإمكان إيجاده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وبأنّ حجية مفهوم الشرط إذا لم تظهر له فائدة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الاختصاص ، وإنّما هو إذا استدلّ عليها بأنّه لولاها لانتفت فائدة الشرط ، وهو غير تام ، بل المناط الفهم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المطلوب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الأخبار الواردة في علل الوضوء ، وأنّه للقيام بين يدي اللّه سبحانه </w:t>
      </w:r>
      <w:r>
        <w:rPr>
          <w:rStyle w:val="FootnoteAnchor"/>
          <w:rtl w:val="true"/>
        </w:rPr>
        <w:footnoteReference w:id="130"/>
      </w:r>
      <w:r>
        <w:rPr>
          <w:rFonts w:ascii="Amiri" w:hAnsi="Amiri" w:eastAsia="Amiri" w:cs="Amiri"/>
          <w:color w:val="111111"/>
          <w:sz w:val="28"/>
          <w:sz w:val="28"/>
          <w:szCs w:val="28"/>
          <w:rtl w:val="true"/>
          <w:lang w:bidi="ar-SA"/>
        </w:rPr>
        <w:t xml:space="preserve">، ومفهوم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الوقت وجب الصلاة والطهور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حيث إنّ الظاهر منه تعلّق الحكم بكلّ من المتعاطفين بانفراده حتى يكون رفعه برفعه عنهما ، لا على سبيل الاستغراق الأفرادي حتى يكون المراد مجرد صدق الكلية عند دخول الوقت ، وعدمه المتحقق بانتفاء الوجوب عن الصلاة وحدها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إرادة مجرد صدق الكلية يلغي ذكر الطهور لاستقلال الصلاة في الاشتراط ، إلاّ أنّ ذلك محتمل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بأخبار دالّة على الوجوب الغيري مثبتة له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غير جيد ، للوفاق على ثبوت الغيري ، والنزاع إنّما هو في نفي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وثبوته معه ، وتلك الأخبار لا تنفيه ، لعدم المنافاة بين الوجوبين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بعضها إشعار إلى نفيه ، كقول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أنام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حدث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أصبح </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مع قوله في 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لا يبيت ليلة ولله في عنقه حق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لمجهول نقله عنه في الذكرى </w:t>
      </w:r>
      <w:r>
        <w:rPr>
          <w:rStyle w:val="FootnoteAnchor"/>
          <w:rtl w:val="true"/>
        </w:rPr>
        <w:footnoteReference w:id="135"/>
      </w:r>
      <w:r>
        <w:rPr>
          <w:rFonts w:ascii="Amiri" w:hAnsi="Amiri" w:eastAsia="Amiri" w:cs="Amiri"/>
          <w:color w:val="111111"/>
          <w:sz w:val="28"/>
          <w:sz w:val="28"/>
          <w:szCs w:val="28"/>
          <w:rtl w:val="true"/>
          <w:lang w:bidi="ar-SA"/>
        </w:rPr>
        <w:t xml:space="preserve">،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جماعة ويظهر من </w:t>
      </w:r>
    </w:p>
    <w:p>
      <w:pPr>
        <w:pStyle w:val="BookText"/>
        <w:rPr/>
      </w:pPr>
      <w:r>
        <w:rPr>
          <w:rFonts w:ascii="Amiri" w:hAnsi="Amiri" w:eastAsia="Amiri" w:cs="Amiri"/>
          <w:color w:val="111111"/>
          <w:sz w:val="28"/>
          <w:sz w:val="28"/>
          <w:szCs w:val="28"/>
          <w:rtl w:val="true"/>
          <w:lang w:bidi="ar-SA"/>
        </w:rPr>
        <w:t xml:space="preserve">قواعد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العنبري من العامة </w:t>
      </w:r>
      <w:r>
        <w:rPr>
          <w:rStyle w:val="FootnoteAnchor"/>
          <w:rtl w:val="true"/>
        </w:rPr>
        <w:footnoteReference w:id="136"/>
      </w:r>
      <w:r>
        <w:rPr>
          <w:rFonts w:ascii="Amiri" w:hAnsi="Amiri" w:eastAsia="Amiri" w:cs="Amiri"/>
          <w:color w:val="111111"/>
          <w:sz w:val="28"/>
          <w:sz w:val="28"/>
          <w:szCs w:val="28"/>
          <w:rtl w:val="true"/>
          <w:lang w:bidi="ar-SA"/>
        </w:rPr>
        <w:t xml:space="preserve">، وإن كان ظاهر المدارك </w:t>
      </w:r>
      <w:r>
        <w:rPr>
          <w:rStyle w:val="FootnoteAnchor"/>
          <w:rtl w:val="true"/>
        </w:rPr>
        <w:footnoteReference w:id="137"/>
      </w:r>
      <w:r>
        <w:rPr>
          <w:rFonts w:ascii="IRNazanin" w:hAnsi="IRNazanin" w:eastAsia="IRNazanin"/>
          <w:color w:val="111111"/>
          <w:sz w:val="28"/>
          <w:sz w:val="28"/>
          <w:szCs w:val="28"/>
          <w:rtl w:val="true"/>
          <w:lang w:bidi="fa-IR"/>
        </w:rPr>
        <w:t xml:space="preserve">وبعض من تأخر عنه </w:t>
      </w:r>
      <w:r>
        <w:rPr>
          <w:rStyle w:val="FootnoteAnchor"/>
          <w:rtl w:val="true"/>
        </w:rPr>
        <w:footnoteReference w:id="138"/>
      </w:r>
      <w:r>
        <w:rPr>
          <w:rFonts w:ascii="Amiri" w:hAnsi="Amiri" w:eastAsia="Amiri" w:cs="Amiri"/>
          <w:color w:val="111111"/>
          <w:sz w:val="28"/>
          <w:sz w:val="28"/>
          <w:szCs w:val="28"/>
          <w:rtl w:val="true"/>
          <w:lang w:bidi="ar-SA"/>
        </w:rPr>
        <w:t xml:space="preserve">الميل إليه ، لاستفاضة النصوص الدالّة على وجوب الطهارة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 أحد نواقضها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ظهور الوجوب بنفسه في النفسي فهو ممنوع ، لأنّ الوجوب هو مطلوبية الشي‌ء حتما ، سواء كان مطلوبيته لأجل نفسه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الغيري يحتاج إلى ملاحظة مصلحة الغير والأصل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النفسي أيضا يحتاج إلى ملاحظة مصلحة في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يحتاج إلى ملاحظة الغير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يكون في أحد الطرفين مخالف أصل ، وفي الآخر مخالفين ، ولا ترجيح عندنا حينئذ ، مع أنّ في النفسي أيضا يحتاج إلى ملاحظة حيثية نفس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ظهور إطلاق الوجوب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أحدثت توضّأ ، أو يجب عليك الوضوء ، فهو كذلك لو قلنا باختصاص الوجوب الغيري لشي‌ء بوقت ذلك الغير وحال وجوب فعله كما هو المشهور إذ وجوبه الغيري حينئذ يوجب تخصيص ذلك الإطلاق بوقت أو حال هو وقت ذلك الغير ، والأصل عدمه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لم نقل بذلك ، وقلنا بوجوبه بعد وجوب ذلك الغير وإن لم يدخل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الأردبيلي </w:t>
      </w:r>
      <w:r>
        <w:rPr>
          <w:rStyle w:val="FootnoteAnchor"/>
          <w:rtl w:val="true"/>
        </w:rPr>
        <w:footnoteReference w:id="139"/>
      </w:r>
      <w:r>
        <w:rPr>
          <w:rFonts w:ascii="Amiri" w:hAnsi="Amiri" w:eastAsia="Amiri" w:cs="Amiri"/>
          <w:color w:val="111111"/>
          <w:sz w:val="28"/>
          <w:sz w:val="28"/>
          <w:szCs w:val="28"/>
          <w:rtl w:val="true"/>
          <w:lang w:bidi="ar-SA"/>
        </w:rPr>
        <w:t xml:space="preserve">وجماعة ممّن تأخّر عنه </w:t>
      </w:r>
      <w:r>
        <w:rPr>
          <w:rStyle w:val="FootnoteAnchor"/>
          <w:rtl w:val="true"/>
        </w:rPr>
        <w:footnoteReference w:id="140"/>
      </w:r>
      <w:r>
        <w:rPr>
          <w:rFonts w:ascii="Amiri" w:hAnsi="Amiri" w:eastAsia="Amiri" w:cs="Amiri"/>
          <w:color w:val="111111"/>
          <w:sz w:val="28"/>
          <w:sz w:val="28"/>
          <w:szCs w:val="28"/>
          <w:rtl w:val="true"/>
          <w:lang w:bidi="ar-SA"/>
        </w:rPr>
        <w:t xml:space="preserve">وهو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كذلك ، إذ يكون الوضوء بعد الحدث حينئذ واجبا على المكلّف ، دخل وقت الصلاة أم لا ، </w:t>
      </w:r>
    </w:p>
    <w:p>
      <w:pPr>
        <w:pStyle w:val="BookText"/>
        <w:rPr/>
      </w:pPr>
      <w:r>
        <w:rPr>
          <w:rFonts w:ascii="Amiri" w:hAnsi="Amiri" w:eastAsia="Amiri" w:cs="Amiri"/>
          <w:color w:val="111111"/>
          <w:sz w:val="28"/>
          <w:sz w:val="28"/>
          <w:szCs w:val="28"/>
          <w:rtl w:val="true"/>
          <w:lang w:bidi="ar-SA"/>
        </w:rPr>
        <w:t>فلا يرتكب تخصيص في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واجب ، نفسيا كان أم غيريا ، فلا ينصرف إلى أحدهما إلاّ بدليل ، ولا دليل على الانصراف إلى النفسي إلاّ تخصيص المطلقات على الغيري خاصة ، ولا تخصيص على ذلك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قلنا من أن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توقّف وجوب ما يجب لغيره على دخول وقت ذلك الغير ، بل يتوقّف على وجوبه ، فتوضيحه بعد مقدمة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قال الآمر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أول رجب ، تحصل للمأمور حالة غير ما كانت عليه قبل ذلك الأمر ، وهي صيرورته مكلّفا بصوم أول رجب ، فيصير صوم أول رجب واجبا عليه وإن لم يدخل بعد وقت فعله ، إذ لا يتوقّف وجوب الشي‌ء على دخول وقته ، فإنّ الوجوب هو المطلوبية الحتمية ، ويصدق على هذا الشخص أنّه مطلوب منه صوم أول رجب حتما ، وعلى صوم أول رجب أنّه مطلوب حتما ، بخلاف 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أول رجب آمرك بصومه ، فإنّه لم يجب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الفقهاء في التوكيل التنجيزي والتعليقي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أن يقول 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وكيلي أن تفعل في الشهر الآتي كذا ، بأن يكون الآتي ظرفا للفعل دون التوكيل ، ولا يصح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الشهر الآتي أنت وكيلي ، بأن يكون الشهر ظرفا للتوكيل ، فإنّ التوكيل في الأوّل تنجيزي وفي الثاني تعليقي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شي‌ء لشي‌ء آخر ، فما لم يجب ذلك الآخر لا يجب هذا البتة ، إذ وجوبه تبعي ، وهو فرع وجوب متبوعه ، أي تعلّق الأمر به ، ولكن لا دليل على توقّف وجوبه على دخول وقته ، بل يرى أنّه لو أتى بذلك الغير قبل وقت ذلك يكفي ويعدّ ممتثلا ، فلو أمر المستطيع الذي بينه وبين مكة عشرة أيام بالحج ، فذهب إلى مكّة قبل الموسم بشهرين كفى ولو أمره بوجوب المقدمة صريحا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الأصل عدم تقييد وجوبه بوجوب ذلك الغير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أحدثت يجب عليك الوضوء من جهة الصلاة ، فالأصل عدم تقييد وجوبه بوقت الصلاة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ستر العورة لأجلها</w:t>
      </w:r>
      <w:r>
        <w:rPr>
          <w:rFonts w:eastAsia="Amiri" w:cs="Amiri" w:ascii="Amiri" w:hAnsi="Amiri"/>
          <w:color w:val="111111"/>
          <w:sz w:val="28"/>
          <w:szCs w:val="28"/>
          <w:rtl w:val="true"/>
          <w:lang w:bidi="ar-SA"/>
        </w:rPr>
        <w:t xml:space="preserve">. </w:t>
      </w:r>
      <w:bookmarkStart w:id="22" w:name="pg11612_110662"/>
    </w:p>
    <w:p>
      <w:pPr>
        <w:pStyle w:val="BookText"/>
        <w:rPr/>
      </w:pPr>
      <w:bookmarkEnd w:id="22"/>
      <w:r>
        <w:rPr>
          <w:rFonts w:ascii="Amiri" w:hAnsi="Amiri" w:eastAsia="Amiri" w:cs="Amiri"/>
          <w:color w:val="111111"/>
          <w:sz w:val="28"/>
          <w:sz w:val="28"/>
          <w:szCs w:val="28"/>
          <w:rtl w:val="true"/>
          <w:lang w:bidi="ar-SA"/>
        </w:rPr>
        <w:t>غاية الأمر أنّ وجوبه موسّع لا يتضيّق إلاّ بحال إرادة الصلاة المتصلة ، ولذا لو توضأ أو ستر العورة قبل وقتها يمتثل ، فهو واجب موسّع من أول حدوث السبب إلى أوّل زمان التلبس بذلك الغير ، وهو مخيّر بين جميع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عقاب لو تركه قبل وقت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بعده قبل تضيق وقت الغير ، وذلك لأجل أنّ هذا شأن الموسّع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سلّمت أنّ وجوب شي‌ء لغيره يتوقف على وجوبه ، وهو قبل الوقت غير معلوم لإمكان عدم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الاستصحابي كاف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مما ذكرنا أنّه لا تترتب ثمرة نافعة على ذلك الخلاف ، إذ أنفع ما قالوه جواز نية الوجوب قبل الوقت ، وعلى ما ذكرنا يجوز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الغيري وإن لم يتوقف على وقت ذلك الغير ، ولكن خصوص الوضوء كذلك ،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الوقت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لعدم صراحة دلالته على ذلك واحتمال غيره كما مر</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5524321_73709187"/>
      <w:bookmarkStart w:id="24" w:name="_Toc9"/>
      <w:bookmarkEnd w:id="23"/>
      <w:r>
        <w:rPr>
          <w:rtl w:val="true"/>
        </w:rPr>
        <w:t xml:space="preserve">البحث الثاني </w:t>
      </w:r>
      <w:r>
        <w:rPr>
          <w:rtl w:val="true"/>
        </w:rPr>
        <w:t xml:space="preserve">: </w:t>
      </w:r>
      <w:r>
        <w:rPr>
          <w:rtl w:val="true"/>
        </w:rPr>
        <w:t>في الوضوء المستحب</w:t>
      </w:r>
      <w:bookmarkEnd w:id="24"/>
    </w:p>
    <w:p>
      <w:pPr>
        <w:pStyle w:val="BookText"/>
        <w:rPr/>
      </w:pPr>
      <w:r>
        <w:rPr>
          <w:rFonts w:ascii="Amiri" w:hAnsi="Amiri" w:eastAsia="Amiri" w:cs="Amiri"/>
          <w:color w:val="111111"/>
          <w:sz w:val="28"/>
          <w:sz w:val="28"/>
          <w:szCs w:val="28"/>
          <w:rtl w:val="true"/>
          <w:lang w:bidi="ar-SA"/>
        </w:rPr>
        <w:t xml:space="preserve">وهو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يستحب باعتبار السبب ، وهو ما ندبه الشارع للمتطهّر بحصول سبب موجب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الغاية وهو ما ندبه للمكلّف للتوصّل إلى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فأقسامه ما مرّ في بحث أسباب الوضوء ، والكلام ها هنا في الثاني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ثبوت هذا القسم من الوضوء المستحب ، إمّا يكون بتصريح الشارع </w:t>
      </w:r>
    </w:p>
    <w:p>
      <w:pPr>
        <w:pStyle w:val="BookText"/>
        <w:rPr/>
      </w:pPr>
      <w:r>
        <w:rPr>
          <w:rFonts w:ascii="Amiri" w:hAnsi="Amiri" w:eastAsia="Amiri" w:cs="Amiri"/>
          <w:color w:val="111111"/>
          <w:sz w:val="28"/>
          <w:sz w:val="28"/>
          <w:szCs w:val="28"/>
          <w:rtl w:val="true"/>
          <w:lang w:bidi="ar-SA"/>
        </w:rPr>
        <w:t>بمطلوبيته للأمر الفلاني ، أو يتوقف حصول مندوب أو جوازه عليه ، لأنّ مقدمة المندوب مندوبة ، ولا فرق في ذلك بين كون ما يتوقف عليه نفس فعل مطلوب ، أو مرتبة من مراتب 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مرجوحية فعل مباح بدون الوضوء ، فهي لا تدل على مطلوبية الوضوء لأجل فعل ذلك ، إذ غايتها توقف ارتفاع كراهة المباح على الطهارة ، ولا دلالة لذلك على مطلوبيتها له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أدرج جماعة بعض ما من هذا القبيل في أقسام الوضوء المستحب </w:t>
      </w:r>
      <w:r>
        <w:rPr>
          <w:rStyle w:val="FootnoteAnchor"/>
          <w:rtl w:val="true"/>
        </w:rPr>
        <w:footnoteReference w:id="141"/>
      </w:r>
      <w:r>
        <w:rPr>
          <w:rFonts w:ascii="Amiri" w:hAnsi="Amiri" w:eastAsia="Amiri" w:cs="Amiri"/>
          <w:color w:val="111111"/>
          <w:sz w:val="28"/>
          <w:sz w:val="28"/>
          <w:szCs w:val="28"/>
          <w:rtl w:val="true"/>
          <w:lang w:bidi="ar-SA"/>
        </w:rPr>
        <w:t>وهو في غير 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 مشروعية ضم تلك الغاية في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فالأولى أن نذكر ما كان من هذا القبيل بعنوان آخر ، أو يدرج في أحكام الوضوء كما فعلوه 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من ذلك أنّ ها هنا ثلاث عنوانات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المستحب باعتبار الأسباب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 باعتبار 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الرافع لكراهة بعض المباحات للمحدث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أقسام كثيرة باعتبار الغايات ، 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المندوبة ، لاشتراطها به بالإجماع</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ثلاثة أثلاث ، ثلث طهور </w:t>
      </w:r>
      <w:r>
        <w:rPr>
          <w:rFonts w:eastAsia="Amiri" w:cs="Amiri" w:ascii="Amiri" w:hAnsi="Amiri"/>
          <w:color w:val="111111"/>
          <w:sz w:val="28"/>
          <w:szCs w:val="28"/>
          <w:rtl w:val="true"/>
          <w:lang w:bidi="ar-SA"/>
        </w:rPr>
        <w:t xml:space="preserve">.. » </w:t>
      </w:r>
      <w:r>
        <w:rPr>
          <w:rStyle w:val="FootnoteAnchor"/>
          <w:rtl w:val="true"/>
        </w:rPr>
        <w:footnoteReference w:id="14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ثمانية لا تقبل منهم صلاة ومنهم تارك الوضوء </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وقوله عليه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ذكرت وأنت في صلاتك أنّك تركت شيئا من وضوئك فانصرف </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 المستحب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على الاشتراط بإطلاق ما دل على وجوب إعادة الصلاة على من نسي الوضوء أو شيئا منه ونحوه غير جيّد ، لعدم الوجوب في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الجنازة كما يذكر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المندوب كما يأتي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يشترط فيه الطهارة من مناسك الحج ، لصحيحة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يقضي المناسك كلها على غير وضوء إلاّ الطواف فإنّ فيه صلاة ، والوضوء أفضل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كتابة المصحف المندوب ، وتلاوته ، وكتابته ، وتعليقه وحمله ، للشهرة الكافية في إثبات الاستحباب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في الأوّل إلى اشتراط جواز مسه به ، وفي الثاني إلى المرويات في قرب الإسناد وعدة الداعي والخصال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المصحف ثمَّ يأخذني البول ، فأقوم وأبول وأستنجي وأغسل يدي وأعود إلى المصحف ، فأقرأ فيه؟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حتى تتوضأ للصلاة </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دلّ على مرجوحية التلاوة المستحبة بدون الوضوء ، فيتوقف كمالها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الوضوء فيكون مطلوبا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لقارئ القرآن بكل حرف يقرؤه في الصلاة قائما مائة حسنة ، </w:t>
      </w:r>
    </w:p>
    <w:p>
      <w:pPr>
        <w:pStyle w:val="BookText"/>
        <w:rPr/>
      </w:pPr>
      <w:r>
        <w:rPr>
          <w:rFonts w:ascii="Amiri" w:hAnsi="Amiri" w:eastAsia="Amiri" w:cs="Amiri"/>
          <w:color w:val="111111"/>
          <w:sz w:val="28"/>
          <w:sz w:val="28"/>
          <w:szCs w:val="28"/>
          <w:rtl w:val="true"/>
          <w:lang w:bidi="ar-SA"/>
        </w:rPr>
        <w:t xml:space="preserve">وقاعدا خمسون ، ومتطهرا في غير الصلاة خمس وعشرون حسنة ، وغير متطهر عشر حسنات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دل على توقف بعض كمال القراءة عليه ، فيستحب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يقرأ العبد القرآن إذا كان على غير طهور حتى يتطهر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يتم الاستدلال ، واستلزام بعض أفراد القراءة للقرب لا يستلزم الاستحباب للقراءة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ظاهر إطلاق كلام الأصحاب ومقتضى إطلاق باقي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التفرقة بين التلاوة من المصحف أو من ظهر القلب ، فيستحب الوضوء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الثالث إلى مطلقات ما دل على مرجوحية مس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على مس الورق اللازم للكتابة الراجحة بنفسها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غير وضوء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والاستدلال له بصحيحة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أيحل له أن يكتب القرآن وهو على غير وضوء؟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غير جيد ، لأنّ حمل عدم الحلية على الكراهة ليس بأولى من تقييد الكتابة بما كان معها مس 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الرابع إلى خبر ابن عبد الحميد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تمسه على غير طهر ولا جنبا ، ولا تمس خطه ، ولا تعلّقه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والاستدلال به وبالمروي في المنتهى والذكرى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يمس المصحف إلاّ الطاهر </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للخامس مخدوش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الحمل غير المس ، وبينهما عموم من وجه ، كالاستدلال برواية الخصال على النسخة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النسخ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المساجد ، للمروي في مجالس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أتاها متطهرا طهّره اللّه من ذنوبه وكتب من زوّاره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مصباح الشريعة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قصدت باب المسجد فاعلم أنّك قصدت باب ملك عظيم لا يطأ بساطه إلاّ المطهّرون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بيوتي في الأرض المساجد ، فطوبى لعبد تطهر في بيته ثمَّ زارني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أحسن الطهور ثمَّ مشى إلى المسجد فهو في الصلاة ما لم يحدث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والإيراد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ثبوت الحقيقة الشرعية في الطهارة في المعنى المراد ممكن ، إلاّ أنّ قوله في الأخير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كالقرينة على إرادته ، ولكن الثابت منه استحباب الوضوء ثمَّ المشي الى المسجد دون الوضوء لدخول المسجد ، وكذا المروي في إعلام الدين للديلمي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توضأ ثمَّ خرج إلى المسجد فقال حين يخرج من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الذي خلقني فهو يهدين ، هداه اللّه للإيمان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فالاقتصار في الاستدلال على الاشتهار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والتمسك باستحباب صلاة التحية المتوقفة على الوضوء غير جيد ، وقد يضم معه استحباب المبادرة إليها وكراهة الوضوء في المسجد ، ولا بأس به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ويتأكد الاستحباب إذا أراد الجلوس ، لمرسلة العلاء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 المسجد وأنت تريد الجلوس فلا تدخله إلاّ طاهرا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دلالتها على التأكيد </w:t>
      </w:r>
      <w:r>
        <w:rPr>
          <w:rStyle w:val="FootnoteAnchor"/>
          <w:rtl w:val="true"/>
        </w:rPr>
        <w:footnoteReference w:id="160"/>
      </w:r>
      <w:r>
        <w:rPr>
          <w:rFonts w:ascii="Amiri" w:hAnsi="Amiri" w:eastAsia="Amiri" w:cs="Amiri"/>
          <w:color w:val="111111"/>
          <w:sz w:val="28"/>
          <w:sz w:val="28"/>
          <w:szCs w:val="28"/>
          <w:rtl w:val="true"/>
          <w:lang w:bidi="ar-SA"/>
        </w:rPr>
        <w:t>إنما تتم لو دلّت على اختصاص الاستحباب به حتى يحمل على مرتبة مؤكدة منه ، ولا تدل عليه إلاّ بمفهوم وصف لا حجية فيه ، ولعله لذلك لم يذكره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 ابن حمزة بالمسجد كل مكان شريف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 على الطهارة ، أي لمجرد كونه غير محدث ذا حالة يصلح معها ما يشترط به من دون قصد شي‌ء آخر من غاياته ، فيكون الغرض منه هذا الأثر في نفسه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الكون على الوضوء أمر مستحب ، وهو موقوف على التوضؤ توقف المسبب على السبب ، فيستحب لأجل ذلك وإن لم يكن له غاية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والحجة في استحباب ذلك الكون 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الوضوء أفضل على كل حال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منها الكون على الوضوء لا الإتيان به ، لمكان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والكون عليه يتوقف على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في مجالس ابن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استطعت أن تكون في الليل والنهار على طهارة فافعل ، فإنّك تكون إذا متّ على طهارة شهيدا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بالطهارة فيه الطهارة من الحدث وإن لم تثبت الحقيقة الشرعية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والمروي في نوادر الراوندي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أصحاب رسول اللّه صلی اللّه عليه وآله إذا بالوا توضؤوا مخافة أن تدركهم الساعة </w:t>
      </w:r>
      <w:r>
        <w:rPr>
          <w:rFonts w:eastAsia="IRNazanin" w:cs="IRNazanin"/>
          <w:color w:val="111111"/>
          <w:sz w:val="28"/>
          <w:szCs w:val="28"/>
          <w:rtl w:val="true"/>
          <w:lang w:bidi="fa-IR"/>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يعني مخافة أن تدركهم وهم محدثون ، </w:t>
      </w:r>
    </w:p>
    <w:p>
      <w:pPr>
        <w:pStyle w:val="BookText"/>
        <w:rPr/>
      </w:pPr>
      <w:r>
        <w:rPr>
          <w:rFonts w:ascii="Amiri" w:hAnsi="Amiri" w:eastAsia="Amiri" w:cs="Amiri"/>
          <w:color w:val="111111"/>
          <w:sz w:val="28"/>
          <w:sz w:val="28"/>
          <w:szCs w:val="28"/>
          <w:rtl w:val="true"/>
          <w:lang w:bidi="ar-SA"/>
        </w:rPr>
        <w:t>فتدل على استحباب الكون على الطهارة في 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بمرغبات التطهير والوضوء ، والدالّة على الثواب على كل فعل منه على ذلك غير جيد ، إذ لا يثبت منها إلاّ استحباب هذا الفعل لا لأجل ذلك الأثر الخاص ، فإنّها تدل على الثواب عليه ولو كان تجديديا ، مع أنّه غير محصّل لذلك الأثر ، واستحبابه بنفسه غير استحباب ذلك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بعضهم منهم والدي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هذا القسم من الوضوء مراد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مستحب بنفسه ، فمراده من الوضوء ليس نفس الفعل ، بل الكون على الوضوء ، فإنّهم بعد ما يذكرون غايات ذلك الكون يقولون إنه بنفسه أيضا مستحب ، فلا يرد ما قيل من أنّ هذا غير الاستحباب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يستحب هذا الفعل بنفسه أم لا؟ مقتضى الأصل وعدم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والاستدلال عليه بمطلقات الأمر بالوضوء ومرغباته ، سيما بعد الحدث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أحدث ولم يتوضّأ فقد جفاني </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والدالّة على الثواب عليه لا يفيد ، إذ يمكن أن يكون ذلك لاستحبابه الغيري الثابت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التأهب للفريضة قبل وقتها ، لاستحباب الصلاة في أول وقتها الحقيقي الموقوفة على الوضوء قبله ، لا لأجل مطلق أخبار فضيلة أول الوقت ، لأنّ المراد منه الأوّل العرفي الغير المتوقف على الوضوء قبله ، بل للأمر بالمسارعة والاستباق ولما دل على أفضلية الأوّل فالأوّل المثبت لأفضلية الحقيقي أيضا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يختص الاستحباب بمن يتمكن من إيقاعها في أول الوقت وإن لم يرده ، حيث ان استحباب شي‌ء لا يتوقف على إرادته ، أو يستحب لمن يعلم عدم تمكنه منه أيضا؟ مقتضى الدليل المذكور وبضميمة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بالثاني </w:t>
      </w:r>
      <w:r>
        <w:rPr>
          <w:rStyle w:val="FootnoteAnchor"/>
          <w:rtl w:val="true"/>
        </w:rPr>
        <w:footnoteReference w:id="166"/>
      </w:r>
      <w:r>
        <w:rPr>
          <w:rFonts w:ascii="Amiri" w:hAnsi="Amiri" w:eastAsia="Amiri" w:cs="Amiri"/>
          <w:color w:val="111111"/>
          <w:sz w:val="28"/>
          <w:sz w:val="28"/>
          <w:szCs w:val="28"/>
          <w:rtl w:val="true"/>
          <w:lang w:bidi="ar-SA"/>
        </w:rPr>
        <w:t xml:space="preserve">، للأمر بالمسارعة وإطلاق المروي 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وقّر الصلاة من أخّر الطهارة حتى يدخل وقتها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يخصّ استحباب التأهب بمن علم عدم تيسّر الوضوء له بعد دخول الوقت أو خاف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ذلك ليس تأهّبا ، مع أنّ الظاهر حينئذ وجوب التوضؤ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التجديد لكل صلاة ، للاشتهار والمستفيضة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الدعائم عن النبيّ والوصيّ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يجدّدان الوضوء لكل صلاة ، يبتغيان بذلك الفضل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عليه السلام فصلى الظهر والعصر بين يدي ، وجلست عنده حتى حضرت المغرب فدعا بوضوء فتوضأ للصلاة ، ثمَّ 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أنا على وضوء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 على وضوء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تجديد الوضوء لصلاة العشاء يمحو لا واللّه وبلى واللّه </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وضعفها سندا غير ضائر 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مطلقا </w:t>
      </w:r>
      <w:r>
        <w:rPr>
          <w:rStyle w:val="FootnoteAnchor"/>
          <w:rtl w:val="true"/>
        </w:rPr>
        <w:footnoteReference w:id="171"/>
      </w:r>
      <w:r>
        <w:rPr>
          <w:rFonts w:ascii="Amiri" w:hAnsi="Amiri" w:eastAsia="Amiri" w:cs="Amiri"/>
          <w:color w:val="111111"/>
          <w:sz w:val="28"/>
          <w:sz w:val="28"/>
          <w:szCs w:val="28"/>
          <w:rtl w:val="true"/>
          <w:lang w:bidi="ar-SA"/>
        </w:rPr>
        <w:t xml:space="preserve">، لمرسلة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الوضوء على الوضوء نور على نور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جدد وضوءه لغير حدث جدد اللّه توبته من غير استغفار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ومرسلة سعدان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الطهر على الطهر عشر حسنات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تعارضها موثقة ابن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استيقنت أنك قد توضأت فإياك أن تحدث وضوءا أبدا حتى تستيقن أنك قد أحدثت </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لأنها أعم مطلقا منها باعتبار شمولها للتوضؤ على جهة الابتداء والوجوب واعتقاد بطلان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المستحب لكل صلاة إنما هو مرة واحدة ، لأنها الظاهرة من الروايات ، والثابتة اشتهاره بين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مطلقا </w:t>
      </w:r>
      <w:r>
        <w:rPr>
          <w:rStyle w:val="FootnoteAnchor"/>
          <w:rtl w:val="true"/>
        </w:rPr>
        <w:footnoteReference w:id="176"/>
      </w:r>
      <w:r>
        <w:rPr>
          <w:rFonts w:ascii="Amiri" w:hAnsi="Amiri" w:eastAsia="Amiri" w:cs="Amiri"/>
          <w:color w:val="111111"/>
          <w:sz w:val="28"/>
          <w:sz w:val="28"/>
          <w:szCs w:val="28"/>
          <w:rtl w:val="true"/>
          <w:lang w:bidi="ar-SA"/>
        </w:rPr>
        <w:t>فالظاهر استحبابه مطلقا ، للإطلاقات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يستثنى الكثرة المفرطة بحكم العرف والعادة ،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الحاجة الراجحة شرعا ، لخبر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طلب حاجة وهو على غير وضوء فلم تقض فلا يلومنّ إلاّ نفسه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وجه تخصيصنا بالراجحة مع إطلاق الجماعة مما مر في صدر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قبور المؤمنين ، لقول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رواية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كاف في المقام ، سيما مع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 لرواية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تطهر ثمَّ آوى إلى فراشه بات وفراشه كمسجده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في ثواب الأعمال والمحاسن ، وزاد في الأخير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ذكر أنه ليس على وضوء فيتيمم من دثاره كائنا ما كان ، لم يزل في صلاة ما ذكر اللّه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وتلك الزيادة قرينة على إرادة الوضوء من الطهارة ، فلا يرد عدم ثبوت الحقيقة الشرعية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ويتأكد لنوم الجنب ، لا لصحيحة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 أينبغي له أن ينام وهو جنب؟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ذلك حتى يتوضأ </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 لما مر في أول المبحث ، بل لما في الغنية والمنتهى وظاهر التذكرة والمعتبر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ولا يخفى أن معقد الإجماع في كلام المذكورين هو كراهة النوم للجنب قبل أن يتوضأ وقد ناقش المصنف في صدر البحث في كفايتها لإثبات استحباب الوضوء ولهذا لم يستدل بصحيحة الحلبي ، والمظنون أنه اعتمد في نقل الإجماع عن هؤلاء على نقل كشف اللثام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الاستدلال بصحيح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الغنية والمنتهى وظاهر المعتبر والتذكرة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يجنب ثمَّ يريد النوم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 أن يتوضأ فليفعل والغسل أفضل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الحائض ، كما يأتي في باب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تغسيل الجنب الميت وجماع غاسله ، لحسنة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يغسّل الميت أو غسّل ميتا ، أله أن يأتي أهله ثمَّ يغتسل؟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 لا بأس بذلك إذا كان جنبا غسل يديه وتوضأ وغسل الميت ، وإن غسل ميتا توضأ ثمَّ أتى أهله ، ويجزيه غسل واحد لهما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تغسل جنبا فتوضأ للصلاة ثمَّ اغسله ، وإذا أردت الجماع بعد غسلك الميت من قبل أن تغتسل من غسله فتوضأ ثمَّ جامع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 يظهر ضعف تخصيص بعض المتأخرين الثاني بما إذا كان كالأول </w:t>
      </w:r>
      <w:r>
        <w:rPr>
          <w:rStyle w:val="FootnoteAnchor"/>
          <w:rtl w:val="true"/>
        </w:rPr>
        <w:footnoteReference w:id="186"/>
      </w:r>
      <w:r>
        <w:rPr>
          <w:rFonts w:ascii="Amiri" w:hAnsi="Amiri" w:eastAsia="Amiri" w:cs="Amiri"/>
          <w:color w:val="111111"/>
          <w:sz w:val="28"/>
          <w:sz w:val="28"/>
          <w:szCs w:val="28"/>
          <w:rtl w:val="true"/>
          <w:lang w:bidi="ar-SA"/>
        </w:rPr>
        <w:t>، لاختصاص ظاهر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الميت في قبره ، لخبر محمّد والحلبي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توضأ إذا أدخلت الميت القبر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تتوضأ إذا أدخلت القبر الميت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دلالتهما موقوفة على تجوز أن إضمار لا قرينة عليه ، إلاّ أن يدّعى الإجماع على عدم استحباب الوضوء بعد الإدخال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وطء جارية بعد أخرى ، لمرسلة التميمي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أتى الرجل جاريته ثمَّ أراد أن يأتي الأخرى توضأ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منها يطرّد الحكم في غير الجارية من النسوان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خبر الوشاء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أبو عبد اللّه عليه السلام إذا جامع وأراد أن يجامع أخرى توضأ وإذا أراد أيضا توضأ للصلاة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دلائل الحميري عن الحسن بن علي الوشاء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فلان بن 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أبا عبد اللّه عليه السلام كان إذا أراد أن يعاود أهله للجماع توضأ وضوء الصلاة فأحب أن تسأل أبا الحسن الثاني عليه السلام عن ذلك ، قال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فابتدأني من غير أن أسأله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عليه السلام إذا جامع وأراد أن يعاود توضأ وضوء الصلاة ، وإذا أراد أيضا توضأ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نقل عنه في البحار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والحدائق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والوسائل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الوضوء 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تعدّوا إلى معاودة المجامع إلى الجماع قبل الغسل مطلقا ، للمروي في كشف الغمة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أبو عبد اللّه عليه السلام إذا جامع وأراد أن يعاود توضأ للصلاة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دلالته على الاستحباب نظر ، لجواز أن يكون لارتفاع الكراهة ، ولذا جعلنا خبر الوشاء مؤيدا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عن المبسوط نفي الخلاف فيه </w:t>
      </w:r>
      <w:r>
        <w:rPr>
          <w:rStyle w:val="FootnoteAnchor"/>
          <w:rtl w:val="true"/>
        </w:rPr>
        <w:footnoteReference w:id="192"/>
      </w:r>
      <w:r>
        <w:rPr>
          <w:rFonts w:ascii="Amiri" w:hAnsi="Amiri" w:eastAsia="Amiri" w:cs="Amiri"/>
          <w:color w:val="111111"/>
          <w:sz w:val="28"/>
          <w:sz w:val="28"/>
          <w:szCs w:val="28"/>
          <w:rtl w:val="true"/>
          <w:lang w:bidi="ar-SA"/>
        </w:rPr>
        <w:t>، وهو كاف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المحتلم ، كما في نهاية الشيخ والمهذب والوسيلة والمعتبر والنزهة </w:t>
      </w:r>
      <w:r>
        <w:rPr>
          <w:rStyle w:val="FootnoteAnchor"/>
          <w:rtl w:val="true"/>
        </w:rPr>
        <w:footnoteReference w:id="193"/>
      </w:r>
      <w:r>
        <w:rPr>
          <w:rFonts w:ascii="Amiri" w:hAnsi="Amiri" w:eastAsia="Amiri" w:cs="Amiri"/>
          <w:color w:val="111111"/>
          <w:sz w:val="28"/>
          <w:sz w:val="28"/>
          <w:szCs w:val="28"/>
          <w:rtl w:val="true"/>
          <w:lang w:bidi="ar-SA"/>
        </w:rPr>
        <w:t xml:space="preserve">وغيرها </w:t>
      </w:r>
      <w:r>
        <w:rPr>
          <w:rStyle w:val="FootnoteAnchor"/>
          <w:rtl w:val="true"/>
        </w:rPr>
        <w:footnoteReference w:id="194"/>
      </w:r>
      <w:r>
        <w:rPr>
          <w:rFonts w:ascii="Amiri" w:hAnsi="Amiri" w:eastAsia="Amiri" w:cs="Amiri"/>
          <w:color w:val="111111"/>
          <w:sz w:val="28"/>
          <w:sz w:val="28"/>
          <w:szCs w:val="28"/>
          <w:rtl w:val="true"/>
          <w:lang w:bidi="ar-SA"/>
        </w:rPr>
        <w:t xml:space="preserve">، لفتوى هؤلاء الأجلة ، لا لمرسلة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أن يغشى الرجل المرأة وقد احتلم حتى يغتسل من احتلامه </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كما قيل </w:t>
      </w:r>
      <w:r>
        <w:rPr>
          <w:rStyle w:val="FootnoteAnchor"/>
          <w:rtl w:val="true"/>
        </w:rPr>
        <w:footnoteReference w:id="196"/>
      </w:r>
      <w:r>
        <w:rPr>
          <w:rFonts w:ascii="Amiri" w:hAnsi="Amiri" w:eastAsia="Amiri" w:cs="Amiri"/>
          <w:color w:val="111111"/>
          <w:sz w:val="28"/>
          <w:sz w:val="28"/>
          <w:szCs w:val="28"/>
          <w:rtl w:val="true"/>
          <w:lang w:bidi="ar-SA"/>
        </w:rPr>
        <w:t>، فإنّ الاستدلال بها له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المرأة على زوجها ليلة زفافها ، فيستحب التوضؤ ، لخبر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 إن شاء اللّه فمرها قبل أن تصل إليك أن تكون متوضئة ، ثمَّ لا تصل إليها حتى تتوضأ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جلوس القاضي في مجلس القضاء ، كما ذكره في النزهة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بأس بإثبات الاستحباب به ، وإلاّ فلم أظفر فيه على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تكفين الميت إذا كفّنه من غسّله قبل اغتساله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الأغسال المسنونة ، كما في الكافي والبيان والنفلية </w:t>
      </w:r>
      <w:r>
        <w:rPr>
          <w:rStyle w:val="FootnoteAnchor"/>
          <w:rtl w:val="true"/>
        </w:rPr>
        <w:footnoteReference w:id="199"/>
      </w:r>
      <w:r>
        <w:rPr>
          <w:rFonts w:ascii="Amiri" w:hAnsi="Amiri" w:eastAsia="Amiri" w:cs="Amiri"/>
          <w:color w:val="111111"/>
          <w:sz w:val="28"/>
          <w:sz w:val="28"/>
          <w:szCs w:val="28"/>
          <w:rtl w:val="true"/>
          <w:lang w:bidi="ar-SA"/>
        </w:rPr>
        <w:t xml:space="preserve">، لمرسلة ابن أبي عمير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غسل قبله وضوء إلاّ غسل الجنابة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ولعلك تظفر بمواضع أخرى يستحب فيه الوضوء لو تتبعت أخبار الأطهار وكلمات العلماء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الرافع لكراهة بعض المباحات للمحدث ، فله أيضا أنواع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لقدوم المسافر من سفر على أهله ، للرواية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قدم من سفر فدخل على أهله وهو على غير وضوء فرأى ما يكره فلا يلومن إلاّ نفسه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لجماع الحامل ، للمروي في العلل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حملت امرأتك فلا تجامعها إلاّ وأنت على وضوء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لطلب الحاجة مطلقا ، لخبر ابن سنان ، المتقدم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الأكل وبعده ، كما يأتي في كتاب المطاعم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ذلك مما لعلك تظفر به في مطاوي الأخبار</w:t>
      </w:r>
      <w:r>
        <w:rPr>
          <w:rFonts w:eastAsia="Amiri" w:cs="Amiri" w:ascii="Amiri" w:hAnsi="Amiri"/>
          <w:color w:val="111111"/>
          <w:sz w:val="28"/>
          <w:szCs w:val="28"/>
          <w:rtl w:val="true"/>
          <w:lang w:bidi="ar-SA"/>
        </w:rPr>
        <w:t xml:space="preserve">. </w:t>
      </w:r>
      <w:bookmarkStart w:id="25" w:name="pg11612_110675"/>
    </w:p>
    <w:p>
      <w:pPr>
        <w:pStyle w:val="Heading3"/>
        <w:numPr>
          <w:ilvl w:val="2"/>
          <w:numId w:val="1"/>
        </w:numPr>
        <w:rPr/>
      </w:pPr>
      <w:bookmarkStart w:id="26" w:name="__RefHeading___Toc5524323_73709187"/>
      <w:bookmarkStart w:id="27" w:name="_Toc10"/>
      <w:bookmarkEnd w:id="25"/>
      <w:bookmarkEnd w:id="26"/>
      <w:r>
        <w:rPr>
          <w:rtl w:val="true"/>
        </w:rPr>
        <w:t xml:space="preserve">الفصل الثالث </w:t>
      </w:r>
      <w:r>
        <w:rPr>
          <w:rtl w:val="true"/>
        </w:rPr>
        <w:t xml:space="preserve">: </w:t>
      </w:r>
      <w:r>
        <w:rPr>
          <w:rtl w:val="true"/>
        </w:rPr>
        <w:t>في واجباته من الأفعال والشرائط</w:t>
      </w:r>
      <w:bookmarkEnd w:id="27"/>
    </w:p>
    <w:p>
      <w:pPr>
        <w:pStyle w:val="Heading4"/>
        <w:numPr>
          <w:ilvl w:val="3"/>
          <w:numId w:val="1"/>
        </w:numPr>
        <w:rPr/>
      </w:pPr>
      <w:bookmarkStart w:id="28" w:name="__RefHeading___Toc5524325_73709187"/>
      <w:bookmarkStart w:id="29" w:name="_Toc11"/>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5524327_73709187"/>
      <w:bookmarkStart w:id="31" w:name="_Toc12"/>
      <w:bookmarkEnd w:id="30"/>
      <w:r>
        <w:rPr>
          <w:rtl w:val="true"/>
        </w:rPr>
        <w:t xml:space="preserve">الأوّل </w:t>
      </w:r>
      <w:r>
        <w:rPr>
          <w:rtl w:val="true"/>
        </w:rPr>
        <w:t xml:space="preserve">: </w:t>
      </w:r>
      <w:r>
        <w:rPr>
          <w:rtl w:val="true"/>
        </w:rPr>
        <w:t>النية</w:t>
      </w:r>
      <w:bookmarkEnd w:id="31"/>
    </w:p>
    <w:p>
      <w:pPr>
        <w:pStyle w:val="Heading5"/>
        <w:numPr>
          <w:ilvl w:val="4"/>
          <w:numId w:val="1"/>
        </w:numPr>
        <w:rPr/>
      </w:pPr>
      <w:bookmarkStart w:id="32" w:name="__RefHeading___Toc5524329_73709187"/>
      <w:bookmarkStart w:id="33" w:name="_Toc13"/>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إلى الفعل لغة وعرفا وشرعا ، إذ لم تثبت لها حقيقة شرعية ، بل ولا المتشرعة ، ووجوب بعض القيود فيها شرعا لا يجعله جزءا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بهذا المعنى لا يمكن انفكاكها عن الفعل الاختياري ، إذ لا يمكن صدور الاختياري بغير قصد ، ولو كلّف به كان تكليفا بالمحال ، فلا معنى لاشتراطها ، والفرق فيها بين العبادات وغيرها كما وقع في عبارات الأصحاب ، فالمراد منها فيها ليس هذا المعنى ، بل قصد الفعل إطاعة لله ، أو مع قيد آخر أيضا مما يجوز انفكاكها ويصح اشتراطها ، فتكون النية من الألفاظ المنقولة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إمكان صدور الفعل الاختياري من غير قصد لا ينافي إمكان صدور الفعل من غير اختيار ، كالوقوع في الماء اضطرارا في الغسل ، وإصابة المطر إلى الثوب في الغسل ، فمرادهم من اشتراط النية بمعناها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يكفي ذلك في حصول الامتثال الذي تحصيله واجب في العبادات وإن أمكن كفايته في ترتب الأثر الذي هو المطلوب في غيرها ، فمرادهم من الفرق بين العبادات وغيرها التوقف الكلي وعدمه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 هنا مسائل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بالمعنى المذكور واجبة في الوضوء ، فلو أتى ببعض أفعاله لا عن قصد بطل إجماعا حتى من الإسكافي كما في المعتبر </w:t>
      </w:r>
      <w:r>
        <w:rPr>
          <w:rStyle w:val="FootnoteAnchor"/>
          <w:rtl w:val="true"/>
        </w:rPr>
        <w:footnoteReference w:id="206"/>
      </w:r>
      <w:r>
        <w:rPr>
          <w:rFonts w:ascii="Amiri" w:hAnsi="Amiri" w:eastAsia="Amiri" w:cs="Amiri"/>
          <w:color w:val="111111"/>
          <w:sz w:val="28"/>
          <w:sz w:val="28"/>
          <w:szCs w:val="28"/>
          <w:rtl w:val="true"/>
          <w:lang w:bidi="ar-SA"/>
        </w:rPr>
        <w:t xml:space="preserve">، وعليه الإجماع </w:t>
      </w:r>
    </w:p>
    <w:p>
      <w:pPr>
        <w:pStyle w:val="BookText"/>
        <w:rPr/>
      </w:pPr>
      <w:r>
        <w:rPr>
          <w:rFonts w:ascii="Amiri" w:hAnsi="Amiri" w:eastAsia="Amiri" w:cs="Amiri"/>
          <w:color w:val="111111"/>
          <w:sz w:val="28"/>
          <w:sz w:val="28"/>
          <w:szCs w:val="28"/>
          <w:rtl w:val="true"/>
          <w:lang w:bidi="ar-SA"/>
        </w:rPr>
        <w:t xml:space="preserve">في الخلاف والمختلف والغنية والتذكرة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والحجة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وتوقف صدق الامتثال الواجب تحصيله في العبادات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حسنة الثمالي وغيرها من المستفيضة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عمل إلاّ بنية </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بل في رواية ابن عيينة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 النية هو العمل </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وهو 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الأوّل أنه لا يتحقق العمل إلاّ مع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 لأنّ ما لا قصد فيه ليس عملا لشخص ، إذ عمل الشخص ما صدر عنه بقصده ، فإنّ من وقع في ماء بلا اختيار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غسل جسده ، فإنّ كل ما يتحقق في الخارج ليس عملا ، بل هو ما عمله عامل ، ولا ينسب عمل إلى عامل إلاّ مع صدوره عنه بالقصد والاختيار ، ويلزمه أنّه إذا طلب الشارع عملا من غيره لا يتحقق إلاّ مع القصد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واستعماله في العرف في غيره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 لأنّه أعم من الحقيقة ، غايته احتمال الاشتراك المعنوي ، وتعارضه مع التجوز ، وهو أيضا غير ضائر ، لأن الحق فيه التوقف ، فلا يعلم صرف الحديث عن حقيقته التي هي نفي العمل ، فيحمل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صدق العمل عرفا على ما لا نيّة فيه أيضا نمنع كونه كذلك في زمان الشارع ، والعمل بأصالة عدم النقل مع تلك الأحاديث باطل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ها هنا كلاما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مما لا شك فيه أنّه لا بدّ من نسبة العمل إلى شي‌ء من كونه مؤثرا فيه ، وهذا بديهي ، والتأثير قد يكون مع المباشرة ، وقد يكون بالأمر والبعث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السلطان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والأفعال المطلوبة من المكلف لمّا كان مطلوبا مما هو إنسان أي النفس دون البدن ، وتأثيره لا يكون إلاّ </w:t>
      </w:r>
    </w:p>
    <w:p>
      <w:pPr>
        <w:pStyle w:val="BookText"/>
        <w:rPr/>
      </w:pPr>
      <w:r>
        <w:rPr>
          <w:rFonts w:ascii="Amiri" w:hAnsi="Amiri" w:eastAsia="Amiri" w:cs="Amiri"/>
          <w:color w:val="111111"/>
          <w:sz w:val="28"/>
          <w:sz w:val="28"/>
          <w:szCs w:val="28"/>
          <w:rtl w:val="true"/>
          <w:lang w:bidi="ar-SA"/>
        </w:rPr>
        <w:t>بالأمر والبعث للبدن ، وهما لا يتصوران إلاّ مع القصد والشعور ، ويلزمه أن لا يصدر عمل عما هو المكلف حقيقة أي النفس إلاّ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الحديث مقصورا على أفعال المكلفين بقرينة المقام ، لا يراد من النفي فيه إلاّ معناه الحقيقي وإن قلنا بعدم توقف مطلق العمل على القصد ، ويكون المراد بيان أنه لا عمل مطلقا أو من أفعال المكلفين إلاّ مع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المراد أنه لا عمل من الأعمال الشرعية إلاّ مع القصد ، فلا وضوء ولا غسل ولا صلاة وهكذا إلاّ ما صدر بقصد وشعور ، فلا يتحقق الامتثال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ظهر أنه لا حاجة إلى صرف المستفيضة عن حقيقتها ، ولا يرد ما استشكله بعضهم من اقتضائه اشتراط النية في المعاملات ، مع أنه خلاف الإجماع ، فإنه إنما يرد على من اعتبر القيود في النية ، وأما بهذا المعنى فيشترط في المعاملات إجماعا ، إلاّ في ما ليس الأثر مترتبا على العمل ، بل على تحقق السبب في الخارج كيف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سلّم عدم بقاء الأخبار على حقيقتها ، فالمتبادر من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الصحة أو الأثر ، وهو أيضا مثبت للمطلوب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 من اشتراط قصد القربة ، حيث إنّ الخاص مستلزم للعام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اشتمالها على القربة بأن يكون فعله لله سبحانه ، بالإجماع والكتاب والمستفيضة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ليصعد بعمل العبد مبتهجا به ، فإذا صعد بحسناته 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اجعلوها في سجّين إنه ليس إياي أراد بها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والمروي في عدة الداعي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ويصعد الحفظة بعمل العبد بفقه واجتهاد وورع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فيقول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واضربوا بهذا العمل وجه صاحبه ، أنا ملك الحجاب أحجب كل عمل ليس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أمرني ربي أن لا أدع عملا يجاوزني إلى غيري ما لم يكن خالصا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ويصعد الحفظة بعمل العبد مبتهجا به من صلاة وزكاة وصيام وحج وعمرة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حفظة عمل عبدي وأنا رقيب على ما في نفسه ، إنّه لم يردني بهذا العمل ، عليه لعنتي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علي بن سالم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شريك ، من أشرك معي غيري في عمل عمله لم أقبله إلاّ ما كان خالصا لي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اجعلوا أمركم هذا لله ، ولا تجعلوه للناس ، فإنه ما كان لله فهو لله ، وما كان للناس فلا يصعد إلى اللّه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 كل ذلك على عدم قبول عمل ليس لله ، وهو يستلزم عدم الإجزاء ، للتلازم بينهما ، وهو يستلزم عدم الصحة لترادفهما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 العبادة التي إذا فعلها فاعلها كان مؤديا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النية بالطاعة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والبحث باحتمال عدم كون الوضوء عبادة مدفوع بالإجماع بل الضرورة ، بل عليه دلت الروايات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كالصحيح </w:t>
      </w:r>
      <w:r>
        <w:rPr>
          <w:rStyle w:val="FootnoteAnchor"/>
          <w:rtl w:val="true"/>
        </w:rPr>
        <w:footnoteReference w:id="21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الوضوء حد من حدود اللّه ليعلم اللّه من يطيعه ومن </w:t>
      </w:r>
    </w:p>
    <w:p>
      <w:pPr>
        <w:pStyle w:val="BookText"/>
        <w:rPr/>
      </w:pPr>
      <w:r>
        <w:rPr>
          <w:rFonts w:ascii="Amiri" w:hAnsi="Amiri" w:eastAsia="Amiri" w:cs="Amiri"/>
          <w:color w:val="111111"/>
          <w:sz w:val="28"/>
          <w:sz w:val="28"/>
          <w:szCs w:val="28"/>
          <w:rtl w:val="true"/>
          <w:lang w:bidi="ar-SA"/>
        </w:rPr>
        <w:t xml:space="preserve">يعصيه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والخبر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إرادة الراوي صب الماء على يده للوضوء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سمعت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يَرْجُوا لِقاءَ رَبِّهِ فَلْيَعْمَلْ عَمَلاً صالِحاً وَلا يُشْرِكْ بِعِبادَةِ رَبِّهِ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أنا ذا أتوضأ للصلاة وهي العبادة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أمير المؤمنين عليه السلام إذا توضأ لم يدع أحدا يصب عليه الماء ، فقال بعد السؤال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أن أشرك في صلاتي أحدا ، 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كانَ يَرْجُوا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 على أنّ الصلاة عبادة والوضوء منها ، كما ورد في المعتبرة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افتتاح الصلاة الوضوء وتحريمها التكبير وتحليلها التسليم </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ثلاثة أثلاث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طهور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دلاّ على أنّ الإشراك في الوضوء إشراك في العبادة فيكون عبادة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وجه آخر لاشتراط القربة ، وهو أنّ العبادة لغة اسم لما تتحقق به العبادة المصدرية ، وهي الإتيان بلوازم العبودية ، والأصل عدم النقل ، ولا يكون ذلك بشهادة العرف واللغة إلاّ فيما كان مطلوبا للمعبود وجوبا أو ندبا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مأتيا به </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لأجل إطاعته وأنه مطلوبه ، وهذا معنى القربة ، ومن هذا يعلم أنّ كل مطلوب للشارع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فيه نية القربة فهو عبادة وبالعكس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يدل دلالة واضحة على اشتراطها واعتبارها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 وجوب امتثال أوامر اللّه سبحانه ، وهو متوقف عرفا على قصد الطاعة والإتيان بالفعل لأجل الأمر بالضرورة ، فإنّ العبد إذا فعل ما أمر به مولاه وغيره لا لأنه أمره بل لأجل أنه أمره غيره لا يعدّ ممتثلا للمولى البتة ، بل قد يعدّ عاصيا بالفعل ، كما إذا أمره عدو مولاه معلقا قتل المولى عليه ، ولذا لو فعل أحد مطلوب اللّه سبحانه واقعا الذي ظن حرمته يعد عاصيا مستحقا للعقاب ، ولذا لا يجب فيما لا امتثال فيه كالوضعيات من المعاملات ونحوها مما ليس المقصود فيه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مما ذكر أنّ الأصل في كل ما تعلق الأمر به كونه عبادة ، لأنّ ما تعلق به يجب امتثاله المتوقف على القربة ، وما تعتبر فيه القربة فهو عبادة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المطلوب أيضا الآيات والروايات الناهية عن الرياء في الأعمال ، والمصرحة بعدم قبول ما يتضمنه وبطلانه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المراد بقصد القربة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كون الفعل لله سبحانه ، أي امتثالا لأمره ، أو موافقة لطاعته ، أو انقيادا لحكمه ، أو إجابة لدعوته ، أو أداء لشكره ، أو تعظيما لجلالة ، أو نحو ذلك ، أو طلبا للرفعة عنده بواسطته تشبيها بالقرب المكاني ونيل ثوابه ، أو الخلاص من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فتصح العبادة مع أحد تلك القصود ، لصدق كون العمل لله والخلوص اللذين هما الثابت اعتبارهما واشتراطهما من أدلة القربة المتقدمة مع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غير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فبالإجماع بل ضرورة العرف واللغة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 واحد منهما فعلى الأصح بل الأشهر ، كما صرح به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اللوامع ، لقوله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جمع بين كون الإطعام لوجه </w:t>
      </w:r>
    </w:p>
    <w:p>
      <w:pPr>
        <w:pStyle w:val="BookText"/>
        <w:rPr/>
      </w:pPr>
      <w:r>
        <w:rPr>
          <w:rFonts w:ascii="Amiri" w:hAnsi="Amiri" w:eastAsia="Amiri" w:cs="Amiri"/>
          <w:color w:val="111111"/>
          <w:sz w:val="28"/>
          <w:sz w:val="28"/>
          <w:szCs w:val="28"/>
          <w:rtl w:val="true"/>
          <w:lang w:bidi="ar-SA"/>
        </w:rPr>
        <w:t>اللّه الذي هو معنى الخلوص وبين تعليله بالخوف منه سبحانه ، وللأخبار المتكثرة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ابن سالم السابق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دل على أنّ العمل الخالص ما لم يشرك فيه غير اللّه سبحانه ، فهو كاف في تحقق الخلوص ، ولا شك في أنّ ما يفعل لأجل نيل ثواب اللّه أو الخلاص من عقابه لم يشرك فيه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مسكان ، ورواية ابن عيينة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حَنِيفاً مُسْلِماً </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خالصا مخلصا ليس فيه شي‌ء من عبادة الأوثان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العمل الخالص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تريد أن يحمدك عليه أحد إلاّ اللّه عزّ وجلّ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صريحة في عدم منافاة قصد الثواب للخلوص ، إذ من يقصده خاصة لم يقصد حمد الغير ، ولأنّ حمد اللّه سبحانه ثواب منه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أيضا على حصول الامتثال بقصد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المتكثرة والأخبار المتواترة </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على مدح العمل بأحد القصدين والأمر به المستلزمين للقبول الملازم للصحة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الآيات ما تقدم ، سيما مع تفريع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ذلِكَ الْيَوْمِ </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عليه ، وقوله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رَبَّهُمْ خَوْفاً وَطَمَعاً </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وَيَدْعُونَنا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رَغَباً وَرَهَباً </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وَافْعَلُوا الْخَيْرَ لَعَلَّكُمْ تُفْلِحُونَ </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والفلاح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الفوز بالثواب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وَسارِعُوا إِلى مَغْفِرَةٍ مِنْ رَبِّكُمْ </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جابر وابن أبي سارة وعلي بن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اعملوا لما عند اللّه </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المؤمن مؤمنا حتى يكون خائفا راجيا ، ولا يكون خائفا راجيا حتى يكون عاملا لما يخاف ويرجو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تكذيبه الذين يعصون ويقولون نرجو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رجا شيئا عمل له ، ومن خاف شيئا هرب منه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أمير المؤمنين عليه السلام لبعض ما وقفه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أوصى به وقضى به في ماله عبد اللّه عليّ ابتغاء وجه اللّه ليولجني به الجنة ويصرفني به عن النار ويصرف النار عني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لم تكن العبادة بهذه النية صحيحة لم يصح له أن يفعل ذلك ويلقن به غيره ويظهره في كلامه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وحسنة خارجة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عبدوا اللّه خوفا فتلك عبادة العبيد ، وقوم عبدوا اللّه طلب الثواب فتلك عبادة الأجراء ، وقوم عبدوا اللّه حبا له فتلك عبادة الأحرار ، وهي أفضل العبادة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قضية التفضيل أنّ للأولين أيضا فضلا ، بل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عبادة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الأجراء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الصحة ، إذ لولاها لما كانت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المصرحة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ثواب على عمل فعمله التماس ذلك الثواب أوتيه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لم يكن العمل صحيحا لم يترتب عليه ثواب ، ولا شك أنّ كلّ ما أمر به الشارع ومنه الوضوء موعود به الثواب خصوصا أو عموما ، صريحا أو التزاما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من وعد الثواب والتحذير عن العقاب ، والوعد والوعيد في مقابلة الطاعات وترك الواجبات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يُقْرِضُ اللّهَ قَرْضاً حَسَناً </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تُقَدِّمُوا لِأَنْفُسِكُمْ </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يَعْمَلْ مِثْقالَ ذَرَّةٍ </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صلاة الليل تزيد في الرزق </w:t>
      </w:r>
      <w:r>
        <w:rPr>
          <w:rStyle w:val="FootnoteAnchor"/>
          <w:rtl w:val="true"/>
        </w:rPr>
        <w:footnoteReference w:id="247"/>
      </w:r>
      <w:r>
        <w:rPr>
          <w:rFonts w:ascii="Amiri" w:hAnsi="Amiri" w:eastAsia="Amiri" w:cs="Amiri"/>
          <w:color w:val="111111"/>
          <w:sz w:val="28"/>
          <w:sz w:val="28"/>
          <w:szCs w:val="28"/>
          <w:rtl w:val="true"/>
          <w:lang w:bidi="ar-SA"/>
        </w:rPr>
        <w:t xml:space="preserve">، والزكاة تحفظ المال </w:t>
      </w:r>
      <w:r>
        <w:rPr>
          <w:rStyle w:val="FootnoteAnchor"/>
          <w:rtl w:val="true"/>
        </w:rPr>
        <w:footnoteReference w:id="248"/>
      </w:r>
      <w:r>
        <w:rPr>
          <w:rFonts w:ascii="Amiri" w:hAnsi="Amiri" w:eastAsia="Amiri" w:cs="Amiri"/>
          <w:color w:val="111111"/>
          <w:sz w:val="28"/>
          <w:sz w:val="28"/>
          <w:szCs w:val="28"/>
          <w:rtl w:val="true"/>
          <w:lang w:bidi="ar-SA"/>
        </w:rPr>
        <w:t xml:space="preserve">، والصدقة تردّ البلاء </w:t>
      </w:r>
      <w:r>
        <w:rPr>
          <w:rStyle w:val="FootnoteAnchor"/>
          <w:rtl w:val="true"/>
        </w:rPr>
        <w:footnoteReference w:id="249"/>
      </w:r>
      <w:r>
        <w:rPr>
          <w:rFonts w:ascii="Amiri" w:hAnsi="Amiri" w:eastAsia="Amiri" w:cs="Amiri"/>
          <w:color w:val="111111"/>
          <w:sz w:val="28"/>
          <w:sz w:val="28"/>
          <w:szCs w:val="28"/>
          <w:rtl w:val="true"/>
          <w:lang w:bidi="ar-SA"/>
        </w:rPr>
        <w:t>إلى غير ذلك عموما ، وخصوصا كل فعل فعل من أفعال الوضوء ، فإنّها ظاهرة في التشويق في العمل ، وليس ذلك إلاّ بفعله لأجله ، فلو كان مفسدا لكان الوعد والوعيد بل الأمر بالمعروف والنهي عن المنكر عبثا ، بل مخلا ، حيث إنّ الوعد على فعل بما هو من عظيم المقصود للعقلاء ثمَّ إرادة فعله لا لأجله كأنّه تكليف بما لا يطاق</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وعدم دلالة بعض ما مرّ على صحة كل ما فعل بقصد الثواب أو رفع العقاب غير ضائر ، لعدم القول بالفصل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 مضافا إلى تعذر فهم ما هو من ذلك لأكثر الناس فضلا عن تعاطيه ، فإنّ تخليص القصد من الثواب والعقاب وقصر النظر إلى جناب الحق ليس شريعة لكل وارد ، فتكليف عامة الناس به كأنّه 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فيهما لجماعة منهم السيّد الجليل علي بن طاوس </w:t>
      </w:r>
      <w:r>
        <w:rPr>
          <w:rStyle w:val="FootnoteAnchor"/>
          <w:rtl w:val="true"/>
        </w:rPr>
        <w:footnoteReference w:id="250"/>
      </w:r>
      <w:r>
        <w:rPr>
          <w:rFonts w:ascii="Amiri" w:hAnsi="Amiri" w:eastAsia="Amiri" w:cs="Amiri"/>
          <w:color w:val="111111"/>
          <w:sz w:val="28"/>
          <w:sz w:val="28"/>
          <w:szCs w:val="28"/>
          <w:rtl w:val="true"/>
          <w:lang w:bidi="ar-SA"/>
        </w:rPr>
        <w:t>، فقالوا بوجوب قصد مجرد الامتثال وما بمعناه ، وبطلان العبادة بقصد نيل الثواب أو الخلاص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ونسبه غير واحد </w:t>
      </w:r>
      <w:r>
        <w:rPr>
          <w:rStyle w:val="FootnoteAnchor"/>
          <w:rtl w:val="true"/>
        </w:rPr>
        <w:footnoteReference w:id="251"/>
      </w:r>
      <w:r>
        <w:rPr>
          <w:rFonts w:ascii="Amiri" w:hAnsi="Amiri" w:eastAsia="Amiri" w:cs="Amiri"/>
          <w:color w:val="111111"/>
          <w:sz w:val="28"/>
          <w:sz w:val="28"/>
          <w:szCs w:val="28"/>
          <w:rtl w:val="true"/>
          <w:lang w:bidi="ar-SA"/>
        </w:rPr>
        <w:t xml:space="preserve">إلى المشهور ، والشهيد في قواعده </w:t>
      </w:r>
      <w:r>
        <w:rPr>
          <w:rStyle w:val="FootnoteAnchor"/>
          <w:rtl w:val="true"/>
        </w:rPr>
        <w:footnoteReference w:id="252"/>
      </w:r>
      <w:r>
        <w:rPr>
          <w:rFonts w:ascii="Amiri" w:hAnsi="Amiri" w:eastAsia="Amiri" w:cs="Amiri"/>
          <w:color w:val="111111"/>
          <w:sz w:val="28"/>
          <w:sz w:val="28"/>
          <w:szCs w:val="28"/>
          <w:rtl w:val="true"/>
          <w:lang w:bidi="ar-SA"/>
        </w:rPr>
        <w:t xml:space="preserve">أسنده إلى الأصحاب مؤذنا بدعوى الوفاق عليه ، ونقل الرازي في تفسيره </w:t>
      </w:r>
      <w:r>
        <w:rPr>
          <w:rStyle w:val="FootnoteAnchor"/>
          <w:rtl w:val="true"/>
        </w:rPr>
        <w:footnoteReference w:id="253"/>
      </w:r>
      <w:r>
        <w:rPr>
          <w:rFonts w:ascii="Amiri" w:hAnsi="Amiri" w:eastAsia="Amiri" w:cs="Amiri"/>
          <w:color w:val="111111"/>
          <w:sz w:val="28"/>
          <w:sz w:val="28"/>
          <w:szCs w:val="28"/>
          <w:rtl w:val="true"/>
          <w:lang w:bidi="ar-SA"/>
        </w:rPr>
        <w:t>اتفاق المتكلمين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استنادا إلى الخبرين الأوّلين ، وما يؤدي مؤداهما من وجوب كون العمل لله أو خالصا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بعد دلالة بعض ما مر على أنّ العمل بالقصدين أيضا عمل خالص له لا وقع له ، سيما مع معارضته مع سائر ما تقدم ، مع أنّه لا معنى محصّل للعمل لله إلاّ بتقدير مثل الطاعة أو الرضا أو الأمر أو غير ذلك ، ولا يتعين المقدّر ، فيمكن أن يكون ما يشمل الوصول إلى ثوابه أو الخلاص من عقابه أيضا ، فلا يعلم منافاة الخبرين لما ذكرنا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الثواب هو ما قرره اللّه أجرا للعمل دنيويا كان أم أخرويا ، لعموم كثير مما تقدم ، بل ورود خصوص الدنيوي أيضا كما مر ، فلا يبطل بقصد طلب الأغراض الدنيوية التي وعدها اللّه سبحانه منه إذا كانت من المباحات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w:t>
      </w:r>
    </w:p>
    <w:p>
      <w:pPr>
        <w:pStyle w:val="BookText"/>
        <w:rPr/>
      </w:pPr>
      <w:r>
        <w:rPr>
          <w:rFonts w:ascii="Amiri" w:hAnsi="Amiri" w:eastAsia="Amiri" w:cs="Amiri"/>
          <w:color w:val="111111"/>
          <w:sz w:val="28"/>
          <w:sz w:val="28"/>
          <w:szCs w:val="28"/>
          <w:rtl w:val="true"/>
          <w:lang w:bidi="ar-SA"/>
        </w:rPr>
        <w:t>كانت من غيرها كقتل عدوّ لم يستحقه ، أو التوصّل إلى محرّم آخر فيصلي صلاة الحاجة مثلا له فيبطل العمل وإن لم يعلم قطعا ترتّب المحرّم عليه ، لأنّ هذا العمل يعدّ عصيانا عرفا ، فيكون منهيا عنه ، وأيضا هو اتّباع للهوى ومتابعة للشيطان ، وهما منهيان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بالقربة اللازم قصدها هو ما يؤدّي ذلك المؤدي ، كالطاعة وموافقة الإرادة ونحوها ، ولا يلزمه ملاحظة لفظ القربة ، فإنّ العبرة بالحقائق دون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استشكل جماعة </w:t>
      </w:r>
      <w:r>
        <w:rPr>
          <w:rStyle w:val="FootnoteAnchor"/>
          <w:rtl w:val="true"/>
        </w:rPr>
        <w:footnoteReference w:id="254"/>
      </w:r>
      <w:r>
        <w:rPr>
          <w:rFonts w:ascii="Amiri" w:hAnsi="Amiri" w:eastAsia="Amiri" w:cs="Amiri"/>
          <w:color w:val="111111"/>
          <w:sz w:val="28"/>
          <w:sz w:val="28"/>
          <w:szCs w:val="28"/>
          <w:rtl w:val="true"/>
          <w:lang w:bidi="ar-SA"/>
        </w:rPr>
        <w:t>في وجه اشتراط النية في الطهارة عن الحدث دون الخبث ، وسبب التفرقة بينهما ، حتى ارتكبوا في التوجيه تمحلات وتكلّفات ، ومع ذلك لم يذكروا شيئا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المراد بالطهارة عن الخبث إن كان ترتّب الثواب عليها أو امتثال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لنيل الثواب </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ونحوه فلا نسلّم عدم توقفها على النية بل توقفها عليها إجماعي ، مع أنّ الامتثال لا يتحقق عرفا إلاّ بفعل صادر عن الممتثل بقصده الامتثال ، وأيضا الامتثال لا يتحقق إلاّ بعمل منه ولا عمل إلاّ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حصول الطهارة وزوال الخبث فعدم توقفها على النية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والاستشكال فيه إن كان في تفرقة الشارع بينهما ، وسبب فرقه بإيجابه النية في الأوّل دون الثاني ، فهو كالاستشكال في السؤال من فرقه بين صلاة الصبح والظهر بجعل الأولى ركعتين والثانية أربع ، ومثله لا يصدر عن فقيه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في تفرقة الفقهاء وإجماعهم على ذلك وكان السؤال عن مستندهم فيه ، فمع أنّه إجماعي ، ولا يتعارف الاستشكال والسؤال عن مأخذ الإجماع بل هو بنفسه كاف في وجه الفرق ، مستنده واضح ، وذلك لدلالة الإجماع والأخبار على </w:t>
      </w:r>
    </w:p>
    <w:p>
      <w:pPr>
        <w:pStyle w:val="BookText"/>
        <w:rPr/>
      </w:pPr>
      <w:r>
        <w:rPr>
          <w:rFonts w:ascii="Amiri" w:hAnsi="Amiri" w:eastAsia="Amiri" w:cs="Amiri"/>
          <w:color w:val="111111"/>
          <w:sz w:val="28"/>
          <w:sz w:val="28"/>
          <w:szCs w:val="28"/>
          <w:rtl w:val="true"/>
          <w:lang w:bidi="ar-SA"/>
        </w:rPr>
        <w:t>كون الوضوء والغسل عبادة ، وقد عرفت أنّ العبادة متوقفة على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الطهارة عن الحدث كله أوامر يطلبها من المكلف ، فلا يتحقق إلاّ بعمل منه ولا عمل إلاّ بنية ، ويجب امتثالها ولا امتثال إلاّ بقصد ، وليس هناك دليل شرعي دال على حصول الطهارة الحدثية من غير استناد إلى فعل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الطهارة عن الخبث فإنّه وإن ورد فيها الأمر بالغسل وأمثاله ، ولكن الأدلة متوافرة على حصولها من غير ذلك أيضا ، كقولهم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شي‌ء يراه ماء المطر فقد طهر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السطح يبال عليه فيصيبه السماء فكيف فيصيب الثوب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ما أصابه من الماء أكثر منه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والمستفيضة الواردة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يطهّر بعضها بعضا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أنّ من وطئ العذرة ومشى في الأرض تطهر رجله </w:t>
      </w:r>
      <w:r>
        <w:rPr>
          <w:rStyle w:val="FootnoteAnchor"/>
          <w:rtl w:val="true"/>
        </w:rPr>
        <w:footnoteReference w:id="259"/>
      </w:r>
      <w:r>
        <w:rPr>
          <w:rFonts w:ascii="Amiri" w:hAnsi="Amiri" w:eastAsia="Amiri" w:cs="Amiri"/>
          <w:color w:val="111111"/>
          <w:sz w:val="28"/>
          <w:sz w:val="28"/>
          <w:szCs w:val="28"/>
          <w:rtl w:val="true"/>
          <w:lang w:bidi="ar-SA"/>
        </w:rPr>
        <w:t xml:space="preserve">وإن لم يشعر بالقذارة والطهارة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 ما أشرقت الشمس عليه فقد طهر </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وجود مثل تلك الأدلة في الطهارة من الخبث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إلى عدم القول بالفصل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وعدمها في الحدث لا وجه للاستشكال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الأمر بغسل الثوب وأمثاله ، وقد ذكرت عدم حصول الامتثال إلاّ بالنية ، ولازمه ترتّب العقاب على عدم الغسل وإن طهر بغيره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بالغسل أمر مقيد مشروط ببقاء النجاسة ، فبعد زوالها بأمر آخر يسقط الوجوب فلا ثواب ولا 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اشتمالها أيضا على قصد ما لا يتحقق من أجزاء المأمور به إلاّ بالقصد ، يعني إذا كان المأمور به مركبا من أجزاء لا وجود لبعضها إلاّ بقصده يجب قصده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درهما لأجل الكفارة ، بأن يكون التعليل قيدا للمأمور به وجزءا له ، لا مجرد أن يكون سببا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كذا تطوعا أو وجوبا ، مع كون الوصفين قيدين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وكفّر وآت الزكاة ، وتوضأ واغتسل ، فلا بدّ من قصد الصدقة والكفارة والزكاة عند الإعطاء ، والتوضؤ والاغتسال عند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الوصف المأمور به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في اشتراطه ظاهر ، فإنّ الإتيان بتمام المأمور به ، وإيجاده واجب ، والامتثال عليه متوقف ، والمفروض عدم وجود هذا الجزء إلاّ بالقصد ، فلو لم يقصده لم يأت بتمام المأمور به ، فلا يوافقه فلا 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القيد مما لا وجود له إلاّ بالقصد ، فأمر الشارع بالفعل مقيدا أمر به مع قصد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قصده العلم بأنّه هو ، ولا يجب الإخطار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ذلك بين اتحاد المأمور به كما مر ، أو تعدده واشتراكه بين أمرين ، كأن يقول مع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درهما تصدقا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كلامهم أنّ اعتبار قصده إنّما هو في الثاني خاصة ، ولا يعتبر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نظرهم إلى أنّ فيه لوحدة المأمور به يكون مقصوده هو لا محالة ، ويستلزم الاتحاد لكونه مقصودا ، فهو تصريح باعتبار القصد أيضا ، ويرجع النزاع لفظيا ، مع أنّ اللزوم كليا ممنوع</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نظرهم الى غير ذلك فلا وجه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إنّما هو للتميز وهو إنّما يحتاج إليه مع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أنّه لذلك ، بل لأجل أنّه جزء المأمور به ، فلا يتحقق تمامه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ثبت التداخل في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وكفاية </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فعل واحد لهما بمعنى إسقاطه لهما لا انطباقه عليهما لامتناعه ، يسقط قصد الجزء المذكور ، لأنّ مرجعه إلى أنّ الفعل بدون القصدين مسقط له مع كلّ منهما ، وأمّا التداخل بمعنى إجزاء واحد منهما عن الآخر وإسقاطه إيّاه ، فلا يسقط وجوب قصد القيد ، إذ لا يتحقق واحد منهما بدون قصد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اشتمالها على المميز أيضا إذا اشترك الفعل بين فعلين أمر بهما ولم يتميزا إلاّ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يتداخلا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يتحقق الامتثال عرفا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امرئ ما نوى </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وبأن الصحة عبارة عن موافقة الأمر ، وهذا الفعل الواحد الواقع بدون قصد المميز لو صح لكان إما موافقا للأمر بهذا الفعل ، أو لمشاركة ، أو لهما معا ، والأوّلان مستلزمان للترجيح بلا مرجّح ، مع أنّ المفروض عدم تميزه لأحدهما إلاّ بالقصد ، والثالث محال ، لعدم انطباق الواحد على المتعدد ، وزيد إلاّ مع التداخل المفروض انتفاؤه ، فلا يكون موافقا لأمر وهو معنى البطلان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توقف الامتثال عليه ، فإنّه لو قال المولى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امسح وجهك ، ثمَّ قال أيضا كذلك ، وأراد بكلّ مسحا على حدة ، ومسح العبد وجهه مرتين لأجل إطاعة مولاه ولم يقصد في شي‌ء منهما أنّه للأمر الأوّل أو الثاني يعدّ ممتثلا عرفا ، ويستحق ما وعد له من الأجر ، ولو مسح مرة من غير قصد أحد </w:t>
      </w:r>
    </w:p>
    <w:p>
      <w:pPr>
        <w:pStyle w:val="BookText"/>
        <w:rPr/>
      </w:pPr>
      <w:r>
        <w:rPr>
          <w:rFonts w:ascii="Amiri" w:hAnsi="Amiri" w:eastAsia="Amiri" w:cs="Amiri"/>
          <w:color w:val="111111"/>
          <w:sz w:val="28"/>
          <w:sz w:val="28"/>
          <w:szCs w:val="28"/>
          <w:rtl w:val="true"/>
          <w:lang w:bidi="ar-SA"/>
        </w:rPr>
        <w:t>الأمرين يعدّ ممتثلا لأحدهما ، وهذا مما لا يرتاب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بظهوره في نية التقرب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ولكن إذا قصد الفعل يكون ذلك له وهو كاف ، إذ </w:t>
      </w:r>
      <w:r>
        <w:rPr>
          <w:rStyle w:val="FootnoteAnchor"/>
          <w:rtl w:val="true"/>
        </w:rPr>
        <w:footnoteReference w:id="264"/>
      </w:r>
      <w:r>
        <w:rPr>
          <w:rFonts w:ascii="Amiri" w:hAnsi="Amiri" w:eastAsia="Amiri" w:cs="Amiri"/>
          <w:color w:val="111111"/>
          <w:sz w:val="28"/>
          <w:sz w:val="28"/>
          <w:szCs w:val="28"/>
          <w:rtl w:val="true"/>
          <w:lang w:bidi="ar-SA"/>
        </w:rPr>
        <w:t>لم يجب عليه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يخلو إمّا لا تكون بين الفعلين جهة مغايرة أصلا أو تكون ، فإن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كمثال المسح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نختار شقا غير الشقوق المتقدمة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الواقع موافق لكل واحد منهما منفردا ، كما إذا قال من عنده ذراع من خشب وذراع آخر منه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ايتني بمساو لهذا وبمساو لذلك من النحاس ، فأتى بذراع من نحاس ، فهو مطابق لكلّ منهما منفردا دون المجموع ، وتلزمه البراءة من أحدهما لا بعينه ، ولا ضير فيه أصلا ، فلو قال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يوما من رجب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يوما منه أيضا ، وعلم أنّ المطلوب يومان ، فلو صام يوما واحدا بقصد طاعته امتثل أحد الأمرين ، وانطبق الفعل على كل واحد منهما منفردا ، لتساويهما من جميع الوجوه الداخلة في ذات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أحدهما على الآخر غير مؤثر في تغاير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بينهما جهة تغاير يتوقف تحققها على قصدها ، فإن كانت من الحيثيات التقييدية للمأمور به ، أي يكون قيدا له وجزءا منه كما مر في المسألة السابقة ، فلا شك في اشتراط قصده ، ولكن لا لأجل توقف حصول التميز عليه ، بل لعدم تحقق تمام المأمور به بدونه كما مر ، ولا يختص ذلك بصورة الاشتراك والتعدد ، بل يعتبر مع الوحدة أيضا ضرورة كما سبق</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تكن من الحيثيات التقييدية له ، فنختار الموافقة لكل منفردا ، وتلزمه البراءة من أحدهما لا بعينه أيضا ، سواء كانت جهة المغايرة من أسباب الأمر بأن يكون سبب أحد الأمرين هذا وسبب الآخر ذاك ، أو من غاياته بأن تكون غاية أحدهما شيئا وغاية الآخر آخر ، أو من كيفيات الأمر دون المأمور به كأن يكون أحد </w:t>
      </w:r>
    </w:p>
    <w:p>
      <w:pPr>
        <w:pStyle w:val="BookText"/>
        <w:rPr/>
      </w:pPr>
      <w:r>
        <w:rPr>
          <w:rFonts w:ascii="Amiri" w:hAnsi="Amiri" w:eastAsia="Amiri" w:cs="Amiri"/>
          <w:color w:val="111111"/>
          <w:sz w:val="28"/>
          <w:sz w:val="28"/>
          <w:szCs w:val="28"/>
          <w:rtl w:val="true"/>
          <w:lang w:bidi="ar-SA"/>
        </w:rPr>
        <w:t xml:space="preserve">الأمرين على سبيل الوجوب والآخر على الندب ، أو من آثار المأمور به وتوابعه ، كأن يكون لأحدهما أثر غير ما للآخر ، بشرط أن لا يكون شي‌ء من تلك الجهات 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للمأمور به </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فإنّ ذاتي المأمور بهما تكون مساوية حينئذ غير مغايرة ، فلا وجه لعدم موافقة المأتي لشي‌ء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يوما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يوما أيضا ، فليس المأمور به سوى الصوم ، وإن كان سبب أحد الأمرين شيئا وسبب الآخر آخر ، أو كان أحد الطلبين حتميا والآخر ندبا ، فلو صام يوما فلم لا ينطبق على أحدهما؟ مع أنّه لا ينقص من المأمور به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ينطبق عليهما معا ، لعدم انطباق الواحد على الاثنين ، ولعدم حصول التكرر الذي هو أيضا 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المغايرة حينئذ باعتبار الآثار والتوابع ، فأيّ أثر يترتب على الفعل الواحد الذي أتى به؟ كما إذا كان أحدهما وجوبيا والآخر ندبيا ، فأتى بواحد من غير تميز بين الوجوب والندب ، فكيف يمكن القول بالبراءة من أحدهما لا بعينه؟ مع أنّ أحدهما أقلّ ثوابا ، وتركه مستلزم للعقاب دون الآخر ، فإن أثبتّ له العقاب والثواب الأقل فقد أطبقته على الوجوب ،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معاقب ، وله الثواب الأكثر ، فقد أطبقته على الندب ، وكلاهما ترجيح بلا مرجّح ، وإن أطبقته عليهما فقد أطبقت الواحد على الاثنين وإن لم تطبقه على شي‌ء منهما اعترفت بالبطلان ، فما فائدة الانطباق على كلّ منفردا؟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نذر من عليه غسل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يرتمس في الماء زائدا على الغسل فارتمس مرة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برئ من النذر ، أو طهر من الجنابة ، ارتكبت الترجيح بلا مرجّح ،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الأمران ، أطبقت الواحد على الاثنين ، </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يحصل شي‌ء منهما ، حكمت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عدم الحكم بحصول شي‌ء من الأمرين حكم بالبطلان ، فإنّ الصحة في العبادات هي موافقة المأمور به ، وهي حاصلة قطعا ، ولا يلزم من عدم تعيّن ما يستتبعه خروجه عن موافقة المأمور به ، أو خروج الصحة عن كونه موافقة المأمور به ، فإنّ الصحة أمر وتعيّن ما يستتبعه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نفس الاستتباع </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أمر آخر ، والأوّل يتحقق بالموافقة ، والثاني إمّا بقصد المستتبع أوّلا نظرا إلى مثل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امرئ ما 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الأعمال بالنيات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بالإتيان بالفعلين معا ، ولا يلزم من عدم قصد المعيّن أوّلا البطلان وإن لزم عدم ترتب التوابع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فيما لو فعل الآخر أيضا بلا قصد ، فعلى البطلان لا يترتب عليهما شي‌ء من التوابع ، وعلى ما ذكرنا يترتب التابعان ، وذلك كما إذا استسلف زيد من كل من عمرو وبكر غنما ، ورهن كل منهما متاعا عنده لما استسلف ، فوكّلا خالدا في إعطاء الغنم بعد حلول الأجل ، فأعطى غنما بلا قصد تعيين أنّه من عمرو أو بكر ، فإنّه لا يترتب عليه فك رهانة أحدهما ولا يستتبع أثرا ، بل هو موقوف إمّا على القصد أوّلا ، أو إعطاء الغنم الآخر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فعل المأمور أحد الفعلين مع قصد المعيّن ونسيه ، فإنّه لا يحكم بالبطلان ولا يترتب شي‌ء من آثار أحدهما ، كمن عليه صوم نذر وكفارة فصام يوما بقصد معيّن ونسيه ، فيحكم بمقتضى الأصل بعدم سقوط شي‌ء منهما ، مع أن صومه صحيح</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بأنّه سقط أحدهما واقعا ، ولكن لم يسقط ظاهرا ، للأصل ، كلام خال عن التحقيق ، إذ لا واقع في حقّ المكلّف إلاّ حكمه الظاهري كما بيّنا في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لو كان عدم استتباع الفعل للتوابع مستندا إلى عدم موافقة المأمور به ، لكان مستلزما للبطلان ، وأمّا مطلقا ولو لمانع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تحصل البراءة عن أحدهما لا بعينه ، كذلك يستتبع توابع أحدهما لا بعينه بمعنى التخيير ، فإن كان التابع مما يستند إلى المكلّف الآمر كإعطاء الثواب ونحوه فالتخيير له ، وإن كان مما يستند إلى المأمور كحصول التطهر له ، أو الوفاء بالنذر ونحوه ، فالتخيير له ، بمعنى أنّ له أن يجعله من أيّهما شاء ، فإنّ الفعل إذا انصرف إلى أحدهما بتعيينه المقارن للفعل يمكن الانصراف إليه بتعيينه المتأخّر ، فإنّ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امرئ ما 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ظاهرا مثل ذلك أيضا وإن كان الظاهر منه النية المقارنة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من ذلك عدم وجوب قصد المميز في تحقق صحة الفعل للأصل ، إلاّ إذا كان المميز قيدا للمأمور به وجزءا له فيجب ، لما مر ، إلاّ مع ثبوت التداخل بالمعنى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ها هنا أمرا آخر وهو أن كما أنه يجب الإتيان بالفعل الصحيح يجب تحصيل البراءة والإجزاء عن المأمور به أيضا ، ولا يمكن حصول البراءة والإجزاء عن واحد لا بعينه مع تعدد المأمور به واختلاف آثارهما أو غايتهما ، إذ لا معنى للبراءة والإجزاء عن شي‌ء له آثار وتوابع إلاّ حصولها وترتّبها ، ولا يتأتّى ذلك في واحد لا بعينه من الأمرين المختلفين في الآثار ، فيجب تعيين كلّ منهما تحصيلا للبراءة عنه والإجزاء ، ولكن لثبوت التداخل بالمعنى المذكور في الوضوء بل الأغسال لا يجري ذلك فيهما ، مع عدم التعدد في الوضوء المأمور به في حالة أبدا ، لأنّه إنما كان لو وقع الأمر بإحداث الوضوء لهذا ولذاك وهكذا ، وليس كذلك ، بل لم يثبت إلاّ مطلوبية كونه متطهرا عند هذا وذاك ندبا أو وجوبا ، وإنّما يجري في الصلاة ونحوها ، وسيأتي تحقيق ذلك في بحث نية الصلاة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نية الوضوء قصد الوجه ، وفاقا لكلّ من لم </w:t>
      </w:r>
    </w:p>
    <w:p>
      <w:pPr>
        <w:pStyle w:val="BookText"/>
        <w:rPr/>
      </w:pPr>
      <w:r>
        <w:rPr>
          <w:rFonts w:ascii="Amiri" w:hAnsi="Amiri" w:eastAsia="Amiri" w:cs="Amiri"/>
          <w:color w:val="111111"/>
          <w:sz w:val="28"/>
          <w:sz w:val="28"/>
          <w:szCs w:val="28"/>
          <w:rtl w:val="true"/>
          <w:lang w:bidi="ar-SA"/>
        </w:rPr>
        <w:t xml:space="preserve">يشترط سوى القربة ، كما عن المفيد </w:t>
      </w:r>
      <w:r>
        <w:rPr>
          <w:rStyle w:val="FootnoteAnchor"/>
          <w:rtl w:val="true"/>
        </w:rPr>
        <w:footnoteReference w:id="267"/>
      </w:r>
      <w:r>
        <w:rPr>
          <w:rFonts w:ascii="Amiri" w:hAnsi="Amiri" w:eastAsia="Amiri" w:cs="Amiri"/>
          <w:color w:val="111111"/>
          <w:sz w:val="28"/>
          <w:sz w:val="28"/>
          <w:szCs w:val="28"/>
          <w:rtl w:val="true"/>
          <w:lang w:bidi="ar-SA"/>
        </w:rPr>
        <w:t xml:space="preserve">، والبصروي </w:t>
      </w:r>
      <w:r>
        <w:rPr>
          <w:rStyle w:val="FootnoteAnchor"/>
          <w:rtl w:val="true"/>
        </w:rPr>
        <w:footnoteReference w:id="268"/>
      </w:r>
      <w:r>
        <w:rPr>
          <w:rFonts w:ascii="Amiri" w:hAnsi="Amiri" w:eastAsia="Amiri" w:cs="Amiri"/>
          <w:color w:val="111111"/>
          <w:sz w:val="28"/>
          <w:sz w:val="28"/>
          <w:szCs w:val="28"/>
          <w:rtl w:val="true"/>
          <w:lang w:bidi="ar-SA"/>
        </w:rPr>
        <w:t xml:space="preserve">والتستري </w:t>
      </w:r>
      <w:r>
        <w:rPr>
          <w:rStyle w:val="FootnoteAnchor"/>
          <w:rtl w:val="true"/>
        </w:rPr>
        <w:footnoteReference w:id="269"/>
      </w:r>
      <w:r>
        <w:rPr>
          <w:rFonts w:ascii="Amiri" w:hAnsi="Amiri" w:eastAsia="Amiri" w:cs="Amiri"/>
          <w:color w:val="111111"/>
          <w:sz w:val="28"/>
          <w:sz w:val="28"/>
          <w:szCs w:val="28"/>
          <w:rtl w:val="true"/>
          <w:lang w:bidi="ar-SA"/>
        </w:rPr>
        <w:t xml:space="preserve">، والنهاية </w:t>
      </w:r>
      <w:r>
        <w:rPr>
          <w:rStyle w:val="FootnoteAnchor"/>
          <w:rtl w:val="true"/>
        </w:rPr>
        <w:footnoteReference w:id="270"/>
      </w:r>
      <w:r>
        <w:rPr>
          <w:rFonts w:ascii="Amiri" w:hAnsi="Amiri" w:eastAsia="Amiri" w:cs="Amiri"/>
          <w:color w:val="111111"/>
          <w:sz w:val="28"/>
          <w:sz w:val="28"/>
          <w:szCs w:val="28"/>
          <w:rtl w:val="true"/>
          <w:lang w:bidi="ar-SA"/>
        </w:rPr>
        <w:t xml:space="preserve">، والمحقق في بعض رسائله ، وبعض من اشترط غيرها أيضا ، كالسيّد </w:t>
      </w:r>
      <w:r>
        <w:rPr>
          <w:rStyle w:val="FootnoteAnchor"/>
          <w:rtl w:val="true"/>
        </w:rPr>
        <w:footnoteReference w:id="271"/>
      </w:r>
      <w:r>
        <w:rPr>
          <w:rFonts w:ascii="IRNazanin" w:hAnsi="IRNazanin" w:eastAsia="IRNazanin"/>
          <w:color w:val="111111"/>
          <w:sz w:val="28"/>
          <w:sz w:val="28"/>
          <w:szCs w:val="28"/>
          <w:rtl w:val="true"/>
          <w:lang w:bidi="fa-IR"/>
        </w:rPr>
        <w:t xml:space="preserve">، والمبسوط </w:t>
      </w:r>
      <w:r>
        <w:rPr>
          <w:rStyle w:val="FootnoteAnchor"/>
          <w:rtl w:val="true"/>
        </w:rPr>
        <w:footnoteReference w:id="272"/>
      </w:r>
      <w:r>
        <w:rPr>
          <w:rFonts w:ascii="IRNazanin" w:hAnsi="IRNazanin" w:eastAsia="IRNazanin"/>
          <w:color w:val="111111"/>
          <w:sz w:val="28"/>
          <w:sz w:val="28"/>
          <w:szCs w:val="28"/>
          <w:rtl w:val="true"/>
          <w:lang w:bidi="fa-IR"/>
        </w:rPr>
        <w:t xml:space="preserve">، والمعتبر </w:t>
      </w:r>
      <w:r>
        <w:rPr>
          <w:rStyle w:val="FootnoteAnchor"/>
          <w:rtl w:val="true"/>
        </w:rPr>
        <w:footnoteReference w:id="273"/>
      </w:r>
      <w:r>
        <w:rPr>
          <w:rFonts w:ascii="Amiri" w:hAnsi="Amiri" w:eastAsia="Amiri" w:cs="Amiri"/>
          <w:color w:val="111111"/>
          <w:sz w:val="28"/>
          <w:sz w:val="28"/>
          <w:szCs w:val="28"/>
          <w:rtl w:val="true"/>
          <w:lang w:bidi="ar-SA"/>
        </w:rPr>
        <w:t>وهو مختار أكثر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للأصل السالم عن المعارض ، المؤيد بأمرهم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أنواع الوضوء من الواجب والمندوب بطريق واحد من غير تعرض للوجوب والندب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وخلافا للحلبي ، والحلّي ، والقاضي </w:t>
      </w:r>
      <w:r>
        <w:rPr>
          <w:rStyle w:val="FootnoteAnchor"/>
          <w:rtl w:val="true"/>
        </w:rPr>
        <w:footnoteReference w:id="274"/>
      </w:r>
      <w:r>
        <w:rPr>
          <w:rFonts w:ascii="Amiri" w:hAnsi="Amiri" w:eastAsia="Amiri" w:cs="Amiri"/>
          <w:color w:val="111111"/>
          <w:sz w:val="28"/>
          <w:sz w:val="28"/>
          <w:szCs w:val="28"/>
          <w:rtl w:val="true"/>
          <w:lang w:bidi="ar-SA"/>
        </w:rPr>
        <w:t xml:space="preserve">، والراوندي </w:t>
      </w:r>
      <w:r>
        <w:rPr>
          <w:rStyle w:val="FootnoteAnchor"/>
          <w:rtl w:val="true"/>
        </w:rPr>
        <w:footnoteReference w:id="275"/>
      </w:r>
      <w:r>
        <w:rPr>
          <w:rFonts w:ascii="Amiri" w:hAnsi="Amiri" w:eastAsia="Amiri" w:cs="Amiri"/>
          <w:color w:val="111111"/>
          <w:sz w:val="28"/>
          <w:sz w:val="28"/>
          <w:szCs w:val="28"/>
          <w:rtl w:val="true"/>
          <w:lang w:bidi="ar-SA"/>
        </w:rPr>
        <w:t xml:space="preserve">، وابني زهرة وحمزة </w:t>
      </w:r>
      <w:r>
        <w:rPr>
          <w:rStyle w:val="FootnoteAnchor"/>
          <w:rtl w:val="true"/>
        </w:rPr>
        <w:footnoteReference w:id="276"/>
      </w:r>
      <w:r>
        <w:rPr>
          <w:rFonts w:ascii="IRNazanin" w:hAnsi="IRNazanin" w:eastAsia="IRNazanin"/>
          <w:color w:val="111111"/>
          <w:sz w:val="28"/>
          <w:sz w:val="28"/>
          <w:szCs w:val="28"/>
          <w:rtl w:val="true"/>
          <w:lang w:bidi="fa-IR"/>
        </w:rPr>
        <w:t xml:space="preserve">، والفاضل </w:t>
      </w:r>
      <w:r>
        <w:rPr>
          <w:rStyle w:val="FootnoteAnchor"/>
          <w:rtl w:val="true"/>
        </w:rPr>
        <w:footnoteReference w:id="277"/>
      </w:r>
      <w:r>
        <w:rPr>
          <w:rFonts w:ascii="Amiri" w:hAnsi="Amiri" w:eastAsia="Amiri" w:cs="Amiri"/>
          <w:color w:val="111111"/>
          <w:sz w:val="28"/>
          <w:sz w:val="28"/>
          <w:szCs w:val="28"/>
          <w:rtl w:val="true"/>
          <w:lang w:bidi="ar-SA"/>
        </w:rPr>
        <w:t xml:space="preserve">، والكركي ، والجامع ، والشرائع ، والذكرى </w:t>
      </w:r>
      <w:r>
        <w:rPr>
          <w:rStyle w:val="FootnoteAnchor"/>
          <w:rtl w:val="true"/>
        </w:rPr>
        <w:footnoteReference w:id="278"/>
      </w:r>
      <w:r>
        <w:rPr>
          <w:rFonts w:ascii="Amiri" w:hAnsi="Amiri" w:eastAsia="Amiri" w:cs="Amiri"/>
          <w:color w:val="111111"/>
          <w:sz w:val="28"/>
          <w:sz w:val="28"/>
          <w:szCs w:val="28"/>
          <w:rtl w:val="true"/>
          <w:lang w:bidi="ar-SA"/>
        </w:rPr>
        <w:t>، فأوجبوه وصفا أو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لاستصحاب الحدث إلى تحقق الرافع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ولوجوب الامتثال المتوقف على إيقاع الفعل على وجهه ، وهو لا يتم إلاّ بنية الوجه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الوضوء تارة يقع على وجه الوجوب ، وأخرى على الندب ، فحيث كان أحد الأمرين مطلوبا اشترط تشخيصه لتحصيل الامتثال ، وليتحقق الموافقة </w:t>
      </w:r>
    </w:p>
    <w:p>
      <w:pPr>
        <w:pStyle w:val="BookText"/>
        <w:rPr/>
      </w:pPr>
      <w:r>
        <w:rPr>
          <w:rFonts w:ascii="IRNazanin" w:hAnsi="IRNazanin" w:eastAsia="IRNazanin"/>
          <w:color w:val="111111"/>
          <w:sz w:val="28"/>
          <w:sz w:val="28"/>
          <w:szCs w:val="28"/>
          <w:rtl w:val="true"/>
          <w:lang w:bidi="fa-IR"/>
        </w:rPr>
        <w:t>للمأمور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والقول بأنه في وقت العبادة الواجبة المشروطة به لا يكون إلاّ واجبا وبدونه مندوب ، فيكون متعينا أبدا ، مردود بأنه لا شك في وقوع الأمر الاستحبابي به لبعض الغايات والوجوبي لآخر ، ولا يرتفع الأوّل حال الثاني ، فلا بدّ من التعيين كما في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الواجبة والمندوبة ، والغسلين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في حق من صدر عنه أحد الموجبات إلاّ وجوب إتيانه بالأفعال المعهودة التي هي الوضوء شرعا أو استحبابه ، فإن أريد بالحدث كونه بحيث يجب عليه هذه الأفعال للمشروط بالوضوء ، فالإتيان بها يكون مزيلا للاستصحاب يقينا ، وإن أريد غير ذلك فلا نسلّم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حدوث حالة لمن عليه الوضوء سوى كونه يجب أو يستحب عليه الإتيان بالأفعال المقررة غير ثابت من دليل حتى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سلّمناه ولكن الوضوء الشرعي رافع له بالإجماع بل الأخبار ، وهو ما ثبت كونه وضوءا بدليل 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والمستفيضة الحاكية لوضوء رسول اللّه صلی اللّه عليه وآله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 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الوضوء الذي افترضه اللّه على العباد لمن جاء من الغائط أو بال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ذكره ويتوضأ مرتين مرّتين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ابن فرقد بعد السؤال عن حد الوضوء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تغسل وجهك ويديك وتمسح رأسك ورجليك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كون هذه الأفعال وضوءا ، غاية الأمر ثبوت لزوم قصده مع القربة من الخارج أيضا ، فتكون هي معه رافعة ، ضرورة تحقق اللازم مع الملزوم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توقف الامتثال على ما ذكر وإن هو إلاّ 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الامتثال إنّما يحصل بالموافقة للمأمور به التي هي معنى الصحة ، ومعنى المطابقة أن يكون المأتي به بأجزائه وشرائطه ، موافقا للمأمور به كذلك ، بمعنى أنّ ما اتي به لو طوبق مع ما أمر به لم ينقص منه شي‌ء ، فإذا كان المأتي به كذلك يكون صحيحا ، والآتي به ممتثلا ، ولا يحتاج إلى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فيكون فرق بين 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وجوبا أو ندبا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أو يستحب التوضؤ ، فالمأمور به في الأوّل هو أفعال الوضوء بزيادة الوجوبية أو الندبية ، وفي الثاني أفعال الوضوء مجردة عن غيرها ، غاية الأمر أن أمره بها إيجابي أو ندبي ، فإن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في الوضوء </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الإيجابي والندبي من قبيل الأوّل فلا شك في وجوب نية الوجه ، كما مر في المسألة السابقة ، وإن كان من الثاني لا تجب ، لعدم دخوله في المأمور به ، فالمأتي به موافق لكلّ من الأمرين منفردا ، موجب للبراءة من أحدهما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الأمر في الوضوء من قبيل الثاني ، إذ لم يرد إلاّ أنه يستحب الكون على الوضوء حال كذا ، ويجب حال كذا ، ولم يرد أنه توضأ تطوّعا لكذا ووجوبا لكذا ، لم يلزم في صحته قصد الوجه ، بل ولا في ترتّب الآثار الوجوبية أو الندبية ، حيث ثبت فيه التداخل ، وترتّب جميع الآثار على وضوء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تشترط فيه نية الاستباحة أو الرفع ، وفاقا لمن ذكر في المسألة السابقة من المكتفين بالقربة ، وللشرائع ، لما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وخلافا للسيد </w:t>
      </w:r>
      <w:r>
        <w:rPr>
          <w:rStyle w:val="FootnoteAnchor"/>
          <w:rtl w:val="true"/>
        </w:rPr>
        <w:footnoteReference w:id="283"/>
      </w:r>
      <w:r>
        <w:rPr>
          <w:rFonts w:ascii="IRNazanin" w:hAnsi="IRNazanin" w:eastAsia="IRNazanin"/>
          <w:color w:val="111111"/>
          <w:sz w:val="28"/>
          <w:sz w:val="28"/>
          <w:szCs w:val="28"/>
          <w:rtl w:val="true"/>
          <w:lang w:bidi="fa-IR"/>
        </w:rPr>
        <w:t>، فأوجب الأوّل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وللمبسوط والسرائر والجامع والمعتبر والذكرى ، والفاضل ، والكركي ، فأحدهما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وللحلبي والقاضي والراوندي وابني زهرة وحمزة </w:t>
      </w:r>
      <w:r>
        <w:rPr>
          <w:rStyle w:val="FootnoteAnchor"/>
          <w:rtl w:val="true"/>
        </w:rPr>
        <w:footnoteReference w:id="284"/>
      </w:r>
      <w:r>
        <w:rPr>
          <w:rFonts w:ascii="IRNazanin" w:hAnsi="IRNazanin" w:eastAsia="IRNazanin"/>
          <w:color w:val="111111"/>
          <w:sz w:val="28"/>
          <w:sz w:val="28"/>
          <w:szCs w:val="28"/>
          <w:rtl w:val="true"/>
          <w:lang w:bidi="fa-IR"/>
        </w:rPr>
        <w:t>، فالأمران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احتجّ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وبمثل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امرئ ما نوى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بأنه يدلّ على أنّ ما نوى له ، لا على أنّ ما لم ينو ليس له إذا كان مما لم يثبت توقف تحققه على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الدلالة أنّ المفهوم منه وجوب إيقاع الوضوء لأجل الصلاة ، فيكون التعليل قيدا للمأمور ، فلا يتم إلاّ بإيجاده ، وهو ليس إلاّ بقصده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يصح لو كان التعليل متعلقا بالإيقاع ، وأمّا إذا كان متعلقا بالوجوب فلا ، فإن أريد أنّ المفهوم من الآية الأوّل فممنوع ، وإن أريد أنّ المفهوم منها الثاني أو أحدهما لا 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يظهر فساد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إيراد من أورد أنّ وجوب الوضوء للصلاة لا يستلزم وجوب قصد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أيّ فرق بين كون الفعل للصلاة وكونه لله أو لأجل أنّ اللّه أمرني أو لأجل أنّي مطيع له ونحوها؟ حيث لا يوجب الأول قصد التعليل ، والبواقي توجبه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فإنا لا نقول بالفرق بين وجوب كون الفعل للصلاة وبين وجوب كونه لله ونحوه ، بل نقول بالفرق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للصلاة فافعلوا وبين وجوب كونه لله ، أو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لله ، أو يجب أن يكون العمل خالصا لله ، فإنّ الأوّل يحتمل علّية الصلاة للوجوب دون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فرق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إيقاع الفعل لأجل الصلاة وبين ما ذكر ، لاحتمال كون التعليل علّة للإيجاب دون البواقي ، فإنّه لا </w:t>
      </w:r>
    </w:p>
    <w:p>
      <w:pPr>
        <w:pStyle w:val="BookText"/>
        <w:rPr/>
      </w:pPr>
      <w:r>
        <w:rPr>
          <w:rFonts w:ascii="Amiri" w:hAnsi="Amiri" w:eastAsia="Amiri" w:cs="Amiri"/>
          <w:color w:val="111111"/>
          <w:sz w:val="28"/>
          <w:sz w:val="28"/>
          <w:szCs w:val="28"/>
          <w:rtl w:val="true"/>
          <w:lang w:bidi="ar-SA"/>
        </w:rPr>
        <w:t>يحتمل أن يكون مراده أنّ اللّه علّة للإيجاب ، أو إطاعة أمره علّة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المولى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الحاجب درهما ليأذن لك ، فأعطاه لا لأجل ذلك ، بل لغرض آخر ، لم يكن ممتثلا ولا آتيا بما أمره به مولاه ، إذ الامتثال العرفي لا يتحقق إلاّ بقصد ما هو مطلوب الآمر ، وأنّ ارتكابه لأجل أنّ الآمر أمره لا لغيره ، ولو أتى به لا لأمره لا يمتثل البتّة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أنّه لو أعطى لا لأجل أنّ مولاه أمره ، لم يكن ممتثلا ، وليس الكلام فيه ، بل فيما إذا أعطى لأجل أنّه أمره مولاه من غير قصد أنه لأجل الإذن بل ذاهلا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نسلّم عدم الامتثال حينئذ ، بل هو ممتثل آت بما أمره به مولاه إلاّ إذا علم يقينا أنّه أراد الإعطاء بقصد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والمناسب للمقام ما إذا قال المولى أعطه درهما ليأذن لك ، ودرهما ليحفظ دابتك ، فأعطى الدرهمين لأجل أمر المولى من غير قصد العلّتين ، إما للذهول والغفلة أو لنسيان العلّة ، فإنّه يعدّ ممتثلا قطعا ، ولو أعطى درهما من غير قصد ، امتثل أحد الأمرين ، مع أنّه فرق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ليأذن لك ، وإذا أردت الإذن فأعطه درهما ، وما نحن فيه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الوضوء حال الصلاة ، وأن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إلى الصلاة فتوضأ ، ولذا يفيد الثاني التكرار بتكرار الصلاة دون الأوّل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من الجهة التي كلامنا فيها ممنوع جدا ، وأما إفادة الثاني للتكرار فلأجل دلالة الفعل على التجدّد ، ولذا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يتوضأ حين الصلاة ، يفيده ، بل وكذا لا بدّ من الوضوء إذا أخذ بالمعنى المصدري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الثاني بما مر أيضا بضميمة اتحاد مئال الاستباحة ورفع الحدث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واحتج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دعوى تغايرهما ، لانفكاك كلّ منهما عن الآخر في التيمم ووضوء الحائض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بشرعية الوضوء لأجل الأمرين ، فيجب قصدهما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وجوابهما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التخصيص بالرفع والاستباحة ، لأن الكلام في الوضوء للصلاة ، ويعلم منه الحال في الغايات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من وجوب نية القربة ، وعدم حصول الامتثال بدونها ، أنه لو نوى غيرها منفردا بطل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ضمّه معها ، فلو كان 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العمل بمرأى لإراءته لا لغرض شرعي ، ومنه السمعة ، وهو العمل بمسمع أحد لإسماعه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مطلقا سواء كلّ منهما مقصودا ذاتا أو كلاهما معا ، أو أحدهما خاصة وقصد الآخر بالعرض ، بالإجماع من غير السيد </w:t>
      </w:r>
      <w:r>
        <w:rPr>
          <w:rStyle w:val="FootnoteAnchor"/>
          <w:rtl w:val="true"/>
        </w:rPr>
        <w:footnoteReference w:id="291"/>
      </w:r>
      <w:r>
        <w:rPr>
          <w:rFonts w:ascii="Amiri" w:hAnsi="Amiri" w:eastAsia="Amiri" w:cs="Amiri"/>
          <w:color w:val="111111"/>
          <w:sz w:val="28"/>
          <w:sz w:val="28"/>
          <w:szCs w:val="28"/>
          <w:rtl w:val="true"/>
          <w:lang w:bidi="ar-SA"/>
        </w:rPr>
        <w:t>الغير القادح في تحققه ، وهو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خبري علي بن سالم وعقبة المتقدمين </w:t>
      </w:r>
      <w:r>
        <w:rPr>
          <w:rStyle w:val="FootnoteAnchor"/>
          <w:rtl w:val="true"/>
        </w:rPr>
        <w:footnoteReference w:id="292"/>
      </w:r>
      <w:r>
        <w:rPr>
          <w:rFonts w:ascii="Amiri" w:hAnsi="Amiri" w:eastAsia="Amiri" w:cs="Amiri"/>
          <w:color w:val="111111"/>
          <w:sz w:val="28"/>
          <w:sz w:val="28"/>
          <w:szCs w:val="28"/>
          <w:rtl w:val="true"/>
          <w:lang w:bidi="ar-SA"/>
        </w:rPr>
        <w:t xml:space="preserve">الدالّين على عدم قبول ما لم يكن خالصا لله ، والرياء بجميع أقسامه ينافيه ، مع تصريح الأوّل بعدم قبول ما أشرك فيه غير اللّه معه ، وفي رواية ابن عيينة السالفة </w:t>
      </w:r>
      <w:r>
        <w:rPr>
          <w:rStyle w:val="FootnoteAnchor"/>
          <w:rtl w:val="true"/>
        </w:rPr>
        <w:footnoteReference w:id="293"/>
      </w:r>
      <w:r>
        <w:rPr>
          <w:rFonts w:ascii="Amiri" w:hAnsi="Amiri" w:eastAsia="Amiri" w:cs="Amiri"/>
          <w:color w:val="111111"/>
          <w:sz w:val="28"/>
          <w:sz w:val="28"/>
          <w:szCs w:val="28"/>
          <w:rtl w:val="true"/>
          <w:lang w:bidi="ar-SA"/>
        </w:rPr>
        <w:t>ما يصرّح بذلك أيضا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النهي عن الرياء كلّه إجماعا وكتابا وسنّة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أثبت اللّه سبحانه في كتابه الكريم الويل للذين يراءون </w:t>
      </w:r>
      <w:r>
        <w:rPr>
          <w:rStyle w:val="FootnoteAnchor"/>
          <w:rtl w:val="true"/>
        </w:rPr>
        <w:footnoteReference w:id="294"/>
      </w:r>
      <w:r>
        <w:rPr>
          <w:rFonts w:ascii="Amiri" w:hAnsi="Amiri" w:eastAsia="Amiri" w:cs="Amiri"/>
          <w:color w:val="111111"/>
          <w:sz w:val="28"/>
          <w:sz w:val="28"/>
          <w:szCs w:val="28"/>
          <w:rtl w:val="true"/>
          <w:lang w:bidi="ar-SA"/>
        </w:rPr>
        <w:t xml:space="preserve">وقال أيضا في مقام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يُراؤُنَ النّاسَ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رياء شرك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والرياء ، فإنّه من عمل لغير اللّه وكله اللّه إلى من عمل له </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اعملوا لله في غير رياء وسمعة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أظهر للناس ما يحب اللّه وبارز اللّه بما كرهه لقي اللّه وهو ماقت له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المرائي جامع للوصفين ، إذ نفس الإظهار للناس من غير غرض صحيح مما يكرهه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يعمل الشي‌ء من الخير فيراه إنسان فيسّره 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ما من أحد إلاّ وهو يحبّ أن يظهر اللّه له في الناس الخير إذا لم يكن صنع ذلك لذلك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بمفهوم الشرط على ثبوت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صنع ذلك </w:t>
      </w:r>
    </w:p>
    <w:p>
      <w:pPr>
        <w:pStyle w:val="BookText"/>
        <w:rPr/>
      </w:pP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أنّ العمل رياء بأقسامه متابعة للهوى ، وهو منهي عنه في الكتاب والسنّة ، والنهي في العبادة يوجب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البطلان مطلقا لو كانت الضميمة محرّما آخر غير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فيها </w:t>
      </w:r>
      <w:r>
        <w:rPr>
          <w:rStyle w:val="FootnoteAnchor"/>
          <w:rtl w:val="true"/>
        </w:rPr>
        <w:footnoteReference w:id="301"/>
      </w:r>
      <w:r>
        <w:rPr>
          <w:rFonts w:ascii="Amiri" w:hAnsi="Amiri" w:eastAsia="Amiri" w:cs="Amiri"/>
          <w:color w:val="111111"/>
          <w:sz w:val="28"/>
          <w:sz w:val="28"/>
          <w:szCs w:val="28"/>
          <w:rtl w:val="true"/>
          <w:lang w:bidi="ar-SA"/>
        </w:rPr>
        <w:t>بين ما إذا كان الضمّ في تمام العبادة أو جزئها الواجب أو وصفها اللازم ، وبالجملة كلّ ما يبطل العمل بانتفائه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بين ما إذا كان في ماهية التمام أو الجزء أو الوصف ، أو في أحد أفراد واحد منها الذي يوجد به المأمور به ، لعدم اجتماع الوجوب والحرمة في واحد شخصي ولو من جهتين بينهما عموم وخصوص مطلقان أو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فيبطل الوضوء لو توضّأ بالماء البارد ، والصلاة لو صلّى في المسجد ، رياء أو بقصد محرّم آخر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كونه في المسجد كذا وإن لم يكن في نفس صلاته رياء ، لأنّ الكون جزء الصلاة ، كما في الصلاة في الدار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صلّى في أول الوقت رياء ، لأن هذه الصلاة أحد أفراد المخيّر ، فيتعلّق به النهي ، ومحل الرياء هو الصلاة في 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قرأ سورة معينة رياء ، أو أحسن القراءة ، أو أجهر فيها ، أو تأنى فيها ، أو صلّى جماعة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يتأدّى به الواجب تبطل الصلاة بقصد الرياء ، أو محرّم آخر فيه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غير ذلك فلا ولو كان وصفا قائما بواجب ، لعدم تعلّق النهي عن الوصف بموصوفه ، فلا يبطل الوضوء بالرياء في الاستقبال فيه ، ولا الغسل بالرياء في الخروج من الماء في الارتماس ، ولا الصلاة بالرياء في التخشّع فيه ، كإطراق الرأس ، وغمض العين ، وضم اليدين إلى الفخذين ، ومدّ العنق في الركوع ، </w:t>
      </w:r>
    </w:p>
    <w:p>
      <w:pPr>
        <w:pStyle w:val="BookText"/>
        <w:rPr/>
      </w:pPr>
      <w:r>
        <w:rPr>
          <w:rFonts w:ascii="Amiri" w:hAnsi="Amiri" w:eastAsia="Amiri" w:cs="Amiri"/>
          <w:color w:val="111111"/>
          <w:sz w:val="28"/>
          <w:sz w:val="28"/>
          <w:szCs w:val="28"/>
          <w:rtl w:val="true"/>
          <w:lang w:bidi="ar-SA"/>
        </w:rPr>
        <w:t>والتطويل في السجود بعد التقرّب في القدر الواجب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للسيّد </w:t>
      </w:r>
      <w:r>
        <w:rPr>
          <w:rStyle w:val="FootnoteAnchor"/>
          <w:rtl w:val="true"/>
        </w:rPr>
        <w:footnoteReference w:id="302"/>
      </w:r>
      <w:r>
        <w:rPr>
          <w:rFonts w:ascii="Amiri" w:hAnsi="Amiri" w:eastAsia="Amiri" w:cs="Amiri"/>
          <w:color w:val="111111"/>
          <w:sz w:val="28"/>
          <w:sz w:val="28"/>
          <w:szCs w:val="28"/>
          <w:rtl w:val="true"/>
          <w:lang w:bidi="ar-SA"/>
        </w:rPr>
        <w:t>، فلم يبطل العمل بقصد الرياء مطلقا وإن قال بعدم استحقاقه الثواب ، وهو مبني على أصله من عدم توقف الإجزاء على القبول ، ورده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وقوّى ما ذكره بعض متأخّري المتأخّرين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المأمور به ، والإخلاص في نيته ، ولا يوجب الإخلال بالأخير الإخلال بالأوّل وإن أوجب الإثم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ما ذكره إنّما كان صحيحا لو كان المأمور به هو قصد التقرب والخلوص ، والمنهي عنه هو إرادة إراءة الناس دون العمل المرائي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 بل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مدلول الأخبار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الخالص والعمل لله ، فما لم يكن كذلك لم يكن مأمورا به ، والمنهي عنه هو العمل لغير اللّه ، وهو الذي اثبت فيه البأس في رواية زرارة </w:t>
      </w:r>
      <w:r>
        <w:rPr>
          <w:rStyle w:val="FootnoteAnchor"/>
          <w:rtl w:val="true"/>
        </w:rPr>
        <w:footnoteReference w:id="304"/>
      </w:r>
      <w:r>
        <w:rPr>
          <w:rFonts w:ascii="Amiri" w:hAnsi="Amiri" w:eastAsia="Amiri" w:cs="Amiri"/>
          <w:color w:val="111111"/>
          <w:sz w:val="28"/>
          <w:sz w:val="28"/>
          <w:szCs w:val="28"/>
          <w:rtl w:val="true"/>
          <w:lang w:bidi="ar-SA"/>
        </w:rPr>
        <w:t>، وفيه متابعة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صرّح فيما مرّ بعدم قبول ما أشرك فيه غير اللّه ، وما لم يكن خالصا ، ولازمه عدم كونه مأمورا به فيفسد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صحة العمل من كونه بحيث يصدق معه الامتثال ، وهو لا يتحقق إلاّ بما فعل بقصد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الضميمة غير الرياء أو محرّم آخر ، كالتبرّد ، أو التسخّن ، أو نحوهما ، ففيها أقوال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الصحة مطلقا ، اختاره في المعتبر والشرائع </w:t>
      </w:r>
      <w:r>
        <w:rPr>
          <w:rStyle w:val="FootnoteAnchor"/>
          <w:rtl w:val="true"/>
        </w:rPr>
        <w:footnoteReference w:id="305"/>
      </w:r>
      <w:r>
        <w:rPr>
          <w:rFonts w:ascii="IRNazanin" w:hAnsi="IRNazanin" w:eastAsia="IRNazanin"/>
          <w:color w:val="111111"/>
          <w:sz w:val="28"/>
          <w:sz w:val="28"/>
          <w:szCs w:val="28"/>
          <w:rtl w:val="true"/>
          <w:lang w:bidi="fa-IR"/>
        </w:rPr>
        <w:t xml:space="preserve">، وعن المبسوط والجامع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المشهور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والبطلان كذلك ، حكي عن ظاهر نهاية الإحكام </w:t>
      </w:r>
      <w:r>
        <w:rPr>
          <w:rStyle w:val="FootnoteAnchor"/>
          <w:rtl w:val="true"/>
        </w:rPr>
        <w:footnoteReference w:id="308"/>
      </w:r>
      <w:r>
        <w:rPr>
          <w:rFonts w:ascii="Amiri" w:hAnsi="Amiri" w:eastAsia="Amiri" w:cs="Amiri"/>
          <w:color w:val="111111"/>
          <w:sz w:val="28"/>
          <w:sz w:val="28"/>
          <w:szCs w:val="28"/>
          <w:rtl w:val="true"/>
          <w:lang w:bidi="ar-SA"/>
        </w:rPr>
        <w:t xml:space="preserve">والإيضاح والبيان والروض وشرح الإرشاد للأردبيلي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والتفصيل بالصحة مع رجحانها ، والبطلان بدونه ، وقد تزاد فيه ملاحظة الرجحان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وبها </w:t>
      </w:r>
      <w:r>
        <w:rPr>
          <w:rStyle w:val="FootnoteAnchor"/>
          <w:rtl w:val="true"/>
        </w:rPr>
        <w:footnoteReference w:id="310"/>
      </w:r>
      <w:r>
        <w:rPr>
          <w:rFonts w:ascii="Amiri" w:hAnsi="Amiri" w:eastAsia="Amiri" w:cs="Amiri"/>
          <w:color w:val="111111"/>
          <w:sz w:val="28"/>
          <w:sz w:val="28"/>
          <w:szCs w:val="28"/>
          <w:rtl w:val="true"/>
          <w:lang w:bidi="ar-SA"/>
        </w:rPr>
        <w:t xml:space="preserve">إن كانت القربة الباعث الأصلي ، وعرض قصد الضميمة ، والبطلان في غيره ، احتمله الشهيد في قواعده والذكرى </w:t>
      </w:r>
      <w:r>
        <w:rPr>
          <w:rStyle w:val="FootnoteAnchor"/>
          <w:rtl w:val="true"/>
        </w:rPr>
        <w:footnoteReference w:id="311"/>
      </w:r>
      <w:r>
        <w:rPr>
          <w:rFonts w:ascii="Amiri" w:hAnsi="Amiri" w:eastAsia="Amiri" w:cs="Amiri"/>
          <w:color w:val="111111"/>
          <w:sz w:val="28"/>
          <w:sz w:val="28"/>
          <w:szCs w:val="28"/>
          <w:rtl w:val="true"/>
          <w:lang w:bidi="ar-SA"/>
        </w:rPr>
        <w:t xml:space="preserve">، واختاره والدي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التخصيص بغير الراجح ، وأمّا معه فالصحة مطلقا ، وادّعى عليها الإجماع تبعا لجمع آخر </w:t>
      </w:r>
      <w:r>
        <w:rPr>
          <w:rStyle w:val="FootnoteAnchor"/>
          <w:rtl w:val="true"/>
        </w:rPr>
        <w:footnoteReference w:id="312"/>
      </w:r>
      <w:r>
        <w:rPr>
          <w:rFonts w:ascii="Amiri" w:hAnsi="Amiri" w:eastAsia="Amiri" w:cs="Amiri"/>
          <w:color w:val="111111"/>
          <w:sz w:val="28"/>
          <w:sz w:val="28"/>
          <w:szCs w:val="28"/>
          <w:rtl w:val="true"/>
          <w:lang w:bidi="ar-SA"/>
        </w:rPr>
        <w:t xml:space="preserve">منهم صاحب المدارك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الضميمة إمّا نفس مهية المأمور به من العبادة أو جزؤها أو شرطها أو وصفها المطلوبة ، أو خصوصياتها وأوصافها الغير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الأوّل </w:t>
      </w:r>
      <w:r>
        <w:rPr>
          <w:rStyle w:val="FootnoteAnchor"/>
          <w:rtl w:val="true"/>
        </w:rPr>
        <w:footnoteReference w:id="314"/>
      </w:r>
      <w:r>
        <w:rPr>
          <w:rFonts w:ascii="Amiri" w:hAnsi="Amiri" w:eastAsia="Amiri" w:cs="Amiri"/>
          <w:color w:val="111111"/>
          <w:sz w:val="28"/>
          <w:sz w:val="28"/>
          <w:szCs w:val="28"/>
          <w:rtl w:val="true"/>
          <w:lang w:bidi="ar-SA"/>
        </w:rPr>
        <w:t>، فإن كانت الضميمة مقصودة بالذات ، أي باعثا أصليا فالحقّ البطلان مطلقا ، سواء كانت القربة أيضا كذلك ، بأن يكون كلّ منهما سببا مستقلا أو يكونا معا كذلك حتى يكون كلّ منهما جزء السبب ، أو لم تكن القربة كذلك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انصراف الفعل إلى القربة ، لعدم المرجّح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أيضا ، لأنّ جزء السبب لا يعد سببا ، والفعل للمركب ليس فعلا لكل جزء ، مع أنّ الفعل فيهما لا يستند إلى القربة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Style w:val="FootnoteAnchor"/>
          <w:rtl w:val="true"/>
        </w:rPr>
        <w:footnoteReference w:id="316"/>
      </w:r>
      <w:r>
        <w:rPr>
          <w:rFonts w:ascii="IRNazanin" w:hAnsi="IRNazanin" w:eastAsia="IRNazanin"/>
          <w:color w:val="111111"/>
          <w:sz w:val="28"/>
          <w:sz w:val="28"/>
          <w:szCs w:val="28"/>
          <w:rtl w:val="true"/>
          <w:lang w:bidi="fa-IR"/>
        </w:rPr>
        <w:t>فظاهر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إذا لم تكن الضميمة راجحة ، وأمّا مع رجحانها فإن </w:t>
      </w:r>
      <w:r>
        <w:rPr>
          <w:rStyle w:val="FootnoteAnchor"/>
          <w:rtl w:val="true"/>
        </w:rPr>
        <w:footnoteReference w:id="317"/>
      </w:r>
      <w:r>
        <w:rPr>
          <w:rFonts w:ascii="Amiri" w:hAnsi="Amiri" w:eastAsia="Amiri" w:cs="Amiri"/>
          <w:color w:val="111111"/>
          <w:sz w:val="28"/>
          <w:sz w:val="28"/>
          <w:szCs w:val="28"/>
          <w:rtl w:val="true"/>
          <w:lang w:bidi="ar-SA"/>
        </w:rPr>
        <w:t>أمكن الاستناد إلى القربة ، ولكن لا يتحقق امتثال هذا الأمر في هذه الصورة عرفا ، بل لا دليل على موافقته لهذا المأمور به ، فلو صام وكان باعثه الحمية والنذر معا أو كل منهما منفردا ، فلا دليل على أنّه لامتثال الأمر بالصوم دون الأمر بالحمية ، فلا يصح بل يبطل إلاّ مع ثبوت التداخل فيصح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تكن الضميمة مقصودة ذاتا ، بل عرض قصدها تبعا بحيث لولاها لفعل ولو انحصر المقصود بها لم يفعل ، فمع الرجحان لا إشكال في الصحة ، لعدم المنافاة للقربة وصدق الامتثال في العرف والعادة ووجود المرجّح للموافقة ، وبدونه ففيه إشكال ، ينشأ من تصريح الأخبار بعدم قبول العمل الغير الخالص ، وعدم خلوص مثل ذلك لغة وعرفا ، ومن تفسير العمل الخالص في خبر ابن عيينة بما لا يريد فيه حمد غير اللّه ، فيختص بالخالي عن الرياء ، وفي بعض الصحاح ما يشعر بأنّه ما ليس فيه شي‌ء من عبادة الأوثان </w:t>
      </w:r>
      <w:r>
        <w:rPr>
          <w:rStyle w:val="FootnoteAnchor"/>
          <w:rtl w:val="true"/>
        </w:rPr>
        <w:footnoteReference w:id="318"/>
      </w:r>
      <w:r>
        <w:rPr>
          <w:rFonts w:ascii="Amiri" w:hAnsi="Amiri" w:eastAsia="Amiri" w:cs="Amiri"/>
          <w:color w:val="111111"/>
          <w:sz w:val="28"/>
          <w:sz w:val="28"/>
          <w:szCs w:val="28"/>
          <w:rtl w:val="true"/>
          <w:lang w:bidi="ar-SA"/>
        </w:rPr>
        <w:t>، والمفروض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أقوى ، والأوّل أحوط</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الثاني </w:t>
      </w:r>
      <w:r>
        <w:rPr>
          <w:rStyle w:val="FootnoteAnchor"/>
          <w:rtl w:val="true"/>
        </w:rPr>
        <w:footnoteReference w:id="319"/>
      </w:r>
      <w:r>
        <w:rPr>
          <w:rFonts w:ascii="Amiri" w:hAnsi="Amiri" w:eastAsia="Amiri" w:cs="Amiri"/>
          <w:color w:val="111111"/>
          <w:sz w:val="28"/>
          <w:sz w:val="28"/>
          <w:szCs w:val="28"/>
          <w:rtl w:val="true"/>
          <w:lang w:bidi="ar-SA"/>
        </w:rPr>
        <w:t xml:space="preserve">، فلا يبطل أصلا ولو كانت الضميمة مستقلة ، كأن ينوي التبرد من اختيار الماء البارد في التوضؤ ، لا أن يتوضّأ لذلك ، أو التسخن لاختيار الحار ، والاستسخان من الصلاة في موضع حار إذا كان الباعث على أصل الوضوء </w:t>
      </w:r>
      <w:bookmarkStart w:id="34" w:name="pg11612_110704"/>
    </w:p>
    <w:p>
      <w:pPr>
        <w:pStyle w:val="BookText"/>
        <w:rPr/>
      </w:pPr>
      <w:bookmarkEnd w:id="34"/>
      <w:r>
        <w:rPr>
          <w:rFonts w:ascii="Amiri" w:hAnsi="Amiri" w:eastAsia="Amiri" w:cs="Amiri"/>
          <w:color w:val="111111"/>
          <w:sz w:val="28"/>
          <w:sz w:val="28"/>
          <w:szCs w:val="28"/>
          <w:rtl w:val="true"/>
          <w:lang w:bidi="ar-SA"/>
        </w:rPr>
        <w:t>والصلاة هو القربة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w:t>
      </w:r>
      <w:r>
        <w:rPr>
          <w:rStyle w:val="FootnoteAnchor"/>
          <w:rtl w:val="true"/>
        </w:rPr>
        <w:footnoteReference w:id="320"/>
      </w:r>
      <w:r>
        <w:rPr>
          <w:rFonts w:ascii="Amiri" w:hAnsi="Amiri" w:eastAsia="Amiri" w:cs="Amiri"/>
          <w:color w:val="111111"/>
          <w:sz w:val="28"/>
          <w:sz w:val="28"/>
          <w:szCs w:val="28"/>
          <w:rtl w:val="true"/>
          <w:lang w:bidi="ar-SA"/>
        </w:rPr>
        <w:t xml:space="preserve">لم يضم </w:t>
      </w:r>
      <w:r>
        <w:rPr>
          <w:rStyle w:val="FootnoteAnchor"/>
          <w:rtl w:val="true"/>
        </w:rPr>
        <w:footnoteReference w:id="321"/>
      </w:r>
      <w:r>
        <w:rPr>
          <w:rFonts w:ascii="Amiri" w:hAnsi="Amiri" w:eastAsia="Amiri" w:cs="Amiri"/>
          <w:color w:val="111111"/>
          <w:sz w:val="28"/>
          <w:sz w:val="28"/>
          <w:szCs w:val="28"/>
          <w:rtl w:val="true"/>
          <w:lang w:bidi="ar-SA"/>
        </w:rPr>
        <w:t xml:space="preserve">مع القربة في الإتيان بأصل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 لا يضر قصد آخر في التعينات والتشخصات والخصوصيات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إجماع بل ضرورة ، فهما الحجتان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الأصل ، وإلى أن الترجيح بلا مرجّح باطل ، فلا بدّ في تعيين أحد الأمكنة أو الأزمنة أو اللباس أو المياه من مرجح ، ولا يجب أن يكون المرجح أمرا راجحا شرعا ضرورة ، بل قد لا يتحقق غالبا ، بل يصح مع المرجوحية الإضافية أيضا كالصلاة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أنّ الخصوصية أمر وراء المطلق الذي هو المأمور به وإن اتحدت معه في الوجود ، فيكون هذا الفعل متعلّقا للقربة من حيث المهية ، وللضميمة من حيث الخصوصية ، فاختلاف الحيثيتين أوجب تعلق القصدين ، فهذا متقرب به من حيث إنّه كون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ومسخّن منه من حيث إنّه الكون في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يقاس ذلك بالصلاة في الدار المغصوبة ونحوها ، لأن الوجوب والحرمة وسائر الأحكام الخمسة أمور متضادة لا يجتمع اثنان منها في محل إلاّ بحيثيتين تقييديتين ، بخلاف التقرب والتسخّن مثلا ، فإنهما ليسا من المتضادين ، ولذا يبطل فيما كان من هذا القبيل إذا كانت الضميمة محرمة مطلقا</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5524331_73709187"/>
      <w:bookmarkStart w:id="36" w:name="_Toc14"/>
      <w:bookmarkEnd w:id="35"/>
      <w:r>
        <w:rPr>
          <w:rtl w:val="true"/>
        </w:rPr>
        <w:t xml:space="preserve">فروع </w:t>
      </w:r>
      <w:r>
        <w:rPr>
          <w:rtl w:val="true"/>
        </w:rPr>
        <w:t>:</w:t>
      </w:r>
      <w:bookmarkEnd w:id="3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يقصد الرياء ذاتا ولا عرضا ، ولكن سرّه إذا رآه إنسان أو سمعه لم يضر ، لعدم صدق الرياء عليه ، وقد صرّح به في صحيحة زرارة المتقدمة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أتى ببعض الأجزاء المستحبة كالقنوت في الصلاة ، والمضمضة أو الغسلة الثانية في الوضوء ونحو ذلك رياء يبطل المستحب قطعا ، ولكن لا يبطل الصلاة والوضوء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يبطل المسح ببطلان التثنية أو تكون لمعة من الموضع جافا لم تغسل من الأولى فيبطل الوضوء لأجله ، كما أن قد تبطل الصلاة ببطلان القنوت من جهة الفصل </w:t>
      </w:r>
      <w:r>
        <w:rPr>
          <w:rStyle w:val="FootnoteAnchor"/>
          <w:rtl w:val="true"/>
        </w:rPr>
        <w:footnoteReference w:id="323"/>
      </w:r>
      <w:r>
        <w:rPr>
          <w:rFonts w:ascii="Amiri" w:hAnsi="Amiri" w:eastAsia="Amiri" w:cs="Amiri"/>
          <w:color w:val="111111"/>
          <w:sz w:val="28"/>
          <w:sz w:val="28"/>
          <w:szCs w:val="28"/>
          <w:rtl w:val="true"/>
          <w:lang w:bidi="ar-SA"/>
        </w:rPr>
        <w:t>الكثير لو وصل إليه ، أو من جهة التكلم بالمحرم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اتصال نية الصلاة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أن حقيقة النية هي الداعي المحرك دون المخطر بالبال ، فربما كان الباعث غير امتثال أمر اللّه ويخطر بباله القربة مع العلم بأنها ليست الباعث أو للغفلة أو الجهل به ، والعبادة حينئذ باطلة ، سيما في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الأمر بالعكس ، فلا باعث له على العمل إلاّ وجه اللّه ، ولكن يشكك وتخطر بباله خطرات من غير أن تكون لها مدخلية في التأثير ، وعبادته حينئذ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الباعث والمحرك لم يصح العمل ، للزوم العلم بالانبعاث من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طرأ الرياء في أثناء العبادة يفسد ولو في آخرها إذا كانت مرتبطة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حصل بعد الفراغ لم يضر فيها وإن استفيد من الأخبار حبطها لو أظهرها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النية هي الداعية إلى الفعل المحركة للإنسان </w:t>
      </w:r>
    </w:p>
    <w:p>
      <w:pPr>
        <w:pStyle w:val="BookText"/>
        <w:rPr/>
      </w:pPr>
      <w:r>
        <w:rPr>
          <w:rFonts w:ascii="Amiri" w:hAnsi="Amiri" w:eastAsia="Amiri" w:cs="Amiri"/>
          <w:color w:val="111111"/>
          <w:sz w:val="28"/>
          <w:sz w:val="28"/>
          <w:szCs w:val="28"/>
          <w:rtl w:val="true"/>
          <w:lang w:bidi="ar-SA"/>
        </w:rPr>
        <w:t>إليه ، اللازمة لفعل كل عاقل مختار ، دون الصورة المخطرة بالبال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الفرق بينهما وتحقيق الحال في المعتبر منهما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يسافر إلى الكوفة لتحصيل نفع ، لا بدّ له أن يتصور أولا الكوفة ، والنفع ، وحصوله فيها ، وتوقفه على المسافرة إليها ، والمسافرة ، فإذا حصلت تلك التصورات ، تحصل للنفس حالة تبعث الأعضاء والجوارح على المسافرة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الحالة هي المعبّر عنها بالداعي والباعث ، وهي قد تحصل للنفس من غير التفاتها إليها وإلى أنها الباعثة ، وقد يكون ملتفتا إليها ، فيتصور وينتقش في باله أن يسافر إلى الكوفة لأجل النفع ، وذلك الالتفات والتصوير هو الإخطار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الحالة الداعية إذا حصلت للنفس تبقى فيها إلى الفراغ عن العمل ، وتبعث الجوارح على كل جزء من أجزائه التدريجية ، أو إلى قصده ترك العمل ، أي قصد المنافي ، ولكن قد تبقى معها التصورات المذكورة ، وقد لا يبقى منها معها شي‌ء ، كما أن الخارج إلى الكوفة قد يشتغل قلبه حين الذهاب بأمور شاغلة له ، بحيث يذهل عن نفسه فضلا عن الكوفة والسفر إليها وتحصيل النفع فيها ، ومع ذلك هو في الحركة والذهاب ، والمحرك هو هذه الحالة المخزونة في النفس وإن كان ذاهلا عنها ، بل الغالب في أفعال الناس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إذا كنت جالسا ودخل عليك من يستحق التواضع تقوم له حين دخوله عليك من غير أن تتصوّر وتلتفت في بالك إني أقوم تواضعا لفلان لاستحقاقه ذلك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الأولى وهي الحالة مع بقاء التصورات تسمّى بالنية الفعلية ، والثانية هي النية الحكمية ، وهي ترتفع إما بتمام العمل ، أو بقصد منافيه ، وهي كافية في وقوع الفعل بالنية ، ولذا يعدّ المسافر قاصدا في كل جزء من حركته ذهابا وإيابا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متحرك بلا نية وقصد ، وإن لم يلتفت في كل جزء إلى الذهاب والمقصد ، ولا يعدّ تواضعك خاليا عن القصد والنية ، ويترتب عليه ثوابه ، بل لو تكلّف الالتفات وتخيل ذلك يستقبحه كل أحد اطّلع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هذا ظهر وجه ما ذكرنا من اعتبار مجرد الداعي وكفايته الذي هو تلك الحالة ، إذ لا يثبت من أدلة وجوب نية القربة في العبادات سواها ، لصدق النية معها ، وتحقق الامتثال عرفا ، وعدم الدليل على الزائد ، فينفى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لمّا كان يتوقف حصولها ابتداء على التصورات المتقدمة ، فلو لم يخطر بالبال أولا الكوفة والنفع والسفر ، أو الشخص الوارد والتواضع ، لما أمكن انبعاث الأعضاء والجوارح إلى السفر والقيام ، فلا بدّ من النية الفعلية في ابتداء العمل لتحصيل تلك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النية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يتوقف بقاؤها عليها ، فلا يضر عزوب التصورات بعده ، لبقاء الحالة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الباعث على اتفاقهم على اشتراط النية الفعلية في الابتداء والاكتفاء بالحكمية بعدها ، فإنّه لو لا الفعلية ابتداء لما حصلت الحكمية أيضا بخلاف الأثناء ، فإنّ الفعلية الابتدائية كافية في حصول الحكمية وبقائها إلى الانتهاء أو قصد المنافي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معنى الاستدامة الحكمية المشروطة في العبادات ، ووجه اشتراطها في جميع أجزائها ، فإنّها لو تخلّفت عن جزء صدر بلا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النية الفعلية المشروطة في أول أجزائه ، ووجه اشتراطها فيه ، فإنّه لمّا كان حصول الحكمية موقوفا عليها وامتنع تحققها بدون سبقها ، فلو تأخّر جزء عنها لصدر بلا نية فيبطل ، وببطلانه يبطل العمل ، وليس اشتراطها لأجل أنّها النية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من جميع ما ذكر أنّ ها هنا أمورا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التصورات المذكورة وهي النية بمعنى الإخطار ، إذ ليس هو إلاّ خطور الفعل وأنّه يفعله لما ذا ، والتصورات المقارنة مع الحالة الباعثة للنفس على الاشتغال وهي النية الفعلية ، والحالة المذكورة مع عدم الالتفات وهي النية الحكمية ، وهي لازمة البقاء بعد حصول الفعلية وعدم الانتقال إلى مخالفها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فمرجع الاستدامة الحكمية إلى عدم الانتقال من الفعلية إلى نية مخالفها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لها هو الذي ذكره الأكثر وحكي عنهم ، كما عن المبسوط </w:t>
      </w:r>
    </w:p>
    <w:p>
      <w:pPr>
        <w:pStyle w:val="BookText"/>
        <w:rPr/>
      </w:pPr>
      <w:r>
        <w:rPr>
          <w:rFonts w:ascii="Amiri" w:hAnsi="Amiri" w:eastAsia="Amiri" w:cs="Amiri"/>
          <w:color w:val="111111"/>
          <w:sz w:val="28"/>
          <w:sz w:val="28"/>
          <w:szCs w:val="28"/>
          <w:rtl w:val="true"/>
          <w:lang w:bidi="ar-SA"/>
        </w:rPr>
        <w:t xml:space="preserve">والشرائع والمنتهى والجامع والتذكرة ونهاية الأحكام </w:t>
      </w:r>
      <w:r>
        <w:rPr>
          <w:rStyle w:val="FootnoteAnchor"/>
          <w:rtl w:val="true"/>
        </w:rPr>
        <w:footnoteReference w:id="326"/>
      </w:r>
      <w:r>
        <w:rPr>
          <w:rFonts w:ascii="Amiri" w:hAnsi="Amiri" w:eastAsia="Amiri" w:cs="Amiri"/>
          <w:color w:val="111111"/>
          <w:sz w:val="28"/>
          <w:sz w:val="28"/>
          <w:szCs w:val="28"/>
          <w:rtl w:val="true"/>
          <w:lang w:bidi="ar-SA"/>
        </w:rPr>
        <w:t xml:space="preserve">، ونسبه الشهيد إلى الأكثر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إليه ما عن الغنية والسرائر </w:t>
      </w:r>
      <w:r>
        <w:rPr>
          <w:rStyle w:val="FootnoteAnchor"/>
          <w:rtl w:val="true"/>
        </w:rPr>
        <w:footnoteReference w:id="329"/>
      </w:r>
      <w:r>
        <w:rPr>
          <w:rFonts w:ascii="Amiri" w:hAnsi="Amiri" w:eastAsia="Amiri" w:cs="Amiri"/>
          <w:color w:val="111111"/>
          <w:sz w:val="28"/>
          <w:sz w:val="28"/>
          <w:szCs w:val="28"/>
          <w:rtl w:val="true"/>
          <w:lang w:bidi="ar-SA"/>
        </w:rPr>
        <w:t>من أنّها أن يكون ذاكرا للفعل غير فاعل لنية مخالفها ، بجعل قولهم غير فاعل مفسّرا لسابقه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يجعل هذا المعنى مغايرا لسابقه ويجعل مجموع الفقرتين تفسيرا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على هذا يكون عين النية الفعلية ، لأنّها أيضا ليست شيئا سوى التذكر للأمور المذكورة مع الحالة المحركة اللازمة على كل تقدير ، وقد عرفت عدم دليل على لزومها في تمام الأجزاء ، بل هي ليست معتبرة في نفسه في جزء من الأجزاء وإن اعتبرت لأجل حصول الحكمية ، إلاّ أن يكون المراد التذكر للفعل فقط ، دون سائر التصورات من أنّه يفعله ولما ذا يفعله ، وذلك أيضا لا دليل على اعتباره أصلا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في توجيه وجوبه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تجب النية في أول الفعل تجب في كل جزء منه أيضا ، ولمّا كانت النية عندهم هو الإخطار أو الفعلية ، ويتعذّر اعتبارها في جميع الفعل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لِرَجُلٍ مِنْ قَلْبَيْنِ فِي جَوْفِهِ </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xml:space="preserve">يتوجه بأحدهما إلى الإخطار وبالآخر إلى إحداث الأجزاء والحركات والسكنات ، فلا بدّ من الاكتفاء بمجرد التذكر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يدرك كله لا يترك كله </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بل ذلك هو الوجه في اعتبار </w:t>
      </w:r>
    </w:p>
    <w:p>
      <w:pPr>
        <w:pStyle w:val="BookText"/>
        <w:rPr/>
      </w:pPr>
      <w:r>
        <w:rPr>
          <w:rFonts w:ascii="Amiri" w:hAnsi="Amiri" w:eastAsia="Amiri" w:cs="Amiri"/>
          <w:color w:val="111111"/>
          <w:sz w:val="28"/>
          <w:sz w:val="28"/>
          <w:szCs w:val="28"/>
          <w:rtl w:val="true"/>
          <w:lang w:bidi="ar-SA"/>
        </w:rPr>
        <w:t>الحكمية بالتفسير الأوّل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من لم يجعل النية هي الإخطار أو الفعلية ، بل اكتفى بمجرد الداعي ، كما هو مقتضى الأدلة ، اعتبرها بنفسها في تمام العمل لإمكانها ، ولا صارف عنها يوجب المصير إلى الحكمية بأحد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الحكمية بمعنى كونه ذاكرا للفعل لا تتحقق أيضا إلاّ بعد قلبين ، يتذكّر بأحدهما الفعل ، لأنّ التذكّر أيضا من فعل القلب ، ولا يتفاوت في ذلك تذكّر الفعل خاصة أو مع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يصلح ذلك توجيها لاعتبارها بالمعنى الأوّل </w:t>
      </w:r>
      <w:r>
        <w:rPr>
          <w:rStyle w:val="FootnoteAnchor"/>
          <w:rtl w:val="true"/>
        </w:rPr>
        <w:footnoteReference w:id="333"/>
      </w:r>
      <w:r>
        <w:rPr>
          <w:rFonts w:ascii="Amiri" w:hAnsi="Amiri" w:eastAsia="Amiri" w:cs="Amiri"/>
          <w:color w:val="111111"/>
          <w:sz w:val="28"/>
          <w:sz w:val="28"/>
          <w:szCs w:val="28"/>
          <w:rtl w:val="true"/>
          <w:lang w:bidi="ar-SA"/>
        </w:rPr>
        <w:t xml:space="preserve">، لأنّه لا يحتاج إلى تذكّر ، ولكنه ليس أمرا غير الداعي والمحرّك المخزون في النفس وإن لم يلتفت إليه ، إذ مجرد عدم الانتقال من غير كون الداعي لا يؤثّر في الفعل أصلا ، وعلى هذا فلا يحتاج في وجه اعتباره إلى ذلك التكلف الركيك ، بل هو عين النية الثابتة بالأدلّة ، ولذا ترى العامل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عامل بالقصد إذا نواه أولا وإن ذهل في الأثناء إذا كان مشتغلا غير منتقل بنيته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بقي ها هنا شي‌ء ، وهو أنّ الثابت ممّا ذكر وجوب عدم تأخّر الفعلية عن أول جزء من العمل ، وأمّا لزوم عدم تقدّمها عليه فلم يثبت ، فإنّه قد تحصل النية الفعلية قبل العمل ثمَّ تبقى الحالة التي هي الحكمية حتى تقارن أول الجزء ، وعلى ما ذكر يجب أن يكون العمل حينئذ صحيحا مع أنّ الأكثر صرّحوا بوجوب مقارنة الفعلية التي يعبّرون عنها بالنية لأوّل جزء</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المقام هو محل غرور جماعة من المتأخرين ، حتى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بسقوط البحث عن كلفة المقارنة ، وتقديمها في الوضوء عند غسل اليدين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أدري ما الباعث للتفرقة بين أول الجزء والأثناء مع تساوي الأجزاء </w:t>
      </w:r>
    </w:p>
    <w:p>
      <w:pPr>
        <w:pStyle w:val="BookText"/>
        <w:rPr/>
      </w:pPr>
      <w:r>
        <w:rPr>
          <w:rFonts w:ascii="Amiri" w:hAnsi="Amiri" w:eastAsia="Amiri" w:cs="Amiri"/>
          <w:color w:val="111111"/>
          <w:sz w:val="28"/>
          <w:sz w:val="28"/>
          <w:szCs w:val="28"/>
          <w:rtl w:val="true"/>
          <w:lang w:bidi="ar-SA"/>
        </w:rPr>
        <w:t xml:space="preserve">فيما يشترط به من نحو النية </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وطعن ثالث </w:t>
      </w:r>
      <w:r>
        <w:rPr>
          <w:rStyle w:val="FootnoteAnchor"/>
          <w:rtl w:val="true"/>
        </w:rPr>
        <w:footnoteReference w:id="336"/>
      </w:r>
      <w:r>
        <w:rPr>
          <w:rFonts w:ascii="Amiri" w:hAnsi="Amiri" w:eastAsia="Amiri" w:cs="Amiri"/>
          <w:color w:val="111111"/>
          <w:sz w:val="28"/>
          <w:sz w:val="28"/>
          <w:szCs w:val="28"/>
          <w:rtl w:val="true"/>
          <w:lang w:bidi="ar-SA"/>
        </w:rPr>
        <w:t xml:space="preserve">بأكثر الفقهاء الذين يبحثون عن أول وقت النية وبمن يحصرها بين حاصرين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اشتراط المقارنة إنّما هو على مذاق الموجبين للإخطار على ما هو الحري بالاعتبار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نقول لحسم مادة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مما لا شك فيه أنّ حصول تلك الحالة الداعية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تسمى مع عدم الالتفات إليها بالنية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التصورات المذكورة ، وبقاءها على الاشتغال بالعمل نفسه أو بمقدماته ، ولا يمكن بقاؤها بدون ذلك ، فلو لم يشتغل بشي‌ء منها ولم يحضر التصورات لم يمكن بقاء الحالة ، ولذا ترى أنّ من تصوّر زيدا في يوم وتصوّر بيته ولقاءه والذهاب إلى بيته للقائه ، وحصلت في نفسه حالة باعثة على الذهاب غدا إلى بيته للقائه ، فلا يمكن ذهابه في الغد إلاّ بتجديد التصورات ، ولو ذهل عنها بالكلية واشتغل قلبه بأمر آخر امتنع منه الذهاب ، بخلاف من اشتغل بالذهاب فإنّه يذهب مع الذهول عن زيد وبيته ، بل عن ذهابه لو لم يقصد غيره مما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السر فيما ترى من أنّك تقصد اشتغال أمر في الغد وتتركه للذهول عمّا قصدت ، وإذا اشتغلت به لا تتركه وإن ذهلت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إمكان بقاء الحكمية بدون الاشتغال أيضا فاسد جدّا ، فإنّ من يقصد قبل الزوال الوضوء بعد الزوال ، ثمَّ يشتغل بأمر آخر لا يمكن أن يتوضّأ بعد الزوال إلاّ بشعوره بالوضوء وبفعله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السرّ في ذلك احتياج الباقي في البقاء إلى المؤثر ، فمع الاشتغال يكون هو المؤثّر في البقاء ، بمعنى أن التصوّرات علة لحدوث الحالة وهي للاشتغال بأول </w:t>
      </w:r>
      <w:bookmarkStart w:id="37" w:name="pg11612_110711"/>
    </w:p>
    <w:p>
      <w:pPr>
        <w:pStyle w:val="BookText"/>
        <w:rPr/>
      </w:pPr>
      <w:bookmarkEnd w:id="37"/>
      <w:r>
        <w:rPr>
          <w:rFonts w:ascii="Amiri" w:hAnsi="Amiri" w:eastAsia="Amiri" w:cs="Amiri"/>
          <w:color w:val="111111"/>
          <w:sz w:val="28"/>
          <w:sz w:val="28"/>
          <w:szCs w:val="28"/>
          <w:rtl w:val="true"/>
          <w:lang w:bidi="ar-SA"/>
        </w:rPr>
        <w:t>جزء ، وهو لبقاء الحالة حين الاشتغال ، هي للاشتغال بالجزء الثاني ، وهو لبقائها وهكذا ، وأمّا إذا لم يشتغل وعزبت التصورات ، فلا علة لبقاء الحالة فتنتفي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ظهر لك توقف الحكمية على الاشتغال ، فلو لم تقارن الفعلية لأوّل جزء مما يتعلّق بالعمل بل تقدّمت عليها فتنتفي الحكمية بعدها وقبل الاشتغال ، فيكون الفاعل حال الاشتغال بأول جزء خاليا عن النية ، فلا بدّ من تجديد التصورات لتحصيل الحالة ، وهذا هو 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لك سبب التفرقة وإمكان الحصر وعدم توقف اشتراط المقارنة على وجوب الإخطار ، ويرتفع الطعن عن العلماء الأخيار ، بل ملاحظة ما ذكرنا يتّضح أمر النية بالتمام ، ويندفع بعض الإشكالات والإيرادات عن المقام</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5524333_73709187"/>
      <w:bookmarkStart w:id="39" w:name="_Toc15"/>
      <w:bookmarkEnd w:id="38"/>
      <w:r>
        <w:rPr>
          <w:rtl w:val="true"/>
        </w:rPr>
        <w:t xml:space="preserve">فروع مما يتعلق بالنية </w:t>
      </w:r>
      <w:r>
        <w:rPr>
          <w:rtl w:val="true"/>
        </w:rPr>
        <w:t>:</w:t>
      </w:r>
      <w:bookmarkEnd w:id="39"/>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عرفت وجوب مقارنة النية الفعلية لأوّل فعل ما </w:t>
      </w:r>
      <w:r>
        <w:rPr>
          <w:rStyle w:val="FootnoteAnchor"/>
          <w:rtl w:val="true"/>
        </w:rPr>
        <w:footnoteReference w:id="339"/>
      </w:r>
      <w:r>
        <w:rPr>
          <w:rFonts w:ascii="Amiri" w:hAnsi="Amiri" w:eastAsia="Amiri" w:cs="Amiri"/>
          <w:color w:val="111111"/>
          <w:sz w:val="28"/>
          <w:sz w:val="28"/>
          <w:szCs w:val="28"/>
          <w:rtl w:val="true"/>
          <w:lang w:bidi="ar-SA"/>
        </w:rPr>
        <w:t>يتعلق بالعبادة ، تعلم أنّ وقت نية الوضوء عند غسل الوجه ، ويجوز تقديمها عند غسل اليدين المستحب للوضوء التفاتا إلى كونه من الأجزاء المندوبة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عند جماعة </w:t>
      </w:r>
      <w:r>
        <w:rPr>
          <w:rStyle w:val="FootnoteAnchor"/>
          <w:rtl w:val="true"/>
        </w:rPr>
        <w:footnoteReference w:id="340"/>
      </w:r>
      <w:r>
        <w:rPr>
          <w:rFonts w:ascii="Amiri" w:hAnsi="Amiri" w:eastAsia="Amiri" w:cs="Amiri"/>
          <w:color w:val="111111"/>
          <w:sz w:val="28"/>
          <w:sz w:val="28"/>
          <w:szCs w:val="28"/>
          <w:rtl w:val="true"/>
          <w:lang w:bidi="ar-SA"/>
        </w:rPr>
        <w:t>، لعدم كونه من الوضوء عندهم وإن استحب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فالجواز مبني على كونه من الوضوء أو مستحبا برأسه ، وكذا المضمضة والاستنشاق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القول بكفاية النية عند غسل اليد للوضوء ولو لم يكن جزءا ، بل عند التهيّؤ للوضوء ولو بتحصيل الماء وأمثاله ، وكذا كل عبادة ، فإنّه ظهر مما ذكرنا أنّ وقت النية الفعلية هو ابتداء الاشتغال بالعمل نفسه أو بما يتعلق به ، ولا يحتاج إلى الاشتغال بجزء معين منه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لا بدّ حينئذ من كون نفس العبادة لا يحتمل غيرها من غير العبادات ، </w:t>
      </w:r>
    </w:p>
    <w:p>
      <w:pPr>
        <w:pStyle w:val="BookText"/>
        <w:rPr/>
      </w:pPr>
      <w:r>
        <w:rPr>
          <w:rFonts w:ascii="Amiri" w:hAnsi="Amiri" w:eastAsia="Amiri" w:cs="Amiri"/>
          <w:color w:val="111111"/>
          <w:sz w:val="28"/>
          <w:sz w:val="28"/>
          <w:szCs w:val="28"/>
          <w:rtl w:val="true"/>
          <w:lang w:bidi="ar-SA"/>
        </w:rPr>
        <w:t>إمّا بنفسها أو بما يميزها من الأمور الخارجية حتى يصدق الامتثال ، ولا من العبادات حتى تتعين الآثار المترتبة على ما يريد فعله ، وإلاّ لاحتاجت في أول جزء منها إلى قصدها لتميزها عن غيرها ، ولذا يحتاج الذاهب من بيته إلى الحمام قاصدا للغسل تجديد النية عند الارتماس ، إلاّ إذا لم يكن من عادته الارتماس لغير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عرفت عدم العبرة بالإخطار ، وأنّ الداعي هو محل الاعتبار ، تعلم أنّه لو أراد فعلا معيّنا وحرّكه الداعي إليه كصلاة الظهر ، ثمَّ خطر بباله حين المقارنة غيرها كالصبح أو العصر لم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عرفت اشتراط القربة والخلوص في نية العبادات ، وأنّه ربما يشتبه الأمر أو تحصل الغفلة فعليك بالمجاهدة ، ومعرفة الرياء وآثاره وعلاماته والمعالجة ، وعدم الغفلة عن مكائد النفس الأمّارة ، فإنّ تحصيل الخلوص أمر صعب لا يتأتى في الأغلب إلاّ مع المجاهدات الصعبة ، كما يدلّ عليه قول الأمير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تخليص العمل من الفساد أشد من طول الجهاد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عنهم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الرياء شرك خفي وأخفى من دبيب النملة </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ظهر فساد ما ذكره بعض المتأخّرين </w:t>
      </w:r>
      <w:r>
        <w:rPr>
          <w:rStyle w:val="FootnoteAnchor"/>
          <w:rtl w:val="true"/>
        </w:rPr>
        <w:footnoteReference w:id="343"/>
      </w:r>
      <w:r>
        <w:rPr>
          <w:rFonts w:ascii="Amiri" w:hAnsi="Amiri" w:eastAsia="Amiri" w:cs="Amiri"/>
          <w:color w:val="111111"/>
          <w:sz w:val="28"/>
          <w:sz w:val="28"/>
          <w:szCs w:val="28"/>
          <w:rtl w:val="true"/>
          <w:lang w:bidi="ar-SA"/>
        </w:rPr>
        <w:t>من سهولة الخطب في النية ، وأنّ المعتبر فيها محض تخيل المنوي بأدنى توجه ، وهذا القدر لا ينفك عنه أحد من العقلاء</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الواردة في النية والقربة ومن معنى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اشتراط النية بالمعنى المعروف من بدع فقهائنا المتأخرين </w:t>
      </w:r>
    </w:p>
    <w:p>
      <w:pPr>
        <w:pStyle w:val="BookText"/>
        <w:rPr/>
      </w:pPr>
      <w:r>
        <w:rPr>
          <w:rFonts w:ascii="Amiri" w:hAnsi="Amiri" w:eastAsia="Amiri" w:cs="Amiri"/>
          <w:color w:val="111111"/>
          <w:sz w:val="28"/>
          <w:sz w:val="28"/>
          <w:szCs w:val="28"/>
          <w:rtl w:val="true"/>
          <w:lang w:bidi="ar-SA"/>
        </w:rPr>
        <w:t>تبعا للعامة ، وإلاّ فالرّواة والقدماء ما كانوا يذكرونها ويتعرضون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 في النية على ما يجب ، فإمّا يكون من الأوصاف المتحققة في المنوي ، كأن ينوي الوجوب في الواجب ، أو الندب في المندوب على المختار من عدم اشتراط نية الوجه ، أو ينوي القصر في صلاة السفر ، أو الإتمام في الحضر ونحوه ، فلا محذور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مما ليس فيه ، كأن ينوي الواجب مندوبا ، أو الأداء قضاء ، أو الظهر عصرا ، أو غسل الجنابة جمعة أو بالعكس ، بمعنى أن يعتقده كذلك ، لا مجرد الإخطار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عبرة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يخلو إمّا يتعين مقصوده والفعل الذي يأتي به ، إمّا لأجل كون المأمور به أمرا واحدا معينا لا يشتبه بغيره ويقصده بعينه ، وليس أمر آخر غيره يشتبه به ، أو لأجل ضمّ ما يميزه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أخطأ في اعتقاده الذي زاد ، كأن يتوضأ للصلاة وجوبا باعتقاد دخول الوقت ولم يدخل ، أو ندبا باعتقاد عدمه وقد دخل ، أو ينوي الصلاة قضاء باعتقاد خروج الوقت ولم يخرج ، أو أداء باعتقاد عدم خروجه وقد خرج ، أو توضأ بنية وجوبه أو ندبه نفسا مع أنّه واجب ومندوب لغيره ونحو ذلك مما لا يحصل فيه الاشتباه لأجل تلك النية فلا محذور أيضا ، كما صرّح به بعضهم </w:t>
      </w:r>
      <w:r>
        <w:rPr>
          <w:rStyle w:val="FootnoteAnchor"/>
          <w:rtl w:val="true"/>
        </w:rPr>
        <w:footnoteReference w:id="344"/>
      </w:r>
      <w:r>
        <w:rPr>
          <w:rFonts w:ascii="Amiri" w:hAnsi="Amiri" w:eastAsia="Amiri" w:cs="Amiri"/>
          <w:color w:val="111111"/>
          <w:sz w:val="28"/>
          <w:sz w:val="28"/>
          <w:szCs w:val="28"/>
          <w:rtl w:val="true"/>
          <w:lang w:bidi="ar-SA"/>
        </w:rPr>
        <w:t>، لأنّه قصد الأمر المعيّن الذي عليه واقعا ، إلاّ انّه أخطأ في اعتقاده ، وهو غير مضر ، لأنّه أتى بذلك المعيّن المطلوب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والخطأ في اعتقاده لا يخرجه من المطلوب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الخطأ لأجل الغفلة بل ولو تعمد ذلك ، لأنّه قصد لغو لا يضر في صدق الامتثال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بالبطلان مع العمد </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وجه 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يكون هناك أمران ويريد وصف أحدهما في النية مع أنّ المأمور به هو الآخر ، كأن ينوي الظهر باعتقاد أنّه لم يفعله ، ثمَّ ظهر أنّه فعله ، وكانت عليه </w:t>
      </w:r>
    </w:p>
    <w:p>
      <w:pPr>
        <w:pStyle w:val="BookText"/>
        <w:rPr/>
      </w:pPr>
      <w:r>
        <w:rPr>
          <w:rFonts w:ascii="Amiri" w:hAnsi="Amiri" w:eastAsia="Amiri" w:cs="Amiri"/>
          <w:color w:val="111111"/>
          <w:sz w:val="28"/>
          <w:sz w:val="28"/>
          <w:szCs w:val="28"/>
          <w:rtl w:val="true"/>
          <w:lang w:bidi="ar-SA"/>
        </w:rPr>
        <w:t>صلاة العصر ، أو قصد نافلة الصبح زعما منه أنّه ما فعلها فظهر أنّه فعلها وكانت عليه فريضة ، أو غسل الجمعة باعتقاد أنّ ما فعله غسل الجنابة ثمَّ ظهر أنّه اغتسل للجمعة ، فالظاهر البطلان ، لأنّه لا يوافق المأمور به ، وما وافقه ليس مأمورا به ، ولأنّ قصد إطاعة المأمور به شرط في تحقق الامتثال ، وما قصد إطاعته ليس مأمورا به ، وما هو مأمور به لم يقصد إطاعته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وجب أو استحب أمر كالوضوء أو الغسل لغايات ، فإمّا لا يعلم أنّ الإتيان به مقيدا بكونه لأجل الغاية أيضا من المأمور به أو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يعلم ،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النائم متطهرا والقارئ متطهرا والمجامع متطهرا والداخل في بيته متطهرا ، إلى غير ذلك ، أو ما يؤدّي هذا المؤدّى ، فيكفي للمجموع وضوء واحد ، لأصالة البراءة ، وصدق التوضؤ والتطهر ونحوهما ، إلاّ أن تثبت من الخارج مطلوبية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أنّ التقييد بالإتيان لأجل كذا جزء المأمور به ، يلزم في امتثال المجموع التعدد ، لتعدّد المأمور به حينئذ ، إلاّ أن يثبت التداخل وكفاية واحد للمجموع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كان من الأوّل فلا تلزم فيه نية الغاية أصلا كما أشير إليه سابقا ، بل لو فعل فعلا واحدا بنية القربة يكفي لجميع الغايات ، وحينئذ لو نوى غاية معينة تكون من قبيل الزائد الذي لا يبطل به الفعل ، ولا يصرفه إلى الفعل لتلك الغاية بخصوصها ، للأصل ، فيترتب عليه جميع الغايات ، وإن ثبت التعدد فيه يمتثل بواحد أمرا واحدا لا بعينه ، والأمر في ترتب الآثار لو اختلفت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من الثاني لا يكفي واحد بنية القربة ، ولا يكفي المأتي به بنية إحدى الغايات للأخرى إلاّ بدليل ، كما ظهر وجهه فيما سبق</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لم يعلم في الوضوء تقييد الأمر بشي‌ء من أفراده بغاية من غاياته ، بل غاية ما ثبت وجوب الكون على الوضوء أو استحبابه لأمور ، والأصل عدم التعدّد في المأمور به أيضا ، فيكفي الوضوء الواحد بنية </w:t>
      </w:r>
    </w:p>
    <w:p>
      <w:pPr>
        <w:pStyle w:val="BookText"/>
        <w:rPr/>
      </w:pPr>
      <w:r>
        <w:rPr>
          <w:rFonts w:ascii="Amiri" w:hAnsi="Amiri" w:eastAsia="Amiri" w:cs="Amiri"/>
          <w:color w:val="111111"/>
          <w:sz w:val="28"/>
          <w:sz w:val="28"/>
          <w:szCs w:val="28"/>
          <w:rtl w:val="true"/>
          <w:lang w:bidi="ar-SA"/>
        </w:rPr>
        <w:t>القربة لجميع الغايات ، وكذا لو توضّأ بقصد غاية معيّنة ، ووجهه يظهر مما مر ، وستأتي زيادة تفصيل لذلك في بحث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وقد ظهر بما ذكرنا أنّ من اشتغلت ذمته بطهارة واجبة ، فنوى الندب أو نوى إحدى غاياته الموجبة لاستحبابه يصح الوضوء ، إذ ليس المطلوب منه إلاّ وضوء واحد واجب ، غايته أنّه زاد في النية أمرا لغوا ، فلا يبطل به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المنتهى والتذكرة ونهاية الإحكام والقواعد والشهيد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w:t>
      </w:r>
      <w:r>
        <w:rPr>
          <w:rStyle w:val="FootnoteAnchor"/>
          <w:rtl w:val="true"/>
        </w:rPr>
        <w:footnoteReference w:id="346"/>
      </w:r>
      <w:r>
        <w:rPr>
          <w:rFonts w:ascii="Amiri" w:hAnsi="Amiri" w:eastAsia="Amiri" w:cs="Amiri"/>
          <w:color w:val="111111"/>
          <w:sz w:val="28"/>
          <w:sz w:val="28"/>
          <w:szCs w:val="28"/>
          <w:rtl w:val="true"/>
          <w:lang w:bidi="ar-SA"/>
        </w:rPr>
        <w:t>، ولعله مبني على اشتراط نية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نقض الطهارة بعد الإكمال لم تبطل قطعا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نواه في الأثناء بطل الباقي لو أوقعه ، إلاّ إذا رجع إلى النية قبل فوات الموالاة في الوضوء ، ومطلقا في الغسل ، وأوقعه بعده ، فيصح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أخلّ في الوضوء بلمعة ، وغسلها في الغسلة الثانية المندوبة ، صحّ عندنا ، ووجهه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اشتراط قصد الوجه لا يصحّ ، وفاقا لأهله إن علم به ، وإن لم يعلم ففيه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لك مما ذكرنا أنّه يكفي وضوء واحد لرفع جميع الأحداث ، سواء نواه أو لم ينوه أو نوى رفع حدث معيّن ، بل لو نوى عدم رفع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الترديد في النية فيما يجب قصده إذا كان عنده معيّنا ، فيبطل لو تردد ، لعدم الإتيان بالمأمور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أعطى شيئا وتردّد في قصد الزكاة أو الخمس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صلّى مترددا بين الفريضة والنافلة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الوجه والرفع عند مشترطي قصدهما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لم يكن معيّنا عنده إما لتردّد </w:t>
      </w:r>
      <w:r>
        <w:rPr>
          <w:rStyle w:val="FootnoteAnchor"/>
          <w:rtl w:val="true"/>
        </w:rPr>
        <w:footnoteReference w:id="347"/>
      </w:r>
      <w:r>
        <w:rPr>
          <w:rFonts w:ascii="Amiri" w:hAnsi="Amiri" w:eastAsia="Amiri" w:cs="Amiri"/>
          <w:color w:val="111111"/>
          <w:sz w:val="28"/>
          <w:sz w:val="28"/>
          <w:szCs w:val="28"/>
          <w:rtl w:val="true"/>
          <w:lang w:bidi="ar-SA"/>
        </w:rPr>
        <w:t xml:space="preserve">في المسألة ، أو للنسيان أو للجهل ، </w:t>
      </w:r>
    </w:p>
    <w:p>
      <w:pPr>
        <w:pStyle w:val="BookText"/>
        <w:rPr/>
      </w:pPr>
      <w:r>
        <w:rPr>
          <w:rFonts w:ascii="Amiri" w:hAnsi="Amiri" w:eastAsia="Amiri" w:cs="Amiri"/>
          <w:color w:val="111111"/>
          <w:sz w:val="28"/>
          <w:sz w:val="28"/>
          <w:szCs w:val="28"/>
          <w:rtl w:val="true"/>
          <w:lang w:bidi="ar-SA"/>
        </w:rPr>
        <w:t xml:space="preserve">مثل أن صلّى ركعتين ونسي أنّه صلّى الأداء أو القضاء ، أو أعطى شيئا ونسي أنّه أعطى للزكاة أو الخمس مع اشتغال ذمته بهما ، أو لم يعلم أنّ الزكاة حينئذ واجبة عليه أو مستحبة ، أو غسل الجمعة على اشتراط نية الوجه ،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بعضهم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قصد ما في الذمة ، إذ معناه هو المطلوب المعيّن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تردّد بين إباحة فعل ووجوبه أو استحبابه ينوي الاحتياط ، لأنّ الاحتياط مطلوب للشارع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اخترناه يكفي مجرد قصد القربة في كل عبادة واجبة مشتملة على بعض الأجزاء المستحبة ، ولا يلزم قصد الوجه مطلقا فضلا عن قصد الوجوب في الواجبة والندب في المندوبة ، ولو نوى الوجوب للجميع لم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وللمشترطين لنية الوجه في مثلها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قصد الوجوب في الواجبة ، والندب في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ظاهر جمع من الفقهاء </w:t>
      </w:r>
      <w:r>
        <w:rPr>
          <w:rStyle w:val="FootnoteAnchor"/>
          <w:rtl w:val="true"/>
        </w:rPr>
        <w:footnoteReference w:id="349"/>
      </w:r>
      <w:r>
        <w:rPr>
          <w:rFonts w:ascii="Amiri" w:hAnsi="Amiri" w:eastAsia="Amiri" w:cs="Amiri"/>
          <w:color w:val="111111"/>
          <w:sz w:val="28"/>
          <w:sz w:val="28"/>
          <w:szCs w:val="28"/>
          <w:rtl w:val="true"/>
          <w:lang w:bidi="ar-SA"/>
        </w:rPr>
        <w:t xml:space="preserve">، وكفاية قصد الوجوب ، نقل عن صريح بعض المتأخّرين </w:t>
      </w:r>
      <w:r>
        <w:rPr>
          <w:rStyle w:val="FootnoteAnchor"/>
          <w:rtl w:val="true"/>
        </w:rPr>
        <w:footnoteReference w:id="350"/>
      </w:r>
      <w:r>
        <w:rPr>
          <w:rFonts w:ascii="Amiri" w:hAnsi="Amiri" w:eastAsia="Amiri" w:cs="Amiri"/>
          <w:color w:val="111111"/>
          <w:sz w:val="28"/>
          <w:sz w:val="28"/>
          <w:szCs w:val="28"/>
          <w:rtl w:val="true"/>
          <w:lang w:bidi="ar-SA"/>
        </w:rPr>
        <w:t>، ولكلّ وجه ، والأحوط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شرع فعلا لأسباب متعدّدة فنوى عدم بعضها ، كأن يتوضّأ بقصد عدم كونه لتلاوة القرآن ، فإن كان السبب ممّا علم وجوب قصدها بأن يكون قصدها قيدا للمأمور به ، فلا يجزي عمّا نوى عدمه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كذلك ، فإن لم يكن المأمور به إيقاع الفعل عند ذلك السبب ، بل كان المطلوب وجوده كيف ما كان ، كما في الوضوء ، حيث إنّه لم يثبت استحباب إيقاع الوضوء لكلّ من غاياته ، بل المطلوب تحقّقه كيف كان ، فإن المستحب تلاوة القرآن متطهرا لا التوضّؤ مطلقا عند تلاوته ، فيكفي ذلك الفعل لجميع أسبابه ، والوجه واضح</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المأمور به نفس الفعل عند السبب كالغسل للجمعة والتوبة والحاجة وغيرها ، فالظاهر عدم الكفاية عمّا نوى عدمه إلاّ مع دليل شرعي ، لعدم </w:t>
      </w:r>
      <w:bookmarkStart w:id="40" w:name="pg11612_110717"/>
    </w:p>
    <w:p>
      <w:pPr>
        <w:pStyle w:val="BookText"/>
        <w:rPr/>
      </w:pPr>
      <w:bookmarkEnd w:id="40"/>
      <w:r>
        <w:rPr>
          <w:rFonts w:ascii="Amiri" w:hAnsi="Amiri" w:eastAsia="Amiri" w:cs="Amiri"/>
          <w:color w:val="111111"/>
          <w:sz w:val="28"/>
          <w:sz w:val="28"/>
          <w:szCs w:val="28"/>
          <w:rtl w:val="true"/>
          <w:lang w:bidi="ar-SA"/>
        </w:rPr>
        <w:t>صدق امتثال ذلك الأمر عرفا ، فإنّ قصد عدم امتثال أمر يوجب انتفاء صدق امتثاله عرفا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يعلم جزئية بعض الأجزاء للعبادة ، ولكن أتى به من باب الاتفاق كالطمأنينة في الصلاة أو المسح في الوضوء أو الطواف بالبيت في الحج ، بطل ذلك الجزء ، لاشتراط القربة ، وببطلانه تبطل العبادة ، سيما إذا كانت تلك الأجزاء من مقوّمات ماهيّة العبادة كالإمساكات المخصوصة بالنسبة إلى الصوم ، فلو لم يعلم أحد من الصوم إلاّ الإمساك من الأكل والشرب والإنزال ، ولم يقصد ترك الإدخال من غير إنزال أو غيره من مبطلات الصوم ، بطل صومه ، لعدم قصد موافقة المأمور به ، لأنّه لم يقصد القربة فيه ، فلم يقصد فيما هو الصوم ، ولا شك أنّه لو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يعلم أنّ الصوم إمساك عن الأكل والوقاع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الصوم الإمساك من الأكل دون الوقاع ، لم يصح صومه ، فكذا من لم يعلم ، لعدم مدخلية العلم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يعلم جميع الأجزاء وعلم انحصارها فيما قصده ، أمّا لو جوّز أجزاء أخر غير ما يعلمه وقصد جميع ما هو جزء له في الواقع ، فالظاهر الصحة إذا أتى بالجميع ولو اتفاقا ، فلو نوى من الصوم الإمساك من كلّ ما يعتبر الإمساك عنه في الصوم وأمسك عنه صحّ ولو لم يعلم الجميع</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5524335_73709187"/>
      <w:bookmarkStart w:id="42" w:name="_Toc16"/>
      <w:bookmarkEnd w:id="41"/>
      <w:r>
        <w:rPr>
          <w:rtl w:val="true"/>
        </w:rPr>
        <w:t xml:space="preserve">الثاني من واجبات الوضوء </w:t>
      </w:r>
      <w:r>
        <w:rPr>
          <w:rtl w:val="true"/>
        </w:rPr>
        <w:t xml:space="preserve">: </w:t>
      </w:r>
      <w:r>
        <w:rPr>
          <w:rtl w:val="true"/>
        </w:rPr>
        <w:t>غسل الوجه</w:t>
      </w:r>
      <w:bookmarkEnd w:id="42"/>
    </w:p>
    <w:p>
      <w:pPr>
        <w:pStyle w:val="Heading5"/>
        <w:numPr>
          <w:ilvl w:val="4"/>
          <w:numId w:val="1"/>
        </w:numPr>
        <w:rPr/>
      </w:pPr>
      <w:bookmarkStart w:id="43" w:name="__RefHeading___Toc5524337_73709187"/>
      <w:bookmarkStart w:id="44" w:name="_Toc17"/>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ووجوبه ثابت بالضرورة والنص</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 الوجه الواجب غسله 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القصاص والذقن من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حوته الإبهام والوسطى ، بالإجماع المحقّق والمحكي عن المبسوط والخلاف والغنية والمعتبر والمنتهى </w:t>
      </w:r>
      <w:r>
        <w:rPr>
          <w:rStyle w:val="FootnoteAnchor"/>
          <w:rtl w:val="true"/>
        </w:rPr>
        <w:footnoteReference w:id="351"/>
      </w:r>
      <w:r>
        <w:rPr>
          <w:rFonts w:ascii="Amiri" w:hAnsi="Amiri" w:eastAsia="Amiri" w:cs="Amiri"/>
          <w:color w:val="111111"/>
          <w:sz w:val="28"/>
          <w:sz w:val="28"/>
          <w:szCs w:val="28"/>
          <w:rtl w:val="true"/>
          <w:lang w:bidi="ar-SA"/>
        </w:rPr>
        <w:t>والمعتمد وغيرها ، وهو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رواية إسماعيل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 الوجه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الشعر إلى آخر الوجه ، وكذلك الجبينين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الوجه الذي قال اللّه عزّ وجلّ وأمر بغسله ، الذي لا ينبغي لأحد أن يزيد عليه ولا ينقص منه ، إن زاد عليه لم يؤجر وإن نقص منه أثم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دارت عليه الإبهام والوسطى من قصاص شعر الرأس إلى الذقن ، وما جرت عليه الإصبعان من الوجه مستديرا ، فهو من الوجه ، وما سوى ذلك فليس من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الصدغ من الوجه؟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وانطباقها على المدّعى ظاهر ، فإنّه إذا وضعت الإصبعان على موضع القصاص عرضا شبيه 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وضعهما عليه لا يكون إلاّ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وحدرت بهما كذلك إلى الذقن ، يصدق عليه أنه ما دار عليه ، أي أحاط دوره أو حرّك دوره الإصبعان ، مبتدئا من القصاص إلى الذقن ، وأنّه ما جرتا عليه من الوجه حال كونه أو الجري عليه مستديرا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إشارة إلى وضعهما على القصاص مستديرا ، لكون القصاص كذلك ، وإلى ما يخرج من حد الوجه مما تحويه الإصبعان لو لم تستديرا عند انتهائهما إلى الذقن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إرادة جعل الإصبعين خطّا واصلا بين القصاص والذقن ، دائرا على نفسه مع ثبات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المتأخرين </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بعيد من الفهم جدّا ، ومع فهم المعظم خلافه يصير أبعد ، بل يبطله أنه على ذلك يكون ابتداء دوران إحدى الإصبعين من القصاص والأخرى من الذقن دفعة واحدة ، وكذلك انتهاؤهما ، فلا يكون ابتداء من قصاص ولا انتهاء من ذقن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عدم كون ما بين القصاص والذقن بقدر الإصبعين غالبا ، بل إمّا يزيد أو ينقص ، فيلزم خروج ما اتّفق على دخوله أو عكسه ، بل يلزم الأوّل على فرض التطابق أيضا ، إذ مقتضى الحركة الدورية بهذا الطريق انفصال طرف الإصبع الموضوع على القصاص منه مع ازدياد ميله إلى السفل ، فيخرج ما يتصل من الجبهة والجبين من الطرفين بالقصاص سوى قدر طرف إصبع ، وذلك باطل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وجوب المصير إلى المشهور على ذلك الاحتمال أيضا ، لعدم اختلاف </w:t>
      </w:r>
      <w:r>
        <w:rPr>
          <w:rStyle w:val="FootnoteAnchor"/>
          <w:rtl w:val="true"/>
        </w:rPr>
        <w:footnoteReference w:id="355"/>
      </w:r>
      <w:r>
        <w:rPr>
          <w:rFonts w:ascii="Amiri" w:hAnsi="Amiri" w:eastAsia="Amiri" w:cs="Amiri"/>
          <w:color w:val="111111"/>
          <w:sz w:val="28"/>
          <w:sz w:val="28"/>
          <w:szCs w:val="28"/>
          <w:rtl w:val="true"/>
          <w:lang w:bidi="ar-SA"/>
        </w:rPr>
        <w:t xml:space="preserve">على الاحتمالين إلاّ فيما يخرج من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والجبين </w:t>
      </w:r>
      <w:r>
        <w:rPr>
          <w:rFonts w:eastAsia="Amiri" w:cs="Amiri" w:ascii="Amiri" w:hAnsi="Amiri"/>
          <w:color w:val="111111"/>
          <w:sz w:val="28"/>
          <w:szCs w:val="28"/>
          <w:rtl w:val="true"/>
          <w:lang w:bidi="ar-SA"/>
        </w:rPr>
        <w:t xml:space="preserve">) </w:t>
      </w:r>
      <w:r>
        <w:rPr>
          <w:rStyle w:val="FootnoteAnchor"/>
          <w:rtl w:val="true"/>
        </w:rPr>
        <w:footnoteReference w:id="356"/>
      </w:r>
      <w:r>
        <w:rPr>
          <w:rFonts w:ascii="IRNazanin" w:hAnsi="IRNazanin" w:eastAsia="IRNazanin"/>
          <w:color w:val="111111"/>
          <w:sz w:val="28"/>
          <w:sz w:val="28"/>
          <w:szCs w:val="28"/>
          <w:rtl w:val="true"/>
          <w:lang w:bidi="fa-IR"/>
        </w:rPr>
        <w:t>من الطرف الأعلى ، وإدخاله واجب بالإجماع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وتوهّم دخول النزعتين ، وهما البياضان المكتنفان للناصية في أعلى الجبين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التفسير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جميع مواضع التحذيف ، وهي منابت الشعر الخفيف بين النزعة والصدغ ، أو ابتداء العذار ، باطل ، لتصريح الرواية بوجوب كون المحدود من الوجه ، والأوّل وبعض الثاني أو تمامه من الرأس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ويؤكّده خروج الأوّل عن التسطيح الذي ينفصل به الوجه عن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الصدغ فهو مشترك في الاحتمالين في خروج بعضه ودخول البعض ، لاتّحاد موضع طرفي الإصبعين على الاحتمالين في قرب الوصول إلى طرف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بعض تفاسيره ، ويخرج كلاّ على البعض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يظهر ضعف ما أيّد به الاحتمال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يجب غسل ما زاد على التحديد المذكور طولا وعرضا ، ولا يجوز ترك ما دخل فيه كذلك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يغسل النزعتان ولا ما استرسل من اللحية طولا وعرضا إجماعا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شي‌ء من الصدغ لو فسّر بما فوق العذار من الشعر خاصة ، كما هو ظاهر الصحيح المتقدم </w:t>
      </w:r>
      <w:r>
        <w:rPr>
          <w:rStyle w:val="FootnoteAnchor"/>
          <w:rtl w:val="true"/>
        </w:rPr>
        <w:footnoteReference w:id="357"/>
      </w:r>
      <w:r>
        <w:rPr>
          <w:rFonts w:ascii="IRNazanin" w:hAnsi="IRNazanin" w:eastAsia="IRNazanin"/>
          <w:color w:val="111111"/>
          <w:sz w:val="28"/>
          <w:sz w:val="28"/>
          <w:szCs w:val="28"/>
          <w:rtl w:val="true"/>
          <w:lang w:bidi="fa-IR"/>
        </w:rPr>
        <w:t xml:space="preserve">، وجمع من الأصحاب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جميعه لو فسّر بمجموع ما بين العين والاذن ، كما عن بعض أهل اللغة </w:t>
      </w:r>
      <w:r>
        <w:rPr>
          <w:rStyle w:val="FootnoteAnchor"/>
          <w:rtl w:val="true"/>
        </w:rPr>
        <w:footnoteReference w:id="359"/>
      </w:r>
      <w:r>
        <w:rPr>
          <w:rFonts w:ascii="Amiri" w:hAnsi="Amiri" w:eastAsia="Amiri" w:cs="Amiri"/>
          <w:color w:val="111111"/>
          <w:sz w:val="28"/>
          <w:sz w:val="28"/>
          <w:szCs w:val="28"/>
          <w:rtl w:val="true"/>
          <w:lang w:bidi="ar-SA"/>
        </w:rPr>
        <w:t xml:space="preserve">، أو المنخفض الذي بين أعلى الاذن وطرف الحاجب ، كما عن بعض الفقهاء </w:t>
      </w:r>
      <w:r>
        <w:rPr>
          <w:rStyle w:val="FootnoteAnchor"/>
          <w:rtl w:val="true"/>
        </w:rPr>
        <w:footnoteReference w:id="360"/>
      </w:r>
      <w:r>
        <w:rPr>
          <w:rFonts w:ascii="Amiri" w:hAnsi="Amiri" w:eastAsia="Amiri" w:cs="Amiri"/>
          <w:color w:val="111111"/>
          <w:sz w:val="28"/>
          <w:sz w:val="28"/>
          <w:szCs w:val="28"/>
          <w:rtl w:val="true"/>
          <w:lang w:bidi="ar-SA"/>
        </w:rPr>
        <w:t xml:space="preserve">، أو الشعر المتدلي بين العين والاذن أو منبت ذلك الشعر كما قيل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من مواضع التحذيف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والعذار ، وهو ما حاذى الاذن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والعارض ، وهو الشعر المنحط عن المحاذي للأذن إلى الذقن إلاّ ما دخل من الأربعة </w:t>
      </w:r>
      <w:r>
        <w:rPr>
          <w:rStyle w:val="FootnoteAnchor"/>
          <w:rtl w:val="true"/>
        </w:rPr>
        <w:footnoteReference w:id="362"/>
      </w:r>
      <w:r>
        <w:rPr>
          <w:rFonts w:ascii="Amiri" w:hAnsi="Amiri" w:eastAsia="Amiri" w:cs="Amiri"/>
          <w:color w:val="111111"/>
          <w:sz w:val="28"/>
          <w:sz w:val="28"/>
          <w:szCs w:val="28"/>
          <w:rtl w:val="true"/>
          <w:lang w:bidi="ar-SA"/>
        </w:rPr>
        <w:t xml:space="preserve">في التحديد ، وفاقا لجماعة </w:t>
      </w:r>
      <w:r>
        <w:rPr>
          <w:rStyle w:val="FootnoteAnchor"/>
          <w:rtl w:val="true"/>
        </w:rPr>
        <w:footnoteReference w:id="363"/>
      </w:r>
      <w:r>
        <w:rPr>
          <w:rFonts w:ascii="Amiri" w:hAnsi="Amiri" w:eastAsia="Amiri" w:cs="Amiri"/>
          <w:color w:val="111111"/>
          <w:sz w:val="28"/>
          <w:sz w:val="28"/>
          <w:szCs w:val="28"/>
          <w:rtl w:val="true"/>
          <w:lang w:bidi="ar-SA"/>
        </w:rPr>
        <w:t xml:space="preserve">، وخلافا في الأوّل منها للمحكي عن الراوندي ، فأدخله جميعا </w:t>
      </w:r>
      <w:r>
        <w:rPr>
          <w:rStyle w:val="FootnoteAnchor"/>
          <w:rtl w:val="true"/>
        </w:rPr>
        <w:footnoteReference w:id="364"/>
      </w:r>
      <w:r>
        <w:rPr>
          <w:rFonts w:ascii="Amiri" w:hAnsi="Amiri" w:eastAsia="Amiri" w:cs="Amiri"/>
          <w:color w:val="111111"/>
          <w:sz w:val="28"/>
          <w:sz w:val="28"/>
          <w:szCs w:val="28"/>
          <w:rtl w:val="true"/>
          <w:lang w:bidi="ar-SA"/>
        </w:rPr>
        <w:t>، وصريح الصحيح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وللأكثر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إجماعي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جمهور العلماء </w:t>
      </w:r>
      <w:r>
        <w:rPr>
          <w:rStyle w:val="FootnoteAnchor"/>
          <w:rtl w:val="true"/>
        </w:rPr>
        <w:footnoteReference w:id="366"/>
      </w:r>
      <w:r>
        <w:rPr>
          <w:rFonts w:ascii="Amiri" w:hAnsi="Amiri" w:eastAsia="Amiri" w:cs="Amiri"/>
          <w:color w:val="111111"/>
          <w:sz w:val="28"/>
          <w:sz w:val="28"/>
          <w:szCs w:val="28"/>
          <w:rtl w:val="true"/>
          <w:lang w:bidi="ar-SA"/>
        </w:rPr>
        <w:t>، فأخرجوه كذلك لذلك مطلقا ، وبه يخصّون التحديد على غير التفسير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دفعه بعدم التعارض ، إذ لا يدخل على هذا إلاّ بعض الصدغ ، وما صرّح بخروجه هي الصدغ ، وبعض الشي‌ء غير الشي‌ء</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التعارض فليس تخصيص المحدود بأولى من تخصيص الصدغ ، </w:t>
      </w:r>
    </w:p>
    <w:p>
      <w:pPr>
        <w:pStyle w:val="BookText"/>
        <w:rPr/>
      </w:pPr>
      <w:r>
        <w:rPr>
          <w:rFonts w:ascii="Amiri" w:hAnsi="Amiri" w:eastAsia="Amiri" w:cs="Amiri"/>
          <w:color w:val="111111"/>
          <w:sz w:val="28"/>
          <w:sz w:val="28"/>
          <w:szCs w:val="28"/>
          <w:rtl w:val="true"/>
          <w:lang w:bidi="ar-SA"/>
        </w:rPr>
        <w:t>بل هو أولى ، حيث إنّ الظاهر دخول ما تحويه الإصبعان منه في الوجه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لبعضهم </w:t>
      </w:r>
      <w:r>
        <w:rPr>
          <w:rStyle w:val="FootnoteAnchor"/>
          <w:rtl w:val="true"/>
        </w:rPr>
        <w:footnoteReference w:id="367"/>
      </w:r>
      <w:r>
        <w:rPr>
          <w:rFonts w:ascii="Amiri" w:hAnsi="Amiri" w:eastAsia="Amiri" w:cs="Amiri"/>
          <w:color w:val="111111"/>
          <w:sz w:val="28"/>
          <w:sz w:val="28"/>
          <w:szCs w:val="28"/>
          <w:rtl w:val="true"/>
          <w:lang w:bidi="ar-SA"/>
        </w:rPr>
        <w:t>، فأدخلها ، بل نسبه إلى غير شاذ من الفقهاء ، للدخول في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الصحيح يخصّها كلاّ أو بعضا لو سلّم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وللمنقول عن التذكرة والمنتهى </w:t>
      </w:r>
      <w:r>
        <w:rPr>
          <w:rStyle w:val="FootnoteAnchor"/>
          <w:rtl w:val="true"/>
        </w:rPr>
        <w:footnoteReference w:id="368"/>
      </w:r>
      <w:r>
        <w:rPr>
          <w:rFonts w:ascii="Amiri" w:hAnsi="Amiri" w:eastAsia="Amiri" w:cs="Amiri"/>
          <w:color w:val="111111"/>
          <w:sz w:val="28"/>
          <w:sz w:val="28"/>
          <w:szCs w:val="28"/>
          <w:rtl w:val="true"/>
          <w:lang w:bidi="ar-SA"/>
        </w:rPr>
        <w:t>، فأخرجها ، للدخول في الرأس لنبات الشعر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دلالة له على الدخول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الثالث للمنتهى والتحرير </w:t>
      </w:r>
      <w:r>
        <w:rPr>
          <w:rStyle w:val="FootnoteAnchor"/>
          <w:rtl w:val="true"/>
        </w:rPr>
        <w:footnoteReference w:id="369"/>
      </w:r>
      <w:r>
        <w:rPr>
          <w:rFonts w:ascii="Amiri" w:hAnsi="Amiri" w:eastAsia="Amiri" w:cs="Amiri"/>
          <w:color w:val="111111"/>
          <w:sz w:val="28"/>
          <w:sz w:val="28"/>
          <w:szCs w:val="28"/>
          <w:rtl w:val="true"/>
          <w:lang w:bidi="ar-SA"/>
        </w:rPr>
        <w:t>، ونسب إلى المعظم ، فأخرجوه مطلقا ، بل نفي الأوّل استحباب غسله ، والثاني حرّمه مع اعتقاد شرعيته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وللمحكي عن المبسوط ، والخلاف ، والمسالك </w:t>
      </w:r>
      <w:r>
        <w:rPr>
          <w:rStyle w:val="FootnoteAnchor"/>
          <w:rtl w:val="true"/>
        </w:rPr>
        <w:footnoteReference w:id="370"/>
      </w:r>
      <w:r>
        <w:rPr>
          <w:rFonts w:ascii="Amiri" w:hAnsi="Amiri" w:eastAsia="Amiri" w:cs="Amiri"/>
          <w:color w:val="111111"/>
          <w:sz w:val="28"/>
          <w:sz w:val="28"/>
          <w:szCs w:val="28"/>
          <w:rtl w:val="true"/>
          <w:lang w:bidi="ar-SA"/>
        </w:rPr>
        <w:t xml:space="preserve">، والكركي في شرح الشرائع </w:t>
      </w:r>
      <w:r>
        <w:rPr>
          <w:rStyle w:val="FootnoteAnchor"/>
          <w:rtl w:val="true"/>
        </w:rPr>
        <w:footnoteReference w:id="371"/>
      </w:r>
      <w:r>
        <w:rPr>
          <w:rFonts w:ascii="Amiri" w:hAnsi="Amiri" w:eastAsia="Amiri" w:cs="Amiri"/>
          <w:color w:val="111111"/>
          <w:sz w:val="28"/>
          <w:sz w:val="28"/>
          <w:szCs w:val="28"/>
          <w:rtl w:val="true"/>
          <w:lang w:bidi="ar-SA"/>
        </w:rPr>
        <w:t>، فأدخلوه كذلك ، لأدلّة ضعفها بعد تصريح الصحيح السابق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والجمع بين كلام الفريقين بإرادة البعض الخارج من التحديد والداخل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المعتبر والتذكرة ونهاية الإحكام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 إلاّ أنّ الظاهر خروج العذار من المحدود ، لعدم وصول الإصبعين من مستوى الخلقة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الرابع للمنقول عن الإسكافي </w:t>
      </w:r>
      <w:r>
        <w:rPr>
          <w:rStyle w:val="FootnoteAnchor"/>
          <w:rtl w:val="true"/>
        </w:rPr>
        <w:footnoteReference w:id="373"/>
      </w:r>
      <w:r>
        <w:rPr>
          <w:rFonts w:ascii="Amiri" w:hAnsi="Amiri" w:eastAsia="Amiri" w:cs="Amiri"/>
          <w:color w:val="111111"/>
          <w:sz w:val="28"/>
          <w:sz w:val="28"/>
          <w:szCs w:val="28"/>
          <w:rtl w:val="true"/>
          <w:lang w:bidi="ar-SA"/>
        </w:rPr>
        <w:t xml:space="preserve">والشهيدين </w:t>
      </w:r>
      <w:r>
        <w:rPr>
          <w:rStyle w:val="FootnoteAnchor"/>
          <w:rtl w:val="true"/>
        </w:rPr>
        <w:footnoteReference w:id="374"/>
      </w:r>
      <w:r>
        <w:rPr>
          <w:rFonts w:ascii="Amiri" w:hAnsi="Amiri" w:eastAsia="Amiri" w:cs="Amiri"/>
          <w:color w:val="111111"/>
          <w:sz w:val="28"/>
          <w:sz w:val="28"/>
          <w:szCs w:val="28"/>
          <w:rtl w:val="true"/>
          <w:lang w:bidi="ar-SA"/>
        </w:rPr>
        <w:t>، فأدخلوه ، بل عن ثانيهما عدم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وللمنتهى </w:t>
      </w:r>
      <w:r>
        <w:rPr>
          <w:rStyle w:val="FootnoteAnchor"/>
          <w:rtl w:val="true"/>
        </w:rPr>
        <w:footnoteReference w:id="375"/>
      </w:r>
      <w:r>
        <w:rPr>
          <w:rFonts w:ascii="IRNazanin" w:hAnsi="IRNazanin" w:eastAsia="IRNazanin"/>
          <w:color w:val="111111"/>
          <w:sz w:val="28"/>
          <w:sz w:val="28"/>
          <w:szCs w:val="28"/>
          <w:rtl w:val="true"/>
          <w:lang w:bidi="fa-IR"/>
        </w:rPr>
        <w:t>فأخرجه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وإرادة الأوّلين ما نالته الإصبعان منه ، والثاني ما يخرج مما تنالانه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bookmarkStart w:id="45" w:name="pg11612_110722"/>
    </w:p>
    <w:p>
      <w:pPr>
        <w:pStyle w:val="BookText"/>
        <w:rPr/>
      </w:pPr>
      <w:bookmarkEnd w:id="45"/>
      <w:r>
        <w:rPr>
          <w:rFonts w:ascii="Amiri" w:hAnsi="Amiri" w:eastAsia="Amiri" w:cs="Amiri"/>
          <w:color w:val="111111"/>
          <w:sz w:val="28"/>
          <w:sz w:val="28"/>
          <w:szCs w:val="28"/>
          <w:rtl w:val="true"/>
          <w:lang w:bidi="ar-SA"/>
        </w:rPr>
        <w:t xml:space="preserve">ظاهر نهاية الإحكام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ممكنة ، فلا يكون 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والاستناد </w:t>
      </w:r>
      <w:r>
        <w:rPr>
          <w:rStyle w:val="FootnoteAnchor"/>
          <w:rtl w:val="true"/>
        </w:rPr>
        <w:footnoteReference w:id="377"/>
      </w:r>
      <w:r>
        <w:rPr>
          <w:rFonts w:ascii="Amiri" w:hAnsi="Amiri" w:eastAsia="Amiri" w:cs="Amiri"/>
          <w:color w:val="111111"/>
          <w:sz w:val="28"/>
          <w:sz w:val="28"/>
          <w:szCs w:val="28"/>
          <w:rtl w:val="true"/>
          <w:lang w:bidi="ar-SA"/>
        </w:rPr>
        <w:t xml:space="preserve">في إخراجه بعدم شمول الإصبعين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اعتبارهما في الوسط ، وفي غيره بما يحاذي موضعه منه ، وإلاّ لوجب غسل ما تنالانه وإن تجاوز 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 إذ لا دليل على هذا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وخروج ما ذكره بالإجماع لا يوجب خروج غيره ، مع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يخرج ما ذكره ، لأن المتجاوز عن العارض ليس من الوجه</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5524339_73709187"/>
      <w:bookmarkStart w:id="47" w:name="_Toc18"/>
      <w:bookmarkEnd w:id="46"/>
      <w:r>
        <w:rPr>
          <w:rtl w:val="true"/>
        </w:rPr>
        <w:t xml:space="preserve">فروع </w:t>
      </w:r>
      <w:r>
        <w:rPr>
          <w:rtl w:val="true"/>
        </w:rPr>
        <w:t>:</w:t>
      </w:r>
      <w:bookmarkEnd w:id="47"/>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 منتهى منبت الشعر من الناصية دون النزعتين ، لأنهما من الرأس ، وهو عند انتهاء استدارة الرأس وابتداء تسطيح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 إنما هو من مستوى الخلقة ، لأنّه المتبادر حين يطلق ، وكذا في التحديد العرضي بالإصبعين ، فيرجع فاقد شعر الناصية المعبّر عنه بالأنزع ، وأشعر الجبهة المسمّى بالأغم ، وقصير الأصابع وطويلها بالنسبة إلى وجهه ، إلى مستوى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استيعاب الوجه المحدود بالغسل إجماعا ، بل ضرورة من الدين ، كما صرّح به بعض مشايخنا المحققين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تدلّ عليه صحيحة زرارة المتقدمة </w:t>
      </w:r>
      <w:r>
        <w:rPr>
          <w:rStyle w:val="FootnoteAnchor"/>
          <w:rtl w:val="true"/>
        </w:rPr>
        <w:footnoteReference w:id="379"/>
      </w:r>
      <w:r>
        <w:rPr>
          <w:rFonts w:ascii="IRNazanin" w:hAnsi="IRNazanin" w:eastAsia="IRNazanin"/>
          <w:color w:val="111111"/>
          <w:sz w:val="28"/>
          <w:sz w:val="28"/>
          <w:szCs w:val="28"/>
          <w:rtl w:val="true"/>
          <w:lang w:bidi="fa-IR"/>
        </w:rPr>
        <w:t xml:space="preserve">، وصحيحته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تخبرني من أين علمت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المسح ببعض الرأس وببعض الرجلين؟ فضحك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زرارة قال رسول اللّه صلی اللّه عليه وآله ونزل به الكتاب من اللّه بقوله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أنّ الوجه كلّه ينبغي أن يغسل </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زرارة وبكير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إِلَى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أن يدع شيئا من وجهه إلاّ غسله ، وأمر بغسل اليدين إلى المرافق ، فليس له أن يدع شيئا من يديه إلى المرفقين إلاّ غسله </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وتظهر منها دلالة الآية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عدم وجوب تخليل ما كان كثيفا ، أي ساترا للبشرة من اللحية ، سواء كان كلّها أو بعضها ، وعليه الإجماع عن الخلاف والناصريات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الخلاف في الخفيفة ، وفسّروها بما يتراءى البشرة من خلالها في مجلس التخاطب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الشيخ في المبسوط </w:t>
      </w:r>
      <w:r>
        <w:rPr>
          <w:rStyle w:val="FootnoteAnchor"/>
          <w:rtl w:val="true"/>
        </w:rPr>
        <w:footnoteReference w:id="383"/>
      </w:r>
      <w:r>
        <w:rPr>
          <w:rFonts w:ascii="IRNazanin" w:hAnsi="IRNazanin" w:eastAsia="IRNazanin"/>
          <w:color w:val="111111"/>
          <w:sz w:val="28"/>
          <w:sz w:val="28"/>
          <w:szCs w:val="28"/>
          <w:rtl w:val="true"/>
          <w:lang w:bidi="fa-IR"/>
        </w:rPr>
        <w:t xml:space="preserve">، والمحقق </w:t>
      </w:r>
      <w:r>
        <w:rPr>
          <w:rStyle w:val="FootnoteAnchor"/>
          <w:rtl w:val="true"/>
        </w:rPr>
        <w:footnoteReference w:id="384"/>
      </w:r>
      <w:r>
        <w:rPr>
          <w:rFonts w:ascii="Amiri" w:hAnsi="Amiri" w:eastAsia="Amiri" w:cs="Amiri"/>
          <w:color w:val="111111"/>
          <w:sz w:val="28"/>
          <w:sz w:val="28"/>
          <w:szCs w:val="28"/>
          <w:rtl w:val="true"/>
          <w:lang w:bidi="ar-SA"/>
        </w:rPr>
        <w:t xml:space="preserve">، والفاضل في المنتهى والإرشاد والتلخيص والتحرير </w:t>
      </w:r>
      <w:r>
        <w:rPr>
          <w:rStyle w:val="FootnoteAnchor"/>
          <w:rtl w:val="true"/>
        </w:rPr>
        <w:footnoteReference w:id="385"/>
      </w:r>
      <w:r>
        <w:rPr>
          <w:rFonts w:ascii="Amiri" w:hAnsi="Amiri" w:eastAsia="Amiri" w:cs="Amiri"/>
          <w:color w:val="111111"/>
          <w:sz w:val="28"/>
          <w:sz w:val="28"/>
          <w:szCs w:val="28"/>
          <w:rtl w:val="true"/>
          <w:lang w:bidi="ar-SA"/>
        </w:rPr>
        <w:t xml:space="preserve">، والشهيد في بعض كتبه </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المشهور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العماني </w:t>
      </w:r>
      <w:r>
        <w:rPr>
          <w:rStyle w:val="FootnoteAnchor"/>
          <w:rtl w:val="true"/>
        </w:rPr>
        <w:footnoteReference w:id="388"/>
      </w:r>
      <w:r>
        <w:rPr>
          <w:rFonts w:ascii="Amiri" w:hAnsi="Amiri" w:eastAsia="Amiri" w:cs="Amiri"/>
          <w:color w:val="111111"/>
          <w:sz w:val="28"/>
          <w:sz w:val="28"/>
          <w:szCs w:val="28"/>
          <w:rtl w:val="true"/>
          <w:lang w:bidi="ar-SA"/>
        </w:rPr>
        <w:t xml:space="preserve">، والإسكافي </w:t>
      </w:r>
      <w:r>
        <w:rPr>
          <w:rStyle w:val="FootnoteAnchor"/>
          <w:rtl w:val="true"/>
        </w:rPr>
        <w:footnoteReference w:id="389"/>
      </w:r>
      <w:r>
        <w:rPr>
          <w:rFonts w:ascii="Amiri" w:hAnsi="Amiri" w:eastAsia="Amiri" w:cs="Amiri"/>
          <w:color w:val="111111"/>
          <w:sz w:val="28"/>
          <w:sz w:val="28"/>
          <w:szCs w:val="28"/>
          <w:rtl w:val="true"/>
          <w:lang w:bidi="ar-SA"/>
        </w:rPr>
        <w:t xml:space="preserve">، والسيّد </w:t>
      </w:r>
      <w:r>
        <w:rPr>
          <w:rStyle w:val="FootnoteAnchor"/>
          <w:rtl w:val="true"/>
        </w:rPr>
        <w:footnoteReference w:id="390"/>
      </w:r>
      <w:r>
        <w:rPr>
          <w:rFonts w:ascii="Amiri" w:hAnsi="Amiri" w:eastAsia="Amiri" w:cs="Amiri"/>
          <w:color w:val="111111"/>
          <w:sz w:val="28"/>
          <w:sz w:val="28"/>
          <w:szCs w:val="28"/>
          <w:rtl w:val="true"/>
          <w:lang w:bidi="ar-SA"/>
        </w:rPr>
        <w:t xml:space="preserve">، والفاضل في المختلف </w:t>
      </w:r>
    </w:p>
    <w:p>
      <w:pPr>
        <w:pStyle w:val="BookText"/>
        <w:rPr/>
      </w:pPr>
      <w:r>
        <w:rPr>
          <w:rFonts w:ascii="Amiri" w:hAnsi="Amiri" w:eastAsia="Amiri" w:cs="Amiri"/>
          <w:color w:val="111111"/>
          <w:sz w:val="28"/>
          <w:sz w:val="28"/>
          <w:szCs w:val="28"/>
          <w:rtl w:val="true"/>
          <w:lang w:bidi="ar-SA"/>
        </w:rPr>
        <w:t xml:space="preserve">والتذكرة </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واضطربت كلمات المتأخّرين في تحرير محل النزاع ، حتى آل إلى دعوى بعضهم </w:t>
      </w:r>
      <w:r>
        <w:rPr>
          <w:rStyle w:val="FootnoteAnchor"/>
          <w:rtl w:val="true"/>
        </w:rPr>
        <w:footnoteReference w:id="392"/>
      </w:r>
      <w:r>
        <w:rPr>
          <w:rFonts w:ascii="IRNazanin" w:hAnsi="IRNazanin" w:eastAsia="IRNazanin"/>
          <w:color w:val="111111"/>
          <w:sz w:val="28"/>
          <w:sz w:val="28"/>
          <w:szCs w:val="28"/>
          <w:rtl w:val="true"/>
          <w:lang w:bidi="fa-IR"/>
        </w:rPr>
        <w:t>الإجماع على ما جعله الآخر موضع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من جعل النزاع لفظيا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قال بوجوب التخليل فأراد الكثيفة ، إذ ليس في الخفيفة تخليل ، بل هو إيصال الماء </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نفى التخليل في الخفيفة نفاه لغسل البشرة المستورة بها أصالة ، وأما غسلها من باب المقدمة لغسل الظاهرة خلالها الواجب غسلها البتة فلا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أثبته أراد الأعم من التبعي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جعله ذا احتمالات حكم في بعضها بالوجوب وفي آخر بالعدم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استصحاب الحكم الثابت قبل نبات اللحية وجوب غسل البشرة حتى يعلم الرافع ، وما يصلح رافعا هنا صحيحتا محمّد وزرارة وروايته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ما أحاط به الشعر؟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أحاط به الشعر فليس على العباد أن يطلبوه ، فلا يبحثوا عنه ، ولكن يجري عليه الماء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وثانيتها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يتوضّأ أيبطن لحيته؟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عليك أن تغسل ما ظهر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في رفعها الوجوب في الكثيفة ، فيرفع فيها بها ، مضافا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ورفعه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 ، لما عرفت من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الخفيفة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فسّروها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يرفع الوجوب في جميع أفرادها بها ، لأنّ منها ما تصدق عليها الإحاطة عرفا ، وعلى تخليلها التبطين ، ومنها ما ليس كذلك بل تعدّ عرفا مما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التفصيل بذلك ، والقول بأنّ كلّما كان الشعر محيطا بالبشرة بحيث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تحته وباطنه ، لا يجب إيصال الماء إلى تحته ، ولو كان بحيث يتراءى أحيانا وفي بعض الأوضاع ، وكلّما لم يكن كذلك يجب الإيصال ، وما كان موضع الشك يعمل فيه بمقتضى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وجوبه </w:t>
      </w:r>
      <w:r>
        <w:rPr>
          <w:rStyle w:val="FootnoteAnchor"/>
          <w:rtl w:val="true"/>
        </w:rPr>
        <w:footnoteReference w:id="401"/>
      </w:r>
      <w:r>
        <w:rPr>
          <w:rFonts w:ascii="Amiri" w:hAnsi="Amiri" w:eastAsia="Amiri" w:cs="Amiri"/>
          <w:color w:val="111111"/>
          <w:sz w:val="28"/>
          <w:sz w:val="28"/>
          <w:szCs w:val="28"/>
          <w:rtl w:val="true"/>
          <w:lang w:bidi="ar-SA"/>
        </w:rPr>
        <w:t xml:space="preserve">في بعض أفرادها المستفيضة الدالّة على كفاية الغرفة </w:t>
      </w:r>
      <w:r>
        <w:rPr>
          <w:rStyle w:val="FootnoteAnchor"/>
          <w:rtl w:val="true"/>
        </w:rPr>
        <w:footnoteReference w:id="402"/>
      </w:r>
      <w:r>
        <w:rPr>
          <w:rFonts w:ascii="Amiri" w:hAnsi="Amiri" w:eastAsia="Amiri" w:cs="Amiri"/>
          <w:color w:val="111111"/>
          <w:sz w:val="28"/>
          <w:sz w:val="28"/>
          <w:szCs w:val="28"/>
          <w:rtl w:val="true"/>
          <w:lang w:bidi="ar-SA"/>
        </w:rPr>
        <w:t xml:space="preserve">، لوصول الماء بها إلى البشرة فيه ، بل يمكن إيصالها إليها في جميع أفرادها ، كيف مع أنها كافية لليد مع وجوب التخليل فيها عند الأكثر </w:t>
      </w:r>
      <w:r>
        <w:rPr>
          <w:rStyle w:val="FootnoteAnchor"/>
          <w:rtl w:val="true"/>
        </w:rPr>
        <w:footnoteReference w:id="403"/>
      </w:r>
      <w:r>
        <w:rPr>
          <w:rFonts w:ascii="Amiri" w:hAnsi="Amiri" w:eastAsia="Amiri" w:cs="Amiri"/>
          <w:color w:val="111111"/>
          <w:sz w:val="28"/>
          <w:sz w:val="28"/>
          <w:szCs w:val="28"/>
          <w:rtl w:val="true"/>
          <w:lang w:bidi="ar-SA"/>
        </w:rPr>
        <w:t>مع كون المغسول فيها أوسع</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صرّحت الأخبار بكفاية ثلاث أكف في الغسل </w:t>
      </w:r>
      <w:r>
        <w:rPr>
          <w:rStyle w:val="FootnoteAnchor"/>
          <w:rtl w:val="true"/>
        </w:rPr>
        <w:footnoteReference w:id="404"/>
      </w:r>
      <w:r>
        <w:rPr>
          <w:rFonts w:ascii="Amiri" w:hAnsi="Amiri" w:eastAsia="Amiri" w:cs="Amiri"/>
          <w:color w:val="111111"/>
          <w:sz w:val="28"/>
          <w:sz w:val="28"/>
          <w:szCs w:val="28"/>
          <w:rtl w:val="true"/>
          <w:lang w:bidi="ar-SA"/>
        </w:rPr>
        <w:t xml:space="preserve">، مع ما فيه </w:t>
      </w:r>
    </w:p>
    <w:p>
      <w:pPr>
        <w:pStyle w:val="BookText"/>
        <w:rPr/>
      </w:pPr>
      <w:r>
        <w:rPr>
          <w:rFonts w:ascii="Amiri" w:hAnsi="Amiri" w:eastAsia="Amiri" w:cs="Amiri"/>
          <w:color w:val="111111"/>
          <w:sz w:val="28"/>
          <w:sz w:val="28"/>
          <w:szCs w:val="28"/>
          <w:rtl w:val="true"/>
          <w:lang w:bidi="ar-SA"/>
        </w:rPr>
        <w:t>من سعة المحل ووجوب تخليل الشعر فيه وإن كثف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ولا يبعد تنزيل كلام الأصحاب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حكم كل ما في الوجه من الشعور غير اللحية ، كالشارب ، والخد ، والعذار ، والحاجب ، والعنفقة </w:t>
      </w:r>
      <w:r>
        <w:rPr>
          <w:rStyle w:val="FootnoteAnchor"/>
          <w:rtl w:val="true"/>
        </w:rPr>
        <w:footnoteReference w:id="405"/>
      </w:r>
      <w:r>
        <w:rPr>
          <w:rFonts w:ascii="IRNazanin" w:hAnsi="IRNazanin" w:eastAsia="IRNazanin"/>
          <w:color w:val="111111"/>
          <w:sz w:val="28"/>
          <w:sz w:val="28"/>
          <w:szCs w:val="28"/>
          <w:rtl w:val="true"/>
          <w:lang w:bidi="fa-IR"/>
        </w:rPr>
        <w:t xml:space="preserve">، والهدب </w:t>
      </w:r>
      <w:r>
        <w:rPr>
          <w:rStyle w:val="FootnoteAnchor"/>
          <w:rtl w:val="true"/>
        </w:rPr>
        <w:footnoteReference w:id="406"/>
      </w:r>
      <w:r>
        <w:rPr>
          <w:rFonts w:ascii="Amiri" w:hAnsi="Amiri" w:eastAsia="Amiri" w:cs="Amiri"/>
          <w:color w:val="111111"/>
          <w:sz w:val="28"/>
          <w:sz w:val="28"/>
          <w:szCs w:val="28"/>
          <w:rtl w:val="true"/>
          <w:lang w:bidi="ar-SA"/>
        </w:rPr>
        <w:t>، حكم اللحية بعينه ، لعموم الصحيحة الأوّلى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عدم استحباب تخليل ما لا يجب تخليله ، كما عن المحقق </w:t>
      </w:r>
      <w:r>
        <w:rPr>
          <w:rStyle w:val="FootnoteAnchor"/>
          <w:rtl w:val="true"/>
        </w:rPr>
        <w:footnoteReference w:id="407"/>
      </w:r>
      <w:r>
        <w:rPr>
          <w:rFonts w:ascii="Amiri" w:hAnsi="Amiri" w:eastAsia="Amiri" w:cs="Amiri"/>
          <w:color w:val="111111"/>
          <w:sz w:val="28"/>
          <w:sz w:val="28"/>
          <w:szCs w:val="28"/>
          <w:rtl w:val="true"/>
          <w:lang w:bidi="ar-SA"/>
        </w:rPr>
        <w:t xml:space="preserve">، والنفلية ، والبيان </w:t>
      </w:r>
      <w:r>
        <w:rPr>
          <w:rStyle w:val="FootnoteAnchor"/>
          <w:rtl w:val="true"/>
        </w:rPr>
        <w:footnoteReference w:id="408"/>
      </w:r>
      <w:r>
        <w:rPr>
          <w:rFonts w:ascii="Amiri" w:hAnsi="Amiri" w:eastAsia="Amiri" w:cs="Amiri"/>
          <w:color w:val="111111"/>
          <w:sz w:val="28"/>
          <w:sz w:val="28"/>
          <w:szCs w:val="28"/>
          <w:rtl w:val="true"/>
          <w:lang w:bidi="ar-SA"/>
        </w:rPr>
        <w:t xml:space="preserve">، للأصل ، وظاهر الصحيحين ، واحتمال دخوله في التعدي المنهي عنه وكونه مذهب العامة كما صرّح به جماعة </w:t>
      </w:r>
      <w:r>
        <w:rPr>
          <w:rStyle w:val="FootnoteAnchor"/>
          <w:rtl w:val="true"/>
        </w:rPr>
        <w:footnoteReference w:id="409"/>
      </w:r>
      <w:r>
        <w:rPr>
          <w:rFonts w:ascii="Amiri" w:hAnsi="Amiri" w:eastAsia="Amiri" w:cs="Amiri"/>
          <w:color w:val="111111"/>
          <w:sz w:val="28"/>
          <w:sz w:val="28"/>
          <w:szCs w:val="28"/>
          <w:rtl w:val="true"/>
          <w:lang w:bidi="ar-SA"/>
        </w:rPr>
        <w:t xml:space="preserve">، ويستفاد من المروي في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مولانا الكاظم إلى علي بن يقطين اتّقاء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اغسل وجهك وخلّل شعر لحيتك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توضّأ كما أمر اللّه اغسل وجهك مرة فريضة واخرى إسباغا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زال ما كنّا نخاف عليك </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ولم يتعرض له ثانيا ، ولو كان مستحبا لذكره كالإسباغ</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استحبابه ، كما عن التذكرة ، ونهاية الإحكام </w:t>
      </w:r>
      <w:r>
        <w:rPr>
          <w:rStyle w:val="FootnoteAnchor"/>
          <w:rtl w:val="true"/>
        </w:rPr>
        <w:footnoteReference w:id="411"/>
      </w:r>
      <w:r>
        <w:rPr>
          <w:rFonts w:ascii="Amiri" w:hAnsi="Amiri" w:eastAsia="Amiri" w:cs="Amiri"/>
          <w:color w:val="111111"/>
          <w:sz w:val="28"/>
          <w:sz w:val="28"/>
          <w:szCs w:val="28"/>
          <w:rtl w:val="true"/>
          <w:lang w:bidi="ar-SA"/>
        </w:rPr>
        <w:t xml:space="preserve">، والشهيد </w:t>
      </w:r>
      <w:r>
        <w:rPr>
          <w:rStyle w:val="FootnoteAnchor"/>
          <w:rtl w:val="true"/>
        </w:rPr>
        <w:footnoteReference w:id="412"/>
      </w:r>
      <w:r>
        <w:rPr>
          <w:rFonts w:ascii="Amiri" w:hAnsi="Amiri" w:eastAsia="Amiri" w:cs="Amiri"/>
          <w:color w:val="111111"/>
          <w:sz w:val="28"/>
          <w:sz w:val="28"/>
          <w:szCs w:val="28"/>
          <w:rtl w:val="true"/>
          <w:lang w:bidi="ar-SA"/>
        </w:rPr>
        <w:t xml:space="preserve">، للاحتياط ،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لما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والاحتياط إنما يتم مع الريبة وليست في الكثيفة ، للإجماع على عدم الوجوب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وفتوى هؤلاء لا تثمر مع الظواهر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يجب غسل شي‌ء من المستورة فيما يجب تخليله من الخفيفة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والمرأة كالرجل لو نبت شعر في وجهها على ما نقل عن المبسوط ، والمهذب ، والجواهر </w:t>
      </w:r>
      <w:r>
        <w:rPr>
          <w:rStyle w:val="FootnoteAnchor"/>
          <w:rtl w:val="true"/>
        </w:rPr>
        <w:footnoteReference w:id="413"/>
      </w:r>
      <w:r>
        <w:rPr>
          <w:rFonts w:ascii="IRNazanin" w:hAnsi="IRNazanin" w:eastAsia="IRNazanin"/>
          <w:color w:val="111111"/>
          <w:sz w:val="28"/>
          <w:sz w:val="28"/>
          <w:szCs w:val="28"/>
          <w:rtl w:val="true"/>
          <w:lang w:bidi="fa-IR"/>
        </w:rPr>
        <w:t xml:space="preserve">، والمعتبر </w:t>
      </w:r>
      <w:r>
        <w:rPr>
          <w:rStyle w:val="FootnoteAnchor"/>
          <w:rtl w:val="true"/>
        </w:rPr>
        <w:footnoteReference w:id="414"/>
      </w:r>
      <w:r>
        <w:rPr>
          <w:rFonts w:ascii="Amiri" w:hAnsi="Amiri" w:eastAsia="Amiri" w:cs="Amiri"/>
          <w:color w:val="111111"/>
          <w:sz w:val="28"/>
          <w:sz w:val="28"/>
          <w:szCs w:val="28"/>
          <w:rtl w:val="true"/>
          <w:lang w:bidi="ar-SA"/>
        </w:rPr>
        <w:t>، بل عليه دعوى الإجماع ، لإطلاق بعض ما سبق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بوجهه آثار الجدري يجب عليه إيصال الماء إلى جوفها ، لكونها من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حشا بعضها بحشو يمنع الماء يبطل ، بخلاف ما تعارف لبعض النسوان ، حيث يحككن موضعا من جسدهن ويحشينه بالنيل ومثله ، فإنّه ليس من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البدأة في غسله بالأعلى ، وفاقا للمبسوط ، والوسيلة </w:t>
      </w:r>
      <w:r>
        <w:rPr>
          <w:rStyle w:val="FootnoteAnchor"/>
          <w:rtl w:val="true"/>
        </w:rPr>
        <w:footnoteReference w:id="415"/>
      </w:r>
      <w:r>
        <w:rPr>
          <w:rFonts w:ascii="IRNazanin" w:hAnsi="IRNazanin" w:eastAsia="IRNazanin"/>
          <w:color w:val="111111"/>
          <w:sz w:val="28"/>
          <w:sz w:val="28"/>
          <w:szCs w:val="28"/>
          <w:rtl w:val="true"/>
          <w:lang w:bidi="fa-IR"/>
        </w:rPr>
        <w:t xml:space="preserve">، والإصباح ، والشرائع ، والمعتبر </w:t>
      </w:r>
      <w:r>
        <w:rPr>
          <w:rStyle w:val="FootnoteAnchor"/>
          <w:rtl w:val="true"/>
        </w:rPr>
        <w:footnoteReference w:id="416"/>
      </w:r>
      <w:r>
        <w:rPr>
          <w:rFonts w:ascii="Amiri" w:hAnsi="Amiri" w:eastAsia="Amiri" w:cs="Amiri"/>
          <w:color w:val="111111"/>
          <w:sz w:val="28"/>
          <w:sz w:val="28"/>
          <w:szCs w:val="28"/>
          <w:rtl w:val="true"/>
          <w:lang w:bidi="ar-SA"/>
        </w:rPr>
        <w:t xml:space="preserve">، وكتب الفاضل </w:t>
      </w:r>
      <w:r>
        <w:rPr>
          <w:rStyle w:val="FootnoteAnchor"/>
          <w:rtl w:val="true"/>
        </w:rPr>
        <w:footnoteReference w:id="417"/>
      </w:r>
      <w:r>
        <w:rPr>
          <w:rFonts w:ascii="Amiri" w:hAnsi="Amiri" w:eastAsia="Amiri" w:cs="Amiri"/>
          <w:color w:val="111111"/>
          <w:sz w:val="28"/>
          <w:sz w:val="28"/>
          <w:szCs w:val="28"/>
          <w:rtl w:val="true"/>
          <w:lang w:bidi="ar-SA"/>
        </w:rPr>
        <w:t xml:space="preserve">، ونسبه في التذكرة </w:t>
      </w:r>
      <w:r>
        <w:rPr>
          <w:rStyle w:val="FootnoteAnchor"/>
          <w:rtl w:val="true"/>
        </w:rPr>
        <w:footnoteReference w:id="418"/>
      </w:r>
      <w:r>
        <w:rPr>
          <w:rFonts w:ascii="Amiri" w:hAnsi="Amiri" w:eastAsia="Amiri" w:cs="Amiri"/>
          <w:color w:val="111111"/>
          <w:sz w:val="28"/>
          <w:sz w:val="28"/>
          <w:szCs w:val="28"/>
          <w:rtl w:val="true"/>
          <w:lang w:bidi="ar-SA"/>
        </w:rPr>
        <w:t xml:space="preserve">وغيره إلى الأكثر ، للمروي في قرب الإسناد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تلطم وجهك بالماء لطما ، ولكن اغسله من أعلى وجهك إلى أسفله بالماء مسحا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وضعفه منجبر بالشهرة ، ولا أقلّ من المحكية وهي في الجبر كافية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تحديد الوجه دون بيان مبدأ الغسل ومنتهاه خلاف أصل الحقيقة </w:t>
      </w:r>
    </w:p>
    <w:p>
      <w:pPr>
        <w:pStyle w:val="BookText"/>
        <w:rPr/>
      </w:pPr>
      <w:r>
        <w:rPr>
          <w:rFonts w:ascii="Amiri" w:hAnsi="Amiri" w:eastAsia="Amiri" w:cs="Amiri"/>
          <w:color w:val="111111"/>
          <w:sz w:val="28"/>
          <w:sz w:val="28"/>
          <w:szCs w:val="28"/>
          <w:rtl w:val="true"/>
          <w:lang w:bidi="ar-SA"/>
        </w:rPr>
        <w:t xml:space="preserve">في الحرفين ، ولما يتبادر منهما عند عدم القرينة ، كما يظهر من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من البصرة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خبر التميمي الآتي </w:t>
      </w:r>
      <w:r>
        <w:rPr>
          <w:rStyle w:val="FootnoteAnchor"/>
          <w:rtl w:val="true"/>
        </w:rPr>
        <w:footnoteReference w:id="420"/>
      </w:r>
      <w:r>
        <w:rPr>
          <w:rFonts w:ascii="Amiri" w:hAnsi="Amiri" w:eastAsia="Amiri" w:cs="Amiri"/>
          <w:color w:val="111111"/>
          <w:sz w:val="28"/>
          <w:sz w:val="28"/>
          <w:szCs w:val="28"/>
          <w:rtl w:val="true"/>
          <w:lang w:bidi="ar-SA"/>
        </w:rPr>
        <w:t>في غسل اليد ، حيث فرّق عليه السلام بين التفسيرين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 التحديد أحيانا بالقرينة لا 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صحيحة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بمسح الوضوء مقبلا ومدبرا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والمستفيضة الحاكية لوضوء رسول اللّه صلی اللّه عليه وآله ، ففي إحداهما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وأخذ كفا من ماء ، فأسدله على وجهه من أعلى الوجه </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فملأها ماء ، فوضعه على جبينه </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الثالثة المروية في تفسير العياشي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فصبّها على جبهته </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والاستدلال بها ، لأنّ فعله إذا كان بيانا لمجمل وجب ، مع أنه لو لم يجب لم تكن فائدة في ذكر خصوص الغسل من الأعلى ، وإنه نقل عنه أنه لما أكمل وضوءه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وضوء لا يقبل اللّه صلاة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كالاستدلال باستصحاب الحدث ، وبافتقار تيقّن الشغل إلى تيقّن البراءة ، وبوجوب البدأة بالأعلى في اليدين ولا فصل ، وبانصراف إطلاق الأمر بغسل الوجه إلى الشائع</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دلالته على بدأة الرسول بالأعلى أيضا ، لعدم العلم بمدخليتها فيه ، بل يجوز أن يكون من قبيل طلب القدح وكيفية حركة اليد ، فهو أحد جزئيات الغسل الذي لا بدّ من واحد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سلّمنا ولكن نمنع كونه بيانا ، لجواز أن يكون حكاية وضوئه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ولكن لا نسلّم وجوب كلّ ما كان بيانا للمجمل وإن علم وجهه ، كما بيّنا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ذكر خصوص الأعلى فمع أنّه ليس من الإمام ، يجوز أن يكون لاستحبابه ، أو من قبيل ذكر طلب القدح ومل‌ء الكف وأمثالهما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نقل عنه لم يثبت أنه بعد ذلك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 الظاهر أنّ ما كان قبله كان من الأعلى ، لشيوعه ، ومرجوحية غيره ، وعدم حصول الالتزام به ،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شيوعه وإن شاع غير الأسفل ، فيحتمل الغسل من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مرجوحيته ، مع أنّ المرجوح قد يرتكب لبيان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حصول الالتزام بالغير ، لعدم ثبوت كونه من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أنّه لا بدّ أن يحمل على المثل لا الشخص ، والمثلية تحصل بالاشتراك فيما يعلم انّه ليس من العادات ، وحمل المماثلة المطلقة على العموم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سلّم فلو لم يكن هناك ما يرجح أمرا خاصا وهو في الحديث موجود ، إذ هو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كان وضوء رسول اللّه صلی اللّه عليه وآله إلاّ مرّة مرّة ، وتوضّأ النبي صلی اللّه عليه وآله مرّة مرّة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وضوء لا يقبل اللّه الصلاة إلاّ به </w:t>
      </w:r>
      <w:r>
        <w:rPr>
          <w:rFonts w:eastAsia="IRNazanin" w:cs="IRNazanin"/>
          <w:color w:val="111111"/>
          <w:sz w:val="28"/>
          <w:szCs w:val="28"/>
          <w:rtl w:val="true"/>
          <w:lang w:bidi="fa-IR"/>
        </w:rPr>
        <w:t xml:space="preserve">» </w:t>
      </w:r>
      <w:r>
        <w:rPr>
          <w:rStyle w:val="FootnoteAnchor"/>
          <w:rtl w:val="true"/>
        </w:rPr>
        <w:footnoteReference w:id="425"/>
      </w:r>
      <w:r>
        <w:rPr>
          <w:rFonts w:ascii="Amiri" w:hAnsi="Amiri" w:eastAsia="Amiri" w:cs="Amiri"/>
          <w:color w:val="111111"/>
          <w:sz w:val="28"/>
          <w:sz w:val="28"/>
          <w:szCs w:val="28"/>
          <w:rtl w:val="true"/>
          <w:lang w:bidi="ar-SA"/>
        </w:rPr>
        <w:t>والمتبادر منه أنّ مثل هذا في كونه مرّة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أنّ الثانيتين لا تدلاّن على البدأة بأعلى الجبهة والجبين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يراد بالأعلى في الأولى أيضا العرفي ، فلا يثبت المطلوب إن كان الأعلى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في مسألة نية الوجه والرفع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تيقّن الشغل إلاّ بمطلق الغسل وقد حصل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الاشتغال بالوضوء الصحيح ولم يعلم حصوله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في الأخبار مبيّن كما مرّ وأطلق فيها الغسل ، والأصل عدم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المعتبرة أنّ الوضوء في القرآن مذكور </w:t>
      </w:r>
      <w:r>
        <w:rPr>
          <w:rStyle w:val="FootnoteAnchor"/>
          <w:rtl w:val="true"/>
        </w:rPr>
        <w:footnoteReference w:id="426"/>
      </w:r>
      <w:r>
        <w:rPr>
          <w:rFonts w:ascii="Amiri" w:hAnsi="Amiri" w:eastAsia="Amiri" w:cs="Amiri"/>
          <w:color w:val="111111"/>
          <w:sz w:val="28"/>
          <w:sz w:val="28"/>
          <w:szCs w:val="28"/>
          <w:rtl w:val="true"/>
          <w:lang w:bidi="ar-SA"/>
        </w:rPr>
        <w:t>والغسل فيه مطلق ، فيحصل الوضوء به ، ويلزمه تيقّن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عدم الفصل كما سيظهر ، كيف واقتصر بعضهم بذكره في اليدين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الشيوع الذي يوجب الانصراف إليه ، سلّمناه ولكنه في غير الذقن كما مر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ولضعف تلك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مستند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جماعة من المتأخرين </w:t>
      </w:r>
      <w:r>
        <w:rPr>
          <w:rStyle w:val="FootnoteAnchor"/>
          <w:rtl w:val="true"/>
        </w:rPr>
        <w:footnoteReference w:id="427"/>
      </w:r>
      <w:r>
        <w:rPr>
          <w:rFonts w:ascii="Amiri" w:hAnsi="Amiri" w:eastAsia="Amiri" w:cs="Amiri"/>
          <w:color w:val="111111"/>
          <w:sz w:val="28"/>
          <w:sz w:val="28"/>
          <w:szCs w:val="28"/>
          <w:rtl w:val="true"/>
          <w:lang w:bidi="ar-SA"/>
        </w:rPr>
        <w:t>إلى عدم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صريح السيد </w:t>
      </w:r>
      <w:r>
        <w:rPr>
          <w:rStyle w:val="FootnoteAnchor"/>
          <w:rtl w:val="true"/>
        </w:rPr>
        <w:footnoteReference w:id="428"/>
      </w:r>
      <w:r>
        <w:rPr>
          <w:rFonts w:ascii="Amiri" w:hAnsi="Amiri" w:eastAsia="Amiri" w:cs="Amiri"/>
          <w:color w:val="111111"/>
          <w:sz w:val="28"/>
          <w:sz w:val="28"/>
          <w:szCs w:val="28"/>
          <w:rtl w:val="true"/>
          <w:lang w:bidi="ar-SA"/>
        </w:rPr>
        <w:t xml:space="preserve">، والحلي </w:t>
      </w:r>
      <w:r>
        <w:rPr>
          <w:rStyle w:val="FootnoteAnchor"/>
          <w:rtl w:val="true"/>
        </w:rPr>
        <w:footnoteReference w:id="429"/>
      </w:r>
      <w:r>
        <w:rPr>
          <w:rFonts w:ascii="Amiri" w:hAnsi="Amiri" w:eastAsia="Amiri" w:cs="Amiri"/>
          <w:color w:val="111111"/>
          <w:sz w:val="28"/>
          <w:sz w:val="28"/>
          <w:szCs w:val="28"/>
          <w:rtl w:val="true"/>
          <w:lang w:bidi="ar-SA"/>
        </w:rPr>
        <w:t xml:space="preserve">، وابن سعيد </w:t>
      </w:r>
      <w:r>
        <w:rPr>
          <w:rStyle w:val="FootnoteAnchor"/>
          <w:rtl w:val="true"/>
        </w:rPr>
        <w:footnoteReference w:id="430"/>
      </w:r>
      <w:r>
        <w:rPr>
          <w:rFonts w:ascii="Amiri" w:hAnsi="Amiri" w:eastAsia="Amiri" w:cs="Amiri"/>
          <w:color w:val="111111"/>
          <w:sz w:val="28"/>
          <w:sz w:val="28"/>
          <w:szCs w:val="28"/>
          <w:rtl w:val="true"/>
          <w:lang w:bidi="ar-SA"/>
        </w:rPr>
        <w:t xml:space="preserve">، وظاهر الصدوق في الهداية </w:t>
      </w:r>
      <w:r>
        <w:rPr>
          <w:rStyle w:val="FootnoteAnchor"/>
          <w:rtl w:val="true"/>
        </w:rPr>
        <w:footnoteReference w:id="431"/>
      </w:r>
      <w:r>
        <w:rPr>
          <w:rFonts w:ascii="Amiri" w:hAnsi="Amiri" w:eastAsia="Amiri" w:cs="Amiri"/>
          <w:color w:val="111111"/>
          <w:sz w:val="28"/>
          <w:sz w:val="28"/>
          <w:szCs w:val="28"/>
          <w:rtl w:val="true"/>
          <w:lang w:bidi="ar-SA"/>
        </w:rPr>
        <w:t xml:space="preserve">، ومحتمل النافع واللمعة </w:t>
      </w:r>
      <w:r>
        <w:rPr>
          <w:rStyle w:val="FootnoteAnchor"/>
          <w:rtl w:val="true"/>
        </w:rPr>
        <w:footnoteReference w:id="432"/>
      </w:r>
      <w:r>
        <w:rPr>
          <w:rFonts w:ascii="Amiri" w:hAnsi="Amiri" w:eastAsia="Amiri" w:cs="Amiri"/>
          <w:color w:val="111111"/>
          <w:sz w:val="28"/>
          <w:sz w:val="28"/>
          <w:szCs w:val="28"/>
          <w:rtl w:val="true"/>
          <w:lang w:bidi="ar-SA"/>
        </w:rPr>
        <w:t xml:space="preserve">، للأصل ، وإطلاق الآية والأخبار ، وصدق الامتثال ، وصحيحة حمّاد السابقة </w:t>
      </w:r>
      <w:r>
        <w:rPr>
          <w:rStyle w:val="FootnoteAnchor"/>
          <w:rtl w:val="true"/>
        </w:rPr>
        <w:footnoteReference w:id="433"/>
      </w:r>
      <w:r>
        <w:rPr>
          <w:rFonts w:ascii="Amiri" w:hAnsi="Amiri" w:eastAsia="Amiri" w:cs="Amiri"/>
          <w:color w:val="111111"/>
          <w:sz w:val="28"/>
          <w:sz w:val="28"/>
          <w:szCs w:val="28"/>
          <w:rtl w:val="true"/>
          <w:lang w:bidi="ar-SA"/>
        </w:rPr>
        <w:t xml:space="preserve">،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المسح في اللغة يصدق على إمرار اليد ولو في الغسل ، واستعمل فيه أيضا في الروايات كرواية قرب الإسناد ، المتقدّمة </w:t>
      </w:r>
      <w:r>
        <w:rPr>
          <w:rStyle w:val="FootnoteAnchor"/>
          <w:rtl w:val="true"/>
        </w:rPr>
        <w:footnoteReference w:id="434"/>
      </w:r>
      <w:r>
        <w:rPr>
          <w:rFonts w:ascii="Amiri" w:hAnsi="Amiri" w:eastAsia="Amiri" w:cs="Amiri"/>
          <w:color w:val="111111"/>
          <w:sz w:val="28"/>
          <w:sz w:val="28"/>
          <w:szCs w:val="28"/>
          <w:rtl w:val="true"/>
          <w:lang w:bidi="ar-SA"/>
        </w:rPr>
        <w:t xml:space="preserve">، وفي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فأسدله على </w:t>
      </w:r>
    </w:p>
    <w:p>
      <w:pPr>
        <w:pStyle w:val="BookText"/>
        <w:rPr/>
      </w:pPr>
      <w:r>
        <w:rPr>
          <w:rFonts w:ascii="Amiri" w:hAnsi="Amiri" w:eastAsia="Amiri" w:cs="Amiri"/>
          <w:color w:val="111111"/>
          <w:sz w:val="28"/>
          <w:sz w:val="28"/>
          <w:szCs w:val="28"/>
          <w:rtl w:val="true"/>
          <w:lang w:bidi="ar-SA"/>
        </w:rPr>
        <w:t xml:space="preserve">وجهه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ثمَّ مسح وجهه من الجانبين جميعا ، ثمَّ أعاد يده اليسرى في الإناء فأسدلها على يده اليمنى ثمَّ مسح جوانبها </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الاستبصار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الوضوء 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xml:space="preserve">وفي 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 كفا من ماء ، فصبه على وجهه ، ثمَّ مسح جانبيه حتى مسحه كله </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والأصل والإطلاق بما ذكرنا مندفع ومقيّد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الامتثال بعد الأمر بالبدأة من الأعلى فيما مرّ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والمسح وإن صدق على مطلق إمرار اليد ، ولكنه أعمّ من وجه من الغسل ، والواجب في الوجه الغسل دون المسح ، فلا مسح في الوضوء إلاّ في الرأس والرجلين ، فهو المراد من مسح الوضوء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الواجب هو البدأة بالأعلى بحيث يصدق عرفا أنّه بدأ منه منتهيا إلى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غسل كلّ جزء من الأعلى قبل الأسفل فلا ، بل فيه العسر المنفي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الثابت ممّا ذكرنا ليس إلاّ البدأة بما هو الأعلى عرفا ، لأنّ الألفاظ موضوعة للمعاني العرفية حقيقة ، وهو يصدق بالابتداء من الجبهة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وجوب البدأة بمبدإ القصاص حقيقة فلا دليل عليه أصلا ، والأصل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غسل الوجه بكلّ من اليدين ، للأصل ، وإن كان الفضل في اليمنى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وبهما معا ، للأصل ، وموثّقة بكير وزرارة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غمس كفّه اليمنى في التور فغسل وجهه بها ، واستعان بيده اليسرى بكفّه على غسل وجهه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 من المرفقين إلى رؤوس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ووجوبه أيضا ضروري منصوص عليه في الكتاب والسنّة المتواترة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استيعابهما إلى المرفقين ، بحيث لا يشذّ منهما شي‌ء إجماعا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وتدلّ عليه حسنة زرارة وبكير المتقدّمة </w:t>
      </w:r>
      <w:r>
        <w:rPr>
          <w:rStyle w:val="FootnoteAnchor"/>
          <w:rtl w:val="true"/>
        </w:rPr>
        <w:footnoteReference w:id="438"/>
      </w:r>
      <w:r>
        <w:rPr>
          <w:rFonts w:ascii="Amiri" w:hAnsi="Amiri" w:eastAsia="Amiri" w:cs="Amiri"/>
          <w:color w:val="111111"/>
          <w:sz w:val="28"/>
          <w:sz w:val="28"/>
          <w:szCs w:val="28"/>
          <w:rtl w:val="true"/>
          <w:lang w:bidi="ar-SA"/>
        </w:rPr>
        <w:t xml:space="preserve">، وصحيحة زرارة في السوار والدّملج والخاتم الآتية </w:t>
      </w:r>
      <w:r>
        <w:rPr>
          <w:rStyle w:val="FootnoteAnchor"/>
          <w:rtl w:val="true"/>
        </w:rPr>
        <w:footnoteReference w:id="439"/>
      </w:r>
      <w:r>
        <w:rPr>
          <w:rFonts w:ascii="Amiri" w:hAnsi="Amiri" w:eastAsia="Amiri" w:cs="Amiri"/>
          <w:color w:val="111111"/>
          <w:sz w:val="28"/>
          <w:sz w:val="28"/>
          <w:szCs w:val="28"/>
          <w:rtl w:val="true"/>
          <w:lang w:bidi="ar-SA"/>
        </w:rPr>
        <w:t xml:space="preserve">، والمروي في تفسير العياشي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 بغسل اليدين إلى المرفقين ، فليس ينبغي له أن يدع من يديه إلى المرفقين شيئا إلاّ غسله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والمرفق إمّا مفصل عظمي الذراع والعضد فيكون خطا هو الحد المشترك بينهما ، أو مجمعهما فشي‌ء منه داخل في العضد وشي‌ء في الذراع ، أو كلّه يكون من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دلالة للصحاح الآمرة بغسل المكان المقطوع منهما </w:t>
      </w:r>
      <w:r>
        <w:rPr>
          <w:rStyle w:val="FootnoteAnchor"/>
          <w:rtl w:val="true"/>
        </w:rPr>
        <w:footnoteReference w:id="441"/>
      </w:r>
      <w:r>
        <w:rPr>
          <w:rFonts w:ascii="Amiri" w:hAnsi="Amiri" w:eastAsia="Amiri" w:cs="Amiri"/>
          <w:color w:val="111111"/>
          <w:sz w:val="28"/>
          <w:sz w:val="28"/>
          <w:szCs w:val="28"/>
          <w:rtl w:val="true"/>
          <w:lang w:bidi="ar-SA"/>
        </w:rPr>
        <w:t xml:space="preserve">إطلاقا أو خصوصا على ترجيح المعنى الثاني كما قيل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ويجب إدخالهما في الغسل أيضا ، وفاقا كما عن الجوامع ، والتبيان </w:t>
      </w:r>
      <w:r>
        <w:rPr>
          <w:rStyle w:val="FootnoteAnchor"/>
          <w:rtl w:val="true"/>
        </w:rPr>
        <w:footnoteReference w:id="443"/>
      </w:r>
      <w:r>
        <w:rPr>
          <w:rFonts w:ascii="Amiri" w:hAnsi="Amiri" w:eastAsia="Amiri" w:cs="Amiri"/>
          <w:color w:val="111111"/>
          <w:sz w:val="28"/>
          <w:sz w:val="28"/>
          <w:szCs w:val="28"/>
          <w:rtl w:val="true"/>
          <w:lang w:bidi="ar-SA"/>
        </w:rPr>
        <w:t xml:space="preserve">، والمنتهى ، والبيان </w:t>
      </w:r>
      <w:r>
        <w:rPr>
          <w:rStyle w:val="FootnoteAnchor"/>
          <w:rtl w:val="true"/>
        </w:rPr>
        <w:footnoteReference w:id="444"/>
      </w:r>
      <w:r>
        <w:rPr>
          <w:rFonts w:ascii="Amiri" w:hAnsi="Amiri" w:eastAsia="Amiri" w:cs="Amiri"/>
          <w:color w:val="111111"/>
          <w:sz w:val="28"/>
          <w:sz w:val="28"/>
          <w:szCs w:val="28"/>
          <w:rtl w:val="true"/>
          <w:lang w:bidi="ar-SA"/>
        </w:rPr>
        <w:t xml:space="preserve">، وإن اختلفوا في مأخذه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للظواهر من الآية والأخبار البيانية ، وما ورد في وضوء الأقطع فيكون وجوبه أصليا نفسيا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لتوقّف تحصيل الواجب عليه </w:t>
      </w:r>
      <w:r>
        <w:rPr>
          <w:rStyle w:val="FootnoteAnchor"/>
          <w:rtl w:val="true"/>
        </w:rPr>
        <w:footnoteReference w:id="446"/>
      </w:r>
      <w:r>
        <w:rPr>
          <w:rFonts w:ascii="Amiri" w:hAnsi="Amiri" w:eastAsia="Amiri" w:cs="Amiri"/>
          <w:color w:val="111111"/>
          <w:sz w:val="28"/>
          <w:sz w:val="28"/>
          <w:szCs w:val="28"/>
          <w:rtl w:val="true"/>
          <w:lang w:bidi="ar-SA"/>
        </w:rPr>
        <w:t>، فيكون الوجوب تبعيا غيريا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الحقّ على التفسير الأوّل مطلقا ، للأصل ، وعدم تمامية دلالة شي‌ء ممّا ذكر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البيانيات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ثبوت الوجوب منها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أخبار وضوء الأقطع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التلازم بين مدلولها وبين ما قصدوه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غير ما يدخل منه في الذراع على التفسير الثاني ، لتصريح الأخبار بوجوب غسل جميع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الأوّل ،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فائدة الخلاف في وضوء الأقطع وفي وجوب إدخال جزء من العضد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تأمل ، سيما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وتجب في غسلهما البدأة من المرفقين ، وفقا للأكثر حتى ابن سعيد </w:t>
      </w:r>
      <w:r>
        <w:rPr>
          <w:rStyle w:val="FootnoteAnchor"/>
          <w:rtl w:val="true"/>
        </w:rPr>
        <w:footnoteReference w:id="448"/>
      </w:r>
      <w:r>
        <w:rPr>
          <w:rFonts w:ascii="Amiri" w:hAnsi="Amiri" w:eastAsia="Amiri" w:cs="Amiri"/>
          <w:color w:val="111111"/>
          <w:sz w:val="28"/>
          <w:sz w:val="28"/>
          <w:szCs w:val="28"/>
          <w:rtl w:val="true"/>
          <w:lang w:bidi="ar-SA"/>
        </w:rPr>
        <w:t xml:space="preserve">، بل عليه الإجماع في التبيان </w:t>
      </w:r>
      <w:r>
        <w:rPr>
          <w:rStyle w:val="FootnoteAnchor"/>
          <w:rtl w:val="true"/>
        </w:rPr>
        <w:footnoteReference w:id="449"/>
      </w:r>
      <w:r>
        <w:rPr>
          <w:rFonts w:ascii="Amiri" w:hAnsi="Amiri" w:eastAsia="Amiri" w:cs="Amiri"/>
          <w:color w:val="111111"/>
          <w:sz w:val="28"/>
          <w:sz w:val="28"/>
          <w:szCs w:val="28"/>
          <w:rtl w:val="true"/>
          <w:lang w:bidi="ar-SA"/>
        </w:rPr>
        <w:t>، لا لمثل بعض ما مر في الوجه ، لما عرفت من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لخبر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وُجُوهَكُمْ وَأَيْدِيَكُمْ إِلَى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ومسحت من ظفر كفي إلى المرفق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هكذا تنزيلها ، إنّما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وُجُوهَكُمْ وَأَيْدِيَكُمْ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أمرّ يده من مرفقه إلى أصابعه </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كشف الغمة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فعلّمه جبرئيل الوضوء على الوجه واليدين من المرفقين ومسح الرأس والرجلين إلى الكعبين </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فيه وفي الخرائج في حكاية وضوء علي بن يقطين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واغسل يديك من المرفقين </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تفسير العياشي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أَيْدِيَكُمْ إِلَى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الغسل؟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أن يأخذ الماء بيده اليمنى فيصبه في اليسرى ثمَّ يفيضه على المرفق ثمَّ يمسح إلى 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الشعر؟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عنده آخر فعل ، وإلاّ فلا </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أراد بالآخر من يتقيه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أيضا في حكاية وضوء رسول اللّه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يغسل بها ذراعه من المرفق إلى الكف لا يردها إلى المرفق </w:t>
      </w:r>
      <w:r>
        <w:rPr>
          <w:rFonts w:eastAsia="IRNazanin" w:cs="IRNazanin"/>
          <w:color w:val="111111"/>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ما كان منها ضعيفا منجبر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 الآية ، ومثل المروي في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شرائع الدين لمن تمسّك بها وأراد اللّه هداه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إسباغ الوضوء كما أمر اللّه عزّ وجلّ في كتابه الناطق ، غسل الوجه واليدين إلى المرفقين ، ومسح الرأس والقدمين إلى الكعبين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العلل ومجالس الصدوق ، وفيهما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وأمره بغسل الساعدين إلى المرفقين </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العياشي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 بغسل اليدين إلى المرفقين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النكس ليس واجبا ولا مندوبا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الأمر على الجواز تجوّزا ليس أولى من التجوّز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الغسل إلى المرفق بما يوافق المشهور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لأكثر من خالف في الوجه ،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في الناصريات </w:t>
      </w:r>
    </w:p>
    <w:p>
      <w:pPr>
        <w:pStyle w:val="BookText"/>
        <w:rPr/>
      </w:pPr>
      <w:r>
        <w:rPr>
          <w:rFonts w:ascii="IRNazanin" w:hAnsi="IRNazanin" w:eastAsia="IRNazanin"/>
          <w:color w:val="111111"/>
          <w:sz w:val="28"/>
          <w:sz w:val="28"/>
          <w:szCs w:val="28"/>
          <w:rtl w:val="true"/>
          <w:lang w:bidi="fa-IR"/>
        </w:rPr>
        <w:t xml:space="preserve">والانتصار </w:t>
      </w:r>
      <w:r>
        <w:rPr>
          <w:rStyle w:val="FootnoteAnchor"/>
          <w:rtl w:val="true"/>
        </w:rPr>
        <w:footnoteReference w:id="458"/>
      </w:r>
      <w:r>
        <w:rPr>
          <w:rFonts w:ascii="Amiri" w:hAnsi="Amiri" w:eastAsia="Amiri" w:cs="Amiri"/>
          <w:color w:val="111111"/>
          <w:sz w:val="28"/>
          <w:sz w:val="28"/>
          <w:szCs w:val="28"/>
          <w:rtl w:val="true"/>
          <w:lang w:bidi="ar-SA"/>
        </w:rPr>
        <w:t xml:space="preserve">، والحلّي </w:t>
      </w:r>
      <w:r>
        <w:rPr>
          <w:rStyle w:val="FootnoteAnchor"/>
          <w:rtl w:val="true"/>
        </w:rPr>
        <w:footnoteReference w:id="459"/>
      </w:r>
      <w:r>
        <w:rPr>
          <w:rFonts w:ascii="Amiri" w:hAnsi="Amiri" w:eastAsia="Amiri" w:cs="Amiri"/>
          <w:color w:val="111111"/>
          <w:sz w:val="28"/>
          <w:sz w:val="28"/>
          <w:szCs w:val="28"/>
          <w:rtl w:val="true"/>
          <w:lang w:bidi="ar-SA"/>
        </w:rPr>
        <w:t xml:space="preserve">، وفي كفاية الأحكام أنّه يلوح من كلام الشيخ في التهذيب </w:t>
      </w:r>
      <w:r>
        <w:rPr>
          <w:rStyle w:val="FootnoteAnchor"/>
          <w:rtl w:val="true"/>
        </w:rPr>
        <w:footnoteReference w:id="460"/>
      </w:r>
      <w:r>
        <w:rPr>
          <w:rFonts w:ascii="Amiri" w:hAnsi="Amiri" w:eastAsia="Amiri" w:cs="Amiri"/>
          <w:color w:val="111111"/>
          <w:sz w:val="28"/>
          <w:sz w:val="28"/>
          <w:szCs w:val="28"/>
          <w:rtl w:val="true"/>
          <w:lang w:bidi="ar-SA"/>
        </w:rPr>
        <w:t>، فجوّزوا غسلهما منكوسا ، لضعف جميع ما استند المشهور إليه إمّا دلالة أو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بما مرّ من انجبار الضعيف منه سندا بالعمل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اليد إن كان من تحت المرفق ، غسل الباقي إليه إجماعا محقّقا ومنقولا في المنتهى </w:t>
      </w:r>
      <w:r>
        <w:rPr>
          <w:rStyle w:val="FootnoteAnchor"/>
          <w:rtl w:val="true"/>
        </w:rPr>
        <w:footnoteReference w:id="461"/>
      </w:r>
      <w:r>
        <w:rPr>
          <w:rFonts w:ascii="Amiri" w:hAnsi="Amiri" w:eastAsia="Amiri" w:cs="Amiri"/>
          <w:color w:val="111111"/>
          <w:sz w:val="28"/>
          <w:sz w:val="28"/>
          <w:szCs w:val="28"/>
          <w:rtl w:val="true"/>
          <w:lang w:bidi="ar-SA"/>
        </w:rPr>
        <w:t xml:space="preserve">وغيره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الحجة فيه ، مؤيّدا بحسنة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الأقطع اليد والرجل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يغسلهما </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خرج ما خرج منها بالإجماع ،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الأقطع اليد والرجل كيف يتوضّأ؟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ذلك المكان الذي قطع منه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وحسنته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ما قطع منه </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وجعلها دليلا غير جيّد ، لعدم دلالتها على الزائد على مطلق 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لاشتمالها على الرجل الموجب لعدم إرادة الظاهر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إجمالا ، والأخيرتين لا تثبتانه في الزائد عن موضع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الاستدلال باستصحاب ما دلّ عليه الأمر بغسل المجموع تبعا ، وهو وجوب غسل كلّ جزء ، لأنّ الثابت له </w:t>
      </w:r>
    </w:p>
    <w:p>
      <w:pPr>
        <w:pStyle w:val="BookText"/>
        <w:rPr/>
      </w:pPr>
      <w:r>
        <w:rPr>
          <w:rFonts w:ascii="Amiri" w:hAnsi="Amiri" w:eastAsia="Amiri" w:cs="Amiri"/>
          <w:color w:val="111111"/>
          <w:sz w:val="28"/>
          <w:sz w:val="28"/>
          <w:szCs w:val="28"/>
          <w:rtl w:val="true"/>
          <w:lang w:bidi="ar-SA"/>
        </w:rPr>
        <w:t>ليس إلاّ الوجوب التبعي الغيري ، وهو يزول بزوال وجوب الغير والمتبوع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المرفق ، فإن فسّرناه بأحد الأخيرين ، وبقي شي‌ء من الذراع ، وجب غسله ، لما مرّ ، وإلاّ يستحب غسل موضع القطع ، للروايتين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وفاقا للمنتهى والمعتبر والتحرير </w:t>
      </w:r>
      <w:r>
        <w:rPr>
          <w:rStyle w:val="FootnoteAnchor"/>
          <w:rtl w:val="true"/>
        </w:rPr>
        <w:footnoteReference w:id="466"/>
      </w:r>
      <w:r>
        <w:rPr>
          <w:rFonts w:ascii="IRNazanin" w:hAnsi="IRNazanin" w:eastAsia="IRNazanin"/>
          <w:color w:val="111111"/>
          <w:sz w:val="28"/>
          <w:sz w:val="28"/>
          <w:szCs w:val="28"/>
          <w:rtl w:val="true"/>
          <w:lang w:bidi="fa-IR"/>
        </w:rPr>
        <w:t xml:space="preserve">والإرشاد </w:t>
      </w:r>
      <w:r>
        <w:rPr>
          <w:rStyle w:val="FootnoteAnchor"/>
          <w:rtl w:val="true"/>
        </w:rPr>
        <w:footnoteReference w:id="467"/>
      </w:r>
      <w:r>
        <w:rPr>
          <w:rFonts w:ascii="Amiri" w:hAnsi="Amiri" w:eastAsia="Amiri" w:cs="Amiri"/>
          <w:color w:val="111111"/>
          <w:sz w:val="28"/>
          <w:sz w:val="28"/>
          <w:szCs w:val="28"/>
          <w:rtl w:val="true"/>
          <w:lang w:bidi="ar-SA"/>
        </w:rPr>
        <w:t>،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وخلافا للمحكي عن الإسكافي </w:t>
      </w:r>
      <w:r>
        <w:rPr>
          <w:rStyle w:val="FootnoteAnchor"/>
          <w:rtl w:val="true"/>
        </w:rPr>
        <w:footnoteReference w:id="468"/>
      </w:r>
      <w:r>
        <w:rPr>
          <w:rFonts w:ascii="Amiri" w:hAnsi="Amiri" w:eastAsia="Amiri" w:cs="Amiri"/>
          <w:color w:val="111111"/>
          <w:sz w:val="28"/>
          <w:sz w:val="28"/>
          <w:szCs w:val="28"/>
          <w:rtl w:val="true"/>
          <w:lang w:bidi="ar-SA"/>
        </w:rPr>
        <w:t xml:space="preserve">والقاضي والشيخ </w:t>
      </w:r>
      <w:r>
        <w:rPr>
          <w:rStyle w:val="FootnoteAnchor"/>
          <w:rtl w:val="true"/>
        </w:rPr>
        <w:footnoteReference w:id="469"/>
      </w:r>
      <w:r>
        <w:rPr>
          <w:rFonts w:ascii="Amiri" w:hAnsi="Amiri" w:eastAsia="Amiri" w:cs="Amiri"/>
          <w:color w:val="111111"/>
          <w:sz w:val="28"/>
          <w:sz w:val="28"/>
          <w:szCs w:val="28"/>
          <w:rtl w:val="true"/>
          <w:lang w:bidi="ar-SA"/>
        </w:rPr>
        <w:t xml:space="preserve">، والتذكرة والذكرى </w:t>
      </w:r>
      <w:r>
        <w:rPr>
          <w:rStyle w:val="FootnoteAnchor"/>
          <w:rtl w:val="true"/>
        </w:rPr>
        <w:footnoteReference w:id="470"/>
      </w:r>
      <w:r>
        <w:rPr>
          <w:rFonts w:ascii="IRNazanin" w:hAnsi="IRNazanin" w:eastAsia="IRNazanin"/>
          <w:color w:val="111111"/>
          <w:sz w:val="28"/>
          <w:sz w:val="28"/>
          <w:szCs w:val="28"/>
          <w:rtl w:val="true"/>
          <w:lang w:bidi="fa-IR"/>
        </w:rPr>
        <w:t>، فأوجبوا غسل رأس العضد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وكأنّه للاستصحاب المتقدّم ضعفه ، أو الروايتين الغير المثبتتين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حينئذ استحباب غسل الباقي من اليد ، للصحيح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قطعت يده من المرفق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ما بقي من عضده </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من فوقه ، سقط الوجوب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يستحب غسل موضع القطع ، أم تمام الباقي ، أم لا يستحب شي‌ء منهما؟</w:t>
      </w:r>
    </w:p>
    <w:p>
      <w:pPr>
        <w:pStyle w:val="BookText"/>
        <w:rPr/>
      </w:pPr>
      <w:r>
        <w:rPr>
          <w:rFonts w:ascii="Amiri" w:hAnsi="Amiri" w:eastAsia="Amiri" w:cs="Amiri"/>
          <w:color w:val="111111"/>
          <w:sz w:val="28"/>
          <w:sz w:val="28"/>
          <w:szCs w:val="28"/>
          <w:rtl w:val="true"/>
          <w:lang w:bidi="ar-SA"/>
        </w:rPr>
        <w:t xml:space="preserve">ظاهر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المنتهى والتذكرة والنهاية والدروس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دليل عليه إلاّ إطلاق حسنة محمّد </w:t>
      </w:r>
      <w:r>
        <w:rPr>
          <w:rStyle w:val="FootnoteAnchor"/>
          <w:rtl w:val="true"/>
        </w:rPr>
        <w:footnoteReference w:id="473"/>
      </w:r>
      <w:r>
        <w:rPr>
          <w:rFonts w:ascii="IRNazanin" w:hAnsi="IRNazanin" w:eastAsia="IRNazanin"/>
          <w:color w:val="111111"/>
          <w:sz w:val="28"/>
          <w:sz w:val="28"/>
          <w:szCs w:val="28"/>
          <w:rtl w:val="true"/>
          <w:lang w:bidi="fa-IR"/>
        </w:rPr>
        <w:t>، وقد عرفت إجمالها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مسح الباقي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مراده أيضا الغسل ، وإلاّ فلعلّ مستنده الحسنة بحمل الغسل على المسح ، لبطلان إبقائه على حقيقته ، وعدم تجويز استعمال اللفظ في معنييه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ويضعفه إمكان حمل آخر كالتقية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إن كان ما دون المرفق أو معه ، وجب غسله ، وفاقا ظاهرا ، سلعة كان أو إصبعا أو ذراعا أو لحما ، له </w:t>
      </w:r>
      <w:r>
        <w:rPr>
          <w:rStyle w:val="FootnoteAnchor"/>
          <w:rtl w:val="true"/>
        </w:rPr>
        <w:footnoteReference w:id="475"/>
      </w:r>
      <w:r>
        <w:rPr>
          <w:rFonts w:ascii="Amiri" w:hAnsi="Amiri" w:eastAsia="Amiri" w:cs="Amiri"/>
          <w:color w:val="111111"/>
          <w:sz w:val="28"/>
          <w:sz w:val="28"/>
          <w:szCs w:val="28"/>
          <w:rtl w:val="true"/>
          <w:lang w:bidi="ar-SA"/>
        </w:rPr>
        <w:t>ولتوقّف العلم بغسل جميع الأجزاء الأصلية عليه ، حيث إنّ الزائد واقع فيها مشتمل على جزء منها ، ولصدق الجزئية ، وإن كان فيها في الجميع محلّ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الثقبة الواقعة فيه ، فإن كانت من الظواهر عرفا ، بأن كانت مكشوفة ، نابتا عليها الجلد ، وجب غسلها للجزئية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فوقه ، فإن لم يكن يدا لا يجب غسله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 فإن لم يتميز عن الأصلية وجب غسله من غير خلاف يعرف ، وفي المنتهى والتذكرة </w:t>
      </w:r>
      <w:r>
        <w:rPr>
          <w:rStyle w:val="FootnoteAnchor"/>
          <w:rtl w:val="true"/>
        </w:rPr>
        <w:footnoteReference w:id="476"/>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لإيجاب تخصيص إحداهما للتحكّم ، ولا لتوقّف العلم بغسل الأصلية عليه ، لاندفاع التحكّم بالتخيير ، وجواز عدم اتّصاف واحدة منهما بالأصلية ، وكون الحكم في مثله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لعموم الجمع المضاف في 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أَيْدِيَكُمْ </w:t>
      </w:r>
      <w:r>
        <w:rPr>
          <w:rFonts w:eastAsia="Amiri" w:cs="Amiri" w:ascii="Amiri" w:hAnsi="Amiri"/>
          <w:color w:val="111111"/>
          <w:sz w:val="28"/>
          <w:szCs w:val="28"/>
          <w:rtl w:val="true"/>
          <w:lang w:bidi="ar-SA"/>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إن تميّز ، وفاقا للتلخيص والمختلف والمنتهى والإرشاد </w:t>
      </w:r>
      <w:r>
        <w:rPr>
          <w:rStyle w:val="FootnoteAnchor"/>
          <w:rtl w:val="true"/>
        </w:rPr>
        <w:footnoteReference w:id="477"/>
      </w:r>
      <w:r>
        <w:rPr>
          <w:rFonts w:ascii="Amiri" w:hAnsi="Amiri" w:eastAsia="Amiri" w:cs="Amiri"/>
          <w:color w:val="111111"/>
          <w:sz w:val="28"/>
          <w:sz w:val="28"/>
          <w:szCs w:val="28"/>
          <w:rtl w:val="true"/>
          <w:lang w:bidi="ar-SA"/>
        </w:rPr>
        <w:t xml:space="preserve">، ومحتمل التذكرة والشرائع </w:t>
      </w:r>
      <w:r>
        <w:rPr>
          <w:rStyle w:val="FootnoteAnchor"/>
          <w:rtl w:val="true"/>
        </w:rPr>
        <w:footnoteReference w:id="478"/>
      </w:r>
      <w:r>
        <w:rPr>
          <w:rFonts w:ascii="Amiri" w:hAnsi="Amiri" w:eastAsia="Amiri" w:cs="Amiri"/>
          <w:color w:val="111111"/>
          <w:sz w:val="28"/>
          <w:sz w:val="28"/>
          <w:szCs w:val="28"/>
          <w:rtl w:val="true"/>
          <w:lang w:bidi="ar-SA"/>
        </w:rPr>
        <w:t>، لما 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خلافا للمنقول عن المبسوط والمهذّب والجواهر والمعتبر </w:t>
      </w:r>
      <w:r>
        <w:rPr>
          <w:rStyle w:val="FootnoteAnchor"/>
          <w:rtl w:val="true"/>
        </w:rPr>
        <w:footnoteReference w:id="479"/>
      </w:r>
      <w:r>
        <w:rPr>
          <w:rFonts w:ascii="Amiri" w:hAnsi="Amiri" w:eastAsia="Amiri" w:cs="Amiri"/>
          <w:color w:val="111111"/>
          <w:sz w:val="28"/>
          <w:sz w:val="28"/>
          <w:szCs w:val="28"/>
          <w:rtl w:val="true"/>
          <w:lang w:bidi="ar-SA"/>
        </w:rPr>
        <w:t>فلم يوجبوا غسله ، لخروجه عن اليد المأمور بغسلها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إيصال الماء تحت جميع ما في محل الغسل من سوار ودملج وخاتم وغيرها ، للإجماع ، وعموم حسنة زرارة وبكير ، ورواية العياشي المتقدّمتين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وخصوص 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عليها السوار والدملج في بعض ذراعها ، لا تدري يجري الماء تحتها أم لا ، كيف تصنع إذا توضّأت أو اغتسلت؟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تحرّكه حتى يدخل الماء تحته أو تنزعه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الخاتم الضيق لا يدري هل يجري الماء تحته إذا توضّأ أم لا ، كيف يصنع؟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علم أنّ الماء لا يدخله فليخرجه إذا توضّأ </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ينافي المطلوب مفهوم جزئها الأخير ، لأنّ مفادها أنّ مع عدم العلم لا يجب الإخراج ، وهو كذلك ، فإنّه مع العلم بعدم وصول الماء تحته لا محيص عن إخراجه فيجب ، وأمّا إذا لم يعلم عدم وصوله ، فإن علم الوصول فهو ، وإلاّ فيحرّك حتى يدخل أو ينزعه ، كما صرّح به في صدرها ، فلا يجب الإخراج حينئذ</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حسنة ابن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الخاتم إذا اغتسلت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حوّله من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تديره ، وإن نسيت حتى تقوم في الصلاة فلا آمرك أن تعيد الصلاة </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فمحمولة على ما إذا لم يعلم عدم الوصول ، جمعا بينها وبين الأخبار المستفيضة المصرّحة بوجوب الإعادة بنسيان جزء من موضع الغسل </w:t>
      </w:r>
      <w:r>
        <w:rPr>
          <w:rStyle w:val="FootnoteAnchor"/>
          <w:rtl w:val="true"/>
        </w:rPr>
        <w:footnoteReference w:id="483"/>
      </w:r>
      <w:r>
        <w:rPr>
          <w:rFonts w:ascii="Amiri" w:hAnsi="Amiri" w:eastAsia="Amiri" w:cs="Amiri"/>
          <w:color w:val="111111"/>
          <w:sz w:val="28"/>
          <w:sz w:val="28"/>
          <w:szCs w:val="28"/>
          <w:rtl w:val="true"/>
          <w:lang w:bidi="ar-SA"/>
        </w:rPr>
        <w:t xml:space="preserve">، بل بين الصحيحة التي هي أخص منها مطلقا ، فإنّه حينئذ لا تعاد الصلاة مع </w:t>
      </w:r>
    </w:p>
    <w:p>
      <w:pPr>
        <w:pStyle w:val="BookText"/>
        <w:rPr/>
      </w:pPr>
      <w:r>
        <w:rPr>
          <w:rFonts w:ascii="Amiri" w:hAnsi="Amiri" w:eastAsia="Amiri" w:cs="Amiri"/>
          <w:color w:val="111111"/>
          <w:sz w:val="28"/>
          <w:sz w:val="28"/>
          <w:szCs w:val="28"/>
          <w:rtl w:val="true"/>
          <w:lang w:bidi="ar-SA"/>
        </w:rPr>
        <w:t>النسيان ، أمّا مع العلم بالوصول فظاهر ، وأمّا بدونه فلرجوعه إلى الشك بعد الفعل وهو لا يعبأ به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w:t>
      </w:r>
      <w:r>
        <w:rPr>
          <w:rStyle w:val="FootnoteAnchor"/>
          <w:rtl w:val="true"/>
        </w:rPr>
        <w:footnoteReference w:id="484"/>
      </w:r>
      <w:r>
        <w:rPr>
          <w:rFonts w:ascii="Amiri" w:hAnsi="Amiri" w:eastAsia="Amiri" w:cs="Amiri"/>
          <w:color w:val="111111"/>
          <w:sz w:val="28"/>
          <w:sz w:val="28"/>
          <w:szCs w:val="28"/>
          <w:rtl w:val="true"/>
          <w:lang w:bidi="ar-SA"/>
        </w:rPr>
        <w:t>الشعر مع خفّته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مع الكثافة عند جماعة </w:t>
      </w:r>
      <w:r>
        <w:rPr>
          <w:rStyle w:val="FootnoteAnchor"/>
          <w:rtl w:val="true"/>
        </w:rPr>
        <w:footnoteReference w:id="485"/>
      </w:r>
      <w:r>
        <w:rPr>
          <w:rFonts w:ascii="Amiri" w:hAnsi="Amiri" w:eastAsia="Amiri" w:cs="Amiri"/>
          <w:color w:val="111111"/>
          <w:sz w:val="28"/>
          <w:sz w:val="28"/>
          <w:szCs w:val="28"/>
          <w:rtl w:val="true"/>
          <w:lang w:bidi="ar-SA"/>
        </w:rPr>
        <w:t xml:space="preserve">، استنادا إلى وجوب غسل كلّ جزء ، كما هو المصرّح به في الأخبار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مقتضى صحيحة زرارة ، المتقدّمة </w:t>
      </w:r>
      <w:r>
        <w:rPr>
          <w:rStyle w:val="FootnoteAnchor"/>
          <w:rtl w:val="true"/>
        </w:rPr>
        <w:footnoteReference w:id="487"/>
      </w:r>
      <w:r>
        <w:rPr>
          <w:rFonts w:ascii="Amiri" w:hAnsi="Amiri" w:eastAsia="Amiri" w:cs="Amiri"/>
          <w:color w:val="111111"/>
          <w:sz w:val="28"/>
          <w:sz w:val="28"/>
          <w:szCs w:val="28"/>
          <w:rtl w:val="true"/>
          <w:lang w:bidi="ar-SA"/>
        </w:rPr>
        <w:t xml:space="preserve">في شعر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وجوبه ، ووجوب غسل الشعر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وتخصيصها بالوجه لا وجه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w:t>
      </w:r>
      <w:r>
        <w:rPr>
          <w:rStyle w:val="FootnoteAnchor"/>
          <w:rtl w:val="true"/>
        </w:rPr>
        <w:footnoteReference w:id="488"/>
      </w:r>
      <w:r>
        <w:rPr>
          <w:rFonts w:ascii="Amiri" w:hAnsi="Amiri" w:eastAsia="Amiri" w:cs="Amiri"/>
          <w:color w:val="111111"/>
          <w:sz w:val="28"/>
          <w:sz w:val="28"/>
          <w:szCs w:val="28"/>
          <w:rtl w:val="true"/>
          <w:lang w:bidi="ar-SA"/>
        </w:rPr>
        <w:t>بغسل كلّ جزء من اليد كما يمكن أن يكون كلّ جزء من ظاهر جلده ، يمكن أن يكون كلّ جزء من ظاهر أجزائها كما في الوجه ، ومنه شعرها المحيط بها ، ومع العموم فالصحيحة للتخصيص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استشكل في غرر المجامع وغيره </w:t>
      </w:r>
      <w:r>
        <w:rPr>
          <w:rStyle w:val="FootnoteAnchor"/>
          <w:rtl w:val="true"/>
        </w:rPr>
        <w:footnoteReference w:id="489"/>
      </w:r>
      <w:r>
        <w:rPr>
          <w:rFonts w:ascii="Amiri" w:hAnsi="Amiri" w:eastAsia="Amiri" w:cs="Amiri"/>
          <w:color w:val="111111"/>
          <w:sz w:val="28"/>
          <w:sz w:val="28"/>
          <w:szCs w:val="28"/>
          <w:rtl w:val="true"/>
          <w:lang w:bidi="ar-SA"/>
        </w:rPr>
        <w:t>في الفرق بين الوجه واليد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محلّه ، والإجماع الرافع له غير ثابت وإن ادّعاه الكركي في باب غسل الجنابة من شرح القواعد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الاحتياط واضح</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الأظفار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وجوب غسلها ما لم يخرج عن حد اليد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محاذاة رأس 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معه ، وفاقا للفاضل في بعض كتبه </w:t>
      </w:r>
      <w:r>
        <w:rPr>
          <w:rStyle w:val="FootnoteAnchor"/>
          <w:rtl w:val="true"/>
        </w:rPr>
        <w:footnoteReference w:id="491"/>
      </w:r>
      <w:r>
        <w:rPr>
          <w:rFonts w:ascii="Amiri" w:hAnsi="Amiri" w:eastAsia="Amiri" w:cs="Amiri"/>
          <w:color w:val="111111"/>
          <w:sz w:val="28"/>
          <w:sz w:val="28"/>
          <w:szCs w:val="28"/>
          <w:rtl w:val="true"/>
          <w:lang w:bidi="ar-SA"/>
        </w:rPr>
        <w:t xml:space="preserve">، والشهيد </w:t>
      </w:r>
      <w:r>
        <w:rPr>
          <w:rStyle w:val="FootnoteAnchor"/>
          <w:rtl w:val="true"/>
        </w:rPr>
        <w:footnoteReference w:id="492"/>
      </w:r>
      <w:r>
        <w:rPr>
          <w:rFonts w:ascii="Amiri" w:hAnsi="Amiri" w:eastAsia="Amiri" w:cs="Amiri"/>
          <w:color w:val="111111"/>
          <w:sz w:val="28"/>
          <w:sz w:val="28"/>
          <w:szCs w:val="28"/>
          <w:rtl w:val="true"/>
          <w:lang w:bidi="ar-SA"/>
        </w:rPr>
        <w:t>، ووالدي العلاّمة ، لجزئيتها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والتجاوز عن رأس الإصبع لا يوجب خروجها عنها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لبعضهم فلم يوجبه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التذكرة ونهاية الإحكام ، وفي المنتهى ، وشرح القواعد للمحقق الثاني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فيه ، للأصل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مندفع بما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تحتها من البشرة فمنها ما ليس من الظواهر عرفا ، وهي الجلدة الرقيقة تحت الظفر الغير المتجاوز عن حد الإصبع ، لأنّ المراد بالظاهر ما كان ظاهرا غالبا ، ولا شك أنّ هذه الجلدة تكون تحت الظفر غالبا ، لندور قص الظفر بحيث تظهر تلك الجلدة ، ولو قص لنبت في أسرع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هو الظاهر كذلك ، وهو ما تجاوز عمّا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كان من الأوّل لا يجب غسله ، لرواية زرارة المتقدمة </w:t>
      </w:r>
      <w:r>
        <w:rPr>
          <w:rStyle w:val="FootnoteAnchor"/>
          <w:rtl w:val="true"/>
        </w:rPr>
        <w:footnoteReference w:id="49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عليك أن تغسل ما 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والعلة المنصوصة في رواية الحضرمي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عليك مضمضة ولا استنشاق لأنها من الجوف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كان من الثاني يجب ولو وقع تحت الظفر ، بأن تجاوز عن حد اليد ، للاستصحاب ، ولكونه من الظواهر عرفا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يظهر حكم الوسخ المجتمع تحت الظفر ، فإنه يجب نزعه لو منع من غسل الثاني ، ولا يجب في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ووجوب النزع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كالمنتهى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وصدق غسل اليد بدونه ، وعدم أمر النبيّ صلی اللّه عليه وآله الأعراب مع عدم الانفكاك فيهم غالبا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ورود الأمر بغسل الظواهر وعدم جواز ترك جزء من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الوسخ الواقع في محل الفرض شبه الدخان لا يمنع الماء ، اتّجه عدم وجوب نزعه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ووجوبه أيضا ثابت بالثلاثة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والقدر الواجب فيه المسمى ، ولو بجزء من إصبع ، ممرا له على الممسوح ليتحقّق اسمه ، وفاقا للأكثر كما في المدارك </w:t>
      </w:r>
      <w:r>
        <w:rPr>
          <w:rStyle w:val="FootnoteAnchor"/>
          <w:rtl w:val="true"/>
        </w:rPr>
        <w:footnoteReference w:id="499"/>
      </w:r>
      <w:r>
        <w:rPr>
          <w:rFonts w:ascii="Amiri" w:hAnsi="Amiri" w:eastAsia="Amiri" w:cs="Amiri"/>
          <w:color w:val="111111"/>
          <w:sz w:val="28"/>
          <w:sz w:val="28"/>
          <w:szCs w:val="28"/>
          <w:rtl w:val="true"/>
          <w:lang w:bidi="ar-SA"/>
        </w:rPr>
        <w:t xml:space="preserve">والغرر ، ومنهم التبيان ، والمجمع ، وروض الجنان لأبي الفتوح </w:t>
      </w:r>
      <w:r>
        <w:rPr>
          <w:rStyle w:val="FootnoteAnchor"/>
          <w:rtl w:val="true"/>
        </w:rPr>
        <w:footnoteReference w:id="500"/>
      </w:r>
      <w:r>
        <w:rPr>
          <w:rFonts w:ascii="Amiri" w:hAnsi="Amiri" w:eastAsia="Amiri" w:cs="Amiri"/>
          <w:color w:val="111111"/>
          <w:sz w:val="28"/>
          <w:sz w:val="28"/>
          <w:szCs w:val="28"/>
          <w:rtl w:val="true"/>
          <w:lang w:bidi="ar-SA"/>
        </w:rPr>
        <w:t xml:space="preserve">، وأحكام القران للراوندي </w:t>
      </w:r>
      <w:r>
        <w:rPr>
          <w:rStyle w:val="FootnoteAnchor"/>
          <w:rtl w:val="true"/>
        </w:rPr>
        <w:footnoteReference w:id="501"/>
      </w:r>
      <w:r>
        <w:rPr>
          <w:rFonts w:ascii="Amiri" w:hAnsi="Amiri" w:eastAsia="Amiri" w:cs="Amiri"/>
          <w:color w:val="111111"/>
          <w:sz w:val="28"/>
          <w:sz w:val="28"/>
          <w:szCs w:val="28"/>
          <w:rtl w:val="true"/>
          <w:lang w:bidi="ar-SA"/>
        </w:rPr>
        <w:t xml:space="preserve">، والغنية </w:t>
      </w:r>
      <w:r>
        <w:rPr>
          <w:rStyle w:val="FootnoteAnchor"/>
          <w:rtl w:val="true"/>
        </w:rPr>
        <w:footnoteReference w:id="502"/>
      </w:r>
      <w:r>
        <w:rPr>
          <w:rFonts w:ascii="IRNazanin" w:hAnsi="IRNazanin" w:eastAsia="IRNazanin"/>
          <w:color w:val="111111"/>
          <w:sz w:val="28"/>
          <w:sz w:val="28"/>
          <w:szCs w:val="28"/>
          <w:rtl w:val="true"/>
          <w:lang w:bidi="fa-IR"/>
        </w:rPr>
        <w:t xml:space="preserve">، والمبسوط ، والجمل والعقود </w:t>
      </w:r>
      <w:r>
        <w:rPr>
          <w:rStyle w:val="FootnoteAnchor"/>
          <w:rtl w:val="true"/>
        </w:rPr>
        <w:footnoteReference w:id="503"/>
      </w:r>
      <w:r>
        <w:rPr>
          <w:rFonts w:ascii="IRNazanin" w:hAnsi="IRNazanin" w:eastAsia="IRNazanin"/>
          <w:color w:val="111111"/>
          <w:sz w:val="28"/>
          <w:sz w:val="28"/>
          <w:szCs w:val="28"/>
          <w:rtl w:val="true"/>
          <w:lang w:bidi="fa-IR"/>
        </w:rPr>
        <w:t xml:space="preserve">، والسرائر </w:t>
      </w:r>
      <w:r>
        <w:rPr>
          <w:rStyle w:val="FootnoteAnchor"/>
          <w:rtl w:val="true"/>
        </w:rPr>
        <w:footnoteReference w:id="504"/>
      </w:r>
      <w:r>
        <w:rPr>
          <w:rFonts w:ascii="Amiri" w:hAnsi="Amiri" w:eastAsia="Amiri" w:cs="Amiri"/>
          <w:color w:val="111111"/>
          <w:sz w:val="28"/>
          <w:sz w:val="28"/>
          <w:szCs w:val="28"/>
          <w:rtl w:val="true"/>
          <w:lang w:bidi="ar-SA"/>
        </w:rPr>
        <w:t xml:space="preserve">، والمصباح للسيّد </w:t>
      </w:r>
      <w:r>
        <w:rPr>
          <w:rStyle w:val="FootnoteAnchor"/>
          <w:rtl w:val="true"/>
        </w:rPr>
        <w:footnoteReference w:id="505"/>
      </w:r>
      <w:r>
        <w:rPr>
          <w:rFonts w:ascii="IRNazanin" w:hAnsi="IRNazanin" w:eastAsia="IRNazanin"/>
          <w:color w:val="111111"/>
          <w:sz w:val="28"/>
          <w:sz w:val="28"/>
          <w:szCs w:val="28"/>
          <w:rtl w:val="true"/>
          <w:lang w:bidi="fa-IR"/>
        </w:rPr>
        <w:t xml:space="preserve">، والإصباح ، والجامع ، والمعتبر </w:t>
      </w:r>
      <w:r>
        <w:rPr>
          <w:rStyle w:val="FootnoteAnchor"/>
          <w:rtl w:val="true"/>
        </w:rPr>
        <w:footnoteReference w:id="506"/>
      </w:r>
      <w:r>
        <w:rPr>
          <w:rFonts w:ascii="IRNazanin" w:hAnsi="IRNazanin" w:eastAsia="IRNazanin"/>
          <w:color w:val="111111"/>
          <w:sz w:val="28"/>
          <w:sz w:val="28"/>
          <w:szCs w:val="28"/>
          <w:rtl w:val="true"/>
          <w:lang w:bidi="fa-IR"/>
        </w:rPr>
        <w:t xml:space="preserve">، والشرائع ، والنافع </w:t>
      </w:r>
      <w:r>
        <w:rPr>
          <w:rStyle w:val="FootnoteAnchor"/>
          <w:rtl w:val="true"/>
        </w:rPr>
        <w:footnoteReference w:id="507"/>
      </w:r>
      <w:r>
        <w:rPr>
          <w:rFonts w:ascii="IRNazanin" w:hAnsi="IRNazanin" w:eastAsia="IRNazanin"/>
          <w:color w:val="111111"/>
          <w:sz w:val="28"/>
          <w:sz w:val="28"/>
          <w:szCs w:val="28"/>
          <w:rtl w:val="true"/>
          <w:lang w:bidi="fa-IR"/>
        </w:rPr>
        <w:t xml:space="preserve">، والقواعد ، والمنتهى </w:t>
      </w:r>
      <w:r>
        <w:rPr>
          <w:rStyle w:val="FootnoteAnchor"/>
          <w:rtl w:val="true"/>
        </w:rPr>
        <w:footnoteReference w:id="508"/>
      </w:r>
      <w:r>
        <w:rPr>
          <w:rFonts w:ascii="IRNazanin" w:hAnsi="IRNazanin" w:eastAsia="IRNazanin"/>
          <w:color w:val="111111"/>
          <w:sz w:val="28"/>
          <w:sz w:val="28"/>
          <w:szCs w:val="28"/>
          <w:rtl w:val="true"/>
          <w:lang w:bidi="fa-IR"/>
        </w:rPr>
        <w:t xml:space="preserve">، بل سائر </w:t>
      </w:r>
    </w:p>
    <w:p>
      <w:pPr>
        <w:pStyle w:val="BookText"/>
        <w:rPr/>
      </w:pPr>
      <w:r>
        <w:rPr>
          <w:rFonts w:ascii="Amiri" w:hAnsi="Amiri" w:eastAsia="Amiri" w:cs="Amiri"/>
          <w:color w:val="111111"/>
          <w:sz w:val="28"/>
          <w:sz w:val="28"/>
          <w:szCs w:val="28"/>
          <w:rtl w:val="true"/>
          <w:lang w:bidi="ar-SA"/>
        </w:rPr>
        <w:t xml:space="preserve">كتب الفاضل </w:t>
      </w:r>
      <w:r>
        <w:rPr>
          <w:rStyle w:val="FootnoteAnchor"/>
          <w:rtl w:val="true"/>
        </w:rPr>
        <w:footnoteReference w:id="509"/>
      </w:r>
      <w:r>
        <w:rPr>
          <w:rFonts w:ascii="Amiri" w:hAnsi="Amiri" w:eastAsia="Amiri" w:cs="Amiri"/>
          <w:color w:val="111111"/>
          <w:sz w:val="28"/>
          <w:sz w:val="28"/>
          <w:szCs w:val="28"/>
          <w:rtl w:val="true"/>
          <w:lang w:bidi="ar-SA"/>
        </w:rPr>
        <w:t xml:space="preserve">، والكركي </w:t>
      </w:r>
      <w:r>
        <w:rPr>
          <w:rStyle w:val="FootnoteAnchor"/>
          <w:rtl w:val="true"/>
        </w:rPr>
        <w:footnoteReference w:id="510"/>
      </w:r>
      <w:r>
        <w:rPr>
          <w:rFonts w:ascii="Amiri" w:hAnsi="Amiri" w:eastAsia="Amiri" w:cs="Amiri"/>
          <w:color w:val="111111"/>
          <w:sz w:val="28"/>
          <w:sz w:val="28"/>
          <w:szCs w:val="28"/>
          <w:rtl w:val="true"/>
          <w:lang w:bidi="ar-SA"/>
        </w:rPr>
        <w:t xml:space="preserve">، والشهيدين </w:t>
      </w:r>
      <w:r>
        <w:rPr>
          <w:rStyle w:val="FootnoteAnchor"/>
          <w:rtl w:val="true"/>
        </w:rPr>
        <w:footnoteReference w:id="511"/>
      </w:r>
      <w:r>
        <w:rPr>
          <w:rFonts w:ascii="Amiri" w:hAnsi="Amiri" w:eastAsia="Amiri" w:cs="Amiri"/>
          <w:color w:val="111111"/>
          <w:sz w:val="28"/>
          <w:sz w:val="28"/>
          <w:szCs w:val="28"/>
          <w:rtl w:val="true"/>
          <w:lang w:bidi="ar-SA"/>
        </w:rPr>
        <w:t xml:space="preserve">، وأكثر المتأخرين </w:t>
      </w:r>
      <w:r>
        <w:rPr>
          <w:rStyle w:val="FootnoteAnchor"/>
          <w:rtl w:val="true"/>
        </w:rPr>
        <w:footnoteReference w:id="512"/>
      </w:r>
      <w:r>
        <w:rPr>
          <w:rFonts w:ascii="Amiri" w:hAnsi="Amiri" w:eastAsia="Amiri" w:cs="Amiri"/>
          <w:color w:val="111111"/>
          <w:sz w:val="28"/>
          <w:sz w:val="28"/>
          <w:szCs w:val="28"/>
          <w:rtl w:val="true"/>
          <w:lang w:bidi="ar-SA"/>
        </w:rPr>
        <w:t xml:space="preserve">، بل عن الخمسة الأولى الإجماع عليه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 بعض مشايخنا المحققين </w:t>
      </w:r>
      <w:r>
        <w:rPr>
          <w:rStyle w:val="FootnoteAnchor"/>
          <w:rtl w:val="true"/>
        </w:rPr>
        <w:footnoteReference w:id="514"/>
      </w:r>
      <w:r>
        <w:rPr>
          <w:rFonts w:ascii="Amiri" w:hAnsi="Amiri" w:eastAsia="Amiri" w:cs="Amiri"/>
          <w:color w:val="111111"/>
          <w:sz w:val="28"/>
          <w:sz w:val="28"/>
          <w:szCs w:val="28"/>
          <w:rtl w:val="true"/>
          <w:lang w:bidi="ar-SA"/>
        </w:rPr>
        <w:t>هذا القول إلى العماني ، والإسكافي ، والديلمي ، والحلبي ، والقاضي ، والحلي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للأصل ، والإطلاقات ، وخصوص الصحاح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وبكير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مسحت بشي‌ء من رأسك أو بشي‌ء من قدميك ما بين كعبيك إلى أطراف الأصابع فقد أجزأك </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مسح بشي‌ء من رأسه وبشي‌ء من رجليه ما بين الكعبين إلى آخر أطراف الأصابع فقد أجزأه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مقدار إصبع ، وهو المحكي عن المقنعة ، والتهذيب ، والخلاف </w:t>
      </w:r>
      <w:r>
        <w:rPr>
          <w:rStyle w:val="FootnoteAnchor"/>
          <w:rtl w:val="true"/>
        </w:rPr>
        <w:footnoteReference w:id="517"/>
      </w:r>
      <w:r>
        <w:rPr>
          <w:rFonts w:ascii="Amiri" w:hAnsi="Amiri" w:eastAsia="Amiri" w:cs="Amiri"/>
          <w:color w:val="111111"/>
          <w:sz w:val="28"/>
          <w:sz w:val="28"/>
          <w:szCs w:val="28"/>
          <w:rtl w:val="true"/>
          <w:lang w:bidi="ar-SA"/>
        </w:rPr>
        <w:t xml:space="preserve">، وجمل السيد ، والراوندي </w:t>
      </w:r>
      <w:r>
        <w:rPr>
          <w:rStyle w:val="FootnoteAnchor"/>
          <w:rtl w:val="true"/>
        </w:rPr>
        <w:footnoteReference w:id="518"/>
      </w:r>
      <w:r>
        <w:rPr>
          <w:rFonts w:ascii="Amiri" w:hAnsi="Amiri" w:eastAsia="Amiri" w:cs="Amiri"/>
          <w:color w:val="111111"/>
          <w:sz w:val="28"/>
          <w:sz w:val="28"/>
          <w:szCs w:val="28"/>
          <w:rtl w:val="true"/>
          <w:lang w:bidi="ar-SA"/>
        </w:rPr>
        <w:t xml:space="preserve">في موضع من الكتاب المذكور ، وفي </w:t>
      </w:r>
    </w:p>
    <w:p>
      <w:pPr>
        <w:pStyle w:val="BookText"/>
        <w:rPr/>
      </w:pPr>
      <w:r>
        <w:rPr>
          <w:rFonts w:ascii="IRNazanin" w:hAnsi="IRNazanin" w:eastAsia="IRNazanin"/>
          <w:color w:val="111111"/>
          <w:sz w:val="28"/>
          <w:sz w:val="28"/>
          <w:szCs w:val="28"/>
          <w:rtl w:val="true"/>
          <w:lang w:bidi="fa-IR"/>
        </w:rPr>
        <w:t xml:space="preserve">الدروس </w:t>
      </w:r>
      <w:r>
        <w:rPr>
          <w:rStyle w:val="FootnoteAnchor"/>
          <w:rtl w:val="true"/>
        </w:rPr>
        <w:footnoteReference w:id="519"/>
      </w:r>
      <w:r>
        <w:rPr>
          <w:rFonts w:ascii="Amiri" w:hAnsi="Amiri" w:eastAsia="Amiri" w:cs="Amiri"/>
          <w:color w:val="111111"/>
          <w:sz w:val="28"/>
          <w:sz w:val="28"/>
          <w:szCs w:val="28"/>
          <w:rtl w:val="true"/>
          <w:lang w:bidi="ar-SA"/>
        </w:rPr>
        <w:t xml:space="preserve">، وهو الظاهر من البيان والذكرى </w:t>
      </w:r>
      <w:r>
        <w:rPr>
          <w:rStyle w:val="FootnoteAnchor"/>
          <w:rtl w:val="true"/>
        </w:rPr>
        <w:footnoteReference w:id="520"/>
      </w:r>
      <w:r>
        <w:rPr>
          <w:rFonts w:ascii="Amiri" w:hAnsi="Amiri" w:eastAsia="Amiri" w:cs="Amiri"/>
          <w:color w:val="111111"/>
          <w:sz w:val="28"/>
          <w:sz w:val="28"/>
          <w:szCs w:val="28"/>
          <w:rtl w:val="true"/>
          <w:lang w:bidi="ar-SA"/>
        </w:rPr>
        <w:t xml:space="preserve">، ونسبه في المختلف إلى المشهور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ينسب إلى جمع ممّن نسب اليه الأوّل كالقديمين والأربعة المتعقبة لهما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باتّحاد القولين </w:t>
      </w:r>
      <w:r>
        <w:rPr>
          <w:rStyle w:val="FootnoteAnchor"/>
          <w:rtl w:val="true"/>
        </w:rPr>
        <w:footnoteReference w:id="523"/>
      </w:r>
      <w:r>
        <w:rPr>
          <w:rFonts w:ascii="IRNazanin" w:hAnsi="IRNazanin" w:eastAsia="IRNazanin"/>
          <w:color w:val="111111"/>
          <w:sz w:val="28"/>
          <w:sz w:val="28"/>
          <w:szCs w:val="28"/>
          <w:rtl w:val="true"/>
          <w:lang w:bidi="fa-IR"/>
        </w:rPr>
        <w:t>، لأنّ المراد بالمسمّى ما هو بحسب العرف ، والمتبادر أنّ المسمّى أقلّه الإصبع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 فاستدلّوا بالأخبار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يتوضّأ وعليه العمامة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يرفع العمامة بقدر ما يدخل إصبعه فيمسح على مقدم رأسه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يمسح رأسه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بإصبعه ، أيجزيه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توضّأ وهو معتم وثقل عليه نزع العمامة لمكان البرد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ليدخل إصبعه </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في الأوّل من الخلوّ عن الدالّ على الوجوب ، بل وكذا الثاني ، حيث إنّ الإجزاء لا يدلّ عليه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الثاني من الخلل في المتن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أنّه لا دلالة فيها على وجوب المسح بتمام الإصبع ، لتوقّف المسح بالبعض أيضا على إدخال الإصبع ، ولا يمكن إدخال بعض الإصبع ، فيمكن أن يكون لتحصيل المسمّى ، وقد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xml:space="preserve">أيضا كلمات القائلين بالإصبع ، إلاّ أنّ بعضها </w:t>
      </w:r>
      <w:r>
        <w:rPr>
          <w:rStyle w:val="FootnoteAnchor"/>
          <w:rtl w:val="true"/>
        </w:rPr>
        <w:footnoteReference w:id="528"/>
      </w:r>
      <w:r>
        <w:rPr>
          <w:rFonts w:ascii="Amiri" w:hAnsi="Amiri" w:eastAsia="Amiri" w:cs="Amiri"/>
          <w:color w:val="111111"/>
          <w:sz w:val="28"/>
          <w:sz w:val="28"/>
          <w:szCs w:val="28"/>
          <w:rtl w:val="true"/>
          <w:lang w:bidi="ar-SA"/>
        </w:rPr>
        <w:t>مما لا يحتمله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يعكس ، فيحمل كلام الأوّلين على إرادتهم من المسمّى خصوص الإصبع كما مرّ </w:t>
      </w:r>
      <w:r>
        <w:rPr>
          <w:rStyle w:val="FootnoteAnchor"/>
          <w:rtl w:val="true"/>
        </w:rPr>
        <w:footnoteReference w:id="529"/>
      </w:r>
      <w:r>
        <w:rPr>
          <w:rFonts w:ascii="IRNazanin" w:hAnsi="IRNazanin" w:eastAsia="IRNazanin"/>
          <w:color w:val="111111"/>
          <w:sz w:val="28"/>
          <w:sz w:val="28"/>
          <w:szCs w:val="28"/>
          <w:rtl w:val="true"/>
          <w:lang w:bidi="fa-IR"/>
        </w:rPr>
        <w:t>، زعما عدم حصوله إلاّ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مع بعده لا وجه له ، سيما مع تصريح بعضهم بالأقلّ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مقدار ثلاث أصابع مضمومة ، اختاره بعض الأخباريين </w:t>
      </w:r>
      <w:r>
        <w:rPr>
          <w:rStyle w:val="FootnoteAnchor"/>
          <w:rtl w:val="true"/>
        </w:rPr>
        <w:footnoteReference w:id="531"/>
      </w:r>
      <w:r>
        <w:rPr>
          <w:rFonts w:ascii="Amiri" w:hAnsi="Amiri" w:eastAsia="Amiri" w:cs="Amiri"/>
          <w:color w:val="111111"/>
          <w:sz w:val="28"/>
          <w:sz w:val="28"/>
          <w:szCs w:val="28"/>
          <w:rtl w:val="true"/>
          <w:lang w:bidi="ar-SA"/>
        </w:rPr>
        <w:t xml:space="preserve">، وهو المروي عن حريز </w:t>
      </w:r>
      <w:r>
        <w:rPr>
          <w:rStyle w:val="FootnoteAnchor"/>
          <w:rtl w:val="true"/>
        </w:rPr>
        <w:footnoteReference w:id="532"/>
      </w:r>
      <w:r>
        <w:rPr>
          <w:rFonts w:ascii="Amiri" w:hAnsi="Amiri" w:eastAsia="Amiri" w:cs="Amiri"/>
          <w:color w:val="111111"/>
          <w:sz w:val="28"/>
          <w:sz w:val="28"/>
          <w:szCs w:val="28"/>
          <w:rtl w:val="true"/>
          <w:lang w:bidi="ar-SA"/>
        </w:rPr>
        <w:t xml:space="preserve">، والمحكي عن الفقيه </w:t>
      </w:r>
      <w:r>
        <w:rPr>
          <w:rStyle w:val="FootnoteAnchor"/>
          <w:rtl w:val="true"/>
        </w:rPr>
        <w:footnoteReference w:id="533"/>
      </w:r>
      <w:r>
        <w:rPr>
          <w:rFonts w:ascii="Amiri" w:hAnsi="Amiri" w:eastAsia="Amiri" w:cs="Amiri"/>
          <w:color w:val="111111"/>
          <w:sz w:val="28"/>
          <w:sz w:val="28"/>
          <w:szCs w:val="28"/>
          <w:rtl w:val="true"/>
          <w:lang w:bidi="ar-SA"/>
        </w:rPr>
        <w:t xml:space="preserve">، والسيّد في خلافه ، والشيخ في عمل يومه وليلته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يجزيها من مسح الرأس أن تمسح مقدمه مقدار ثلاث أصابع ، ولا تلقي عنها خمارها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معمر بن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يجزي من المسح على الرأس موضع ثلاث أصابع ، </w:t>
      </w:r>
    </w:p>
    <w:p>
      <w:pPr>
        <w:pStyle w:val="BookText"/>
        <w:rPr/>
      </w:pPr>
      <w:r>
        <w:rPr>
          <w:rFonts w:ascii="Amiri" w:hAnsi="Amiri" w:eastAsia="Amiri" w:cs="Amiri"/>
          <w:color w:val="111111"/>
          <w:sz w:val="28"/>
          <w:sz w:val="28"/>
          <w:szCs w:val="28"/>
          <w:rtl w:val="true"/>
          <w:lang w:bidi="ar-SA"/>
        </w:rPr>
        <w:t xml:space="preserve">وكذلك الرجل </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إنّ الإجزاء أمّا الامتثال ، أو حصول أقلّ الواجب ، فعلى الأوّل يكون مقتضاهما حصول الامتثال بالثلاث فيتوقّف عليها ، وعلى الثاني لا يؤدّى أقلّ الواجب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في الأولى من الاختصاص بالمرأة ، وعدم ثبوت الإجماع المركّب ، بل ثبوت عدمه كما يأتي ، ومن جواز كون الحكم بالإجزاء بالنظر إلى عدم إلقاء الخمار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إرادة ذلك القدر في الطول تحصيلا لحصول المسح ممكنة ، حيث إنّهم لا يوجبونه في الطول والعرض معا ، فيراد التحديد به في أحدهما ، ولا تصريح فيهما بكون ذلك في العرض كما هو مطلوبهم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الإجزاء إن كان هو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أنّه يحصل بها ، ولا يدلّ على عدم حصوله بغيرها إلاّ بالأصل الذي لا يصلح للتمسّك بعد الإطلاقات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حصول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أقلّ المندوب ،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في الصلاة مسمّى الدعاء في القنوت ، حيث إنّ للمسح واجبات ومندوبات ، ويكون الإجزاء في كلّ منهما ، فتخصيصه بأحدهما لا دليل عليه ، بل لا يبعد ظهور الأخير بملاحظة رواية معمّر ، فإنّ عدم التفصيل في ذلك بين الرأس 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استحبابه في الرجل وفاقا 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واضحة على كون الإجزاء بالنسبة إلى الرأس أيضا كذلك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تفسير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حصول أقلّ الواجب ، فهو ممّا لا وجه له ، لتحقّقه واستعماله في المندوب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ذلك القول محكي عن أبي حنيفة وبعض آخر من العامة </w:t>
      </w:r>
      <w:r>
        <w:rPr>
          <w:rStyle w:val="FootnoteAnchor"/>
          <w:rtl w:val="true"/>
        </w:rPr>
        <w:footnoteReference w:id="537"/>
      </w:r>
      <w:r>
        <w:rPr>
          <w:rFonts w:ascii="Amiri" w:hAnsi="Amiri" w:eastAsia="Amiri" w:cs="Amiri"/>
          <w:color w:val="111111"/>
          <w:sz w:val="28"/>
          <w:sz w:val="28"/>
          <w:szCs w:val="28"/>
          <w:rtl w:val="true"/>
          <w:lang w:bidi="ar-SA"/>
        </w:rPr>
        <w:t>، فيمكن الحمل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بالحمل على الاستحباب ، كما عن المقنعة </w:t>
      </w:r>
      <w:r>
        <w:rPr>
          <w:rStyle w:val="FootnoteAnchor"/>
          <w:rtl w:val="true"/>
        </w:rPr>
        <w:footnoteReference w:id="538"/>
      </w:r>
      <w:r>
        <w:rPr>
          <w:rFonts w:ascii="IRNazanin" w:hAnsi="IRNazanin" w:eastAsia="IRNazanin"/>
          <w:color w:val="111111"/>
          <w:sz w:val="28"/>
          <w:sz w:val="28"/>
          <w:szCs w:val="28"/>
          <w:rtl w:val="true"/>
          <w:lang w:bidi="fa-IR"/>
        </w:rPr>
        <w:t xml:space="preserve">، والمبسوط ، والخلاف ، والجمل والعقود </w:t>
      </w:r>
      <w:r>
        <w:rPr>
          <w:rStyle w:val="FootnoteAnchor"/>
          <w:rtl w:val="true"/>
        </w:rPr>
        <w:footnoteReference w:id="539"/>
      </w:r>
      <w:r>
        <w:rPr>
          <w:rFonts w:ascii="Amiri" w:hAnsi="Amiri" w:eastAsia="Amiri" w:cs="Amiri"/>
          <w:color w:val="111111"/>
          <w:sz w:val="28"/>
          <w:sz w:val="28"/>
          <w:szCs w:val="28"/>
          <w:rtl w:val="true"/>
          <w:lang w:bidi="ar-SA"/>
        </w:rPr>
        <w:t xml:space="preserve">، والغنية ، والمراسم ، والوسيلة ، والسرائر </w:t>
      </w:r>
      <w:r>
        <w:rPr>
          <w:rStyle w:val="FootnoteAnchor"/>
          <w:rtl w:val="true"/>
        </w:rPr>
        <w:footnoteReference w:id="540"/>
      </w:r>
      <w:r>
        <w:rPr>
          <w:rFonts w:ascii="Amiri" w:hAnsi="Amiri" w:eastAsia="Amiri" w:cs="Amiri"/>
          <w:color w:val="111111"/>
          <w:sz w:val="28"/>
          <w:sz w:val="28"/>
          <w:szCs w:val="28"/>
          <w:rtl w:val="true"/>
          <w:lang w:bidi="ar-SA"/>
        </w:rPr>
        <w:t xml:space="preserve">، ومصباح السيّد وجمله </w:t>
      </w:r>
      <w:r>
        <w:rPr>
          <w:rStyle w:val="FootnoteAnchor"/>
          <w:rtl w:val="true"/>
        </w:rPr>
        <w:footnoteReference w:id="541"/>
      </w:r>
      <w:r>
        <w:rPr>
          <w:rFonts w:ascii="IRNazanin" w:hAnsi="IRNazanin" w:eastAsia="IRNazanin"/>
          <w:color w:val="111111"/>
          <w:sz w:val="28"/>
          <w:sz w:val="28"/>
          <w:szCs w:val="28"/>
          <w:rtl w:val="true"/>
          <w:lang w:bidi="fa-IR"/>
        </w:rPr>
        <w:t xml:space="preserve">، والمهذّب ، والمعتبر ، والشرائع ، والمنتهى </w:t>
      </w:r>
      <w:r>
        <w:rPr>
          <w:rStyle w:val="FootnoteAnchor"/>
          <w:rtl w:val="true"/>
        </w:rPr>
        <w:footnoteReference w:id="542"/>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والمستحب مسح موضعها لا المسح بها ، لعدم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موضعها ما تحويه الثلاثة بعرضها وطولها الذي هو طول إصبع ، لأنّ الإصبع حقيقة في تمام العضو المخصوص ، سواء كان عرضها من عرض الرأس وطولها من طوله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يخص استحباب ذلك المقدار بالعرض ، نقل ذلك عن ظاهر المقنعة ، والمهذب ، والجامع </w:t>
      </w:r>
      <w:r>
        <w:rPr>
          <w:rStyle w:val="FootnoteAnchor"/>
          <w:rtl w:val="true"/>
        </w:rPr>
        <w:footnoteReference w:id="543"/>
      </w:r>
      <w:r>
        <w:rPr>
          <w:rFonts w:ascii="Amiri" w:hAnsi="Amiri" w:eastAsia="Amiri" w:cs="Amiri"/>
          <w:color w:val="111111"/>
          <w:sz w:val="28"/>
          <w:sz w:val="28"/>
          <w:szCs w:val="28"/>
          <w:rtl w:val="true"/>
          <w:lang w:bidi="ar-SA"/>
        </w:rPr>
        <w:t xml:space="preserve">، والشرائع ، والنفلية </w:t>
      </w:r>
      <w:r>
        <w:rPr>
          <w:rStyle w:val="FootnoteAnchor"/>
          <w:rtl w:val="true"/>
        </w:rPr>
        <w:footnoteReference w:id="544"/>
      </w:r>
      <w:r>
        <w:rPr>
          <w:rFonts w:ascii="Amiri" w:hAnsi="Amiri" w:eastAsia="Amiri" w:cs="Amiri"/>
          <w:color w:val="111111"/>
          <w:sz w:val="28"/>
          <w:sz w:val="28"/>
          <w:szCs w:val="28"/>
          <w:rtl w:val="true"/>
          <w:lang w:bidi="ar-SA"/>
        </w:rPr>
        <w:t xml:space="preserve">، وصرّح به الكركي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غير جيد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المستفاد من الخبرين استحباب مجموع الثلاث ، فيكون أفضل أفراد المخيّر ، لا استحباب القدر الزائد على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يتّصف الزائد بنفسه </w:t>
      </w:r>
    </w:p>
    <w:p>
      <w:pPr>
        <w:pStyle w:val="BookText"/>
        <w:rPr/>
      </w:pPr>
      <w:r>
        <w:rPr>
          <w:rFonts w:ascii="IRNazanin" w:hAnsi="IRNazanin" w:eastAsia="IRNazanin"/>
          <w:color w:val="111111"/>
          <w:sz w:val="28"/>
          <w:sz w:val="28"/>
          <w:szCs w:val="28"/>
          <w:rtl w:val="true"/>
          <w:lang w:bidi="fa-IR"/>
        </w:rPr>
        <w:t>بوجوب ولا 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 يتّصف بالوجوب التخييري التبعي من حيث كونه جزءا للمجموع إذا قصد الامتثال بالمجموع ، وبالاستحباب بمعنى الراجحية الإضافية كذلك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نهاية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هذا القدر اختيارا ، والاكتفاء بالإصبع الواحدة حال الاضطرار ، إلاّ أنّ المصرّح به في كلامه الاكتفاء بها إن خاف البرد من كشف الرأس </w:t>
      </w:r>
      <w:r>
        <w:rPr>
          <w:rStyle w:val="FootnoteAnchor"/>
          <w:rtl w:val="true"/>
        </w:rPr>
        <w:footnoteReference w:id="546"/>
      </w:r>
      <w:r>
        <w:rPr>
          <w:rFonts w:ascii="Amiri" w:hAnsi="Amiri" w:eastAsia="Amiri" w:cs="Amiri"/>
          <w:color w:val="111111"/>
          <w:sz w:val="28"/>
          <w:sz w:val="28"/>
          <w:szCs w:val="28"/>
          <w:rtl w:val="true"/>
          <w:lang w:bidi="ar-SA"/>
        </w:rPr>
        <w:t>، ولعلّهم استنبطوا التعميم من عدم التفرقة بين أنواع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ذلك إلى الدروس </w:t>
      </w:r>
      <w:r>
        <w:rPr>
          <w:rStyle w:val="FootnoteAnchor"/>
          <w:rtl w:val="true"/>
        </w:rPr>
        <w:footnoteReference w:id="547"/>
      </w:r>
      <w:r>
        <w:rPr>
          <w:rFonts w:ascii="Amiri" w:hAnsi="Amiri" w:eastAsia="Amiri" w:cs="Amiri"/>
          <w:color w:val="111111"/>
          <w:sz w:val="28"/>
          <w:sz w:val="28"/>
          <w:szCs w:val="28"/>
          <w:rtl w:val="true"/>
          <w:lang w:bidi="ar-SA"/>
        </w:rPr>
        <w:t xml:space="preserve">أيضا ، كما عن الإسكافي تخصيص وجوبه بالمرأة والاكتفاء في الرجل بالواحدة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ومستند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أخبار الإصبع والثلاث بذلك ، بشهادة ثالثة روايات الإصبع المتقدّمة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بينها بذلك ، بشهادة صحيحة زرارة المتقدمة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من عدم دلالة روايات الثلاث على وجوبها ، مع عدم تصريح في الشاهد بالإصبع الواحدة عند الخوف ، بل أراد بيان عدم وجوب النزع وجواز الإدخال ، فيحتمل الاكتفاء بالمسمّى ، ووجوب الثلاث ، والإطلاق إنّما يحكم به إذا كان في مقام بيان حكمه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من عدم دلالة الصحيحة على وجوب ذلك على المرأة</w:t>
      </w:r>
      <w:r>
        <w:rPr>
          <w:rFonts w:eastAsia="Amiri" w:cs="Amiri" w:ascii="Amiri" w:hAnsi="Amiri"/>
          <w:color w:val="111111"/>
          <w:sz w:val="28"/>
          <w:szCs w:val="28"/>
          <w:rtl w:val="true"/>
          <w:lang w:bidi="ar-SA"/>
        </w:rPr>
        <w:t xml:space="preserve">. </w:t>
      </w:r>
      <w:bookmarkStart w:id="48" w:name="pg11612_110748"/>
    </w:p>
    <w:p>
      <w:pPr>
        <w:pStyle w:val="Heading5"/>
        <w:numPr>
          <w:ilvl w:val="4"/>
          <w:numId w:val="1"/>
        </w:numPr>
        <w:rPr/>
      </w:pPr>
      <w:bookmarkStart w:id="49" w:name="__RefHeading___Toc5524341_73709187"/>
      <w:bookmarkStart w:id="50" w:name="_Toc19"/>
      <w:bookmarkEnd w:id="48"/>
      <w:bookmarkEnd w:id="49"/>
      <w:r>
        <w:rPr>
          <w:rtl w:val="true"/>
        </w:rPr>
        <w:t xml:space="preserve">فرعان </w:t>
      </w:r>
      <w:r>
        <w:rPr>
          <w:rtl w:val="true"/>
        </w:rPr>
        <w:t>:</w:t>
      </w:r>
      <w:bookmarkEnd w:id="50"/>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المسح على مقدّم الرأس ، بالإجماع المحقّق والمنقول مستفيضا </w:t>
      </w:r>
      <w:r>
        <w:rPr>
          <w:rStyle w:val="FootnoteAnchor"/>
          <w:rtl w:val="true"/>
        </w:rPr>
        <w:footnoteReference w:id="551"/>
      </w:r>
      <w:r>
        <w:rPr>
          <w:rFonts w:ascii="IRNazanin" w:hAnsi="IRNazanin" w:eastAsia="IRNazanin"/>
          <w:color w:val="111111"/>
          <w:sz w:val="28"/>
          <w:sz w:val="28"/>
          <w:szCs w:val="28"/>
          <w:rtl w:val="true"/>
          <w:lang w:bidi="fa-IR"/>
        </w:rPr>
        <w:t>، والنصوص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مسح الرأس على مقدّمه </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امسح الرأس على مقدّمه </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امسح على مقدّم رأسك </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وبها تقيّد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شواذّ أخبارنا ممّا يخالف ذلك ظاهرا ، ويثبت المسح على المقدّم والمؤخّر أو على الرقبة </w:t>
      </w:r>
      <w:r>
        <w:rPr>
          <w:rStyle w:val="FootnoteAnchor"/>
          <w:rtl w:val="true"/>
        </w:rPr>
        <w:footnoteReference w:id="555"/>
      </w:r>
      <w:r>
        <w:rPr>
          <w:rFonts w:ascii="Amiri" w:hAnsi="Amiri" w:eastAsia="Amiri" w:cs="Amiri"/>
          <w:color w:val="111111"/>
          <w:sz w:val="28"/>
          <w:sz w:val="28"/>
          <w:szCs w:val="28"/>
          <w:rtl w:val="true"/>
          <w:lang w:bidi="ar-SA"/>
        </w:rPr>
        <w:t>، ضعيف بالشذوذ ، متروك بالإجماع ، محمول على التقية أو غيرها من المحامل المحتملة في بعضها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يقرّب الحمل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رواية علي بن يقطين ، المروية في كشف الغمة وغيره </w:t>
      </w:r>
      <w:r>
        <w:rPr>
          <w:rStyle w:val="FootnoteAnchor"/>
          <w:rtl w:val="true"/>
        </w:rPr>
        <w:footnoteReference w:id="556"/>
      </w:r>
      <w:r>
        <w:rPr>
          <w:rFonts w:ascii="Amiri" w:hAnsi="Amiri" w:eastAsia="Amiri" w:cs="Amiri"/>
          <w:color w:val="111111"/>
          <w:sz w:val="28"/>
          <w:sz w:val="28"/>
          <w:szCs w:val="28"/>
          <w:rtl w:val="true"/>
          <w:lang w:bidi="ar-SA"/>
        </w:rPr>
        <w:t xml:space="preserve">من أمره عليه السلام إيّاه أوّلا اتّقاء بمسح ظاهر الأذنين وباطنهما ، ثمَّ بعد ارتفاع التقية أمره بالوضوء الصحيح ، وقال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وامسح مقدّم رأسك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بعض أصحابنا باستحباب المقدّم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بعض مشايخنا المحقّقين </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والمراد بالمقدّم ما قابل المؤخّر ، لأنّه المفهوم منه عرفا ولغة ، لا خصوص ما بين النزعتين المعبّر عنه بالناصية ، فالقول بتعيّن الثاني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يجزيك من الوضوء ثلاث غرفات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للوجه واثنتان للذراعين ، وتمسح ببلّة يمناك ناصيتك وبما بقي من بلّة يمناك ظهر قدمك اليمنى ، وتمسح ببلّة يسراك ظهر قدمك اليسرى </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لا تفيد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يمكن 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 ذلك ، فلا يدلّ على عدم إجزاء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الناصية ربما تفسّر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بمطلق شعر مقدّم الرأس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كتب جماعة من أهل اللغة أنّها خصوص القصاص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تخرج عن صلاحية تقييد الأخبار المطلقة في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 يشمل البشرة والشعر ، للإجماع المحقّق والمحكي مستفيضا </w:t>
      </w:r>
      <w:r>
        <w:rPr>
          <w:rStyle w:val="FootnoteAnchor"/>
          <w:rtl w:val="true"/>
        </w:rPr>
        <w:footnoteReference w:id="560"/>
      </w:r>
      <w:r>
        <w:rPr>
          <w:rFonts w:ascii="Amiri" w:hAnsi="Amiri" w:eastAsia="Amiri" w:cs="Amiri"/>
          <w:color w:val="111111"/>
          <w:sz w:val="28"/>
          <w:sz w:val="28"/>
          <w:szCs w:val="28"/>
          <w:rtl w:val="true"/>
          <w:lang w:bidi="ar-SA"/>
        </w:rPr>
        <w:t>، ونفي الحرج اللازم على تقدير الاختصاص بالأوّل قطعا ، وإطلاقات المسح على الرأس وعلى مقدّمه الشامل للأمرين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بالشعر المختص بالمقدّم ، دون غيره من النابت عن غيره مطلقا ، أو عنه مع استرساله ، أو خروجه بمدّه عن حدّه ، لظاهر الوفاق ، وعدم صدق المناط ، واستصحاب عدم إباحة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على الحائل بالإجماعين ، لعدم صدق الامتثال ، وللمستفيضة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رفع العمامة والقناع ثمَّ المسح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وخصوص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المسح على العمامة وعلى الخفين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تمسح عليها </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 يخضب ثمَّ يبدو له في الوضوء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حتى </w:t>
      </w:r>
    </w:p>
    <w:p>
      <w:pPr>
        <w:pStyle w:val="BookText"/>
        <w:rPr/>
      </w:pPr>
      <w:r>
        <w:rPr>
          <w:rFonts w:ascii="Amiri" w:hAnsi="Amiri" w:eastAsia="Amiri" w:cs="Amiri"/>
          <w:color w:val="111111"/>
          <w:sz w:val="28"/>
          <w:sz w:val="28"/>
          <w:szCs w:val="28"/>
          <w:rtl w:val="true"/>
          <w:lang w:bidi="ar-SA"/>
        </w:rPr>
        <w:t xml:space="preserve">يصيب بشرة رأسه الماء </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ببشرة الرأس فيها بشرته بالنسبة إلى الحناء الشامل للشعر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في كتاب علي عن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هل يصلح لها أن تمسح على الخمار؟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حتى تمسح على رأسها </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وتجويزه في الصحيحتين </w:t>
      </w:r>
      <w:r>
        <w:rPr>
          <w:rStyle w:val="FootnoteAnchor"/>
          <w:rtl w:val="true"/>
        </w:rPr>
        <w:footnoteReference w:id="565"/>
      </w:r>
      <w:r>
        <w:rPr>
          <w:rFonts w:ascii="Amiri" w:hAnsi="Amiri" w:eastAsia="Amiri" w:cs="Amiri"/>
          <w:color w:val="111111"/>
          <w:sz w:val="28"/>
          <w:sz w:val="28"/>
          <w:szCs w:val="28"/>
          <w:rtl w:val="true"/>
          <w:lang w:bidi="ar-SA"/>
        </w:rPr>
        <w:t xml:space="preserve">على فوق الحناء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شذوذهما المخرج لهما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لونه أو عدم استيعاب الحناء للمقدّم أو على الضرورة ، فإنّ المنع عن المسح على الحائل يخصّ حال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على الحائل اضطرارا اتّفاقا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المسح على الجبائر والدواء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الرجلين ، إلى الكعبين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ووجوبه أيضا ممّا اتّفقت عليه الكلمة ، ونطق به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والكعبان عند العامّة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العظمان الناتئان عن جانبي عظم الساق فوق المفصل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اتّفقوا على أنّهما غير ذلك ، وإن اختلفوا في تعيينهما ، وهم بين مصرّح بأنّهما قبّتا القدمين أمام الساقين ما بين المفصل والمشط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المفيد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ويشعر به بل بالإجماع عليه كلام التهذيب </w:t>
      </w:r>
      <w:r>
        <w:rPr>
          <w:rStyle w:val="FootnoteAnchor"/>
          <w:rtl w:val="true"/>
        </w:rPr>
        <w:footnoteReference w:id="569"/>
      </w:r>
      <w:r>
        <w:rPr>
          <w:rFonts w:ascii="Amiri" w:hAnsi="Amiri" w:eastAsia="Amiri" w:cs="Amiri"/>
          <w:color w:val="111111"/>
          <w:sz w:val="28"/>
          <w:sz w:val="28"/>
          <w:szCs w:val="28"/>
          <w:rtl w:val="true"/>
          <w:lang w:bidi="ar-SA"/>
        </w:rPr>
        <w:t xml:space="preserve">، وتبعهما جماعة من </w:t>
      </w:r>
    </w:p>
    <w:p>
      <w:pPr>
        <w:pStyle w:val="BookText"/>
        <w:rPr/>
      </w:pPr>
      <w:r>
        <w:rPr>
          <w:rFonts w:ascii="Amiri" w:hAnsi="Amiri" w:eastAsia="Amiri" w:cs="Amiri"/>
          <w:color w:val="111111"/>
          <w:sz w:val="28"/>
          <w:sz w:val="28"/>
          <w:szCs w:val="28"/>
          <w:rtl w:val="true"/>
          <w:lang w:bidi="ar-SA"/>
        </w:rPr>
        <w:t xml:space="preserve">المتأخّرين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ومصرّح بأنّهما مفصل الساق والقدم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ملتقاهما ، وهو الإسكافي </w:t>
      </w:r>
      <w:r>
        <w:rPr>
          <w:rStyle w:val="FootnoteAnchor"/>
          <w:rtl w:val="true"/>
        </w:rPr>
        <w:footnoteReference w:id="571"/>
      </w:r>
      <w:r>
        <w:rPr>
          <w:rFonts w:ascii="IRNazanin" w:hAnsi="IRNazanin" w:eastAsia="IRNazanin"/>
          <w:color w:val="111111"/>
          <w:sz w:val="28"/>
          <w:sz w:val="28"/>
          <w:szCs w:val="28"/>
          <w:rtl w:val="true"/>
          <w:lang w:bidi="fa-IR"/>
        </w:rPr>
        <w:t xml:space="preserve">، والفاضل </w:t>
      </w:r>
      <w:r>
        <w:rPr>
          <w:rStyle w:val="FootnoteAnchor"/>
          <w:rtl w:val="true"/>
        </w:rPr>
        <w:footnoteReference w:id="572"/>
      </w:r>
      <w:r>
        <w:rPr>
          <w:rFonts w:ascii="Amiri" w:hAnsi="Amiri" w:eastAsia="Amiri" w:cs="Amiri"/>
          <w:color w:val="111111"/>
          <w:sz w:val="28"/>
          <w:sz w:val="28"/>
          <w:szCs w:val="28"/>
          <w:rtl w:val="true"/>
          <w:lang w:bidi="ar-SA"/>
        </w:rPr>
        <w:t xml:space="preserve">، والشهيد في الرسالة </w:t>
      </w:r>
      <w:r>
        <w:rPr>
          <w:rStyle w:val="FootnoteAnchor"/>
          <w:rtl w:val="true"/>
        </w:rPr>
        <w:footnoteReference w:id="573"/>
      </w:r>
      <w:r>
        <w:rPr>
          <w:rFonts w:ascii="Amiri" w:hAnsi="Amiri" w:eastAsia="Amiri" w:cs="Amiri"/>
          <w:color w:val="111111"/>
          <w:sz w:val="28"/>
          <w:sz w:val="28"/>
          <w:szCs w:val="28"/>
          <w:rtl w:val="true"/>
          <w:lang w:bidi="ar-SA"/>
        </w:rPr>
        <w:t xml:space="preserve">، وصاحب الكنز </w:t>
      </w:r>
      <w:r>
        <w:rPr>
          <w:rStyle w:val="FootnoteAnchor"/>
          <w:rtl w:val="true"/>
        </w:rPr>
        <w:footnoteReference w:id="574"/>
      </w:r>
      <w:r>
        <w:rPr>
          <w:rFonts w:ascii="Amiri" w:hAnsi="Amiri" w:eastAsia="Amiri" w:cs="Amiri"/>
          <w:color w:val="111111"/>
          <w:sz w:val="28"/>
          <w:sz w:val="28"/>
          <w:szCs w:val="28"/>
          <w:rtl w:val="true"/>
          <w:lang w:bidi="ar-SA"/>
        </w:rPr>
        <w:t xml:space="preserve">، والأردبيلي رحمه اللّه </w:t>
      </w:r>
      <w:r>
        <w:rPr>
          <w:rStyle w:val="FootnoteAnchor"/>
          <w:rtl w:val="true"/>
        </w:rPr>
        <w:footnoteReference w:id="575"/>
      </w:r>
      <w:r>
        <w:rPr>
          <w:rFonts w:ascii="Amiri" w:hAnsi="Amiri" w:eastAsia="Amiri" w:cs="Amiri"/>
          <w:color w:val="111111"/>
          <w:sz w:val="28"/>
          <w:sz w:val="28"/>
          <w:szCs w:val="28"/>
          <w:rtl w:val="true"/>
          <w:lang w:bidi="ar-SA"/>
        </w:rPr>
        <w:t xml:space="preserve">، ونسب في البحار ذلك إلى جماعة من أهل اللغة </w:t>
      </w:r>
      <w:r>
        <w:rPr>
          <w:rStyle w:val="FootnoteAnchor"/>
          <w:rtl w:val="true"/>
        </w:rPr>
        <w:footnoteReference w:id="576"/>
      </w:r>
      <w:r>
        <w:rPr>
          <w:rFonts w:ascii="Amiri" w:hAnsi="Amiri" w:eastAsia="Amiri" w:cs="Amiri"/>
          <w:color w:val="111111"/>
          <w:sz w:val="28"/>
          <w:sz w:val="28"/>
          <w:szCs w:val="28"/>
          <w:rtl w:val="true"/>
          <w:lang w:bidi="ar-SA"/>
        </w:rPr>
        <w:t xml:space="preserve">، وفي التذكرة الإجماع عليه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وقائل بأنّ الكعب هو العظم المائل إلى الاستدارة الواقع في ملتقى الساق والقدم ، الناتئ في وسط القدم العرضي نتوا غير محسوس كثيرا لارتكاز أعلاه في حفرتي الساق ، له زائدتان في أعلاه تدخلان حفرتي قصبة الساق ، وزائدتان في أسفله تدخلان حفرتي العقب ، وهو الذي يكون في رجل البقر والغنم أيضا ، وربما يلعب به الناس</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شيخنا البهائي </w:t>
      </w:r>
      <w:r>
        <w:rPr>
          <w:rStyle w:val="FootnoteAnchor"/>
          <w:rtl w:val="true"/>
        </w:rPr>
        <w:footnoteReference w:id="578"/>
      </w:r>
      <w:r>
        <w:rPr>
          <w:rFonts w:ascii="Amiri" w:hAnsi="Amiri" w:eastAsia="Amiri" w:cs="Amiri"/>
          <w:color w:val="111111"/>
          <w:sz w:val="28"/>
          <w:sz w:val="28"/>
          <w:szCs w:val="28"/>
          <w:rtl w:val="true"/>
          <w:lang w:bidi="ar-SA"/>
        </w:rPr>
        <w:t xml:space="preserve">وطائفة من المتأخّرين </w:t>
      </w:r>
      <w:r>
        <w:rPr>
          <w:rStyle w:val="FootnoteAnchor"/>
          <w:rtl w:val="true"/>
        </w:rPr>
        <w:footnoteReference w:id="579"/>
      </w:r>
      <w:r>
        <w:rPr>
          <w:rFonts w:ascii="Amiri" w:hAnsi="Amiri" w:eastAsia="Amiri" w:cs="Amiri"/>
          <w:color w:val="111111"/>
          <w:sz w:val="28"/>
          <w:sz w:val="28"/>
          <w:szCs w:val="28"/>
          <w:rtl w:val="true"/>
          <w:lang w:bidi="ar-SA"/>
        </w:rPr>
        <w:t xml:space="preserve">، وهو الذي عبّر عنه بعض الأجلّة بأنّهما عظمان مكعبان موضوعان على حدّ المفصل بين الساق والقدم </w:t>
      </w:r>
      <w:r>
        <w:rPr>
          <w:rStyle w:val="FootnoteAnchor"/>
          <w:rtl w:val="true"/>
        </w:rPr>
        <w:footnoteReference w:id="58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ونسبه إلى ظاهر العين والصحاح والمجمل ومفردات الراغب </w:t>
      </w:r>
      <w:r>
        <w:rPr>
          <w:rStyle w:val="FootnoteAnchor"/>
          <w:rtl w:val="true"/>
        </w:rPr>
        <w:footnoteReference w:id="581"/>
      </w:r>
      <w:r>
        <w:rPr>
          <w:rFonts w:ascii="Amiri" w:hAnsi="Amiri" w:eastAsia="Amiri" w:cs="Amiri"/>
          <w:color w:val="111111"/>
          <w:sz w:val="28"/>
          <w:sz w:val="28"/>
          <w:szCs w:val="28"/>
          <w:rtl w:val="true"/>
          <w:lang w:bidi="ar-SA"/>
        </w:rPr>
        <w:t>من كتب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ومحتمل كلامه للمعاني الثلاثة ، وهو أكثر المتقدّمين ، حيث إنّه فسّر الكعب في بعض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بالناتئ في ظهر القدم عند معقد الشراك </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ظهر القدم </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بمعقد الشراك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بالناتئ في وسط القدم </w:t>
      </w:r>
      <w:r>
        <w:rPr>
          <w:rStyle w:val="FootnoteAnchor"/>
          <w:rtl w:val="true"/>
        </w:rPr>
        <w:footnoteReference w:id="585"/>
      </w:r>
      <w:r>
        <w:rPr>
          <w:rFonts w:ascii="Amiri" w:hAnsi="Amiri" w:eastAsia="Amiri" w:cs="Amiri"/>
          <w:color w:val="111111"/>
          <w:sz w:val="28"/>
          <w:sz w:val="28"/>
          <w:szCs w:val="28"/>
          <w:rtl w:val="true"/>
          <w:lang w:bidi="ar-SA"/>
        </w:rPr>
        <w:t xml:space="preserve">، وفي 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ظهر القدم عند معقد الشراك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وجماعة من القائلين بالأوّل </w:t>
      </w:r>
      <w:r>
        <w:rPr>
          <w:rStyle w:val="FootnoteAnchor"/>
          <w:rtl w:val="true"/>
        </w:rPr>
        <w:footnoteReference w:id="587"/>
      </w:r>
      <w:r>
        <w:rPr>
          <w:rFonts w:ascii="IRNazanin" w:hAnsi="IRNazanin" w:eastAsia="IRNazanin"/>
          <w:color w:val="111111"/>
          <w:sz w:val="28"/>
          <w:sz w:val="28"/>
          <w:szCs w:val="28"/>
          <w:rtl w:val="true"/>
          <w:lang w:bidi="fa-IR"/>
        </w:rPr>
        <w:t xml:space="preserve">حملوا الرابع </w:t>
      </w:r>
      <w:r>
        <w:rPr>
          <w:rStyle w:val="FootnoteAnchor"/>
          <w:rtl w:val="true"/>
        </w:rPr>
        <w:footnoteReference w:id="588"/>
      </w:r>
      <w:r>
        <w:rPr>
          <w:rFonts w:ascii="Amiri" w:hAnsi="Amiri" w:eastAsia="Amiri" w:cs="Amiri"/>
          <w:color w:val="111111"/>
          <w:sz w:val="28"/>
          <w:sz w:val="28"/>
          <w:szCs w:val="28"/>
          <w:rtl w:val="true"/>
          <w:lang w:bidi="ar-SA"/>
        </w:rPr>
        <w:t xml:space="preserve">عليه ، وحملوا الوسط على الطولي ، والفاضل </w:t>
      </w:r>
      <w:r>
        <w:rPr>
          <w:rStyle w:val="FootnoteAnchor"/>
          <w:rtl w:val="true"/>
        </w:rPr>
        <w:footnoteReference w:id="589"/>
      </w:r>
      <w:r>
        <w:rPr>
          <w:rFonts w:ascii="Amiri" w:hAnsi="Amiri" w:eastAsia="Amiri" w:cs="Amiri"/>
          <w:color w:val="111111"/>
          <w:sz w:val="28"/>
          <w:sz w:val="28"/>
          <w:szCs w:val="28"/>
          <w:rtl w:val="true"/>
          <w:lang w:bidi="ar-SA"/>
        </w:rPr>
        <w:t>حمله على قوله ، وصبّ عبارات الأصحاب عليه ، ونسب من حمله على غيره إلى عدم التحصيل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والقائل </w:t>
      </w:r>
      <w:r>
        <w:rPr>
          <w:rStyle w:val="FootnoteAnchor"/>
          <w:rtl w:val="true"/>
        </w:rPr>
        <w:footnoteReference w:id="590"/>
      </w:r>
      <w:r>
        <w:rPr>
          <w:rFonts w:ascii="IRNazanin" w:hAnsi="IRNazanin" w:eastAsia="IRNazanin"/>
          <w:color w:val="111111"/>
          <w:sz w:val="28"/>
          <w:sz w:val="28"/>
          <w:szCs w:val="28"/>
          <w:rtl w:val="true"/>
          <w:lang w:bidi="fa-IR"/>
        </w:rPr>
        <w:t xml:space="preserve">بالثالث حمل الرابع </w:t>
      </w:r>
      <w:r>
        <w:rPr>
          <w:rStyle w:val="FootnoteAnchor"/>
          <w:rtl w:val="true"/>
        </w:rPr>
        <w:footnoteReference w:id="591"/>
      </w:r>
      <w:r>
        <w:rPr>
          <w:rFonts w:ascii="Amiri" w:hAnsi="Amiri" w:eastAsia="Amiri" w:cs="Amiri"/>
          <w:color w:val="111111"/>
          <w:sz w:val="28"/>
          <w:sz w:val="28"/>
          <w:szCs w:val="28"/>
          <w:rtl w:val="true"/>
          <w:lang w:bidi="ar-SA"/>
        </w:rPr>
        <w:t>على الثاني بعد إرجاعه إلى مختاره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متأخّري المتأخّرين </w:t>
      </w:r>
      <w:r>
        <w:rPr>
          <w:rStyle w:val="FootnoteAnchor"/>
          <w:rtl w:val="true"/>
        </w:rPr>
        <w:footnoteReference w:id="592"/>
      </w:r>
      <w:r>
        <w:rPr>
          <w:rFonts w:ascii="Amiri" w:hAnsi="Amiri" w:eastAsia="Amiri" w:cs="Amiri"/>
          <w:color w:val="111111"/>
          <w:sz w:val="28"/>
          <w:sz w:val="28"/>
          <w:szCs w:val="28"/>
          <w:rtl w:val="true"/>
          <w:lang w:bidi="ar-SA"/>
        </w:rPr>
        <w:t>من أرجع الثاني إلى الأوّل ، وذكر كلّ لما قاله مؤيّدات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كلّ من الثانيين </w:t>
      </w:r>
      <w:r>
        <w:rPr>
          <w:rStyle w:val="FootnoteAnchor"/>
          <w:rtl w:val="true"/>
        </w:rPr>
        <w:footnoteReference w:id="593"/>
      </w:r>
      <w:r>
        <w:rPr>
          <w:rFonts w:ascii="IRNazanin" w:hAnsi="IRNazanin" w:eastAsia="IRNazanin"/>
          <w:color w:val="111111"/>
          <w:sz w:val="28"/>
          <w:sz w:val="28"/>
          <w:szCs w:val="28"/>
          <w:rtl w:val="true"/>
          <w:lang w:bidi="fa-IR"/>
        </w:rPr>
        <w:t xml:space="preserve">إلى الآخر بحسب الموضع </w:t>
      </w:r>
      <w:r>
        <w:rPr>
          <w:rStyle w:val="FootnoteAnchor"/>
          <w:rtl w:val="true"/>
        </w:rPr>
        <w:footnoteReference w:id="594"/>
      </w:r>
      <w:r>
        <w:rPr>
          <w:rFonts w:ascii="Amiri" w:hAnsi="Amiri" w:eastAsia="Amiri" w:cs="Amiri"/>
          <w:color w:val="111111"/>
          <w:sz w:val="28"/>
          <w:sz w:val="28"/>
          <w:szCs w:val="28"/>
          <w:rtl w:val="true"/>
          <w:lang w:bidi="ar-SA"/>
        </w:rPr>
        <w:t>والمحل ممّا لا إشكال فيه ولا خفاء ، كعدم رجوع الثاني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الإشكال في الرابع ، والحقّ احتماله لكلّ من الأول والثالث ، لكون كلّ ظهرا ووسطا طوليا أو عرضيا وناتئا ، وإن كان ظهور النتو الواقع في بعض العبارات في المحسوس مؤيّدا للأول ، ولكن تعريف جمع من علماء التشريح الذين هم أهل الخبرة في المقام بالثالث مقيّدا بالناتئ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وديدن الفقهاء الرجوع في الموضوعات إلى أهل خبرتها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يضعّفه ، مع أن نتوّه أيضا محسوس سيما بالملامسة ، بل هو أرفع من القبة ، كما يظهر بعد نصب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ظهور له في الأول ، بل الظاهر أنّ موضع عقد الشراك هو الوسط في العرض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عقد الشراكين فيه دون القبة ، ولم يعلم أيضا أنّه كان يعقد تحت 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ثمَّ إنّه استدلّ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بإجماع لغوي الخاصة وكثير من العامة ، سيما قول صاحب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 هو العظم الناشز في ظهر القدم عند ملتقى الساق والقدم ، ونسبه إلى الناس ما عدا الأصمعي </w:t>
      </w:r>
      <w:r>
        <w:rPr>
          <w:rStyle w:val="FootnoteAnchor"/>
          <w:rtl w:val="true"/>
        </w:rPr>
        <w:footnoteReference w:id="595"/>
      </w:r>
      <w:r>
        <w:rPr>
          <w:rFonts w:ascii="Amiri" w:hAnsi="Amiri" w:eastAsia="Amiri" w:cs="Amiri"/>
          <w:color w:val="111111"/>
          <w:sz w:val="28"/>
          <w:sz w:val="28"/>
          <w:szCs w:val="28"/>
          <w:rtl w:val="true"/>
          <w:lang w:bidi="ar-SA"/>
        </w:rPr>
        <w:t xml:space="preserve">،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مذهب جميعهم </w:t>
      </w:r>
      <w:r>
        <w:rPr>
          <w:rStyle w:val="FootnoteAnchor"/>
          <w:rtl w:val="true"/>
        </w:rPr>
        <w:footnoteReference w:id="596"/>
      </w:r>
      <w:r>
        <w:rPr>
          <w:rFonts w:ascii="Amiri" w:hAnsi="Amiri" w:eastAsia="Amiri" w:cs="Amiri"/>
          <w:color w:val="111111"/>
          <w:sz w:val="28"/>
          <w:sz w:val="28"/>
          <w:szCs w:val="28"/>
          <w:rtl w:val="true"/>
          <w:lang w:bidi="ar-SA"/>
        </w:rPr>
        <w:t>، لعدم الخلاف بينهم في تسمية ذلك كعبا ، وإنّما الخلاف في تسمية ما عداه به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جماعة من الفقهاء الإجماع عليه كما هو المحكي عن الانتصار ، والتبيان ، والخلاف </w:t>
      </w:r>
      <w:r>
        <w:rPr>
          <w:rStyle w:val="FootnoteAnchor"/>
          <w:rtl w:val="true"/>
        </w:rPr>
        <w:footnoteReference w:id="597"/>
      </w:r>
      <w:r>
        <w:rPr>
          <w:rFonts w:ascii="Amiri" w:hAnsi="Amiri" w:eastAsia="Amiri" w:cs="Amiri"/>
          <w:color w:val="111111"/>
          <w:sz w:val="28"/>
          <w:sz w:val="28"/>
          <w:szCs w:val="28"/>
          <w:rtl w:val="true"/>
          <w:lang w:bidi="ar-SA"/>
        </w:rPr>
        <w:t xml:space="preserve">، والمجمع ، والمعتبر ، والمنتهى ، والغنية ، والذكرى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البزنطي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كفه على الأصابع ، فمسحها إلى الكعبين إلى ظاهر القدم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ميسر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يده على ظهر القدم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هو الكعب </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الظاهر والظهر فيهما ليسا بالمعنى المقابل للباطن قطعا ، لعدم كونه بإطلاقه كعبا فهو بمعنى ما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الأخوين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أين الكعبان؟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 يعني المفصل دون عظم الساق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xml:space="preserve">عظم الساق ، والكعب أسفل من ذلك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المفصل المعهود ليس دون عظم الساق ولا أسفل منه ، فإنّهما يقتضيان بعدا فليس إلاّ القبة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وبعدم وجوب تبطين الشراك كما ورد في الأخبار </w:t>
      </w:r>
      <w:r>
        <w:rPr>
          <w:rStyle w:val="FootnoteAnchor"/>
          <w:rtl w:val="true"/>
        </w:rPr>
        <w:footnoteReference w:id="604"/>
      </w:r>
      <w:r>
        <w:rPr>
          <w:rFonts w:ascii="Amiri" w:hAnsi="Amiri" w:eastAsia="Amiri" w:cs="Amiri"/>
          <w:color w:val="111111"/>
          <w:sz w:val="28"/>
          <w:sz w:val="28"/>
          <w:szCs w:val="28"/>
          <w:rtl w:val="true"/>
          <w:lang w:bidi="ar-SA"/>
        </w:rPr>
        <w:t>، ولو كان الكعب هو المفصل ، للزم تبطينه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ورد 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إذا قطع الرجل قطعها من الكعب </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أيضا في الكافي والفقيه والتهذيب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يقطع الرجل من الكعب </w:t>
      </w:r>
    </w:p>
    <w:p>
      <w:pPr>
        <w:pStyle w:val="BookText"/>
        <w:rPr/>
      </w:pPr>
      <w:r>
        <w:rPr>
          <w:rFonts w:ascii="Amiri" w:hAnsi="Amiri" w:eastAsia="Amiri" w:cs="Amiri"/>
          <w:color w:val="111111"/>
          <w:sz w:val="28"/>
          <w:sz w:val="28"/>
          <w:szCs w:val="28"/>
          <w:rtl w:val="true"/>
          <w:lang w:bidi="ar-SA"/>
        </w:rPr>
        <w:t xml:space="preserve">ويترك من قدمه ما يقوم عليه ويصلّي ويعبد اللّه </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موضع القطع عند معقد الشراك إجماعا منّا ، كما نقله جماعة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لا يبقى مع القطع من غير القبة من معاني الكعب ما يقوم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في رواية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السارق إن عاد قطع رجله من أوسط القدم </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وليس كعب في الأوسط إلاّ القبة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الكلّ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الإجماع ، بل أكثر كلمات اللغويين محتمل للمعنيين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والثالث ، ألا ترى قول صاحب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ملتقى الساق والقدم </w:t>
      </w:r>
      <w:r>
        <w:rPr>
          <w:rStyle w:val="FootnoteAnchor"/>
          <w:rtl w:val="true"/>
        </w:rPr>
        <w:footnoteReference w:id="609"/>
      </w:r>
      <w:r>
        <w:rPr>
          <w:rFonts w:ascii="Amiri" w:hAnsi="Amiri" w:eastAsia="Amiri" w:cs="Amiri"/>
          <w:color w:val="111111"/>
          <w:sz w:val="28"/>
          <w:sz w:val="28"/>
          <w:szCs w:val="28"/>
          <w:rtl w:val="true"/>
          <w:lang w:bidi="ar-SA"/>
        </w:rPr>
        <w:t>والنشوز ظهر القدم لا يعيّن القبة ، لأنّ الثالث أيضا كذلك ، ولا يضرّ عدم إحساس نشوزه كثيرا ، فإنّ أهل اللغة يعرفون الأجزاء الباطنية بأوصافها الغير المحسوسة ، وغرضه الردّ على الأصمعي حيث جعل الكعب في الجانبين ، مع أنّ نتوّ الثالث حسّا كما ذكرنا ليس أقلّ من نتوّ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لمّا كان الأول مبدأ النتو ، قد يتخيّل أنّه أظهر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بعض الأجلّة قد استشهد لإثبات الثالث بقول صاحب الصحاح وغيره من أهل اللغة </w:t>
      </w:r>
      <w:r>
        <w:rPr>
          <w:rStyle w:val="FootnoteAnchor"/>
          <w:rtl w:val="true"/>
        </w:rPr>
        <w:footnoteReference w:id="610"/>
      </w:r>
      <w:r>
        <w:rPr>
          <w:rFonts w:ascii="Amiri" w:hAnsi="Amiri" w:eastAsia="Amiri" w:cs="Amiri"/>
          <w:color w:val="111111"/>
          <w:sz w:val="28"/>
          <w:sz w:val="28"/>
          <w:szCs w:val="28"/>
          <w:rtl w:val="true"/>
          <w:lang w:bidi="ar-SA"/>
        </w:rPr>
        <w:t>، وذلك أوضح شاهد على أنّه لا أقلّ محتمل للمعنيين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حال سائر كلمات اللغويين كالقاموس ، والنهاية </w:t>
      </w:r>
      <w:r>
        <w:rPr>
          <w:rStyle w:val="FootnoteAnchor"/>
          <w:rtl w:val="true"/>
        </w:rPr>
        <w:footnoteReference w:id="611"/>
      </w:r>
      <w:r>
        <w:rPr>
          <w:rFonts w:ascii="Amiri" w:hAnsi="Amiri" w:eastAsia="Amiri" w:cs="Amiri"/>
          <w:color w:val="111111"/>
          <w:sz w:val="28"/>
          <w:sz w:val="28"/>
          <w:szCs w:val="28"/>
          <w:rtl w:val="true"/>
          <w:lang w:bidi="ar-SA"/>
        </w:rPr>
        <w:t xml:space="preserve">، والغريبين ، </w:t>
      </w:r>
    </w:p>
    <w:p>
      <w:pPr>
        <w:pStyle w:val="BookText"/>
        <w:rPr/>
      </w:pPr>
      <w:r>
        <w:rPr>
          <w:rFonts w:ascii="Amiri" w:hAnsi="Amiri" w:eastAsia="Amiri" w:cs="Amiri"/>
          <w:color w:val="111111"/>
          <w:sz w:val="28"/>
          <w:sz w:val="28"/>
          <w:szCs w:val="28"/>
          <w:rtl w:val="true"/>
          <w:lang w:bidi="ar-SA"/>
        </w:rPr>
        <w:t xml:space="preserve">وعميد الرؤساء </w:t>
      </w:r>
      <w:r>
        <w:rPr>
          <w:rStyle w:val="FootnoteAnchor"/>
          <w:rtl w:val="true"/>
        </w:rPr>
        <w:footnoteReference w:id="612"/>
      </w:r>
      <w:r>
        <w:rPr>
          <w:rFonts w:ascii="Amiri" w:hAnsi="Amiri" w:eastAsia="Amiri" w:cs="Amiri"/>
          <w:color w:val="111111"/>
          <w:sz w:val="28"/>
          <w:sz w:val="28"/>
          <w:szCs w:val="28"/>
          <w:rtl w:val="true"/>
          <w:lang w:bidi="ar-SA"/>
        </w:rPr>
        <w:t xml:space="preserve">، وغيرهم </w:t>
      </w:r>
      <w:r>
        <w:rPr>
          <w:rStyle w:val="FootnoteAnchor"/>
          <w:rtl w:val="true"/>
        </w:rPr>
        <w:footnoteReference w:id="613"/>
      </w:r>
      <w:r>
        <w:rPr>
          <w:rFonts w:ascii="Amiri" w:hAnsi="Amiri" w:eastAsia="Amiri" w:cs="Amiri"/>
          <w:color w:val="111111"/>
          <w:sz w:val="28"/>
          <w:sz w:val="28"/>
          <w:szCs w:val="28"/>
          <w:rtl w:val="true"/>
          <w:lang w:bidi="ar-SA"/>
        </w:rPr>
        <w:t>، فإنّهم لم يذكروا في بيانه إلاّ أنّه الناشز ظهر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أيضا ، فإنّ أكثر كلمات المدّعين للإجماع ممّا لا يعلم اختصاصه بالقبة ، هذا كلام المنتهى والمعتبر </w:t>
      </w:r>
      <w:r>
        <w:rPr>
          <w:rStyle w:val="FootnoteAnchor"/>
          <w:rtl w:val="true"/>
        </w:rPr>
        <w:footnoteReference w:id="614"/>
      </w:r>
      <w:r>
        <w:rPr>
          <w:rFonts w:ascii="Amiri" w:hAnsi="Amiri" w:eastAsia="Amiri" w:cs="Amiri"/>
          <w:color w:val="111111"/>
          <w:sz w:val="28"/>
          <w:sz w:val="28"/>
          <w:szCs w:val="28"/>
          <w:rtl w:val="true"/>
          <w:lang w:bidi="ar-SA"/>
        </w:rPr>
        <w:t>، فإنّهما ذكرا أنّ الكعبين هما العظمان الناتئان في وسط القدم ، وهما معقد الشراك ، وهذا كما ترى محتمل للمعنيين ، بل صرّح في المنتهى بعد ذلك أنّه المفصل دون عظم الساق ، ونسب من فهم غيره إلى عدم 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يحضرني الآن من كلام فقهائنا المتقدّمين والمتوسّطين من ذكر القبة إلاّ نادرا ، كالمفيد </w:t>
      </w:r>
      <w:r>
        <w:rPr>
          <w:rStyle w:val="FootnoteAnchor"/>
          <w:rtl w:val="true"/>
        </w:rPr>
        <w:footnoteReference w:id="615"/>
      </w:r>
      <w:r>
        <w:rPr>
          <w:rFonts w:ascii="IRNazanin" w:hAnsi="IRNazanin" w:eastAsia="IRNazanin"/>
          <w:color w:val="111111"/>
          <w:sz w:val="28"/>
          <w:sz w:val="28"/>
          <w:szCs w:val="28"/>
          <w:rtl w:val="true"/>
          <w:lang w:bidi="fa-IR"/>
        </w:rPr>
        <w:t xml:space="preserve">، والشرائع ، والنافع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الثالث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المعنى الثالث أيضا ما ارتفع ، بل هو غاية ارتفاع القدم وأرفع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يمكن أن يكون الغرض الردّ على العامة </w:t>
      </w:r>
      <w:r>
        <w:rPr>
          <w:rStyle w:val="FootnoteAnchor"/>
          <w:rtl w:val="true"/>
        </w:rPr>
        <w:footnoteReference w:id="617"/>
      </w:r>
      <w:r>
        <w:rPr>
          <w:rFonts w:ascii="Amiri" w:hAnsi="Amiri" w:eastAsia="Amiri" w:cs="Amiri"/>
          <w:color w:val="111111"/>
          <w:sz w:val="28"/>
          <w:sz w:val="28"/>
          <w:szCs w:val="28"/>
          <w:rtl w:val="true"/>
          <w:lang w:bidi="ar-SA"/>
        </w:rPr>
        <w:t>حيث يجعلون الكعب في الجانبين ، فيكون المراد من الظاهر والظهر المعنى المقابل للباطن والجانب ردّا عليهم ، ولحصول الغرض بمطلق الظهر أطلقه ولم يعيّن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فلاحتمال كون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الغير ، والمشار إليه في ذلك وفي هذا في الموضعين ما قال العامة بكونه كعبا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المعنى الثالث أيضا غير عظم الساق وأسفل منه فلا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واقتضاء الأسفلية للبعد ممنوع</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فلجواز أن يكون المراد الشراك المعقود 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ويتعارف الآن أيضا ، وجواز كون مبدأي الشراك والكعب بالمعنى الثالث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قيل بجواز المسح على الشراك وقيامه في ذلك مقام البشرة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كون معقد الشراك هو القبة ، ومنع أنّ غيرهما لا يبقى مع القطع منه ما يقام به ، فإنّ مع القطع من المعنى الثالث أيضا يبقى العقب وشي‌ء من القدم ، بل صرّح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يقطع من المفصل ويترك العقب يطأ عليه </w:t>
      </w:r>
      <w:r>
        <w:rPr>
          <w:rStyle w:val="FootnoteAnchor"/>
          <w:rtl w:val="true"/>
        </w:rPr>
        <w:footnoteReference w:id="619"/>
      </w:r>
      <w:r>
        <w:rPr>
          <w:rFonts w:ascii="Amiri" w:hAnsi="Amiri" w:eastAsia="Amiri" w:cs="Amiri"/>
          <w:color w:val="111111"/>
          <w:sz w:val="28"/>
          <w:sz w:val="28"/>
          <w:szCs w:val="28"/>
          <w:rtl w:val="true"/>
          <w:lang w:bidi="ar-SA"/>
        </w:rPr>
        <w:t>، وهو صريح في أنّ القيام على العقب ، وهو يبقى قطعا مع القطع من المعنى الثالث ، بل من المفصل بين الساق والقدم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أنّه لو تمَّ لا يدلّ على أزيد من الاستعمال ، وهو لا يفيد الاختصاص ، سيما مع تصريح جماعة </w:t>
      </w:r>
      <w:r>
        <w:rPr>
          <w:rStyle w:val="FootnoteAnchor"/>
          <w:rtl w:val="true"/>
        </w:rPr>
        <w:footnoteReference w:id="620"/>
      </w:r>
      <w:r>
        <w:rPr>
          <w:rFonts w:ascii="Amiri" w:hAnsi="Amiri" w:eastAsia="Amiri" w:cs="Amiri"/>
          <w:color w:val="111111"/>
          <w:sz w:val="28"/>
          <w:sz w:val="28"/>
          <w:szCs w:val="28"/>
          <w:rtl w:val="true"/>
          <w:lang w:bidi="ar-SA"/>
        </w:rPr>
        <w:t>بالاستعمال في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الثانيان </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بعض أهل اللغة وصحيحة الأخوين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الحجية أولا ، والاختصاص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يكون المراد بالمفضل ، المفصل الشرعي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القطع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الظاهر من بعض الأخبار </w:t>
      </w:r>
      <w:r>
        <w:rPr>
          <w:rStyle w:val="FootnoteAnchor"/>
          <w:rtl w:val="true"/>
        </w:rPr>
        <w:footnoteReference w:id="622"/>
      </w:r>
      <w:r>
        <w:rPr>
          <w:rFonts w:ascii="Amiri" w:hAnsi="Amiri" w:eastAsia="Amiri" w:cs="Amiri"/>
          <w:color w:val="111111"/>
          <w:sz w:val="28"/>
          <w:sz w:val="28"/>
          <w:szCs w:val="28"/>
          <w:rtl w:val="true"/>
          <w:lang w:bidi="ar-SA"/>
        </w:rPr>
        <w:t xml:space="preserve">كالرضوي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يقطع السارق من المفصل ويترك العقب يطأ عليه </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فإنه مشعر بمعروفية المفصل عند الإطلاق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 ويعلم وجهه ممّا ذكرنا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وزاد الثالث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أرباب التشريح ، ونسبة بعض العامة هذا المعنى </w:t>
      </w:r>
      <w:bookmarkStart w:id="51" w:name="pg11612_110758"/>
    </w:p>
    <w:p>
      <w:pPr>
        <w:pStyle w:val="BookText"/>
        <w:rPr/>
      </w:pPr>
      <w:bookmarkEnd w:id="51"/>
      <w:r>
        <w:rPr>
          <w:rFonts w:ascii="Amiri" w:hAnsi="Amiri" w:eastAsia="Amiri" w:cs="Amiri"/>
          <w:color w:val="111111"/>
          <w:sz w:val="28"/>
          <w:sz w:val="28"/>
          <w:szCs w:val="28"/>
          <w:rtl w:val="true"/>
          <w:lang w:bidi="ar-SA"/>
        </w:rPr>
        <w:t>إلى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وضعفهما ظاهر ، فإنّهما معارضان بما مرّ من تصريح جمع آخر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من ذلك كلّه عدم دليل واضح على تعيين معناه ، والاحتياط في المسح إلى مبدإ عظم الساق أي المفصل ، كما صرّح به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البحار </w:t>
      </w:r>
      <w:r>
        <w:rPr>
          <w:rStyle w:val="FootnoteAnchor"/>
          <w:rtl w:val="true"/>
        </w:rPr>
        <w:footnoteReference w:id="625"/>
      </w:r>
      <w:r>
        <w:rPr>
          <w:rFonts w:ascii="Amiri" w:hAnsi="Amiri" w:eastAsia="Amiri" w:cs="Amiri"/>
          <w:color w:val="111111"/>
          <w:sz w:val="28"/>
          <w:sz w:val="28"/>
          <w:szCs w:val="28"/>
          <w:rtl w:val="true"/>
          <w:lang w:bidi="ar-SA"/>
        </w:rPr>
        <w:t xml:space="preserve">وغيره </w:t>
      </w:r>
      <w:r>
        <w:rPr>
          <w:rStyle w:val="FootnoteAnchor"/>
          <w:rtl w:val="true"/>
        </w:rPr>
        <w:footnoteReference w:id="626"/>
      </w:r>
      <w:r>
        <w:rPr>
          <w:rFonts w:ascii="Amiri" w:hAnsi="Amiri" w:eastAsia="Amiri" w:cs="Amiri"/>
          <w:color w:val="111111"/>
          <w:sz w:val="28"/>
          <w:sz w:val="28"/>
          <w:szCs w:val="28"/>
          <w:rtl w:val="true"/>
          <w:lang w:bidi="ar-SA"/>
        </w:rPr>
        <w:t>، ويوجبه ضرب من الاستصحاب أيضا</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5524343_73709187"/>
      <w:bookmarkStart w:id="53" w:name="_Toc20"/>
      <w:bookmarkEnd w:id="52"/>
      <w:r>
        <w:rPr>
          <w:rtl w:val="true"/>
        </w:rPr>
        <w:t xml:space="preserve">فروع </w:t>
      </w:r>
      <w:r>
        <w:rPr>
          <w:rtl w:val="true"/>
        </w:rPr>
        <w:t>:</w:t>
      </w:r>
      <w:bookmarkEnd w:id="53"/>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المسح ظاهرهما ، إجماعا منّا ، واستفاضت عليه الروايات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في الخبرين من مسح الظاهر والباطن أمرا في أحدهما </w:t>
      </w:r>
      <w:r>
        <w:rPr>
          <w:rStyle w:val="FootnoteAnchor"/>
          <w:rtl w:val="true"/>
        </w:rPr>
        <w:footnoteReference w:id="628"/>
      </w:r>
      <w:r>
        <w:rPr>
          <w:rFonts w:ascii="Amiri" w:hAnsi="Amiri" w:eastAsia="Amiri" w:cs="Amiri"/>
          <w:color w:val="111111"/>
          <w:sz w:val="28"/>
          <w:sz w:val="28"/>
          <w:szCs w:val="28"/>
          <w:rtl w:val="true"/>
          <w:lang w:bidi="ar-SA"/>
        </w:rPr>
        <w:t xml:space="preserve">وفعلا في الآخر </w:t>
      </w:r>
      <w:r>
        <w:rPr>
          <w:rStyle w:val="FootnoteAnchor"/>
          <w:rtl w:val="true"/>
        </w:rPr>
        <w:footnoteReference w:id="629"/>
      </w:r>
      <w:r>
        <w:rPr>
          <w:rFonts w:ascii="Amiri" w:hAnsi="Amiri" w:eastAsia="Amiri" w:cs="Amiri"/>
          <w:color w:val="111111"/>
          <w:sz w:val="28"/>
          <w:sz w:val="28"/>
          <w:szCs w:val="28"/>
          <w:rtl w:val="true"/>
          <w:lang w:bidi="ar-SA"/>
        </w:rPr>
        <w:t xml:space="preserve">، لا حجّية فيه ، للشذوذ ، وعلى التقية محمول ، لأنه مذهب العامة ، كما عن التهذيب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وحدّه أما 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رؤوس الأصابع إلى الكعبين على الحقّ المشهور ، بل عليه الإجماع عن الخلاف والانتصار والتذكرة والذكرى ، وفي ظاهر المنتهى والمعتبر </w:t>
      </w:r>
      <w:r>
        <w:rPr>
          <w:rStyle w:val="FootnoteAnchor"/>
          <w:rtl w:val="true"/>
        </w:rPr>
        <w:footnoteReference w:id="631"/>
      </w:r>
      <w:r>
        <w:rPr>
          <w:rFonts w:ascii="Amiri" w:hAnsi="Amiri" w:eastAsia="Amiri" w:cs="Amiri"/>
          <w:color w:val="111111"/>
          <w:sz w:val="28"/>
          <w:sz w:val="28"/>
          <w:szCs w:val="28"/>
          <w:rtl w:val="true"/>
          <w:lang w:bidi="ar-SA"/>
        </w:rPr>
        <w:t>، لظاهر الكتاب</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وتخصيص دلالته 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للمسح ، فالإيراد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جواز النكس ينفيه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الاختصاص ، بل على كونها غاية للممسوح يثبته أيضا ، إذ مقتضى وجوب مسح شي‌ء مغيّى بغاية مسح تمام ذلك الشي‌ء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اكنس من عند الباب إلى الصدر ، وكانت هناك قرينة على عدم إرادة الابتداء من عند الباب ، فيكون الحرفان لتحديد الموضع ، مع أنه يفهم قطعا وجوب كنس جميع ما بين الحدّين ، فدلالة الآية على وجوب المسح إلى الكعب تامّة على التقديرين ، نعم لا يتعيّن الطرف الآخر منها ، ولا ضير فيه للإجماع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المرويان في الخصال وكشف الغمة ، المتقدّمان في غسل اليدين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ابن أذينة المروية في الكافي والعلل في حديث المعراج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وامسح بفضل ما في يديك من الماء رأسك ورجليك إلى كعبيك </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الطرف للسيد ابن طاوس بإسناده عن أبي الحسن موسى عليه السلام ، في شرائع الإسلام ، وعدّ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على الرأس والقدمين إلى الكعبين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وضعف بعضها بما مرّ منجبر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يستدلّ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بالوضوءات البيانية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وبصحيحة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المسح على القدمين كيف هو؟ فوضع كفّه على الأصابع فمسحها إلى الكعبين إلى ظاهر القدم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لو أنّ رجلا قال بإصبعين من أصابعه هكذا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إلاّ بكفه كلّها </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وحسنة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عثرت فانقطع ظفري فجعلت على إصبعي مرارة فكيف أصنع بالوضوء؟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 هذا وأشباهه من كتاب اللّه عزّ وجلّ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امسح عليه </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دلّت على وجوب مسح رأس الإصبع ، فيتمّ المطلوب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محمولا على الاستحباب قطعا ، لعدم وجوب الكف إجماعا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الثالث ، فإنّه لا يجب مسح ما عليه المرارة إلاّ على وجوب الاستيعاب العرضي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والحمل على انقطاع جميع الأظفار بعيد جدّا ، ولو احتمله ، لاحتمل إرادة ظفر اليد أيضا ، فيبطل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لبعض المتأخّرين </w:t>
      </w:r>
      <w:r>
        <w:rPr>
          <w:rStyle w:val="FootnoteAnchor"/>
          <w:rtl w:val="true"/>
        </w:rPr>
        <w:footnoteReference w:id="637"/>
      </w:r>
      <w:r>
        <w:rPr>
          <w:rFonts w:ascii="Amiri" w:hAnsi="Amiri" w:eastAsia="Amiri" w:cs="Amiri"/>
          <w:color w:val="111111"/>
          <w:sz w:val="28"/>
          <w:sz w:val="28"/>
          <w:szCs w:val="28"/>
          <w:rtl w:val="true"/>
          <w:lang w:bidi="ar-SA"/>
        </w:rPr>
        <w:t xml:space="preserve">، فاكتفى في الطول بالمسمّى ، واحتمله في المعتبر والذكرى </w:t>
      </w:r>
      <w:r>
        <w:rPr>
          <w:rStyle w:val="FootnoteAnchor"/>
          <w:rtl w:val="true"/>
        </w:rPr>
        <w:footnoteReference w:id="638"/>
      </w:r>
      <w:r>
        <w:rPr>
          <w:rFonts w:ascii="Amiri" w:hAnsi="Amiri" w:eastAsia="Amiri" w:cs="Amiri"/>
          <w:color w:val="111111"/>
          <w:sz w:val="28"/>
          <w:sz w:val="28"/>
          <w:szCs w:val="28"/>
          <w:rtl w:val="true"/>
          <w:lang w:bidi="ar-SA"/>
        </w:rPr>
        <w:t xml:space="preserve">، للمستفيضة الدالّة على عدم وجوب استبطان الشراكين </w:t>
      </w:r>
      <w:r>
        <w:rPr>
          <w:rStyle w:val="FootnoteAnchor"/>
          <w:rtl w:val="true"/>
        </w:rPr>
        <w:footnoteReference w:id="639"/>
      </w:r>
      <w:r>
        <w:rPr>
          <w:rFonts w:ascii="Amiri" w:hAnsi="Amiri" w:eastAsia="Amiri" w:cs="Amiri"/>
          <w:color w:val="111111"/>
          <w:sz w:val="28"/>
          <w:sz w:val="28"/>
          <w:szCs w:val="28"/>
          <w:rtl w:val="true"/>
          <w:lang w:bidi="ar-SA"/>
        </w:rPr>
        <w:t xml:space="preserve">، وصحيحتي الأخوين المتقدّمتين </w:t>
      </w:r>
      <w:r>
        <w:rPr>
          <w:rStyle w:val="FootnoteAnchor"/>
          <w:rtl w:val="true"/>
        </w:rPr>
        <w:footnoteReference w:id="640"/>
      </w:r>
      <w:r>
        <w:rPr>
          <w:rFonts w:ascii="Amiri" w:hAnsi="Amiri" w:eastAsia="Amiri" w:cs="Amiri"/>
          <w:color w:val="111111"/>
          <w:sz w:val="28"/>
          <w:sz w:val="28"/>
          <w:szCs w:val="28"/>
          <w:rtl w:val="true"/>
          <w:lang w:bidi="ar-SA"/>
        </w:rPr>
        <w:t>في قدر الوجوب من مسح الرأس</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كون الشراك فوق الكعب أو قيامه مقام البشرة ، كما صرّح به في بعض المعتبرة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مع ما مرّ بالإطلاق والتقييد ، فيحمل المطلق على المقيّد الموافق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موصوفية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المفيدة للعموم ، والإبدال من شي‌ء ، فيفيد بمفهوم الشرط توقّف الإجزاء على مسح مجموع المسافة الكائنة بينهما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الاحتمال موجب للاستيعاب في العرض ، وهو باطل ، إلاّ أن يتمّم بإلغاء ما خرج بالدليل ، وهو أيضا يوجب خروج الأكثر على كفاية المسمّى في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فالمسمّى ، وعليه الإجماع في المعتبر والمنتهى </w:t>
      </w:r>
      <w:r>
        <w:rPr>
          <w:rStyle w:val="FootnoteAnchor"/>
          <w:rtl w:val="true"/>
        </w:rPr>
        <w:footnoteReference w:id="643"/>
      </w:r>
      <w:r>
        <w:rPr>
          <w:rFonts w:ascii="Amiri" w:hAnsi="Amiri" w:eastAsia="Amiri" w:cs="Amiri"/>
          <w:color w:val="111111"/>
          <w:sz w:val="28"/>
          <w:sz w:val="28"/>
          <w:szCs w:val="28"/>
          <w:rtl w:val="true"/>
          <w:lang w:bidi="ar-SA"/>
        </w:rPr>
        <w:t xml:space="preserve">وظاهر التذكرة </w:t>
      </w:r>
      <w:r>
        <w:rPr>
          <w:rStyle w:val="FootnoteAnchor"/>
          <w:rtl w:val="true"/>
        </w:rPr>
        <w:footnoteReference w:id="644"/>
      </w:r>
      <w:r>
        <w:rPr>
          <w:rFonts w:ascii="Amiri" w:hAnsi="Amiri" w:eastAsia="Amiri" w:cs="Amiri"/>
          <w:color w:val="111111"/>
          <w:sz w:val="28"/>
          <w:sz w:val="28"/>
          <w:szCs w:val="28"/>
          <w:rtl w:val="true"/>
          <w:lang w:bidi="ar-SA"/>
        </w:rPr>
        <w:t>، وهو في الأولين وإن كان على الاكتفاء ولو بإصبع واحدة ، ولكن المستفاد من استدلالهما إرادة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وصدق الامتثال ، وإطلاق الآية ، سيما بملاحظة صحيحة زرارة ، المفسّرة لها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فعرفنا حين وصلهما بالرأس أنّ المسح على بعضهما </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إطلاق صحيحتي الأخوين ، وفقد ما يصلح مخرجا ومقيدا ، إذ ليس شي‌ء سوى صحيحتي الأخوين على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 وهو مجرد احتمال غير كاف 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البزنطي وحسنة عبد الأعلى ، وهما شاذّتان ، إذ لم يقل بمضمونهما أحد ، كما صرّح به جماعة </w:t>
      </w:r>
      <w:r>
        <w:rPr>
          <w:rStyle w:val="FootnoteAnchor"/>
          <w:rtl w:val="true"/>
        </w:rPr>
        <w:footnoteReference w:id="646"/>
      </w:r>
      <w:r>
        <w:rPr>
          <w:rFonts w:ascii="Amiri" w:hAnsi="Amiri" w:eastAsia="Amiri" w:cs="Amiri"/>
          <w:color w:val="111111"/>
          <w:sz w:val="28"/>
          <w:sz w:val="28"/>
          <w:szCs w:val="28"/>
          <w:rtl w:val="true"/>
          <w:lang w:bidi="ar-SA"/>
        </w:rPr>
        <w:t>، فلذلك تخرجان عن الحجية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أنّهما معارضتان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معمّر بن عمر ، المتقدّمة </w:t>
      </w:r>
      <w:r>
        <w:rPr>
          <w:rStyle w:val="FootnoteAnchor"/>
          <w:rtl w:val="true"/>
        </w:rPr>
        <w:footnoteReference w:id="647"/>
      </w:r>
      <w:r>
        <w:rPr>
          <w:rFonts w:ascii="Amiri" w:hAnsi="Amiri" w:eastAsia="Amiri" w:cs="Amiri"/>
          <w:color w:val="111111"/>
          <w:sz w:val="28"/>
          <w:sz w:val="28"/>
          <w:szCs w:val="28"/>
          <w:rtl w:val="true"/>
          <w:lang w:bidi="ar-SA"/>
        </w:rPr>
        <w:t xml:space="preserve">في مسح الرأس ، </w:t>
      </w:r>
    </w:p>
    <w:p>
      <w:pPr>
        <w:pStyle w:val="BookText"/>
        <w:rPr/>
      </w:pPr>
      <w:r>
        <w:rPr>
          <w:rFonts w:ascii="IRNazanin" w:hAnsi="IRNazanin" w:eastAsia="IRNazanin"/>
          <w:color w:val="111111"/>
          <w:sz w:val="28"/>
          <w:sz w:val="28"/>
          <w:szCs w:val="28"/>
          <w:rtl w:val="true"/>
          <w:lang w:bidi="fa-IR"/>
        </w:rPr>
        <w:t>ولا مرجّح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وأصحّيتهما سندا معارضة بمخالفتهما للقوم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معمّر المشار إليها ، وهي لإثبات الوجوب غير ناهضة ، لما ذكرنا في معنى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فأوجب ثلاث أصابع </w:t>
      </w:r>
      <w:r>
        <w:rPr>
          <w:rStyle w:val="FootnoteAnchor"/>
          <w:rtl w:val="true"/>
        </w:rPr>
        <w:footnoteReference w:id="648"/>
      </w:r>
      <w:r>
        <w:rPr>
          <w:rFonts w:ascii="Amiri" w:hAnsi="Amiri" w:eastAsia="Amiri" w:cs="Amiri"/>
          <w:color w:val="111111"/>
          <w:sz w:val="28"/>
          <w:sz w:val="28"/>
          <w:szCs w:val="28"/>
          <w:rtl w:val="true"/>
          <w:lang w:bidi="ar-SA"/>
        </w:rPr>
        <w:t>، وكأنّه لرواية معمّر السابق جوابها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وللمحكي عن النهاية وأحكام الراوندي </w:t>
      </w:r>
      <w:r>
        <w:rPr>
          <w:rStyle w:val="FootnoteAnchor"/>
          <w:rtl w:val="true"/>
        </w:rPr>
        <w:footnoteReference w:id="649"/>
      </w:r>
      <w:r>
        <w:rPr>
          <w:rFonts w:ascii="Amiri" w:hAnsi="Amiri" w:eastAsia="Amiri" w:cs="Amiri"/>
          <w:color w:val="111111"/>
          <w:sz w:val="28"/>
          <w:sz w:val="28"/>
          <w:szCs w:val="28"/>
          <w:rtl w:val="true"/>
          <w:lang w:bidi="ar-SA"/>
        </w:rPr>
        <w:t>، فأوجبا الإصبع ، وكأنّه لما سبقت إليه الإشارة من أنّها المسمّى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الإشارة </w:t>
      </w:r>
      <w:r>
        <w:rPr>
          <w:rStyle w:val="FootnoteAnchor"/>
          <w:rtl w:val="true"/>
        </w:rPr>
        <w:footnoteReference w:id="650"/>
      </w:r>
      <w:r>
        <w:rPr>
          <w:rFonts w:ascii="Amiri" w:hAnsi="Amiri" w:eastAsia="Amiri" w:cs="Amiri"/>
          <w:color w:val="111111"/>
          <w:sz w:val="28"/>
          <w:sz w:val="28"/>
          <w:szCs w:val="28"/>
          <w:rtl w:val="true"/>
          <w:lang w:bidi="ar-SA"/>
        </w:rPr>
        <w:t xml:space="preserve">وظاهر الغنية </w:t>
      </w:r>
      <w:r>
        <w:rPr>
          <w:rStyle w:val="FootnoteAnchor"/>
          <w:rtl w:val="true"/>
        </w:rPr>
        <w:footnoteReference w:id="651"/>
      </w:r>
      <w:r>
        <w:rPr>
          <w:rFonts w:ascii="Amiri" w:hAnsi="Amiri" w:eastAsia="Amiri" w:cs="Amiri"/>
          <w:color w:val="111111"/>
          <w:sz w:val="28"/>
          <w:sz w:val="28"/>
          <w:szCs w:val="28"/>
          <w:rtl w:val="true"/>
          <w:lang w:bidi="ar-SA"/>
        </w:rPr>
        <w:t>، فحدّداه بالإصبعين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يتّضح مستندهما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والمستحب المسح بالكف كلّه ، كما عن النهاية والمقنعة والجمل والعقود ، والمبسوط والوسيلة والألفية </w:t>
      </w:r>
      <w:r>
        <w:rPr>
          <w:rStyle w:val="FootnoteAnchor"/>
          <w:rtl w:val="true"/>
        </w:rPr>
        <w:footnoteReference w:id="652"/>
      </w:r>
      <w:r>
        <w:rPr>
          <w:rFonts w:ascii="Amiri" w:hAnsi="Amiri" w:eastAsia="Amiri" w:cs="Amiri"/>
          <w:color w:val="111111"/>
          <w:sz w:val="28"/>
          <w:sz w:val="28"/>
          <w:szCs w:val="28"/>
          <w:rtl w:val="true"/>
          <w:lang w:bidi="ar-SA"/>
        </w:rPr>
        <w:t>، لما مرّ من الصحيحة بل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تفريج الأصابع </w:t>
      </w:r>
      <w:r>
        <w:rPr>
          <w:rStyle w:val="FootnoteAnchor"/>
          <w:rtl w:val="true"/>
        </w:rPr>
        <w:footnoteReference w:id="653"/>
      </w:r>
      <w:r>
        <w:rPr>
          <w:rFonts w:ascii="Amiri" w:hAnsi="Amiri" w:eastAsia="Amiri" w:cs="Amiri"/>
          <w:color w:val="111111"/>
          <w:sz w:val="28"/>
          <w:sz w:val="28"/>
          <w:szCs w:val="28"/>
          <w:rtl w:val="true"/>
          <w:lang w:bidi="ar-SA"/>
        </w:rPr>
        <w:t>، ولا بأس به ، إذ المقام يتحمّل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هل يجب إدخال الكعبين أم لا؟ فيه قولان ، أظهرهما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وفاقا للمعتبر </w:t>
      </w:r>
      <w:r>
        <w:rPr>
          <w:rStyle w:val="FootnoteAnchor"/>
          <w:rtl w:val="true"/>
        </w:rPr>
        <w:footnoteReference w:id="654"/>
      </w:r>
      <w:r>
        <w:rPr>
          <w:rFonts w:ascii="IRNazanin" w:hAnsi="IRNazanin" w:eastAsia="IRNazanin"/>
          <w:color w:val="111111"/>
          <w:sz w:val="28"/>
          <w:sz w:val="28"/>
          <w:szCs w:val="28"/>
          <w:rtl w:val="true"/>
          <w:lang w:bidi="fa-IR"/>
        </w:rPr>
        <w:t>، للأصل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في صحيحة الأخوين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 كعبيك إلى أطراف الأصابع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وخلافا للمنتهى والتحرير </w:t>
      </w:r>
      <w:r>
        <w:rPr>
          <w:rStyle w:val="FootnoteAnchor"/>
          <w:rtl w:val="true"/>
        </w:rPr>
        <w:footnoteReference w:id="655"/>
      </w:r>
      <w:r>
        <w:rPr>
          <w:rFonts w:ascii="Amiri" w:hAnsi="Amiri" w:eastAsia="Amiri" w:cs="Amiri"/>
          <w:color w:val="111111"/>
          <w:sz w:val="28"/>
          <w:sz w:val="28"/>
          <w:szCs w:val="28"/>
          <w:rtl w:val="true"/>
          <w:lang w:bidi="ar-SA"/>
        </w:rPr>
        <w:t>، فاختار الأول ، لما ذكره بعض النحاة من دخول الغاية في المغيّى إذا كانت من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ثابت ، ولو ثبت فليس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يجب مسح أطراف الأصابع ، لما مرّ ، فلا يضرّ تجاوز الظفر عن حد الإصبع ، ولا اجتماع الوسخ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مسح ما تحت الظفر المتجاوز أو الوسخ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المسح على حائل ، كخف وجورب ونحوهما اختيارا إجماعا ، وحكاية الإجماع عليه في كلمات أصحابنا متواترة ، وأخبارنا على النهي عنه متظافرة ، وعدم صدق الامتثال معه يمنعه ، واستصحاب الحدث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مع الاضطرار ، كخوف عدوّ ، أو برد ، أو التخلّف من رفقة ، أو عدم التمكّن من نزع الخف ، وغيره ، بلا خلاف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المعروف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لحسنة عبد الأعلى ، المتقدّمة </w:t>
      </w:r>
      <w:r>
        <w:rPr>
          <w:rStyle w:val="FootnoteAnchor"/>
          <w:rtl w:val="true"/>
        </w:rPr>
        <w:footnoteReference w:id="656"/>
      </w:r>
      <w:r>
        <w:rPr>
          <w:rFonts w:ascii="Amiri" w:hAnsi="Amiri" w:eastAsia="Amiri" w:cs="Amiri"/>
          <w:color w:val="111111"/>
          <w:sz w:val="28"/>
          <w:sz w:val="28"/>
          <w:szCs w:val="28"/>
          <w:rtl w:val="true"/>
          <w:lang w:bidi="ar-SA"/>
        </w:rPr>
        <w:t xml:space="preserve">، ورواية أبي الورد ،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الخفين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إلاّ من عدوّ تتقيه أو ثلج تخاف على رجليك </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تمسح على جوربك إلاّ من عدوّ </w:t>
      </w:r>
      <w:r>
        <w:rPr>
          <w:rStyle w:val="FootnoteAnchor"/>
          <w:rtl w:val="true"/>
        </w:rPr>
        <w:footnoteReference w:id="658"/>
      </w:r>
      <w:r>
        <w:rPr>
          <w:rFonts w:ascii="Amiri" w:hAnsi="Amiri" w:eastAsia="Amiri" w:cs="Amiri"/>
          <w:color w:val="111111"/>
          <w:sz w:val="28"/>
          <w:sz w:val="28"/>
          <w:szCs w:val="28"/>
          <w:rtl w:val="true"/>
          <w:lang w:bidi="ar-SA"/>
        </w:rPr>
        <w:t xml:space="preserve">أو ثلج تخاف على رجليك </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الأخبار النافية للتقية في المسح على الخفين </w:t>
      </w:r>
      <w:r>
        <w:rPr>
          <w:rStyle w:val="FootnoteAnchor"/>
          <w:rtl w:val="true"/>
        </w:rPr>
        <w:footnoteReference w:id="660"/>
      </w:r>
      <w:r>
        <w:rPr>
          <w:rFonts w:ascii="Amiri" w:hAnsi="Amiri" w:eastAsia="Amiri" w:cs="Amiri"/>
          <w:color w:val="111111"/>
          <w:sz w:val="28"/>
          <w:sz w:val="28"/>
          <w:szCs w:val="28"/>
          <w:rtl w:val="true"/>
          <w:lang w:bidi="ar-SA"/>
        </w:rPr>
        <w:t xml:space="preserve">، فلا تصلح للمعارضة </w:t>
      </w:r>
    </w:p>
    <w:p>
      <w:pPr>
        <w:pStyle w:val="BookText"/>
        <w:rPr/>
      </w:pPr>
      <w:r>
        <w:rPr>
          <w:rFonts w:ascii="Amiri" w:hAnsi="Amiri" w:eastAsia="Amiri" w:cs="Amiri"/>
          <w:color w:val="111111"/>
          <w:sz w:val="28"/>
          <w:sz w:val="28"/>
          <w:szCs w:val="28"/>
          <w:rtl w:val="true"/>
          <w:lang w:bidi="ar-SA"/>
        </w:rPr>
        <w:t>مع ما مرّ ، لرجحانه بموافقة الكتاب والسنّة في انتفاء العسر والحرج والضرر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إمكان حملها على اختصاص نفي التقية فيه بالإمام ، كما نقل عن زرارة أنّه فسّره به </w:t>
      </w:r>
      <w:r>
        <w:rPr>
          <w:rStyle w:val="FootnoteAnchor"/>
          <w:rtl w:val="true"/>
        </w:rPr>
        <w:footnoteReference w:id="661"/>
      </w:r>
      <w:r>
        <w:rPr>
          <w:rFonts w:ascii="Amiri" w:hAnsi="Amiri" w:eastAsia="Amiri" w:cs="Amiri"/>
          <w:color w:val="111111"/>
          <w:sz w:val="28"/>
          <w:sz w:val="28"/>
          <w:szCs w:val="28"/>
          <w:rtl w:val="true"/>
          <w:lang w:bidi="ar-SA"/>
        </w:rPr>
        <w:t>، أو على عدم الحاجة في التقية إليه بملاحظة تجويز العامة الغسل المجامع مع المسح بضرب من التدبير سيما مع كفاية المسمّى عرضا في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مع العذر المنتفي بالمسح على الحائل ، الانتقال إلى التيمم ، لعدم ثبوت مشروعيته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الآية والروايات يعطي جواز المسح على الشعر ما لم يكثر بحيث يخرج عن المعتاد ، لصدق مسح الرجلين عليه ، فلا يجب مسح تحت ما يقع منه بين رؤوس الأصابع والكعب ، بل مقتضى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مع الكثرة المفرطة الساترة لتمام البشرة أيضا ، إلاّ أنّ ندور مثل ذلك يوجب الوهن في شمول المطلقات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وصحيحتا زرارة </w:t>
      </w:r>
      <w:r>
        <w:rPr>
          <w:rStyle w:val="FootnoteAnchor"/>
          <w:rtl w:val="true"/>
        </w:rPr>
        <w:footnoteReference w:id="662"/>
      </w:r>
      <w:r>
        <w:rPr>
          <w:rFonts w:ascii="Amiri" w:hAnsi="Amiri" w:eastAsia="Amiri" w:cs="Amiri"/>
          <w:color w:val="111111"/>
          <w:sz w:val="28"/>
          <w:sz w:val="28"/>
          <w:szCs w:val="28"/>
          <w:rtl w:val="true"/>
          <w:lang w:bidi="ar-SA"/>
        </w:rPr>
        <w:t xml:space="preserve">ومحمّد </w:t>
      </w:r>
      <w:r>
        <w:rPr>
          <w:rStyle w:val="FootnoteAnchor"/>
          <w:rtl w:val="true"/>
        </w:rPr>
        <w:footnoteReference w:id="663"/>
      </w:r>
      <w:r>
        <w:rPr>
          <w:rFonts w:ascii="Amiri" w:hAnsi="Amiri" w:eastAsia="Amiri" w:cs="Amiri"/>
          <w:color w:val="111111"/>
          <w:sz w:val="28"/>
          <w:sz w:val="28"/>
          <w:szCs w:val="28"/>
          <w:rtl w:val="true"/>
          <w:lang w:bidi="ar-SA"/>
        </w:rPr>
        <w:t xml:space="preserve">الناهيتان عن البحث عما أحاط به الشعر لا تشملان محل المسح ، لقوله فيهما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يجري عليه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تخصيص الأكثر محلّه بالبشرة بعد تعميمهم في مسح الرأس ، للاحتراز عن مثل ذلك أو مثل الخف</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مسح كلّ من الرأس والرجلين ببقية نداوة اليدين من الوضوء ، وفاقا للأكثر </w:t>
      </w:r>
      <w:r>
        <w:rPr>
          <w:rStyle w:val="FootnoteAnchor"/>
          <w:rtl w:val="true"/>
        </w:rPr>
        <w:footnoteReference w:id="664"/>
      </w:r>
      <w:r>
        <w:rPr>
          <w:rFonts w:ascii="Amiri" w:hAnsi="Amiri" w:eastAsia="Amiri" w:cs="Amiri"/>
          <w:color w:val="111111"/>
          <w:sz w:val="28"/>
          <w:sz w:val="28"/>
          <w:szCs w:val="28"/>
          <w:rtl w:val="true"/>
          <w:lang w:bidi="ar-SA"/>
        </w:rPr>
        <w:t xml:space="preserve">بل لغير شاذ </w:t>
      </w:r>
      <w:r>
        <w:rPr>
          <w:rStyle w:val="FootnoteAnchor"/>
          <w:rtl w:val="true"/>
        </w:rPr>
        <w:footnoteReference w:id="665"/>
      </w:r>
      <w:r>
        <w:rPr>
          <w:rFonts w:ascii="Amiri" w:hAnsi="Amiri" w:eastAsia="Amiri" w:cs="Amiri"/>
          <w:color w:val="111111"/>
          <w:sz w:val="28"/>
          <w:sz w:val="28"/>
          <w:szCs w:val="28"/>
          <w:rtl w:val="true"/>
          <w:lang w:bidi="ar-SA"/>
        </w:rPr>
        <w:t xml:space="preserve">لا يقدح خلافه في الإجماع ، فعليه الإجماع </w:t>
      </w:r>
    </w:p>
    <w:p>
      <w:pPr>
        <w:pStyle w:val="BookText"/>
        <w:rPr/>
      </w:pPr>
      <w:r>
        <w:rPr>
          <w:rFonts w:ascii="Amiri" w:hAnsi="Amiri" w:eastAsia="Amiri" w:cs="Amiri"/>
          <w:color w:val="111111"/>
          <w:sz w:val="28"/>
          <w:sz w:val="28"/>
          <w:szCs w:val="28"/>
          <w:rtl w:val="true"/>
          <w:lang w:bidi="ar-SA"/>
        </w:rPr>
        <w:t xml:space="preserve">كما عن السيدين </w:t>
      </w:r>
      <w:r>
        <w:rPr>
          <w:rStyle w:val="FootnoteAnchor"/>
          <w:rtl w:val="true"/>
        </w:rPr>
        <w:footnoteReference w:id="666"/>
      </w:r>
      <w:r>
        <w:rPr>
          <w:rFonts w:ascii="Amiri" w:hAnsi="Amiri" w:eastAsia="Amiri" w:cs="Amiri"/>
          <w:color w:val="111111"/>
          <w:sz w:val="28"/>
          <w:sz w:val="28"/>
          <w:szCs w:val="28"/>
          <w:rtl w:val="true"/>
          <w:lang w:bidi="ar-SA"/>
        </w:rPr>
        <w:t xml:space="preserve">والشهيد </w:t>
      </w:r>
      <w:r>
        <w:rPr>
          <w:rStyle w:val="FootnoteAnchor"/>
          <w:rtl w:val="true"/>
        </w:rPr>
        <w:footnoteReference w:id="667"/>
      </w:r>
      <w:r>
        <w:rPr>
          <w:rFonts w:ascii="Amiri" w:hAnsi="Amiri" w:eastAsia="Amiri" w:cs="Amiri"/>
          <w:color w:val="111111"/>
          <w:sz w:val="28"/>
          <w:sz w:val="28"/>
          <w:szCs w:val="28"/>
          <w:rtl w:val="true"/>
          <w:lang w:bidi="ar-SA"/>
        </w:rPr>
        <w:t>أيضا ، فهو الحجة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المستفيضة كمرسلة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نسيت مسح رأسك فامسح عليه وعلى رجليك من بلّة وضوئك ، فإن لم يكن بقي في يدك من نداوة وضوئك شي‌ء فخذ ما بقي منه في لحيتك وامسح به رأسك ورجليك ، وإن لم يكن لك لحية فخذ من حاجبيك وأشفار عينيك وامسح به رأسك ورجليك ، وإن لم يبق من بلّة وضوئك شي‌ء أعدت الوضوء </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مالك بن أعين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نسي مسح رأسه ثمَّ ذكر أنه لم يمسح رأسه ، فإن كان في لحيته بلل ، فليأخذ منه ويمسح رأسه ، وإن لم يكن في لحيته بلل ، فلينصرف وليعد الوضوء </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ينسى مسح رأسه وهو في الصلاة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في لحيته بلل فليمسح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له لحية؟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يمسح من حاجبه ومن أشفار عينيه </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واختصاص الأخيرة بحال الصلاة صريحا والثانية ظاهرا ، فيمكن معه أن يكون الأمر بالمسح بالبقية لأجل عدم الخروج منها ، وبالإعادة ، لانتفاء الموالاة مع انتفاء البلل مطلقا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توقف تجديد البلّة على الخروج مطلقا ، فهما بإطلاقهما تعمّان الحالين ، مع أنّ الخروج لعدم الطهارة متحقّق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وضعف إسنادهما سيما مع الانجبار بما مرّ غير قادح ، كاختصاصهما بالنسيان ، لعدم القائل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ابن أذينة المتقدّمة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والرضوي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جبرئيل هبط على رسول اللّه صلی اللّه عليه وآله ، بغسلين ومسحين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الوجه والذراعين بكف كف ، ومسح الرأس والرجلين بفضل النداوة التي بقيت في يديك من وضوئك </w:t>
      </w:r>
      <w:r>
        <w:rPr>
          <w:rFonts w:eastAsia="IRNazanin" w:cs="IRNazanin"/>
          <w:color w:val="111111"/>
          <w:sz w:val="28"/>
          <w:szCs w:val="28"/>
          <w:rtl w:val="true"/>
          <w:lang w:bidi="fa-IR"/>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إرشاد المفيد وكشف الغمة وخرائج الراوندي فيما ورد على علي ابن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وامسح مقدّم رأسك وظاهر قدميك من نداوة وضوئك </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يستدلّ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عدم جواز دخول الصلاة ، والممنوعية منه بعد حدوث الحدث إلى أن يحصل المجوّز ، حيث إن إطلاقات المسح لا تدلّ على وجوب نداوة اليد ، لصدقه مع جفافها أيضا ، وإنّما هو يثبت بالإجماع ، والقدر المعلوم كونه مبيحا هو نداوة الوضوء ، فبدونها يستصحب عدم الإباحة والممنوعية المغيّاتان قطعا بحصول المجوّز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وبالوضوءات 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زرارة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وتمسح ببلة يمناك ناصيتك وبما بقي من بلّة يمناك ظهر قدمك اليمنى ، وتمسح ببلّة يسراك ظهر قدمك اليسرى </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 مع أصالة عدم وجوب هذا الخصوص الموجب لحصر المأمور به في الوضوء بالمسح بمطلق البلّة ، الموجب لرفع الحدث بالإجماع ، حيث إنّ القدر الواجب من الوضوء رافع للممنوعية إجماعا ، فهذا الأصل مزيل للاستصحاب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عدم دلالتهما على الزائد من الجواز والاستحباب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يعارض بهما ما يدلّ بظاهره على نفي الجواز ، كموثّقة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أمسح بما في يدي من الندى رأسي؟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بل تضع يدك في الماء ثمَّ تمسح </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وقريبة من معناها صحيحة معمّر </w:t>
      </w:r>
      <w:r>
        <w:rPr>
          <w:rStyle w:val="FootnoteAnchor"/>
          <w:rtl w:val="true"/>
        </w:rPr>
        <w:footnoteReference w:id="677"/>
      </w:r>
      <w:r>
        <w:rPr>
          <w:rFonts w:ascii="Amiri" w:hAnsi="Amiri" w:eastAsia="Amiri" w:cs="Amiri"/>
          <w:color w:val="111111"/>
          <w:sz w:val="28"/>
          <w:sz w:val="28"/>
          <w:szCs w:val="28"/>
          <w:rtl w:val="true"/>
          <w:lang w:bidi="ar-SA"/>
        </w:rPr>
        <w:t xml:space="preserve">ورواية أبي عمارة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ويرجّحان عليه بمخالفة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بحجّة حتى يصلح للمعارضة ، لمخالفة عمل الأصحاب كافة ، حيث يدلّ على وجوب الاستئناف مع البلّة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أنّها لا تصلح حجة للإسكافي الذي هو المخالف في المسألة ، فيجوز المسح بالماء الجديد إمّا مطلقا ، كما حكي عنه ، أو إذا لم تبق نداوة الوضوء ، كما هو ظاهر كلامه </w:t>
      </w:r>
      <w:r>
        <w:rPr>
          <w:rStyle w:val="FootnoteAnchor"/>
          <w:rtl w:val="true"/>
        </w:rPr>
        <w:footnoteReference w:id="679"/>
      </w:r>
      <w:r>
        <w:rPr>
          <w:rFonts w:ascii="Amiri" w:hAnsi="Amiri" w:eastAsia="Amiri" w:cs="Amiri"/>
          <w:color w:val="111111"/>
          <w:sz w:val="28"/>
          <w:sz w:val="28"/>
          <w:szCs w:val="28"/>
          <w:rtl w:val="true"/>
          <w:lang w:bidi="ar-SA"/>
        </w:rPr>
        <w:t>، ولا إطلاق الآية ، لأنّها بالنسبة إلى ما مر مطلقة فيجب التقييد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بحسنة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نسي أن يمسح رأسه حتى قام في الصلاة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ينصرف ويمسح رأسه ورجليه </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حيث إنّه لو كان ببقية البلل ، لما احتاج إلى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وقريبة منها رواية الكناني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بالانصراف قطع الصلاة ، وهو لأجل عدم تمامية الوضوء لا لتجديد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في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نسي مسح رأسه وهو في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شك فلم يدر 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فليتناول من لحيته إن كانت مبتلّة ويمسح على رأسه ، وإن كان أمامه ماء فليتناول منه فليمسح به رأسه </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فهو خارج عن الوضوء قطعا ، لعدم اعتبار هذا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مقتضى المرسلة وحسنة ابن أذينة والرضوي ، المتقدّمة </w:t>
      </w:r>
      <w:r>
        <w:rPr>
          <w:rStyle w:val="FootnoteAnchor"/>
          <w:rtl w:val="true"/>
        </w:rPr>
        <w:footnoteReference w:id="683"/>
      </w:r>
      <w:r>
        <w:rPr>
          <w:rFonts w:ascii="Amiri" w:hAnsi="Amiri" w:eastAsia="Amiri" w:cs="Amiri"/>
          <w:color w:val="111111"/>
          <w:sz w:val="28"/>
          <w:sz w:val="28"/>
          <w:szCs w:val="28"/>
          <w:rtl w:val="true"/>
          <w:lang w:bidi="ar-SA"/>
        </w:rPr>
        <w:t xml:space="preserve">مؤيّدا بصحيحة زرارة </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كون المسح ببقية بلّة اليدين خاصة ، وعدم جواز أخذها من مظانها من سائر أعضاء الوضوء أيضا مع بقائها في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كذلك على الأظهر الأشهر ، كما صرّح به بعض من تأخّر </w:t>
      </w:r>
      <w:r>
        <w:rPr>
          <w:rStyle w:val="FootnoteAnchor"/>
          <w:rtl w:val="true"/>
        </w:rPr>
        <w:footnoteReference w:id="685"/>
      </w:r>
      <w:r>
        <w:rPr>
          <w:rFonts w:ascii="Amiri" w:hAnsi="Amiri" w:eastAsia="Amiri" w:cs="Amiri"/>
          <w:color w:val="111111"/>
          <w:sz w:val="28"/>
          <w:sz w:val="28"/>
          <w:szCs w:val="28"/>
          <w:rtl w:val="true"/>
          <w:lang w:bidi="ar-SA"/>
        </w:rPr>
        <w:t>،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يقيّد بعض المطلقات المتقدمة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 المطلقات ككلمات الأصحاب على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w:t>
      </w:r>
      <w:r>
        <w:rPr>
          <w:rStyle w:val="FootnoteAnchor"/>
          <w:rtl w:val="true"/>
        </w:rPr>
        <w:footnoteReference w:id="687"/>
      </w:r>
      <w:r>
        <w:rPr>
          <w:rFonts w:ascii="Amiri" w:hAnsi="Amiri" w:eastAsia="Amiri" w:cs="Amiri"/>
          <w:color w:val="111111"/>
          <w:sz w:val="28"/>
          <w:sz w:val="28"/>
          <w:szCs w:val="28"/>
          <w:rtl w:val="true"/>
          <w:lang w:bidi="ar-SA"/>
        </w:rPr>
        <w:t xml:space="preserve">وغرر المجامع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جفافها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الأخذ منها إجماعا ، كما تدلّ عليه المرسلة ، وروايتا مالك وخلف </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الاقتصار على الأشفار والحاجب واللحية ، بل يجوز الأخذ من غيرها كالوجه والذراع أيضا ، لمفهوم قوله في المرسلة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يبق من بلّة وضوئك شي‌ء أعدت الوضوء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يقتصر من اللحية على موضع الوضوء منها ، أم يتعدّى إلى غيره أيضا كالمسترسل؟ </w:t>
      </w:r>
    </w:p>
    <w:p>
      <w:pPr>
        <w:pStyle w:val="BookText"/>
        <w:rPr/>
      </w:pPr>
      <w:r>
        <w:rPr>
          <w:rFonts w:ascii="Amiri" w:hAnsi="Amiri" w:eastAsia="Amiri" w:cs="Amiri"/>
          <w:color w:val="111111"/>
          <w:sz w:val="28"/>
          <w:sz w:val="28"/>
          <w:szCs w:val="28"/>
          <w:rtl w:val="true"/>
          <w:lang w:bidi="ar-SA"/>
        </w:rPr>
        <w:t xml:space="preserve">مقتضى إطلاق كثير مما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ولكن المرسلة تخصّه بالأوّل ، لمكان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فخذ ما بقي منه في لحيتك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كون ما في غير محل الفرض منه ممنوع ، فإذا حمل المطلق على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الاقتصار منها على موضع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مقتضى منطوق قوله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يبق من بلّة وضوئك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التعدّي ، فيعارض الإطلاق بالعموم من وجه ، ولعدم مرجّح يرجع إلى المقيّد ، ومقتضاه الاقتصار ، فعليه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ماء المسترسل أيضا من نداوة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 ، إذ يمكن أن يكون المراد بالوضوء فيه ما حصل به الوضوء لا ما أخذ لأجله ، بل الظاهر هو الأوّل ، ولا شك أن ما في غير محل الفرض لم يحصل به الوضوء ، أي الطهارة ، ولو كان ما في المسترسل من بقية الوضوء ، لجاز الأخذ مما تقاطر منه على الثوب أيضا ، ولعلّه 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جواز الأخذ من الماء الذي في موضع مسح الرأس من غسل الوجه ، إلاّ في القدر المحتاج إليه من باب المقدمة ، فإنّ الظاهر أنّه من نداوة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ثمَّ إنّ وجوب المسح بالبلة إنّما هو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تعذّر بقاؤها لريح أو حرّ أو نحوهما ، فيلزم استئناف الماء الجديد له ، لاستصحاب وجوب الغسلتين والمسحتين ، وعدم تحقّق الأخيرين إلاّ في ضمن جفاف الماسح ، أو بلّته بنداوة الوضوء ، أو بالماء الجديد ، وبطلان الأوّل بالإجماع ، والثاني بالتعذّر ، فلم يبق إلاّ الثالث</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ضعف تجويز الانتقال إلى التيمّم ، لاستصحاب وجوب الغسل والمسح مع أصالة عدم مشروعيته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 نداوة محل المسح قبله إن استهلكت في نداوة الماسح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بدونه ففيه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المسح معها ، ذهب إليه الحلّي ، والمحقق ، والفاضل في بعض كتبه </w:t>
      </w:r>
      <w:r>
        <w:rPr>
          <w:rStyle w:val="FootnoteAnchor"/>
          <w:rtl w:val="true"/>
        </w:rPr>
        <w:footnoteReference w:id="690"/>
      </w:r>
      <w:r>
        <w:rPr>
          <w:rFonts w:ascii="Amiri" w:hAnsi="Amiri" w:eastAsia="Amiri" w:cs="Amiri"/>
          <w:color w:val="111111"/>
          <w:sz w:val="28"/>
          <w:sz w:val="28"/>
          <w:szCs w:val="28"/>
          <w:rtl w:val="true"/>
          <w:lang w:bidi="ar-SA"/>
        </w:rPr>
        <w:t>، ونسبه والدي إلى الأكثر ، بل عن الثاني جواز إخراج الرّجل من الماء والمسح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وعدمها كذلك ، اختاره الفاضل في المختلف ، ووالده </w:t>
      </w:r>
      <w:r>
        <w:rPr>
          <w:rStyle w:val="FootnoteAnchor"/>
          <w:rtl w:val="true"/>
        </w:rPr>
        <w:footnoteReference w:id="691"/>
      </w:r>
      <w:r>
        <w:rPr>
          <w:rFonts w:ascii="Amiri" w:hAnsi="Amiri" w:eastAsia="Amiri" w:cs="Amiri"/>
          <w:color w:val="111111"/>
          <w:sz w:val="28"/>
          <w:sz w:val="28"/>
          <w:szCs w:val="28"/>
          <w:rtl w:val="true"/>
          <w:lang w:bidi="ar-SA"/>
        </w:rPr>
        <w:t>، ووالدي طاب ثراهم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مع غلبة بلّة الماسح ، والثاني مع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التذكرة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الثاني ، لوجوب كون المسح ببلّة الوضوء ، وتمتزج البلّتان بمجرد الوضع ، فيصير ما في اليد غير نداوة الوضوء ، إذ المركّب غير جزئه ، والماسح بالسكنجبين ليس ماسحا بالخلّ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قاضية بعدم الفرق بين المزج بالصب وبوضع اليد على البلّة ، فعدم صدق المسح بالبقية في الثاني كما في الأوّل ممّا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عدم الفرق بين الماء والعرق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للأوّل </w:t>
      </w: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الامتثال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امتثال أوامر المسح فمسلّم ، ولكن هنا أمرا آخر هو المسح بالبقية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امتثال جميع الأوامر فممنوع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الآخر ليس إلاّ الأمر بالمسح باليد المبتلّة ببقية الوضوء وقد حصل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المسح ببلّة اليد ، لا اليد المبتلّة ، فإنّه معنى المسح بالبلّة ومنها ، وذلك لا يكون إلاّ بأن يمسح ببلّة اليد منفردة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وللثالث </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المزج القليل لا يمنع صدق المسح بالبلة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في الصدق المجازي دون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كانت بلّة الممسوح قدرا لا ينفصل منها شي‌ء يمتزج مع بلّة الماسح ، اتّجه القول بالصحة ، وإن كانت هي أيضا مساوية لها ، إن قلنا بكفاية هذا القدر من البلة في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تأثير بلّة الماسح في الممسوح ، أي حصول بلّة منه فيه قولان ، أحوطهما بل أظهرهما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الاشتراط ، لأنّه المتبادر من المسح بالبلّة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المسح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يتعيّن فيه الكف ، أو باطنه مطلقا ، أو بلا ضرورة؟ 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من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الكف بلا ضرورة ، مع أولوية باطنه ، ومعها ينتقل إلى الذراع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قال بتعيّن الباطن ، ومع العذر ينتقل إلى الظاهر ثمَّ إلى الذراع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قدّم التيمّم على الذراع</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وحسنته </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 xml:space="preserve">والرضوي ، المتقدّمة </w:t>
      </w:r>
      <w:r>
        <w:rPr>
          <w:rStyle w:val="FootnoteAnchor"/>
          <w:rtl w:val="true"/>
        </w:rPr>
        <w:footnoteReference w:id="698"/>
      </w:r>
      <w:r>
        <w:rPr>
          <w:rFonts w:ascii="Amiri" w:hAnsi="Amiri" w:eastAsia="Amiri" w:cs="Amiri"/>
          <w:color w:val="111111"/>
          <w:sz w:val="28"/>
          <w:sz w:val="28"/>
          <w:szCs w:val="28"/>
          <w:rtl w:val="true"/>
          <w:lang w:bidi="ar-SA"/>
        </w:rPr>
        <w:t xml:space="preserve">بل المرسلة </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المسح باليد ، ولكنّ في معنى اليد إجمالا ، لاحتمال أن يكون المراد بها الكف كما في يد التيمم ، أو مع الذراع كما في يد الوضوء ، ومقتضى </w:t>
      </w:r>
    </w:p>
    <w:p>
      <w:pPr>
        <w:pStyle w:val="BookText"/>
        <w:rPr/>
      </w:pPr>
      <w:r>
        <w:rPr>
          <w:rFonts w:ascii="Amiri" w:hAnsi="Amiri" w:eastAsia="Amiri" w:cs="Amiri"/>
          <w:color w:val="111111"/>
          <w:sz w:val="28"/>
          <w:sz w:val="28"/>
          <w:szCs w:val="28"/>
          <w:rtl w:val="true"/>
          <w:lang w:bidi="ar-SA"/>
        </w:rPr>
        <w:t xml:space="preserve">استصحاب وجوب المسح باليد والحدث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وتؤيّده صحيحة البزنطي ، المتقدّمة </w:t>
      </w:r>
      <w:r>
        <w:rPr>
          <w:rStyle w:val="FootnoteAnchor"/>
          <w:rtl w:val="true"/>
        </w:rPr>
        <w:footnoteReference w:id="700"/>
      </w:r>
      <w:r>
        <w:rPr>
          <w:rFonts w:ascii="Amiri" w:hAnsi="Amiri" w:eastAsia="Amiri" w:cs="Amiri"/>
          <w:color w:val="111111"/>
          <w:sz w:val="28"/>
          <w:sz w:val="28"/>
          <w:szCs w:val="28"/>
          <w:rtl w:val="true"/>
          <w:lang w:bidi="ar-SA"/>
        </w:rPr>
        <w:t xml:space="preserve">، وصحيحة الأخوين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مسح رأسه وقدميه ببلل كفه </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في تفسير العياشي في وصف وضوء رسول اللّه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ومسح رأسه بفضل كفيه وقدميه </w:t>
      </w:r>
      <w:r>
        <w:rPr>
          <w:rFonts w:eastAsia="IRNazanin" w:cs="IRNazanin"/>
          <w:color w:val="111111"/>
          <w:sz w:val="28"/>
          <w:szCs w:val="28"/>
          <w:rtl w:val="true"/>
          <w:lang w:bidi="fa-IR"/>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والطريقة المعهودة من الناس ، فعليه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تعيين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عليه وإن كان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عدم العذر ، وأمّا معه فيجزي الذراع أيضا ، لمطلقات المسح التي لم يعلم تقييدها بالكف إلاّ في صورة عدم العذر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جواز المسحين مقبلا ومدبرا ، وفاقا فيهما للعماني والمبسوط ، والإصباح ، والشرائع ، والنافع ، والمعتبر </w:t>
      </w:r>
      <w:r>
        <w:rPr>
          <w:rStyle w:val="FootnoteAnchor"/>
          <w:rtl w:val="true"/>
        </w:rPr>
        <w:footnoteReference w:id="703"/>
      </w:r>
      <w:r>
        <w:rPr>
          <w:rFonts w:ascii="Amiri" w:hAnsi="Amiri" w:eastAsia="Amiri" w:cs="Amiri"/>
          <w:color w:val="111111"/>
          <w:sz w:val="28"/>
          <w:sz w:val="28"/>
          <w:szCs w:val="28"/>
          <w:rtl w:val="true"/>
          <w:lang w:bidi="ar-SA"/>
        </w:rPr>
        <w:t xml:space="preserve">، وجلّ المتأخّرين </w:t>
      </w:r>
      <w:r>
        <w:rPr>
          <w:rStyle w:val="FootnoteAnchor"/>
          <w:rtl w:val="true"/>
        </w:rPr>
        <w:footnoteReference w:id="704"/>
      </w:r>
      <w:r>
        <w:rPr>
          <w:rFonts w:ascii="Amiri" w:hAnsi="Amiri" w:eastAsia="Amiri" w:cs="Amiri"/>
          <w:color w:val="111111"/>
          <w:sz w:val="28"/>
          <w:sz w:val="28"/>
          <w:szCs w:val="28"/>
          <w:rtl w:val="true"/>
          <w:lang w:bidi="ar-SA"/>
        </w:rPr>
        <w:t xml:space="preserve">، بل للمشهور ، كما صرّح به غير واحد </w:t>
      </w:r>
      <w:r>
        <w:rPr>
          <w:rStyle w:val="FootnoteAnchor"/>
          <w:rtl w:val="true"/>
        </w:rPr>
        <w:footnoteReference w:id="705"/>
      </w:r>
      <w:r>
        <w:rPr>
          <w:rFonts w:ascii="Amiri" w:hAnsi="Amiri" w:eastAsia="Amiri" w:cs="Amiri"/>
          <w:color w:val="111111"/>
          <w:sz w:val="28"/>
          <w:sz w:val="28"/>
          <w:szCs w:val="28"/>
          <w:rtl w:val="true"/>
          <w:lang w:bidi="ar-SA"/>
        </w:rPr>
        <w:t xml:space="preserve">، وفي الرأس خاصة للحلّي </w:t>
      </w:r>
      <w:r>
        <w:rPr>
          <w:rStyle w:val="FootnoteAnchor"/>
          <w:rtl w:val="true"/>
        </w:rPr>
        <w:footnoteReference w:id="706"/>
      </w:r>
      <w:r>
        <w:rPr>
          <w:rFonts w:ascii="Amiri" w:hAnsi="Amiri" w:eastAsia="Amiri" w:cs="Amiri"/>
          <w:color w:val="111111"/>
          <w:sz w:val="28"/>
          <w:sz w:val="28"/>
          <w:szCs w:val="28"/>
          <w:rtl w:val="true"/>
          <w:lang w:bidi="ar-SA"/>
        </w:rPr>
        <w:t xml:space="preserve">، وفي الرّجل للنهاية ، والاستبصار ، والمراسم ، والمهذّب ، والجامع ، والإشارة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للأصل ، والإطلاقات </w:t>
      </w:r>
      <w:r>
        <w:rPr>
          <w:rStyle w:val="FootnoteAnchor"/>
          <w:rtl w:val="true"/>
        </w:rPr>
        <w:footnoteReference w:id="708"/>
      </w:r>
      <w:r>
        <w:rPr>
          <w:rFonts w:ascii="Amiri" w:hAnsi="Amiri" w:eastAsia="Amiri" w:cs="Amiri"/>
          <w:color w:val="111111"/>
          <w:sz w:val="28"/>
          <w:sz w:val="28"/>
          <w:szCs w:val="28"/>
          <w:rtl w:val="true"/>
          <w:lang w:bidi="ar-SA"/>
        </w:rPr>
        <w:t xml:space="preserve">، وصحيحة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بمسح الوضوء مقبلا ومدبرا </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وتزيد في الثاني صحيحته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بمسح القدمين مقبلا ومدبرا </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رأى أبا الحسن عليه السلام بمنى يمسح ظهر قدميه من أعلى القدم إلى الكعب ومن الكعب إلى أعلى القدم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في مسح الرجلين موسّع ، من شاء مسح مقبلا ومن شاء مدبرا ، فإنّه من الأمر الموسّع </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وخلافا فيهما للمحكي عن الصدوق </w:t>
      </w:r>
      <w:r>
        <w:rPr>
          <w:rStyle w:val="FootnoteAnchor"/>
          <w:rtl w:val="true"/>
        </w:rPr>
        <w:footnoteReference w:id="712"/>
      </w:r>
      <w:r>
        <w:rPr>
          <w:rFonts w:ascii="Amiri" w:hAnsi="Amiri" w:eastAsia="Amiri" w:cs="Amiri"/>
          <w:color w:val="111111"/>
          <w:sz w:val="28"/>
          <w:sz w:val="28"/>
          <w:szCs w:val="28"/>
          <w:rtl w:val="true"/>
          <w:lang w:bidi="ar-SA"/>
        </w:rPr>
        <w:t xml:space="preserve">، وفي الأوّل خاصة عن السيد ، والنهاية ، والخلاف ، والاستبصار ، والوسيلة </w:t>
      </w:r>
      <w:r>
        <w:rPr>
          <w:rStyle w:val="FootnoteAnchor"/>
          <w:rtl w:val="true"/>
        </w:rPr>
        <w:footnoteReference w:id="713"/>
      </w:r>
      <w:r>
        <w:rPr>
          <w:rFonts w:ascii="Amiri" w:hAnsi="Amiri" w:eastAsia="Amiri" w:cs="Amiri"/>
          <w:color w:val="111111"/>
          <w:sz w:val="28"/>
          <w:sz w:val="28"/>
          <w:szCs w:val="28"/>
          <w:rtl w:val="true"/>
          <w:lang w:bidi="ar-SA"/>
        </w:rPr>
        <w:t xml:space="preserve">، بل عن الخلاف والانتصار الإجماع عليه ، وفي الثاني عن الحلّي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للاحتياط ، والوضوءات البيانية ، وافتقار اليقين بالشغل إلى اليقين بالبراءة فيهما ، وللإجماع المنقول في الأوّل ، ولظاهر الآية </w:t>
      </w:r>
      <w:r>
        <w:rPr>
          <w:rStyle w:val="FootnoteAnchor"/>
          <w:rtl w:val="true"/>
        </w:rPr>
        <w:footnoteReference w:id="715"/>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غير صالح لإثبات الوجوب ، وكذا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دلالة في البيانيات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 اليقين بما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ليس </w:t>
      </w:r>
    </w:p>
    <w:p>
      <w:pPr>
        <w:pStyle w:val="BookText"/>
        <w:rPr/>
      </w:pPr>
      <w:r>
        <w:rPr>
          <w:rFonts w:ascii="Amiri" w:hAnsi="Amiri" w:eastAsia="Amiri" w:cs="Amiri"/>
          <w:color w:val="111111"/>
          <w:sz w:val="28"/>
          <w:sz w:val="28"/>
          <w:szCs w:val="28"/>
          <w:rtl w:val="true"/>
          <w:lang w:bidi="ar-SA"/>
        </w:rPr>
        <w:t>بحجة ، سيما مع مخالفة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 محتمل لكون إلى غاية للممسوح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يكره النكس فيهما ، للتفصّي عن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خصوص الأوّل ، لاتّباع الإجماع المنقول عن الانتصار والخلاف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خصوص الثاني ، لظهور الآية في كونها غاية للمسح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أنّ الأحوط فيه ، بل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النكس ، لعدم حجية الخبر المخالف لظاهر الكتاب ، سيما مع معارضته لأخبار أخر متضمّنة للمسح إلى الكعبين ، كما مرّت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لا يجزي عن المسح ، ووجهه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تحقق معه ، بأن كانت البلّة الباقية مشتملة على ما يتحقّق معه الجريان لو مسح بها ، فإنّ الأظهر حينئذ الإجزاء إذا لم يقصد الغسل ، لصدق الامتثال ، فإنّ النسبة بين الغسل والمسح العموم من وجه ، فمادّة الاجتماع تجزي عن كلّ منهما ، ووجود الآخر لا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صحيحة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المسح على القدمين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الوضوء بالمسح ولا يجب فيه إلاّ ذلك ، ومن غسل فلا بأس </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ومفهوم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أنك توضّأت وجعلت موضع مسح الرجلين غسلا ثمَّ أضمرت أنّ ذلك هو المفترض ، لم يكن ذلك بوضوء </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التفصيل في الآية ، لأنّه يقتضي المغايرة دون المباينة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مثل رواية ابن مروان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على الرجل ستون وسبعون سنة ما قبل اللّه منه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يغسل ما أمر اللّه بمسحه </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يدلّ على النهي عن الغسل ، بل على عدم كونه مأمورا به بنفسه ، ولا ينافي ذلك الأمر به لأجل ما يتحقّق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ردّ على العامة الذين لا يقصدون إلاّ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بعض موضع المسح ، مسح الباقي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 الكلّ ، سقط كذلك ، ويكتفي بسائر الأفعال ، لأصالة بقاء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ينتقل إلى التيمّم ، لعدم ثبوت التوقيف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 بأن يبدأ بالوجه ثمَّ اليمنى ثمَّ اليسرى ثمَّ الرأس ثمَّ الرجلين ، للإجماع ، واستصحاب الحدث ، وصريح النصوص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خالفه ، أعاد الوضوء مع الجفاف ، لفوات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Style w:val="FootnoteAnchor"/>
          <w:rtl w:val="true"/>
        </w:rPr>
        <w:footnoteReference w:id="721"/>
      </w:r>
      <w:r>
        <w:rPr>
          <w:rFonts w:ascii="Amiri" w:hAnsi="Amiri" w:eastAsia="Amiri" w:cs="Amiri"/>
          <w:color w:val="111111"/>
          <w:sz w:val="28"/>
          <w:sz w:val="28"/>
          <w:szCs w:val="28"/>
          <w:rtl w:val="true"/>
          <w:lang w:bidi="ar-SA"/>
        </w:rPr>
        <w:t xml:space="preserve">يحصّله بدونه ، ويحصل بإعادة ما قدّمه بما بعده </w:t>
      </w:r>
      <w:r>
        <w:rPr>
          <w:rStyle w:val="FootnoteAnchor"/>
          <w:rtl w:val="true"/>
        </w:rPr>
        <w:footnoteReference w:id="722"/>
      </w:r>
      <w:r>
        <w:rPr>
          <w:rFonts w:ascii="IRNazanin" w:hAnsi="IRNazanin" w:eastAsia="IRNazanin"/>
          <w:color w:val="111111"/>
          <w:sz w:val="28"/>
          <w:sz w:val="28"/>
          <w:szCs w:val="28"/>
          <w:rtl w:val="true"/>
          <w:lang w:bidi="fa-IR"/>
        </w:rPr>
        <w:t xml:space="preserve">دون ما قبله لو غسله بعده </w:t>
      </w:r>
      <w:r>
        <w:rPr>
          <w:rStyle w:val="FootnoteAnchor"/>
          <w:rtl w:val="true"/>
        </w:rPr>
        <w:footnoteReference w:id="723"/>
      </w:r>
      <w:r>
        <w:rPr>
          <w:rFonts w:ascii="Amiri" w:hAnsi="Amiri" w:eastAsia="Amiri" w:cs="Amiri"/>
          <w:color w:val="111111"/>
          <w:sz w:val="28"/>
          <w:sz w:val="28"/>
          <w:szCs w:val="28"/>
          <w:rtl w:val="true"/>
          <w:lang w:bidi="ar-SA"/>
        </w:rPr>
        <w:t>، لحصول المطلوب ، وظاهر الوفاق ، والمستفيضة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يغسله بعد ، غسله 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قصد الترتيب مع عدمه حسّا بوقوع الوضوء في المطر ، فينوي الأوّل فالأوّل ، إذ بالقصد يتحقّق الغسل للوضوء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يحمل الخبر المجوّز له في المطر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والترتيب ركن يبطل الوضوء بتركه ولو نسيانا أو جهلا إجماعا ، لاستصحاب </w:t>
      </w:r>
    </w:p>
    <w:p>
      <w:pPr>
        <w:pStyle w:val="BookText"/>
        <w:rPr/>
      </w:pPr>
      <w:r>
        <w:rPr>
          <w:rFonts w:ascii="Amiri" w:hAnsi="Amiri" w:eastAsia="Amiri" w:cs="Amiri"/>
          <w:color w:val="111111"/>
          <w:sz w:val="28"/>
          <w:sz w:val="28"/>
          <w:szCs w:val="28"/>
          <w:rtl w:val="true"/>
          <w:lang w:bidi="ar-SA"/>
        </w:rPr>
        <w:t xml:space="preserve">الحدث ، وعدم الإتيان بالمأمور به ، والأخبار الواردة في خصوص الناسي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وجوب الترتيب بين الرجلين بتقديم اليمنى على اليسرى وعدمه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للمحكي عن الصدوقين </w:t>
      </w:r>
      <w:r>
        <w:rPr>
          <w:rStyle w:val="FootnoteAnchor"/>
          <w:rtl w:val="true"/>
        </w:rPr>
        <w:footnoteReference w:id="726"/>
      </w:r>
      <w:r>
        <w:rPr>
          <w:rFonts w:ascii="Amiri" w:hAnsi="Amiri" w:eastAsia="Amiri" w:cs="Amiri"/>
          <w:color w:val="111111"/>
          <w:sz w:val="28"/>
          <w:sz w:val="28"/>
          <w:szCs w:val="28"/>
          <w:rtl w:val="true"/>
          <w:lang w:bidi="ar-SA"/>
        </w:rPr>
        <w:t xml:space="preserve">، والقديمين </w:t>
      </w:r>
      <w:r>
        <w:rPr>
          <w:rStyle w:val="FootnoteAnchor"/>
          <w:rtl w:val="true"/>
        </w:rPr>
        <w:footnoteReference w:id="727"/>
      </w:r>
      <w:r>
        <w:rPr>
          <w:rFonts w:ascii="Amiri" w:hAnsi="Amiri" w:eastAsia="Amiri" w:cs="Amiri"/>
          <w:color w:val="111111"/>
          <w:sz w:val="28"/>
          <w:sz w:val="28"/>
          <w:szCs w:val="28"/>
          <w:rtl w:val="true"/>
          <w:lang w:bidi="ar-SA"/>
        </w:rPr>
        <w:t xml:space="preserve">، والديلمي ، والكركي ، والشهيدين في اللمعة والروضة ، بل الشيخ في الخلاف مدّعيا عليه الإجماع </w:t>
      </w:r>
      <w:r>
        <w:rPr>
          <w:rStyle w:val="FootnoteAnchor"/>
          <w:rtl w:val="true"/>
        </w:rPr>
        <w:footnoteReference w:id="728"/>
      </w:r>
      <w:r>
        <w:rPr>
          <w:rFonts w:ascii="Amiri" w:hAnsi="Amiri" w:eastAsia="Amiri" w:cs="Amiri"/>
          <w:color w:val="111111"/>
          <w:sz w:val="28"/>
          <w:sz w:val="28"/>
          <w:szCs w:val="28"/>
          <w:rtl w:val="true"/>
          <w:lang w:bidi="ar-SA"/>
        </w:rPr>
        <w:t xml:space="preserve">، إلاّ أنه قال بعض الأجلة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ظاهره اليمين واليسار من اليدين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للاستصحاب ، وحسنة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المسح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امسح على مقدّم رأسك وامسح على القدمين وابدأ بالشقّ الأيمن </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وعموم المروي في رجال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توضّأ أحدكم فليبدأ باليمين قبل الشمال من جسده </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والمروي عن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إذا توضأ بدأ بميامنه </w:t>
      </w:r>
      <w:r>
        <w:rPr>
          <w:rFonts w:eastAsia="IRNazanin" w:cs="IRNazanin"/>
          <w:color w:val="111111"/>
          <w:sz w:val="28"/>
          <w:szCs w:val="28"/>
          <w:rtl w:val="true"/>
          <w:lang w:bidi="fa-IR"/>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والوضوءات البيانية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للحلّي </w:t>
      </w:r>
      <w:r>
        <w:rPr>
          <w:rStyle w:val="FootnoteAnchor"/>
          <w:rtl w:val="true"/>
        </w:rPr>
        <w:footnoteReference w:id="734"/>
      </w:r>
      <w:r>
        <w:rPr>
          <w:rFonts w:ascii="Amiri" w:hAnsi="Amiri" w:eastAsia="Amiri" w:cs="Amiri"/>
          <w:color w:val="111111"/>
          <w:sz w:val="28"/>
          <w:sz w:val="28"/>
          <w:szCs w:val="28"/>
          <w:rtl w:val="true"/>
          <w:lang w:bidi="ar-SA"/>
        </w:rPr>
        <w:t xml:space="preserve">، والفاضلين </w:t>
      </w:r>
      <w:r>
        <w:rPr>
          <w:rStyle w:val="FootnoteAnchor"/>
          <w:rtl w:val="true"/>
        </w:rPr>
        <w:footnoteReference w:id="735"/>
      </w:r>
      <w:r>
        <w:rPr>
          <w:rFonts w:ascii="Amiri" w:hAnsi="Amiri" w:eastAsia="Amiri" w:cs="Amiri"/>
          <w:color w:val="111111"/>
          <w:sz w:val="28"/>
          <w:sz w:val="28"/>
          <w:szCs w:val="28"/>
          <w:rtl w:val="true"/>
          <w:lang w:bidi="ar-SA"/>
        </w:rPr>
        <w:t xml:space="preserve">، والنفلية ، والبيان </w:t>
      </w:r>
      <w:r>
        <w:rPr>
          <w:rStyle w:val="FootnoteAnchor"/>
          <w:rtl w:val="true"/>
        </w:rPr>
        <w:footnoteReference w:id="736"/>
      </w:r>
      <w:r>
        <w:rPr>
          <w:rFonts w:ascii="Amiri" w:hAnsi="Amiri" w:eastAsia="Amiri" w:cs="Amiri"/>
          <w:color w:val="111111"/>
          <w:sz w:val="28"/>
          <w:sz w:val="28"/>
          <w:szCs w:val="28"/>
          <w:rtl w:val="true"/>
          <w:lang w:bidi="ar-SA"/>
        </w:rPr>
        <w:t xml:space="preserve">، ووالدي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إلى الفقيه والمراسم </w:t>
      </w:r>
      <w:r>
        <w:rPr>
          <w:rStyle w:val="FootnoteAnchor"/>
          <w:rtl w:val="true"/>
        </w:rPr>
        <w:footnoteReference w:id="737"/>
      </w:r>
      <w:r>
        <w:rPr>
          <w:rFonts w:ascii="Amiri" w:hAnsi="Amiri" w:eastAsia="Amiri" w:cs="Amiri"/>
          <w:color w:val="111111"/>
          <w:sz w:val="28"/>
          <w:sz w:val="28"/>
          <w:szCs w:val="28"/>
          <w:rtl w:val="true"/>
          <w:lang w:bidi="ar-SA"/>
        </w:rPr>
        <w:t xml:space="preserve">، وأضافه في غرر المجامع إلى الصدوقين أيضا ، ونسبه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المدارك والبحار وغيرهما إلى الشهرة المطلقة </w:t>
      </w:r>
      <w:r>
        <w:rPr>
          <w:rStyle w:val="FootnoteAnchor"/>
          <w:rtl w:val="true"/>
        </w:rPr>
        <w:footnoteReference w:id="738"/>
      </w:r>
      <w:r>
        <w:rPr>
          <w:rFonts w:ascii="Amiri" w:hAnsi="Amiri" w:eastAsia="Amiri" w:cs="Amiri"/>
          <w:color w:val="111111"/>
          <w:sz w:val="28"/>
          <w:sz w:val="28"/>
          <w:szCs w:val="28"/>
          <w:rtl w:val="true"/>
          <w:lang w:bidi="ar-SA"/>
        </w:rPr>
        <w:t xml:space="preserve">، بل عن الحلّي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 أحدا منّا يخالفنا في ذلك ، وعن بعض فتاويه نفي الخلاف فيه صريحا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للأصل ، وإطلاق الأوامر ، وصدق الامتثال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بجواز المعية دون تقديم اليسرى ، نقله في الذكرى </w:t>
      </w:r>
      <w:r>
        <w:rPr>
          <w:rStyle w:val="FootnoteAnchor"/>
          <w:rtl w:val="true"/>
        </w:rPr>
        <w:footnoteReference w:id="739"/>
      </w:r>
      <w:r>
        <w:rPr>
          <w:rFonts w:ascii="Amiri" w:hAnsi="Amiri" w:eastAsia="Amiri" w:cs="Amiri"/>
          <w:color w:val="111111"/>
          <w:sz w:val="28"/>
          <w:sz w:val="28"/>
          <w:szCs w:val="28"/>
          <w:rtl w:val="true"/>
          <w:lang w:bidi="ar-SA"/>
        </w:rPr>
        <w:t xml:space="preserve">عن بعض ، واختاره جمع من متأخّري المتأخّرين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للتوقيع المروي في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المسح على الرجلين يبدأ باليمين أو يمسح عليهما جميعا؟ فخرج التوقيع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يمسح عليهما جميعا معا ، فإن كان بدأ بإحداهما قبل الأخرى فلا يبدأ إلاّ باليمين </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أنه لا يثبت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يبدأ إلاّ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مرجوحية الابتداء بغير اليمين ، وأمّا الحرمة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مفهومه إلاّ رجحان الابتداء باليمين لو بدأ بإحداهما دون وجوبه ، فلا يصلح التوقيع إلاّ لنفي وجوب الترتيب وتجويز المعية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فهو بالشهرة ونفي الخلاف المحكيين مجبور ، مع أنه في نفسه صحيح وحجة ، فيصلح لمعارضة ما مرّ دليلا للترتيب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وتعارضه مع غير الحسنة بالخصوص المطلق ، وكذا معها لو جعل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برأسه من أحكام الوضوء شاملا للمسح وغيره ، كما هو أحد الاحتمالين ، فيجب تخصيص الجميع بالتوقيع وتجويز المعية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جعل متعلّقا بالمسح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فيحصل التعارض بالتساوي ، </w:t>
      </w:r>
    </w:p>
    <w:p>
      <w:pPr>
        <w:pStyle w:val="BookText"/>
        <w:rPr/>
      </w:pPr>
      <w:r>
        <w:rPr>
          <w:rFonts w:ascii="Amiri" w:hAnsi="Amiri" w:eastAsia="Amiri" w:cs="Amiri"/>
          <w:color w:val="111111"/>
          <w:sz w:val="28"/>
          <w:sz w:val="28"/>
          <w:szCs w:val="28"/>
          <w:rtl w:val="true"/>
          <w:lang w:bidi="ar-SA"/>
        </w:rPr>
        <w:t>والترجيح للتوقيع ، للأحدثية وموافقة إطلاق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قطع النظر عن الترجيح فإما نقول بالتخيير بين المعية والابتداء باليمين ، أو يتساقطان ويرجع إلى الإطلاقات المجوّزة للمعية ، فتجويزها ممّا لا مناص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جواز البدأة باليسرى أيضا ، إذ بعد سقوط موجبات اليمين بمجوّزات المعية يبقى الأصل والإطلاقات في البدأة باليسرى خاليا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الموجبات تمنع عن المعية والبدأة باليسرى ، وبعد خروج الأول بالتوقيع يبقى الثاني ، فاسد ، إذ منعها منهما إنّما كان بلزومه لوجوب البدأة باليمين ، فدلالتها على المنع التزامية ساقطة بعد سقوط 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توهّم أنّها تدلّ على وجوب تقديم اليمنى مطلقا ، خرج ما إذا أراد المعية فيبقى الباقي ، إذ تجويز المعية عين نفي وجوب تقديم اليمين مطلقا ، لجواز تركه في كلّ وقت ، وليس ذلك من باب الإطلاق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مع الاقتصار على تجويز المعية يكون الوجوب في الموجبات تخييريا ، وهو أيضا مجاز لا ترجيح له على الحمل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مراعاة عدم الجفاف بالمعنى الآتي </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بالإجماع المحقق والمحكي في الناصريات والمدارك </w:t>
      </w:r>
      <w:r>
        <w:rPr>
          <w:rStyle w:val="FootnoteAnchor"/>
          <w:rtl w:val="true"/>
        </w:rPr>
        <w:footnoteReference w:id="743"/>
      </w:r>
      <w:r>
        <w:rPr>
          <w:rFonts w:ascii="Amiri" w:hAnsi="Amiri" w:eastAsia="Amiri" w:cs="Amiri"/>
          <w:color w:val="111111"/>
          <w:sz w:val="28"/>
          <w:sz w:val="28"/>
          <w:szCs w:val="28"/>
          <w:rtl w:val="true"/>
          <w:lang w:bidi="ar-SA"/>
        </w:rPr>
        <w:t xml:space="preserve">وغيرهما </w:t>
      </w:r>
      <w:r>
        <w:rPr>
          <w:rStyle w:val="FootnoteAnchor"/>
          <w:rtl w:val="true"/>
        </w:rPr>
        <w:footnoteReference w:id="744"/>
      </w:r>
      <w:r>
        <w:rPr>
          <w:rFonts w:ascii="IRNazanin" w:hAnsi="IRNazanin" w:eastAsia="IRNazanin"/>
          <w:color w:val="111111"/>
          <w:sz w:val="28"/>
          <w:sz w:val="28"/>
          <w:szCs w:val="28"/>
          <w:rtl w:val="true"/>
          <w:lang w:bidi="fa-IR"/>
        </w:rPr>
        <w:t xml:space="preserve">، والنصوص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توضّأت بعض وضوئك فعرضت لك حاجة حتى يبس وضوؤك فأعد وضوءك ، فإنّ الوضوء لا يتبعّض </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توضّأت فنفد الماء فدعوت الجارية فأبطأت عليّ بالماء فيجفّ وضوئي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أعد </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فرغت من بعض وضوئك وانقطع بك الماء قبل أن تتمه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أوتيت بالماء فأتمم وضوءك إذا كان ما غسلته رطبا ، فإن كان قد جفّ فأعد الوضوء ، وإن جفّ بعض وضوئك قبل أن تتم الوضوء من غير أن ينقطع عنك الماء فامض عليه ، جفّ وضوؤك أم لم يجفّ </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وإطلاقها كإطلاق بعض الأخبار الآمرة بإعادة الوضوء بنسيان بعضها </w:t>
      </w:r>
      <w:r>
        <w:rPr>
          <w:rStyle w:val="FootnoteAnchor"/>
          <w:rtl w:val="true"/>
        </w:rPr>
        <w:footnoteReference w:id="748"/>
      </w:r>
      <w:r>
        <w:rPr>
          <w:rFonts w:ascii="Amiri" w:hAnsi="Amiri" w:eastAsia="Amiri" w:cs="Amiri"/>
          <w:color w:val="111111"/>
          <w:sz w:val="28"/>
          <w:sz w:val="28"/>
          <w:szCs w:val="28"/>
          <w:rtl w:val="true"/>
          <w:lang w:bidi="ar-SA"/>
        </w:rPr>
        <w:t>يشمل حال الاضطرار والجهل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والموالاة بذلك المعنى أيضا ركن في الوضوء يبطل بتركها عمدا أو غير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بمعنى المتابعة العرفية ، بأن يعقب كلّ عضو بالسابق عليه عند كماله من دون مهلة عرفا ، فهي ليس بركن قطعا ، ولا تجب مراعاتها في حال الاضطرار ، ولا يبطل بتركها الوضوء بالإجماع ، للأصل ، ومفهوم الموثّق ، ومنطوق الرضوي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في حال الاختيار على الأصح ، وفاقا للمحكي عن الكليني </w:t>
      </w:r>
      <w:r>
        <w:rPr>
          <w:rStyle w:val="FootnoteAnchor"/>
          <w:rtl w:val="true"/>
        </w:rPr>
        <w:footnoteReference w:id="749"/>
      </w:r>
      <w:r>
        <w:rPr>
          <w:rFonts w:ascii="Amiri" w:hAnsi="Amiri" w:eastAsia="Amiri" w:cs="Amiri"/>
          <w:color w:val="111111"/>
          <w:sz w:val="28"/>
          <w:sz w:val="28"/>
          <w:szCs w:val="28"/>
          <w:rtl w:val="true"/>
          <w:lang w:bidi="ar-SA"/>
        </w:rPr>
        <w:t xml:space="preserve">، والصدوقين ، والإسكافي </w:t>
      </w:r>
      <w:r>
        <w:rPr>
          <w:rStyle w:val="FootnoteAnchor"/>
          <w:rtl w:val="true"/>
        </w:rPr>
        <w:footnoteReference w:id="750"/>
      </w:r>
      <w:r>
        <w:rPr>
          <w:rFonts w:ascii="Amiri" w:hAnsi="Amiri" w:eastAsia="Amiri" w:cs="Amiri"/>
          <w:color w:val="111111"/>
          <w:sz w:val="28"/>
          <w:sz w:val="28"/>
          <w:szCs w:val="28"/>
          <w:rtl w:val="true"/>
          <w:lang w:bidi="ar-SA"/>
        </w:rPr>
        <w:t xml:space="preserve">، والسيد في شرح الرسالة </w:t>
      </w:r>
      <w:r>
        <w:rPr>
          <w:rStyle w:val="FootnoteAnchor"/>
          <w:rtl w:val="true"/>
        </w:rPr>
        <w:footnoteReference w:id="751"/>
      </w:r>
      <w:r>
        <w:rPr>
          <w:rFonts w:ascii="Amiri" w:hAnsi="Amiri" w:eastAsia="Amiri" w:cs="Amiri"/>
          <w:color w:val="111111"/>
          <w:sz w:val="28"/>
          <w:sz w:val="28"/>
          <w:szCs w:val="28"/>
          <w:rtl w:val="true"/>
          <w:lang w:bidi="ar-SA"/>
        </w:rPr>
        <w:t xml:space="preserve">، والقاضي ، والحلبي </w:t>
      </w:r>
      <w:r>
        <w:rPr>
          <w:rStyle w:val="FootnoteAnchor"/>
          <w:rtl w:val="true"/>
        </w:rPr>
        <w:footnoteReference w:id="752"/>
      </w:r>
      <w:r>
        <w:rPr>
          <w:rFonts w:ascii="Amiri" w:hAnsi="Amiri" w:eastAsia="Amiri" w:cs="Amiri"/>
          <w:color w:val="111111"/>
          <w:sz w:val="28"/>
          <w:sz w:val="28"/>
          <w:szCs w:val="28"/>
          <w:rtl w:val="true"/>
          <w:lang w:bidi="ar-SA"/>
        </w:rPr>
        <w:t xml:space="preserve">، والكيدري </w:t>
      </w:r>
      <w:r>
        <w:rPr>
          <w:rStyle w:val="FootnoteAnchor"/>
          <w:rtl w:val="true"/>
        </w:rPr>
        <w:footnoteReference w:id="753"/>
      </w:r>
      <w:r>
        <w:rPr>
          <w:rFonts w:ascii="Amiri" w:hAnsi="Amiri" w:eastAsia="Amiri" w:cs="Amiri"/>
          <w:color w:val="111111"/>
          <w:sz w:val="28"/>
          <w:sz w:val="28"/>
          <w:szCs w:val="28"/>
          <w:rtl w:val="true"/>
          <w:lang w:bidi="ar-SA"/>
        </w:rPr>
        <w:t xml:space="preserve">، والحلّي </w:t>
      </w:r>
      <w:r>
        <w:rPr>
          <w:rStyle w:val="FootnoteAnchor"/>
          <w:rtl w:val="true"/>
        </w:rPr>
        <w:footnoteReference w:id="754"/>
      </w:r>
      <w:r>
        <w:rPr>
          <w:rFonts w:ascii="Amiri" w:hAnsi="Amiri" w:eastAsia="Amiri" w:cs="Amiri"/>
          <w:color w:val="111111"/>
          <w:sz w:val="28"/>
          <w:sz w:val="28"/>
          <w:szCs w:val="28"/>
          <w:rtl w:val="true"/>
          <w:lang w:bidi="ar-SA"/>
        </w:rPr>
        <w:t xml:space="preserve">، والجمل والعقود ، والمراسم ، والغنية ، والكامل ، </w:t>
      </w:r>
    </w:p>
    <w:p>
      <w:pPr>
        <w:pStyle w:val="BookText"/>
        <w:rPr/>
      </w:pPr>
      <w:r>
        <w:rPr>
          <w:rFonts w:ascii="Amiri" w:hAnsi="Amiri" w:eastAsia="Amiri" w:cs="Amiri"/>
          <w:color w:val="111111"/>
          <w:sz w:val="28"/>
          <w:sz w:val="28"/>
          <w:szCs w:val="28"/>
          <w:rtl w:val="true"/>
          <w:lang w:bidi="ar-SA"/>
        </w:rPr>
        <w:t xml:space="preserve">والوسيلة ، والشرائع ، وفي النافع ، واللمعة ، والروضة ، والذكرى ، والدروس ، والبيان ، والألفية </w:t>
      </w:r>
      <w:r>
        <w:rPr>
          <w:rStyle w:val="FootnoteAnchor"/>
          <w:rtl w:val="true"/>
        </w:rPr>
        <w:footnoteReference w:id="755"/>
      </w:r>
      <w:r>
        <w:rPr>
          <w:rFonts w:ascii="Amiri" w:hAnsi="Amiri" w:eastAsia="Amiri" w:cs="Amiri"/>
          <w:color w:val="111111"/>
          <w:sz w:val="28"/>
          <w:sz w:val="28"/>
          <w:szCs w:val="28"/>
          <w:rtl w:val="true"/>
          <w:lang w:bidi="ar-SA"/>
        </w:rPr>
        <w:t xml:space="preserve">، واللوامع ، بل هو المشهور كما به صرّح غير واحد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للأصل ، وصدق الامتثال ، والإطلاقات ، سيما إطلاقات مصحّحات الوضوء ، المتروك بعضه إذا اتي به بعده </w:t>
      </w:r>
      <w:r>
        <w:rPr>
          <w:rStyle w:val="FootnoteAnchor"/>
          <w:rtl w:val="true"/>
        </w:rPr>
        <w:footnoteReference w:id="757"/>
      </w:r>
      <w:r>
        <w:rPr>
          <w:rFonts w:ascii="IRNazanin" w:hAnsi="IRNazanin" w:eastAsia="IRNazanin"/>
          <w:color w:val="111111"/>
          <w:sz w:val="28"/>
          <w:sz w:val="28"/>
          <w:szCs w:val="28"/>
          <w:rtl w:val="true"/>
          <w:lang w:bidi="fa-IR"/>
        </w:rPr>
        <w:t>، ومفهوم الموثّق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للمنقول عن المقنعة ، والنهاية ، والتهذيب ، والخلاف ، والاقتصاد ، وأحكام الراوندي ، والمعتبر </w:t>
      </w:r>
      <w:r>
        <w:rPr>
          <w:rStyle w:val="FootnoteAnchor"/>
          <w:rtl w:val="true"/>
        </w:rPr>
        <w:footnoteReference w:id="758"/>
      </w:r>
      <w:r>
        <w:rPr>
          <w:rFonts w:ascii="Amiri" w:hAnsi="Amiri" w:eastAsia="Amiri" w:cs="Amiri"/>
          <w:color w:val="111111"/>
          <w:sz w:val="28"/>
          <w:sz w:val="28"/>
          <w:szCs w:val="28"/>
          <w:rtl w:val="true"/>
          <w:lang w:bidi="ar-SA"/>
        </w:rPr>
        <w:t xml:space="preserve">، وكتب الفاضل </w:t>
      </w:r>
      <w:r>
        <w:rPr>
          <w:rStyle w:val="FootnoteAnchor"/>
          <w:rtl w:val="true"/>
        </w:rPr>
        <w:footnoteReference w:id="759"/>
      </w:r>
      <w:r>
        <w:rPr>
          <w:rFonts w:ascii="IRNazanin" w:hAnsi="IRNazanin" w:eastAsia="IRNazanin"/>
          <w:color w:val="111111"/>
          <w:sz w:val="28"/>
          <w:sz w:val="28"/>
          <w:szCs w:val="28"/>
          <w:rtl w:val="true"/>
          <w:lang w:bidi="fa-IR"/>
        </w:rPr>
        <w:t xml:space="preserve">، والمبسوط </w:t>
      </w:r>
      <w:r>
        <w:rPr>
          <w:rStyle w:val="FootnoteAnchor"/>
          <w:rtl w:val="true"/>
        </w:rPr>
        <w:footnoteReference w:id="760"/>
      </w:r>
      <w:r>
        <w:rPr>
          <w:rFonts w:ascii="Amiri" w:hAnsi="Amiri" w:eastAsia="Amiri" w:cs="Amiri"/>
          <w:color w:val="111111"/>
          <w:sz w:val="28"/>
          <w:sz w:val="28"/>
          <w:szCs w:val="28"/>
          <w:rtl w:val="true"/>
          <w:lang w:bidi="ar-SA"/>
        </w:rPr>
        <w:t>، فقالوا بوجوبها مع عدم إيجاب الإخلال بها لبطلان الوضوء ، كما عن غير الأخير ، أو مع إيجابه كما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للاحتياط ، وأصل الاشتغال ، والوضوء البياني ، والفورية المستفادة في الآية </w:t>
      </w:r>
      <w:r>
        <w:rPr>
          <w:rStyle w:val="FootnoteAnchor"/>
          <w:rtl w:val="true"/>
        </w:rPr>
        <w:footnoteReference w:id="761"/>
      </w:r>
      <w:r>
        <w:rPr>
          <w:rFonts w:ascii="Amiri" w:hAnsi="Amiri" w:eastAsia="Amiri" w:cs="Amiri"/>
          <w:color w:val="111111"/>
          <w:sz w:val="28"/>
          <w:sz w:val="28"/>
          <w:szCs w:val="28"/>
          <w:rtl w:val="true"/>
          <w:lang w:bidi="ar-SA"/>
        </w:rPr>
        <w:t xml:space="preserve">من الأمر أو الفاء أو الإجماع ، فيجب إتمام الوضوء دفعة ، ولعدم إمكانه يحمل </w:t>
      </w:r>
      <w:r>
        <w:rPr>
          <w:rStyle w:val="FootnoteAnchor"/>
          <w:rtl w:val="true"/>
        </w:rPr>
        <w:footnoteReference w:id="762"/>
      </w:r>
      <w:r>
        <w:rPr>
          <w:rFonts w:ascii="Amiri" w:hAnsi="Amiri" w:eastAsia="Amiri" w:cs="Amiri"/>
          <w:color w:val="111111"/>
          <w:sz w:val="28"/>
          <w:sz w:val="28"/>
          <w:szCs w:val="28"/>
          <w:rtl w:val="true"/>
          <w:lang w:bidi="ar-SA"/>
        </w:rPr>
        <w:t>على الممكن ، وهو تعقيب أفعاله بعضها لبعض من دون فصل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وللأمر بإتباع أفعال الوضوء ، كما في حسنة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أتبع وضوءك بعضه </w:t>
      </w:r>
    </w:p>
    <w:p>
      <w:pPr>
        <w:pStyle w:val="BookText"/>
        <w:rPr/>
      </w:pPr>
      <w:r>
        <w:rPr>
          <w:rFonts w:ascii="IRNazanin" w:hAnsi="IRNazanin" w:eastAsia="IRNazanin"/>
          <w:color w:val="111111"/>
          <w:sz w:val="28"/>
          <w:sz w:val="28"/>
          <w:szCs w:val="28"/>
          <w:rtl w:val="true"/>
          <w:lang w:bidi="fa-IR"/>
        </w:rPr>
        <w:t xml:space="preserve">بعضا </w:t>
      </w:r>
      <w:r>
        <w:rPr>
          <w:rFonts w:eastAsia="IRNazanin" w:cs="IRNazanin"/>
          <w:color w:val="111111"/>
          <w:sz w:val="28"/>
          <w:szCs w:val="28"/>
          <w:rtl w:val="true"/>
          <w:lang w:bidi="fa-IR"/>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وخبر ابن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الوضوء يتبع بعضه بعضا </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وللنهي عن تبعيضه ، كما في ذيل موثّقة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الوضوء لا يتبعّض </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وللأمر بإعادة الوضوء بترك بعض أفعاله نسيانا ، كما في صدر خبر ابن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من الوضوء الذراع والرأس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نسي مسح رأسه أو قدميه أو شيئا من الوضوء كان عليه إعادة الوضوء والصلاة </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فإنّ الحكم بالإعادة يوجب المتابعة ، إذ الترتيب لا يتوقّف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وللأمر بإعادة غسل الوجه إذا قدّم الذراع في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تابع بين وضوئك كما قال اللّه ، ابدأ بالوجه ، فإن غسلت الذراع قبل الوجه فابدأ بالوجه وأعد على الذراع ، وإن مسحت الرجل قبل الرأس فامسح على الرأس قبل الرّجل ثمَّ أعد على الرّجل </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موثّقة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نسيت فغسلت ذراعيك قبل وجهك فأعد غسل وجهك ثمَّ اغسل ذراعيك بعد الوجه ، فإن بدأت بذراعك الأيسر قبل الأيمن فأعد غسل الأيمن ثمَّ اغسل الأيسر ، وإن نسيت مسح رأسك حتى تغسل </w:t>
      </w:r>
    </w:p>
    <w:p>
      <w:pPr>
        <w:pStyle w:val="BookText"/>
        <w:rPr/>
      </w:pPr>
      <w:r>
        <w:rPr>
          <w:rFonts w:ascii="Amiri" w:hAnsi="Amiri" w:eastAsia="Amiri" w:cs="Amiri"/>
          <w:color w:val="111111"/>
          <w:sz w:val="28"/>
          <w:sz w:val="28"/>
          <w:szCs w:val="28"/>
          <w:rtl w:val="true"/>
          <w:lang w:bidi="ar-SA"/>
        </w:rPr>
        <w:t xml:space="preserve">رجليك فامسح رأسك ثمَّ اغسل رجليك </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ولو لا وجوب المتابعة ، لما أمر بإعادة غسل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كونه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 الاشتغال بغير أفعال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إشعار في البيانيات بتحقّق المتابعة العرفية ، ولو أشعرت ، لما دلّت على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وضوء لا يقبل اللّه الصلاة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 بعد تلك البيانيات غير ثابت ، ولو ثبت فدخول المتابعة في الإشارة غير مسلّم ، لجواز كونها من الاتّفاقيات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ينطبق على قول أكثرهم </w:t>
      </w:r>
      <w:r>
        <w:rPr>
          <w:rStyle w:val="FootnoteAnchor"/>
          <w:rtl w:val="true"/>
        </w:rPr>
        <w:footnoteReference w:id="769"/>
      </w:r>
      <w:r>
        <w:rPr>
          <w:rFonts w:ascii="Amiri" w:hAnsi="Amiri" w:eastAsia="Amiri" w:cs="Amiri"/>
          <w:color w:val="111111"/>
          <w:sz w:val="28"/>
          <w:sz w:val="28"/>
          <w:szCs w:val="28"/>
          <w:rtl w:val="true"/>
          <w:lang w:bidi="ar-SA"/>
        </w:rPr>
        <w:t>من عدم إيجاب تركها بطلان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استفادة الفورية من الآية ، لعدم إفادة الأمر لها ، وكون الفاء جزائية وهي لا تفيد التعقيب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لو أفادته ، لكان مفادها فورية غسل الوجه بالإضافة إلى إرادة القيام ، ولا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فساد دعوى الإجماع على كون هذا الأمر للفور </w:t>
      </w:r>
      <w:r>
        <w:rPr>
          <w:rStyle w:val="FootnoteAnchor"/>
          <w:rtl w:val="true"/>
        </w:rPr>
        <w:footnoteReference w:id="770"/>
      </w:r>
      <w:r>
        <w:rPr>
          <w:rFonts w:ascii="Amiri" w:hAnsi="Amiri" w:eastAsia="Amiri" w:cs="Amiri"/>
          <w:color w:val="111111"/>
          <w:sz w:val="28"/>
          <w:sz w:val="28"/>
          <w:szCs w:val="28"/>
          <w:rtl w:val="true"/>
          <w:lang w:bidi="ar-SA"/>
        </w:rPr>
        <w:t>، مع أنّه في نفسه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أن يكون المراد بإتباع الوضوء الترتيب ، بل هو الذي يشهد به سياق ما يتضمّنه ، ويدلّ عليه بيانه به في صحيحة زرارة ، المذكورة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التبعيض لا يدلّ على وجوب المتابعة ، إذ يمكن أن يكون المراد عدمه في إبقائه ، بأن يترك البعض حتى يجف ما قبله ، فإنّ ما جفّ فكأنّه انعدم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تعليل الإعادة مع التفريق حتى ييبس به قرينة على أنّ المراد منه </w:t>
      </w:r>
      <w:bookmarkStart w:id="54" w:name="pg11612_110783"/>
    </w:p>
    <w:p>
      <w:pPr>
        <w:pStyle w:val="BookText"/>
        <w:rPr/>
      </w:pPr>
      <w:bookmarkEnd w:id="54"/>
      <w:r>
        <w:rPr>
          <w:rFonts w:ascii="Amiri" w:hAnsi="Amiri" w:eastAsia="Amiri" w:cs="Amiri"/>
          <w:color w:val="111111"/>
          <w:sz w:val="28"/>
          <w:sz w:val="28"/>
          <w:szCs w:val="28"/>
          <w:rtl w:val="true"/>
          <w:lang w:bidi="ar-SA"/>
        </w:rPr>
        <w:t>ذلك دون مطلق التفريق ، فإنّه لا يناسب مفهوم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أريد المطلق ، لزم البطلان بدون الجفاف ، حيث علّل الإعادة بأنّ الوضوء لا يتبعّض ، وأكثرهم لا يقولون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تعيّن كون إعادة الوضوء أو الوجه لأجل فوت الموالاة ، بل لعلّها تعبدية ، أو لعلّة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وبالمعارضة مع ما نفى الإعادة عند تقديم بعض الأعضاء أو نسيانه من الأخبار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عدم دلالة صدر خبر ابن حكيم على وجوب الإعادة ، ودلالة الموثّقة الأولى على أنّ التذكّر بعد الصلاة ، لأنّه المتبادر من الأمر بإعادة الصلاة ، ومعه يحصل الجفاف المبطل قطعا ، وجواز كون المراد بالبدأة بالوجه في الصحيحة جعله ابتداء للوضوء لا إعادة غسله لو كان غسله ، أو كون علّتها تحصيل مقارنة النية دون المتابعة ، وهو المحتمل في الموثّقة الأخيرة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المستفاد من ذيلهما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إعادة الوجه لفوات الموالاة ، وإلاّ وجب في الصورتين الأخيرتين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فيهما إشعار بوقوع فصل بعد غسل الوجه ، فالحكم بأنّ إعادته لفوات المتابعة لا يتمّ إلاّ بارتكاب تقييد ليس أولى من ارتكاب التقييد بالجفاف ، أو التجوّز في الإعادة ، وكذا تخصيص ما يعمّ صورة الاضطرار من تلك الأخبار بحال الاختيار الذي هو محل الخلاف</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5524345_73709187"/>
      <w:bookmarkStart w:id="56" w:name="_Toc21"/>
      <w:bookmarkEnd w:id="55"/>
      <w:r>
        <w:rPr>
          <w:rtl w:val="true"/>
        </w:rPr>
        <w:t xml:space="preserve">فروع </w:t>
      </w:r>
      <w:r>
        <w:rPr>
          <w:rtl w:val="true"/>
        </w:rPr>
        <w:t>:</w:t>
      </w:r>
      <w:bookmarkEnd w:id="5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الجفاف المبطل هو جفاف جميع ما تقدّم ، فلا يبطل بجفاف البعض على الأظهر الأشهر ، وفاقا للمحكي عن ظاهر الخلاف ، والنهاية </w:t>
      </w:r>
      <w:r>
        <w:rPr>
          <w:rStyle w:val="FootnoteAnchor"/>
          <w:rtl w:val="true"/>
        </w:rPr>
        <w:footnoteReference w:id="772"/>
      </w:r>
      <w:r>
        <w:rPr>
          <w:rFonts w:ascii="Amiri" w:hAnsi="Amiri" w:eastAsia="Amiri" w:cs="Amiri"/>
          <w:color w:val="111111"/>
          <w:sz w:val="28"/>
          <w:sz w:val="28"/>
          <w:szCs w:val="28"/>
          <w:rtl w:val="true"/>
          <w:lang w:bidi="ar-SA"/>
        </w:rPr>
        <w:t xml:space="preserve">، والكامل </w:t>
      </w:r>
      <w:r>
        <w:rPr>
          <w:rStyle w:val="FootnoteAnchor"/>
          <w:rtl w:val="true"/>
        </w:rPr>
        <w:footnoteReference w:id="77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والكافي للحلبي </w:t>
      </w:r>
      <w:r>
        <w:rPr>
          <w:rStyle w:val="FootnoteAnchor"/>
          <w:rtl w:val="true"/>
        </w:rPr>
        <w:footnoteReference w:id="774"/>
      </w:r>
      <w:r>
        <w:rPr>
          <w:rFonts w:ascii="Amiri" w:hAnsi="Amiri" w:eastAsia="Amiri" w:cs="Amiri"/>
          <w:color w:val="111111"/>
          <w:sz w:val="28"/>
          <w:sz w:val="28"/>
          <w:szCs w:val="28"/>
          <w:rtl w:val="true"/>
          <w:lang w:bidi="ar-SA"/>
        </w:rPr>
        <w:t xml:space="preserve">، والمعتبر ، والمنتهى ، والتذكرة ، ونهاية الإحكام ، والبيان </w:t>
      </w:r>
      <w:r>
        <w:rPr>
          <w:rStyle w:val="FootnoteAnchor"/>
          <w:rtl w:val="true"/>
        </w:rPr>
        <w:footnoteReference w:id="775"/>
      </w:r>
      <w:r>
        <w:rPr>
          <w:rFonts w:ascii="Amiri" w:hAnsi="Amiri" w:eastAsia="Amiri" w:cs="Amiri"/>
          <w:color w:val="111111"/>
          <w:sz w:val="28"/>
          <w:sz w:val="28"/>
          <w:szCs w:val="28"/>
          <w:rtl w:val="true"/>
          <w:lang w:bidi="ar-SA"/>
        </w:rPr>
        <w:t>، ووالدي العلاّمة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لاستصحاب بقاء الصحة ، وجواز أخذ البلل من الوجه للمسح إن لم يبق على اليدين ، بالنصّ كما مرّ </w:t>
      </w:r>
      <w:r>
        <w:rPr>
          <w:rStyle w:val="FootnoteAnchor"/>
          <w:rtl w:val="true"/>
        </w:rPr>
        <w:footnoteReference w:id="776"/>
      </w:r>
      <w:r>
        <w:rPr>
          <w:rFonts w:ascii="Amiri" w:hAnsi="Amiri" w:eastAsia="Amiri" w:cs="Amiri"/>
          <w:color w:val="111111"/>
          <w:sz w:val="28"/>
          <w:sz w:val="28"/>
          <w:szCs w:val="28"/>
          <w:rtl w:val="true"/>
          <w:lang w:bidi="ar-SA"/>
        </w:rPr>
        <w:t xml:space="preserve">، بل قيل بالإجماع أيضا </w:t>
      </w:r>
      <w:r>
        <w:rPr>
          <w:rStyle w:val="FootnoteAnchor"/>
          <w:rtl w:val="true"/>
        </w:rPr>
        <w:footnoteReference w:id="777"/>
      </w:r>
      <w:r>
        <w:rPr>
          <w:rFonts w:ascii="Amiri" w:hAnsi="Amiri" w:eastAsia="Amiri" w:cs="Amiri"/>
          <w:color w:val="111111"/>
          <w:sz w:val="28"/>
          <w:sz w:val="28"/>
          <w:szCs w:val="28"/>
          <w:rtl w:val="true"/>
          <w:lang w:bidi="ar-SA"/>
        </w:rPr>
        <w:t xml:space="preserve">، وفيه نظر </w:t>
      </w:r>
      <w:r>
        <w:rPr>
          <w:rStyle w:val="FootnoteAnchor"/>
          <w:rtl w:val="true"/>
        </w:rPr>
        <w:footnoteReference w:id="778"/>
      </w:r>
      <w:r>
        <w:rPr>
          <w:rFonts w:ascii="Amiri" w:hAnsi="Amiri" w:eastAsia="Amiri" w:cs="Amiri"/>
          <w:color w:val="111111"/>
          <w:sz w:val="28"/>
          <w:sz w:val="28"/>
          <w:szCs w:val="28"/>
          <w:rtl w:val="true"/>
          <w:lang w:bidi="ar-SA"/>
        </w:rPr>
        <w:t xml:space="preserve">، وظاهر الأخبار المصرّحة بالبطلان بجفاف الوضوء </w:t>
      </w:r>
      <w:r>
        <w:rPr>
          <w:rStyle w:val="FootnoteAnchor"/>
          <w:rtl w:val="true"/>
        </w:rPr>
        <w:footnoteReference w:id="779"/>
      </w:r>
      <w:r>
        <w:rPr>
          <w:rFonts w:ascii="Amiri" w:hAnsi="Amiri" w:eastAsia="Amiri" w:cs="Amiri"/>
          <w:color w:val="111111"/>
          <w:sz w:val="28"/>
          <w:sz w:val="28"/>
          <w:szCs w:val="28"/>
          <w:rtl w:val="true"/>
          <w:lang w:bidi="ar-SA"/>
        </w:rPr>
        <w:t xml:space="preserve">أو ما غسل ، الظاهر في جفاف الجميع أو المحتمل له ، وهو كاف أيضا ، ومفهوم الشرط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يبق من بلّة وضوئك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يكن في لحيته بلل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مرسلة الفقيه ، ورواية مالك المتقدّمتين </w:t>
      </w:r>
      <w:r>
        <w:rPr>
          <w:rStyle w:val="FootnoteAnchor"/>
          <w:rtl w:val="true"/>
        </w:rPr>
        <w:footnoteReference w:id="780"/>
      </w:r>
      <w:r>
        <w:rPr>
          <w:rFonts w:ascii="Amiri" w:hAnsi="Amiri" w:eastAsia="Amiri" w:cs="Amiri"/>
          <w:color w:val="111111"/>
          <w:sz w:val="28"/>
          <w:sz w:val="28"/>
          <w:szCs w:val="28"/>
          <w:rtl w:val="true"/>
          <w:lang w:bidi="ar-SA"/>
        </w:rPr>
        <w:t xml:space="preserve">في مسألة المسح بالبلّة ، ولا يضرّ اختصاصهما بالناسي ، لعدم الفاصل ، وصحيحة حريز الآتية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وخلافا للناصريات ، والسرائر ، وعن المراسم ، والمهذب ، والإشارة </w:t>
      </w:r>
      <w:r>
        <w:rPr>
          <w:rStyle w:val="FootnoteAnchor"/>
          <w:rtl w:val="true"/>
        </w:rPr>
        <w:footnoteReference w:id="782"/>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جفاف العضو السابق المتصل ، لأنّ الموالاة اتباع الأعضاء بعضها بعضا ، فالجفاف وعدمه إنّما يعتبران في العضوين المتّصلين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تماميتها فرع وجود دليل على اعتبار مطلق الموالاة ، واستلزامها لما ذكر والأول مفقود ، والثاني ممنوع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وللإسكافي </w:t>
      </w:r>
      <w:r>
        <w:rPr>
          <w:rStyle w:val="FootnoteAnchor"/>
          <w:rtl w:val="true"/>
        </w:rPr>
        <w:footnoteReference w:id="783"/>
      </w:r>
      <w:r>
        <w:rPr>
          <w:rFonts w:ascii="Amiri" w:hAnsi="Amiri" w:eastAsia="Amiri" w:cs="Amiri"/>
          <w:color w:val="111111"/>
          <w:sz w:val="28"/>
          <w:sz w:val="28"/>
          <w:szCs w:val="28"/>
          <w:rtl w:val="true"/>
          <w:lang w:bidi="ar-SA"/>
        </w:rPr>
        <w:t xml:space="preserve">، فجفاف البعض مطلقا ، ليقرب من الموالاة الحقيقية ، ولإطلاق جفاف الوضوء المبطل بالأخبار ، والعلّة المنصوصة في الموثّقة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الوضوء لا يتبعّض </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فإنّها جارية في جفاف البعض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اعتبار الموالاة الحقيقية ، ثمَّ ما يقرب منها عند تعذّرها لو اعتبرت ، ومنع إطلاق الجفاف كما مرّ </w:t>
      </w:r>
      <w:r>
        <w:rPr>
          <w:rStyle w:val="FootnoteAnchor"/>
          <w:rtl w:val="true"/>
        </w:rPr>
        <w:footnoteReference w:id="785"/>
      </w:r>
      <w:r>
        <w:rPr>
          <w:rFonts w:ascii="Amiri" w:hAnsi="Amiri" w:eastAsia="Amiri" w:cs="Amiri"/>
          <w:color w:val="111111"/>
          <w:sz w:val="28"/>
          <w:sz w:val="28"/>
          <w:szCs w:val="28"/>
          <w:rtl w:val="true"/>
          <w:lang w:bidi="ar-SA"/>
        </w:rPr>
        <w:t xml:space="preserve">، ولزوم تقييده بجفاف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 كتخصيص العموم المستفاد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لجميع أنواع التبعض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التحقيق أنّ في معنى عدم تبعّض الوضوء هنا إجمالا لا يتم الاستدلال به في غير موضع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إطلاقات الغسل والمسح ، واستصحاب صحة 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في الإبطال بجفاف الكلّ على القدر الثابت من أدلّته ، وهو البطلان بالجفاف مع التأخير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يبطل به بدونه ، كما في شدّة الحرّ أو الريح أو مثلهما ، وفاقا للصدوقين في الرسالة والمقنع </w:t>
      </w:r>
      <w:r>
        <w:rPr>
          <w:rStyle w:val="FootnoteAnchor"/>
          <w:rtl w:val="true"/>
        </w:rPr>
        <w:footnoteReference w:id="786"/>
      </w:r>
      <w:r>
        <w:rPr>
          <w:rFonts w:ascii="Amiri" w:hAnsi="Amiri" w:eastAsia="Amiri" w:cs="Amiri"/>
          <w:color w:val="111111"/>
          <w:sz w:val="28"/>
          <w:sz w:val="28"/>
          <w:szCs w:val="28"/>
          <w:rtl w:val="true"/>
          <w:lang w:bidi="ar-SA"/>
        </w:rPr>
        <w:t xml:space="preserve">، بل الظاهر عن الذكرى </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وفاقيا بين الأصحاب</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الرضوي المتقدّم </w:t>
      </w:r>
      <w:r>
        <w:rPr>
          <w:rStyle w:val="FootnoteAnchor"/>
          <w:rtl w:val="true"/>
        </w:rPr>
        <w:footnoteReference w:id="789"/>
      </w:r>
      <w:r>
        <w:rPr>
          <w:rFonts w:ascii="Amiri" w:hAnsi="Amiri" w:eastAsia="Amiri" w:cs="Amiri"/>
          <w:color w:val="111111"/>
          <w:sz w:val="28"/>
          <w:sz w:val="28"/>
          <w:szCs w:val="28"/>
          <w:rtl w:val="true"/>
          <w:lang w:bidi="ar-SA"/>
        </w:rPr>
        <w:t xml:space="preserve">، وصحيحة حريز عن الصادق عليه السلام ، كما عن مدينة العلم ، وإن وقف على حريز في التهذيب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الوضوء يجفّ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جفّ الأوّل قبل أن أغسل الذي يليه ،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 أو لم يجف اغسل ما بقي </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وحمله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سديد ، إذ لا يحتاج توجيه ما ليس باقيا على إطلاقه إليه ، فإن التقييد توجيه أحسن وأشهر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الشهيد عند الاختيار </w:t>
      </w:r>
      <w:r>
        <w:rPr>
          <w:rStyle w:val="FootnoteAnchor"/>
          <w:rtl w:val="true"/>
        </w:rPr>
        <w:footnoteReference w:id="792"/>
      </w:r>
      <w:r>
        <w:rPr>
          <w:rFonts w:ascii="IRNazanin" w:hAnsi="IRNazanin" w:eastAsia="IRNazanin"/>
          <w:color w:val="111111"/>
          <w:sz w:val="28"/>
          <w:sz w:val="28"/>
          <w:szCs w:val="28"/>
          <w:rtl w:val="true"/>
          <w:lang w:bidi="fa-IR"/>
        </w:rPr>
        <w:t xml:space="preserve">، لأخبار البطلان بالجفاف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باختصاصها بصورة التأخير ، مع أنّها لو تمّت لعمّت حالة الضرورة أيضا ، وانتفاء الحرج لا يفيد ، لأنّ الانتقال الى التيمّم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يختص البطلان بالجفاف مع التأخير بغير صورة النسيان ، لعموم الموثّقة الأولى ، وخصوص الثانية </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بغير حال الضرورة ،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الصحة مع الجفاف إنّما هي إذا لم تتمّ الغسلات ، وإلاّ اتّجه البطلان لئلاّ يستأنف الماء للمسح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 الذي لم يجامعه الجفاف لا يبطل ولا يحرم ولو تفاحش ، كما صرّح به والدي رحمه اللّه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والشهيد </w:t>
      </w:r>
      <w:r>
        <w:rPr>
          <w:rStyle w:val="FootnoteAnchor"/>
          <w:rtl w:val="true"/>
        </w:rPr>
        <w:footnoteReference w:id="795"/>
      </w:r>
      <w:r>
        <w:rPr>
          <w:rFonts w:ascii="Amiri" w:hAnsi="Amiri" w:eastAsia="Amiri" w:cs="Amiri"/>
          <w:color w:val="111111"/>
          <w:sz w:val="28"/>
          <w:sz w:val="28"/>
          <w:szCs w:val="28"/>
          <w:rtl w:val="true"/>
          <w:lang w:bidi="ar-SA"/>
        </w:rPr>
        <w:t xml:space="preserve">حرّمه مع التفاحش في الاختيار ، للنهي </w:t>
      </w:r>
      <w:r>
        <w:rPr>
          <w:rStyle w:val="FootnoteAnchor"/>
          <w:rtl w:val="true"/>
        </w:rPr>
        <w:footnoteReference w:id="796"/>
      </w:r>
      <w:r>
        <w:rPr>
          <w:rFonts w:ascii="Amiri" w:hAnsi="Amiri" w:eastAsia="Amiri" w:cs="Amiri"/>
          <w:color w:val="111111"/>
          <w:sz w:val="28"/>
          <w:sz w:val="28"/>
          <w:szCs w:val="28"/>
          <w:rtl w:val="true"/>
          <w:lang w:bidi="ar-SA"/>
        </w:rPr>
        <w:t xml:space="preserve">عن تبعيض </w:t>
      </w:r>
      <w:r>
        <w:rPr>
          <w:rStyle w:val="FootnoteAnchor"/>
          <w:rtl w:val="true"/>
        </w:rPr>
        <w:footnoteReference w:id="797"/>
      </w:r>
      <w:r>
        <w:rPr>
          <w:rFonts w:ascii="Amiri" w:hAnsi="Amiri" w:eastAsia="Amiri" w:cs="Amiri"/>
          <w:color w:val="111111"/>
          <w:sz w:val="28"/>
          <w:sz w:val="28"/>
          <w:szCs w:val="28"/>
          <w:rtl w:val="true"/>
          <w:lang w:bidi="ar-SA"/>
        </w:rPr>
        <w:t>الوضوء الصادق عليه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الصدق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والدي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بلغ التفاحش حدّا يبطل الوحدة والصورة ، لم يبعد الحكم بالبطلان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خال عن الحجّة ، والأصل معه مستند في غاية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الجفاف الحسّي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يحصل لعارض ، كرطوبة الهواء أو إسباغ الوضوء في مدة لو اعتدل لجفّ قبلها ولو بكثير ، صحّ الوضوء ، لتعليق الإعادة على الجفاف الغير الصادق على التقديري لغة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اعتبره الأكثر في الجفاف من اعتدال الهواء </w:t>
      </w:r>
      <w:r>
        <w:rPr>
          <w:rStyle w:val="FootnoteAnchor"/>
          <w:rtl w:val="true"/>
        </w:rPr>
        <w:footnoteReference w:id="798"/>
      </w:r>
      <w:r>
        <w:rPr>
          <w:rFonts w:ascii="Amiri" w:hAnsi="Amiri" w:eastAsia="Amiri" w:cs="Amiri"/>
          <w:color w:val="111111"/>
          <w:sz w:val="28"/>
          <w:sz w:val="28"/>
          <w:szCs w:val="28"/>
          <w:rtl w:val="true"/>
          <w:lang w:bidi="ar-SA"/>
        </w:rPr>
        <w:t xml:space="preserve">،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المتأخّرون </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لإخراج طرف الإفراط في الحرّ حيث إنّ زوال البلل حينئذ مغتفر ، إلاّ أن يقال في العرف إنّه أخّر لا لإخراج طرف رطوبة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مقتضى عدم اعتبار التقديري ولا الحسّي بدون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جفّف ما غسله أولا أو جفّ لشدة الحرّ ثمَّ أخّر ، لم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بالتزامه وإن استبعد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المكلّف أفعال الوضوء بنفسه حال الاختيار إجماعا ، كما عن نهاية الإحكام ، وروض الجنان ، وفي الانتصار ، والمعتبر ، والمنتهى </w:t>
      </w:r>
      <w:r>
        <w:rPr>
          <w:rStyle w:val="FootnoteAnchor"/>
          <w:rtl w:val="true"/>
        </w:rPr>
        <w:footnoteReference w:id="800"/>
      </w:r>
      <w:r>
        <w:rPr>
          <w:rFonts w:ascii="Amiri" w:hAnsi="Amiri" w:eastAsia="Amiri" w:cs="Amiri"/>
          <w:color w:val="111111"/>
          <w:sz w:val="28"/>
          <w:sz w:val="28"/>
          <w:szCs w:val="28"/>
          <w:rtl w:val="true"/>
          <w:lang w:bidi="ar-SA"/>
        </w:rPr>
        <w:t>واللوامع ، لأنّها مقتضى أمر المكلّف بها في الكتاب والسنّة ، لاقتضائه الامتثال المتوقّف على المباشرة ، مؤيّدا بالوضوءات البيانية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 الإسكافي </w:t>
      </w:r>
      <w:r>
        <w:rPr>
          <w:rStyle w:val="FootnoteAnchor"/>
          <w:rtl w:val="true"/>
        </w:rPr>
        <w:footnoteReference w:id="801"/>
      </w:r>
      <w:r>
        <w:rPr>
          <w:rFonts w:ascii="IRNazanin" w:hAnsi="IRNazanin" w:eastAsia="IRNazanin"/>
          <w:color w:val="111111"/>
          <w:sz w:val="28"/>
          <w:sz w:val="28"/>
          <w:szCs w:val="28"/>
          <w:rtl w:val="true"/>
          <w:lang w:bidi="fa-IR"/>
        </w:rPr>
        <w:t>وعدّها من السنن شاذ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واستدلاله بأصل البراءة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وبالقياس على إزالة الخبث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الفارق ، وهو اختلاف الوجوب فيهما بالشرعية والشرطية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وبالمروي في تفسير العياشي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قنبر مولى أمير المؤمنين عليه السلام ادخل على الحجاج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كنت تلي من أمر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أوضّيه </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حجيته ، لضعفه ، مع احتمال إرادة الصب من التوضئة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المباشرة مخصوص بأفعال الوضوء الواجبة أصلا ، فلا بأس بتولية الغير في غيرها ممّا يجب من باب المقدّمة ، كتحصيل الماء وإحضاره ، بل صبّه على الكف ، للأصل ، وعدم تعلّق أمر بها على المكلّف بخصوصه ، بل وجوبها من باب المقدمة ، فلا تجب مع تحقّقها كيف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في الأول إلى استفاضة النصوص بأنّهم كانوا يأمرون بإحضار الماء للوضوء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الثاني إلى أنّه ليس إلاّ مثل أخذ الماء من نحو الميزاب ، وإلى صحيحة الحذّاء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وضّأت أبا جعفر عليه السلام وقد بال فناولته ماء فاستنجى ، ثمَّ صببت عليه كفّا غسل به وجهه ، وكفّا غسل به ذراعه الأيمن ، وكفّا غسل به ذراعه الأيسر ، ثمَّ مسح بفضل الندى رأسه ورجليه </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مجالس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جارية لعلي بن الحسين عليه السلام تسكب الماء عليه وهو يتوضّأ للصلاة ، فسقط الإبريق من يد الجارية </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الصب فيهما في حال الضرورة وإن كان محتملا ولكنه بعيد ، لأنّها لو كانت ، لذكرها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الرضا عليه السلام وبين يديه </w:t>
      </w:r>
    </w:p>
    <w:p>
      <w:pPr>
        <w:pStyle w:val="BookText"/>
        <w:rPr/>
      </w:pPr>
      <w:r>
        <w:rPr>
          <w:rFonts w:ascii="Amiri" w:hAnsi="Amiri" w:eastAsia="Amiri" w:cs="Amiri"/>
          <w:color w:val="111111"/>
          <w:sz w:val="28"/>
          <w:sz w:val="28"/>
          <w:szCs w:val="28"/>
          <w:rtl w:val="true"/>
          <w:lang w:bidi="ar-SA"/>
        </w:rPr>
        <w:t xml:space="preserve">إبريق يريد أن يتهيّأ منه للصلاة ، فدنوت لأصبّ عليه ، فأبى ذلك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تنهاني أن أصبّ عليك ، تكره أن أوجر؟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تؤجر أنت وأوزر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سمعت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يَرْجُوا لِقاءَ رَبِّهِ فَلْيَعْمَلْ عَمَلاً صالِحاً وَلا يُشْرِكْ بِعِبادَةِ رَبِّهِ أَحَداً </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 xml:space="preserve">وها أنا ذا أتوضّأ للصلاة وهي العبادة ، فأكره أن يشركني فيها أحد </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الفقيه والعلل والمقنع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 السلام إذا توضّأ لم يدع أحدا يصبّ عليه الماء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أحب أن أشرك في صلاتي أحدا </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إرشاد المفيد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الرضا عليه السلام يوما والمأمون يتوضّأ للصلاة والغلام يصبّ على يده الماء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تشرك يا أمير المؤمنين بعبادة ربك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فصرف المأمون الغلام وتولّى تمام الوضوء بنفسه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لاحتمال أن يكون الصب على أعضاء الغسل الذي يحصل به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في إثبات التحريم بها نظرا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غاية ما يدلاّن عليه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 عليه ، وعدم رضاه به ، وهو لا يدلّ على حرمته شرعا ، فإنّ طلبه لترك الصب حتما قد يكون لإرادته اجتنابه عن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منه ليس حقيقته التي هي الثقل ، فيمكن أن يكون مجازه ارتكاب المكروه وحطّ الأجر ، فلا يدلّ على الحرمة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وقع جزاء لرجاء اللقاء ، فلا يثبت منه شي‌ء </w:t>
      </w:r>
    </w:p>
    <w:p>
      <w:pPr>
        <w:pStyle w:val="BookText"/>
        <w:rPr/>
      </w:pPr>
      <w:r>
        <w:rPr>
          <w:rFonts w:ascii="IRNazanin" w:hAnsi="IRNazanin" w:eastAsia="IRNazanin"/>
          <w:color w:val="111111"/>
          <w:sz w:val="28"/>
          <w:sz w:val="28"/>
          <w:szCs w:val="28"/>
          <w:rtl w:val="true"/>
          <w:lang w:bidi="fa-IR"/>
        </w:rPr>
        <w:t>سوى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فلضعفه وعدم ثبوت الجابر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 فيمكن القول بجواز الصب على العضو أيضا لو لم يكتف بالغسل الحاصل منه في جزء من العضو ، بل غسل هو نفسه بالماء المصبوب إن تحقّق معه أقلّ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تركه ، بل لا شك في كراهته ،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كراهة الصب على اليد أيضا ، لفتوى جماعة من العلماء </w:t>
      </w:r>
      <w:r>
        <w:rPr>
          <w:rStyle w:val="FootnoteAnchor"/>
          <w:rtl w:val="true"/>
        </w:rPr>
        <w:footnoteReference w:id="810"/>
      </w:r>
      <w:r>
        <w:rPr>
          <w:rFonts w:ascii="Amiri" w:hAnsi="Amiri" w:eastAsia="Amiri" w:cs="Amiri"/>
          <w:color w:val="111111"/>
          <w:sz w:val="28"/>
          <w:sz w:val="28"/>
          <w:szCs w:val="28"/>
          <w:rtl w:val="true"/>
          <w:lang w:bidi="ar-SA"/>
        </w:rPr>
        <w:t>، وإطلاق المروي في الفقيه وأخويه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وتجوز التولية حال الاضطرار على ما صرّح به الأصحاب </w:t>
      </w:r>
      <w:r>
        <w:rPr>
          <w:rStyle w:val="FootnoteAnchor"/>
          <w:rtl w:val="true"/>
        </w:rPr>
        <w:footnoteReference w:id="811"/>
      </w:r>
      <w:r>
        <w:rPr>
          <w:rFonts w:ascii="Amiri" w:hAnsi="Amiri" w:eastAsia="Amiri" w:cs="Amiri"/>
          <w:color w:val="111111"/>
          <w:sz w:val="28"/>
          <w:sz w:val="28"/>
          <w:szCs w:val="28"/>
          <w:rtl w:val="true"/>
          <w:lang w:bidi="ar-SA"/>
        </w:rPr>
        <w:t xml:space="preserve">، بل في المعتبر أنّه متّفق عليه بين الفقهاء </w:t>
      </w:r>
      <w:r>
        <w:rPr>
          <w:rStyle w:val="FootnoteAnchor"/>
          <w:rtl w:val="true"/>
        </w:rPr>
        <w:footnoteReference w:id="812"/>
      </w:r>
      <w:r>
        <w:rPr>
          <w:rFonts w:ascii="Amiri" w:hAnsi="Amiri" w:eastAsia="Amiri" w:cs="Amiri"/>
          <w:color w:val="111111"/>
          <w:sz w:val="28"/>
          <w:sz w:val="28"/>
          <w:szCs w:val="28"/>
          <w:rtl w:val="true"/>
          <w:lang w:bidi="ar-SA"/>
        </w:rPr>
        <w:t xml:space="preserve">، وفي المنتهى أنّه إجماعي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والحجة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خالد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الصادق عليه السلام ذكر أنّه كان وجعا شديد الوجع ، فأصابته جنابة وهو في مكان بارد ، وكانت ليلة شديدة الريح باردة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فدعوت الغلمة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احملوني فاغسلوني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عليك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بدّ ، فحملوني ووضعوني على خشبات ثمَّ صبوا عليّ الماء فغسلوني </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الواردة بتولية الغير تيمّم المجدور والكسير </w:t>
      </w:r>
      <w:r>
        <w:rPr>
          <w:rStyle w:val="FootnoteAnchor"/>
          <w:rtl w:val="true"/>
        </w:rPr>
        <w:footnoteReference w:id="815"/>
      </w:r>
      <w:r>
        <w:rPr>
          <w:rFonts w:ascii="Amiri" w:hAnsi="Amiri" w:eastAsia="Amiri" w:cs="Amiri"/>
          <w:color w:val="111111"/>
          <w:sz w:val="28"/>
          <w:sz w:val="28"/>
          <w:szCs w:val="28"/>
          <w:rtl w:val="true"/>
          <w:lang w:bidi="ar-SA"/>
        </w:rPr>
        <w:t>، ولا قائل بالفرق بين الطهارات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والاستدلال بمثل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الميسور لا يسقط بالمعسور </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 xml:space="preserve">وبأنّه </w:t>
      </w:r>
      <w:bookmarkStart w:id="57" w:name="pg11612_110791"/>
    </w:p>
    <w:p>
      <w:pPr>
        <w:pStyle w:val="BookText"/>
        <w:rPr/>
      </w:pPr>
      <w:bookmarkEnd w:id="57"/>
      <w:r>
        <w:rPr>
          <w:rFonts w:ascii="Amiri" w:hAnsi="Amiri" w:eastAsia="Amiri" w:cs="Amiri"/>
          <w:color w:val="111111"/>
          <w:sz w:val="28"/>
          <w:sz w:val="28"/>
          <w:szCs w:val="28"/>
          <w:rtl w:val="true"/>
          <w:lang w:bidi="ar-SA"/>
        </w:rPr>
        <w:t>توصّل إلى الطهارة بالممكن فيكون واجبا ، ضعيف</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5524347_73709187"/>
      <w:bookmarkStart w:id="59" w:name="_Toc22"/>
      <w:bookmarkEnd w:id="58"/>
      <w:r>
        <w:rPr>
          <w:rtl w:val="true"/>
        </w:rPr>
        <w:t xml:space="preserve">فروع </w:t>
      </w:r>
      <w:r>
        <w:rPr>
          <w:rtl w:val="true"/>
        </w:rPr>
        <w:t>:</w:t>
      </w:r>
      <w:bookmarkEnd w:id="59"/>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أمكنت المباشرة في البعض ، وجبت إذا كان عضوا تاما ، للأمر بغسله المقتضي للمباشرة ،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وجوبها إن أمكنت في بعض من عضو احتمال ، وعدمه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احتاجت التولية إلى أجرة مقدورة وجبت ، لوجوب مقدمة الواجب ، إلاّ إذا كان بذلها مضرّا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عند تولية الغير على المكلّف نفسه ، وفاقا للقواعد </w:t>
      </w:r>
      <w:r>
        <w:rPr>
          <w:rStyle w:val="FootnoteAnchor"/>
          <w:rtl w:val="true"/>
        </w:rPr>
        <w:footnoteReference w:id="817"/>
      </w:r>
      <w:r>
        <w:rPr>
          <w:rFonts w:ascii="Amiri" w:hAnsi="Amiri" w:eastAsia="Amiri" w:cs="Amiri"/>
          <w:color w:val="111111"/>
          <w:sz w:val="28"/>
          <w:sz w:val="28"/>
          <w:szCs w:val="28"/>
          <w:rtl w:val="true"/>
          <w:lang w:bidi="ar-SA"/>
        </w:rPr>
        <w:t xml:space="preserve">واللوامع ، لأنّ الواجب عليه ، فينوي القبول ، لا على المباشر ، كما هو ظاهر المدارك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الغمس في الماء ، وجب ، ولا تجوز التولية ، ووجهه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توقفت تولية الغير على إجباره أو لمس غير المحرم ، فالظاهر سقوطها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لو استنابه مع ذلك أثم ، بل الأظهر بطلان وضوئه ، لأنّ القبول لا يحصل إلاّ بمسّ عضو المجبور أو غير المحرم ، وهما منهيان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المنوب عنه أعمى لا يرى عمل النائب ، وجب عليه تحصيل العلم بصحة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يمكن ، وجب استنابة العدل أو إقامة ناظر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أفعال المسلم على الصحة مطلقا حتى في مثل المقام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بتعدّد النوّاب ولو في عضو واحد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على المستنيب تجديد النية بتجدد النائب</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تمكن من الغسل ولم يتمكّن من رفع اليد ، يجب عليه الاقتصار في الاستنابة على الرفع ، والوجه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يتمكّن من الغسل مستقلاّ ولكن أمكنه الشركة مع النائب ، بحيث لم يكن كلّ منهما غاسلا ، فالظاهر عدم وجوب </w:t>
      </w:r>
    </w:p>
    <w:p>
      <w:pPr>
        <w:pStyle w:val="BookText"/>
        <w:rPr/>
      </w:pPr>
      <w:r>
        <w:rPr>
          <w:rFonts w:ascii="Amiri" w:hAnsi="Amiri" w:eastAsia="Amiri" w:cs="Amiri"/>
          <w:color w:val="111111"/>
          <w:sz w:val="28"/>
          <w:sz w:val="28"/>
          <w:szCs w:val="28"/>
          <w:rtl w:val="true"/>
          <w:lang w:bidi="ar-SA"/>
        </w:rPr>
        <w:t>التشريك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لم يتمكّن بنفسه من إمرار اليد على العضو ولكن أمكن أن يمرّ أحد يده عليه ، لا يجب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الاضطرار بعدم الإمكان وبحصول العسر والحرج ، وعلى الثاني لو تحمّله وتوضّأ بنفسه ، فالظاهر البطلان ، إذ ليس الحرج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بالماء المطلق ، فلا يجوز بالمضاف ولو اضطرارا ، وتدلّ عليه الآيات والأخبار المصرّحة بوجوب التيمّم عند عدم الماء </w:t>
      </w:r>
      <w:r>
        <w:rPr>
          <w:rStyle w:val="FootnoteAnchor"/>
          <w:rtl w:val="true"/>
        </w:rPr>
        <w:footnoteReference w:id="820"/>
      </w:r>
      <w:r>
        <w:rPr>
          <w:rFonts w:ascii="Amiri" w:hAnsi="Amiri" w:eastAsia="Amiri" w:cs="Amiri"/>
          <w:color w:val="111111"/>
          <w:sz w:val="28"/>
          <w:sz w:val="28"/>
          <w:szCs w:val="28"/>
          <w:rtl w:val="true"/>
          <w:lang w:bidi="ar-SA"/>
        </w:rPr>
        <w:t xml:space="preserve">الذي هو حقيقة في المطلق ، وقد مرّ في بحث المياه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بالماء الطاهر ، فلا يجوز بالنجس بالإجماع ، بل الضرورة ، واستفاضة النصوص المعتبرة </w:t>
      </w:r>
      <w:r>
        <w:rPr>
          <w:rStyle w:val="FootnoteAnchor"/>
          <w:rtl w:val="true"/>
        </w:rPr>
        <w:footnoteReference w:id="822"/>
      </w:r>
      <w:r>
        <w:rPr>
          <w:rFonts w:ascii="Amiri" w:hAnsi="Amiri" w:eastAsia="Amiri" w:cs="Amiri"/>
          <w:color w:val="111111"/>
          <w:sz w:val="28"/>
          <w:sz w:val="28"/>
          <w:szCs w:val="28"/>
          <w:rtl w:val="true"/>
          <w:lang w:bidi="ar-SA"/>
        </w:rPr>
        <w:t xml:space="preserve">المتقدّمة كثير منها في بحث المياه ، ومنها المروي في تفسير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فرض الوضوء على عباده بالماء الطاهر </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بالماء المباح ، فلا يجوز بالمغصوب ، للنهي المفسد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المكان المباح ، فيبطل الوضوء في المغصوب من المكان إذا كان مجموع الهواء المحيط بالمتوضّئ مغصوبا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يبطل الوضوء بالاستقرار على شي‌ء مغصوب كآجر أو فرش أو نعل ممّا يختص الغصب به ولا يتبعه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الوجه في ذلك وفي التفرقة في بحث التيمّم في المكان المغصوب</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صحة الوضوء طهارة العضو قبل التوضؤ أم لا؟ الظاهر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تحقيقه في بحث الغسل</w:t>
      </w:r>
      <w:r>
        <w:rPr>
          <w:rFonts w:eastAsia="Amiri" w:cs="Amiri" w:ascii="Amiri" w:hAnsi="Amiri"/>
          <w:color w:val="111111"/>
          <w:sz w:val="28"/>
          <w:szCs w:val="28"/>
          <w:rtl w:val="true"/>
          <w:lang w:bidi="ar-SA"/>
        </w:rPr>
        <w:t xml:space="preserve">. </w:t>
      </w:r>
      <w:bookmarkStart w:id="60" w:name="pg11612_110793"/>
    </w:p>
    <w:p>
      <w:pPr>
        <w:pStyle w:val="Heading3"/>
        <w:numPr>
          <w:ilvl w:val="2"/>
          <w:numId w:val="1"/>
        </w:numPr>
        <w:rPr/>
      </w:pPr>
      <w:bookmarkStart w:id="61" w:name="__RefHeading___Toc5524349_73709187"/>
      <w:bookmarkStart w:id="62" w:name="_Toc23"/>
      <w:bookmarkEnd w:id="60"/>
      <w:bookmarkEnd w:id="61"/>
      <w:r>
        <w:rPr>
          <w:rtl w:val="true"/>
        </w:rPr>
        <w:t xml:space="preserve">الفصل الرابع </w:t>
      </w:r>
      <w:r>
        <w:rPr>
          <w:rtl w:val="true"/>
        </w:rPr>
        <w:t xml:space="preserve">: </w:t>
      </w:r>
      <w:r>
        <w:rPr>
          <w:rtl w:val="true"/>
        </w:rPr>
        <w:t>في آدابه</w:t>
      </w:r>
      <w:bookmarkEnd w:id="62"/>
    </w:p>
    <w:p>
      <w:pPr>
        <w:pStyle w:val="Heading4"/>
        <w:numPr>
          <w:ilvl w:val="3"/>
          <w:numId w:val="1"/>
        </w:numPr>
        <w:rPr/>
      </w:pPr>
      <w:bookmarkStart w:id="63" w:name="__RefHeading___Toc5524351_73709187"/>
      <w:bookmarkStart w:id="64" w:name="_Toc24"/>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 xml:space="preserve">وهي بين مستحبة ومكروهة نذكرهما في بحثين </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5524353_73709187"/>
      <w:bookmarkStart w:id="66" w:name="_Toc25"/>
      <w:bookmarkEnd w:id="65"/>
      <w:r>
        <w:rPr>
          <w:rtl w:val="true"/>
        </w:rPr>
        <w:t xml:space="preserve">البحث الأول </w:t>
      </w:r>
      <w:r>
        <w:rPr>
          <w:rtl w:val="true"/>
        </w:rPr>
        <w:t xml:space="preserve">: </w:t>
      </w:r>
      <w:r>
        <w:rPr>
          <w:rtl w:val="true"/>
        </w:rPr>
        <w:t>في مستحباته</w:t>
      </w:r>
      <w:bookmarkEnd w:id="66"/>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الإناء على اليمين ، للشهرة </w:t>
      </w:r>
      <w:r>
        <w:rPr>
          <w:rStyle w:val="FootnoteAnchor"/>
          <w:rtl w:val="true"/>
        </w:rPr>
        <w:footnoteReference w:id="824"/>
      </w:r>
      <w:r>
        <w:rPr>
          <w:rFonts w:ascii="Amiri" w:hAnsi="Amiri" w:eastAsia="Amiri" w:cs="Amiri"/>
          <w:color w:val="111111"/>
          <w:sz w:val="28"/>
          <w:sz w:val="28"/>
          <w:szCs w:val="28"/>
          <w:rtl w:val="true"/>
          <w:lang w:bidi="ar-SA"/>
        </w:rPr>
        <w:t xml:space="preserve">، بل الإجماع كما في اللوامع ، والنبويين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التيامن في كلّ شي‌ء </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يحبّ التيامن في طهوره وفعله وشأنه كله </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ينافيه ما 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فدعا بقعب فيه شي‌ء من ماء ثمَّ وضعه بين يديه </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 لجواز تركه المستحب ، وعدم دلالته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حمل الوضع بين يديه على الوضع على اليمين ، لصدقه عليه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بأولوية الوضع بين الجانبين اتّباعا للرواية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الغرر وغيره </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والمصرّح به 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الحكم بما يغترف منه باليد </w:t>
      </w:r>
      <w:r>
        <w:rPr>
          <w:rStyle w:val="FootnoteAnchor"/>
          <w:rtl w:val="true"/>
        </w:rPr>
        <w:footnoteReference w:id="829"/>
      </w:r>
      <w:r>
        <w:rPr>
          <w:rFonts w:ascii="Amiri" w:hAnsi="Amiri" w:eastAsia="Amiri" w:cs="Amiri"/>
          <w:color w:val="111111"/>
          <w:sz w:val="28"/>
          <w:sz w:val="28"/>
          <w:szCs w:val="28"/>
          <w:rtl w:val="true"/>
          <w:lang w:bidi="ar-SA"/>
        </w:rPr>
        <w:t xml:space="preserve">، وأمّا </w:t>
      </w:r>
    </w:p>
    <w:p>
      <w:pPr>
        <w:pStyle w:val="BookText"/>
        <w:rPr/>
      </w:pPr>
      <w:r>
        <w:rPr>
          <w:rFonts w:ascii="Amiri" w:hAnsi="Amiri" w:eastAsia="Amiri" w:cs="Amiri"/>
          <w:color w:val="111111"/>
          <w:sz w:val="28"/>
          <w:sz w:val="28"/>
          <w:szCs w:val="28"/>
          <w:rtl w:val="true"/>
          <w:lang w:bidi="ar-SA"/>
        </w:rPr>
        <w:t xml:space="preserve">ما يصبّ منه من الإناء الضيّق الرأس ، فقيل باستحباب وضعه على اليسار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 القوم في مثله مختلف ، فلا يثبت منه حكم بالشهرة ونحوها ، ولا بأحاديث التيامن ، لعدم صدقه على وضعه باليسار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وأسهليّة صبّ الماء على اليمين حينئذ غير كافية في إثبات 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وضعه باليمين ، لاحتياجه إلى صبّ الماء منه في اليسار أو أخذه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محض وضعه على اليمين من التيامن المحبوب غير معلوم ، فالحقّ عدم ثبوت استحباب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الاغتراف من الماء باليمين ، لما مرّ ، وللمروي في الكافي في باب علّة الأذان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فتلقّى رسول اللّه صلی اللّه عليه وآله ، الماء بيده اليمنى ، فمن أجل ذلك صار الوضوء باليمين </w:t>
      </w:r>
      <w:r>
        <w:rPr>
          <w:rFonts w:eastAsia="IRNazanin" w:cs="IRNazanin"/>
          <w:color w:val="111111"/>
          <w:sz w:val="28"/>
          <w:szCs w:val="28"/>
          <w:rtl w:val="true"/>
          <w:lang w:bidi="fa-IR"/>
        </w:rPr>
        <w:t xml:space="preserve">» </w:t>
      </w:r>
      <w:r>
        <w:rPr>
          <w:rStyle w:val="FootnoteAnchor"/>
          <w:rtl w:val="true"/>
        </w:rPr>
        <w:footnoteReference w:id="831"/>
      </w:r>
      <w:r>
        <w:rPr>
          <w:rFonts w:ascii="Amiri" w:hAnsi="Amiri" w:eastAsia="Amiri" w:cs="Amiri"/>
          <w:color w:val="111111"/>
          <w:sz w:val="28"/>
          <w:sz w:val="28"/>
          <w:szCs w:val="28"/>
          <w:rtl w:val="true"/>
          <w:lang w:bidi="ar-SA"/>
        </w:rPr>
        <w:t xml:space="preserve">والوضوءات البيانية المتضمّنة لاغترافهم بها </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أكثرها يشمل ما لو كان الاغتراف بالأخذ من الإناء ، أو بالصبّ منه في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نسب إلى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استحبابه ولو لغسل اليمنى بالإدارة إلى اليسار </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لما قيل من إطلاق التيامن </w:t>
      </w:r>
      <w:r>
        <w:rPr>
          <w:rStyle w:val="FootnoteAnchor"/>
          <w:rtl w:val="true"/>
        </w:rPr>
        <w:footnoteReference w:id="834"/>
      </w:r>
      <w:r>
        <w:rPr>
          <w:rFonts w:ascii="Amiri" w:hAnsi="Amiri" w:eastAsia="Amiri" w:cs="Amiri"/>
          <w:color w:val="111111"/>
          <w:sz w:val="28"/>
          <w:sz w:val="28"/>
          <w:szCs w:val="28"/>
          <w:rtl w:val="true"/>
          <w:lang w:bidi="ar-SA"/>
        </w:rPr>
        <w:t xml:space="preserve">، ولا لصحيحة محمّد في الوضوء البياني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أحكي لكم وضوء رسول اللّه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يده في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أخذ كفا آخر بيمينه فصبّه على يساره ثمَّ غسل به ذراعه الأيمن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لضعف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شمول التيامن لمثل ذلك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إنّما يتم لو كان المستتر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 إلى الإمام حتى يكون البيان بالقول ، فإنّ الظاهر حينئذ استحباب ذلك ، لبعد ذكر الإمام له لولاه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كان راجعا إلى الراوي حتى يكون بالفعل فلا ، إذ غايته أنّ الإمام فعل كذلك ، ويمكن أن يكون اتّفاقيا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تعارضه أخبار أخر مصرّحة باغترافه صلی اللّه عليه وآله باليسرى لليمنى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للمروي في تفسير العياشي عن مولانا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اغسلوا أيديكم إلى المرافق فكيف الغسل؟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أن يأخذ الماء بيده اليمنى فيصبّه في اليسرى ثمَّ يفيضه على المرفق ثمَّ يمسح إلى الكف </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تعارضه أحاديث اغترافه باليسرى لليمنى ، لعدم دلالتها على الاستحباب ، ومعارضتها مع مخالفتها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كلّ من الوجه واليسرى ومسح الرأس والرجل اليمنى باليمنى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الرجل اليسرى فيستحب مسحها باليسرى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الخلاف في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الوضوءات البيانية في الغسلين ، وإلى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وتمسح ببلّة يمناك ناصيتك ، وبما بقي من بلّة يمينك ظهر قدمك اليمنى ، وتمسح ببلّة يسارك ظهر قدمك اليسرى في المسحين </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يجب ذلك ، للأصل ، وخلوّ الأخبار عن الدالّ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غسل الوجه باليدين ، كما مرّ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حين إرادة الوضوء قبل مس الماء ، وعند وضع اليد فيه ، </w:t>
      </w:r>
    </w:p>
    <w:p>
      <w:pPr>
        <w:pStyle w:val="BookText"/>
        <w:rPr/>
      </w:pPr>
      <w:r>
        <w:rPr>
          <w:rFonts w:ascii="Amiri" w:hAnsi="Amiri" w:eastAsia="Amiri" w:cs="Amiri"/>
          <w:color w:val="111111"/>
          <w:sz w:val="28"/>
          <w:sz w:val="28"/>
          <w:szCs w:val="28"/>
          <w:rtl w:val="true"/>
          <w:lang w:bidi="ar-SA"/>
        </w:rPr>
        <w:t xml:space="preserve">بأن يقول في كلّ من الحالين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وباللّه ، اللّهم اجعلني من التوّابين واجعلني من المتطهّرين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فللمروي في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يتوضأ الرجل حتى يسمّي ، يقول قبل أن يمسّ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w:t>
      </w:r>
      <w:r>
        <w:rPr>
          <w:rFonts w:eastAsia="Amiri" w:cs="Amiri" w:ascii="Amiri" w:hAnsi="Amiri"/>
          <w:color w:val="111111"/>
          <w:sz w:val="28"/>
          <w:szCs w:val="28"/>
          <w:rtl w:val="true"/>
          <w:lang w:bidi="ar-SA"/>
        </w:rPr>
        <w:t xml:space="preserve">» </w:t>
      </w:r>
      <w:r>
        <w:rPr>
          <w:rStyle w:val="FootnoteAnchor"/>
          <w:rtl w:val="true"/>
        </w:rPr>
        <w:footnoteReference w:id="840"/>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وضعت يدك في الماء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w:t>
      </w:r>
      <w:r>
        <w:rPr>
          <w:rFonts w:eastAsia="Amiri" w:cs="Amiri" w:ascii="Amiri" w:hAnsi="Amiri"/>
          <w:color w:val="111111"/>
          <w:sz w:val="28"/>
          <w:szCs w:val="28"/>
          <w:rtl w:val="true"/>
          <w:lang w:bidi="ar-SA"/>
        </w:rPr>
        <w:t xml:space="preserve">» </w:t>
      </w:r>
      <w:r>
        <w:rPr>
          <w:rStyle w:val="FootnoteAnchor"/>
          <w:rtl w:val="true"/>
        </w:rPr>
        <w:footnoteReference w:id="841"/>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w:t>
      </w:r>
      <w:r>
        <w:rPr>
          <w:rStyle w:val="FootnoteAnchor"/>
          <w:rtl w:val="true"/>
        </w:rPr>
        <w:footnoteReference w:id="842"/>
      </w:r>
      <w:r>
        <w:rPr>
          <w:rFonts w:ascii="Amiri" w:hAnsi="Amiri" w:eastAsia="Amiri" w:cs="Amiri"/>
          <w:color w:val="111111"/>
          <w:sz w:val="28"/>
          <w:sz w:val="28"/>
          <w:szCs w:val="28"/>
          <w:rtl w:val="true"/>
          <w:lang w:bidi="ar-SA"/>
        </w:rPr>
        <w:t xml:space="preserve">وضع الماء على الجبين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لصحيحته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غرف ملأها ماء فوضعها على جبينه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وسدله </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وتستحب التسمية على النحو المذكور في الحالات المذكورة من حيث هي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الوضوء أيضا ، للمروي في تفسير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قال في أول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طهرت أعضاؤه كلّها من الذنوب </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ما دلّ على استحباب التسمية على الوضوء ، كموثّقة عيص </w:t>
      </w:r>
      <w:r>
        <w:rPr>
          <w:rStyle w:val="FootnoteAnchor"/>
          <w:rtl w:val="true"/>
        </w:rPr>
        <w:footnoteReference w:id="845"/>
      </w:r>
      <w:r>
        <w:rPr>
          <w:rFonts w:ascii="Amiri" w:hAnsi="Amiri" w:eastAsia="Amiri" w:cs="Amiri"/>
          <w:color w:val="111111"/>
          <w:sz w:val="28"/>
          <w:sz w:val="28"/>
          <w:szCs w:val="28"/>
          <w:rtl w:val="true"/>
          <w:lang w:bidi="ar-SA"/>
        </w:rPr>
        <w:t xml:space="preserve">، ومرسلة ابن أبي عمير </w:t>
      </w:r>
      <w:r>
        <w:rPr>
          <w:rStyle w:val="FootnoteAnchor"/>
          <w:rtl w:val="true"/>
        </w:rPr>
        <w:footnoteReference w:id="846"/>
      </w:r>
      <w:r>
        <w:rPr>
          <w:rFonts w:ascii="IRNazanin" w:hAnsi="IRNazanin" w:eastAsia="IRNazanin"/>
          <w:color w:val="111111"/>
          <w:sz w:val="28"/>
          <w:sz w:val="28"/>
          <w:szCs w:val="28"/>
          <w:rtl w:val="true"/>
          <w:lang w:bidi="fa-IR"/>
        </w:rPr>
        <w:t xml:space="preserve">، أو استحبابها مع الدعاء إذا توضّأ ، </w:t>
      </w:r>
    </w:p>
    <w:p>
      <w:pPr>
        <w:pStyle w:val="BookText"/>
        <w:rPr/>
      </w:pPr>
      <w:r>
        <w:rPr>
          <w:rFonts w:ascii="Amiri" w:hAnsi="Amiri" w:eastAsia="Amiri" w:cs="Amiri"/>
          <w:color w:val="111111"/>
          <w:sz w:val="28"/>
          <w:sz w:val="28"/>
          <w:szCs w:val="28"/>
          <w:rtl w:val="true"/>
          <w:lang w:bidi="ar-SA"/>
        </w:rPr>
        <w:t xml:space="preserve">كمرسلة الفقيه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دلّ على استحبابها في الوضوء ، كمرسلة ابن أبي عمير فيدلّ على الاستحباب حال الوضوء مطلقا ، لا في حالة معيّنة ، وظاهره الأثناء ، وفي بعض الأخبار كمرسلة الفقيه ، وخبر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يتوضّأ فيذكر اسم اللّه </w:t>
      </w:r>
      <w:r>
        <w:rPr>
          <w:rFonts w:eastAsia="Amiri" w:cs="Amiri" w:ascii="Amiri" w:hAnsi="Amiri"/>
          <w:color w:val="111111"/>
          <w:sz w:val="28"/>
          <w:szCs w:val="28"/>
          <w:rtl w:val="true"/>
          <w:lang w:bidi="ar-SA"/>
        </w:rPr>
        <w:t xml:space="preserve">» </w:t>
      </w:r>
      <w:r>
        <w:rPr>
          <w:rStyle w:val="FootnoteAnchor"/>
          <w:rtl w:val="true"/>
        </w:rPr>
        <w:footnoteReference w:id="848"/>
      </w:r>
      <w:r>
        <w:rPr>
          <w:rFonts w:ascii="IRNazanin" w:hAnsi="IRNazanin" w:eastAsia="IRNazanin"/>
          <w:color w:val="111111"/>
          <w:sz w:val="28"/>
          <w:sz w:val="28"/>
          <w:szCs w:val="28"/>
          <w:rtl w:val="true"/>
          <w:lang w:bidi="fa-IR"/>
        </w:rPr>
        <w:t>وظاهره استحبابه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المذكور في أخبار التسمية في الوضوء بين ثمان 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مس الماء ، وعنده ، وعند وضع الماء على الجبين ، والابتداء ، وبعد الوضوء ، وعليه ، وفيه ، وإذا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يتداخل مع ما تقدّمه ، والسادس ظاهر في الرابع ، كالسابع في الأثناء ، والثامن يحتمل القبل والأثناء والبعد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ظهور بعض الأخبار في الوجوب لا يفيده ، للشذوذ ، وعدم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تركها في الابتداء يأتي بها في الأثناء ، لاستحبابها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لتدارك ما ترك ، لعدم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وثبوته في الأكل لا يفيد ، لحرمة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سقوط الميسور بالمعسور غير دالّ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اليدين من الزندين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اقتصارا على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الوضوء مرّة من حدثي النوم والبول ، ومرّتين من الغائط ، وفاقا للمعظم </w:t>
      </w:r>
      <w:r>
        <w:rPr>
          <w:rStyle w:val="FootnoteAnchor"/>
          <w:rtl w:val="true"/>
        </w:rPr>
        <w:footnoteReference w:id="849"/>
      </w:r>
      <w:r>
        <w:rPr>
          <w:rFonts w:ascii="Amiri" w:hAnsi="Amiri" w:eastAsia="Amiri" w:cs="Amiri"/>
          <w:color w:val="111111"/>
          <w:sz w:val="28"/>
          <w:sz w:val="28"/>
          <w:szCs w:val="28"/>
          <w:rtl w:val="true"/>
          <w:lang w:bidi="ar-SA"/>
        </w:rPr>
        <w:t xml:space="preserve">، بل في المعتبر اتّفاق فقهائنا وأكثر أهل العلم عليه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يفرغ الرجل على يده قبل أن يدخلها في الإناء؟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 حدث البول ، واثنتان من الغائط ، وثلاث من الجنابة </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يبول ولم يمس يده اليمنى شي‌ء ، أيدخلها في وضوئه قبل أن يغسلها؟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حتى يغسلها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استيقظ من نومه ولم يبل ، أيدخل يده في وضوئه قبل أن يغسلها؟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لأنه لا يدري حيث باتت يده فليغسلها </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يدك من البول مرّة ، ومن الغائط مرّتين ، ومن الجنابة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يدك من النوم مرّة </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رواية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الرجل يده من النوم مرّة ، ومن الغائط والبول مرّتين </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فلا تنافي ما تقدّم ، إذ يمكن أن يكون الأمر بالمرّتين للأخبثين معا ، بل هو الظاهر ، لأنّه الغالب مع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وظهور بعض تلك الأخبار في الوجوب غير مفيد له ، لعدم القول به ، مع وجود ضرب من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وخلافا للنفلية والبيان ، فأطلق المرّة في الجميع </w:t>
      </w:r>
      <w:r>
        <w:rPr>
          <w:rStyle w:val="FootnoteAnchor"/>
          <w:rtl w:val="true"/>
        </w:rPr>
        <w:footnoteReference w:id="855"/>
      </w:r>
      <w:r>
        <w:rPr>
          <w:rFonts w:ascii="Amiri" w:hAnsi="Amiri" w:eastAsia="Amiri" w:cs="Amiri"/>
          <w:color w:val="111111"/>
          <w:sz w:val="28"/>
          <w:sz w:val="28"/>
          <w:szCs w:val="28"/>
          <w:rtl w:val="true"/>
          <w:lang w:bidi="ar-SA"/>
        </w:rPr>
        <w:t xml:space="preserve">، واللمعة فالمرّتين فيه </w:t>
      </w:r>
      <w:r>
        <w:rPr>
          <w:rStyle w:val="FootnoteAnchor"/>
          <w:rtl w:val="true"/>
        </w:rPr>
        <w:footnoteReference w:id="856"/>
      </w:r>
      <w:r>
        <w:rPr>
          <w:rFonts w:ascii="IRNazanin" w:hAnsi="IRNazanin" w:eastAsia="IRNazanin"/>
          <w:color w:val="111111"/>
          <w:sz w:val="28"/>
          <w:sz w:val="28"/>
          <w:szCs w:val="28"/>
          <w:rtl w:val="true"/>
          <w:lang w:bidi="fa-IR"/>
        </w:rPr>
        <w:t>، ولم نعثر على مستندهما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هذا الغسل هل هو لدفع النجاسة المتوهّمة فلا يكون في غير القليل ولا </w:t>
      </w:r>
    </w:p>
    <w:p>
      <w:pPr>
        <w:pStyle w:val="BookText"/>
        <w:rPr/>
      </w:pPr>
      <w:r>
        <w:rPr>
          <w:rFonts w:ascii="Amiri" w:hAnsi="Amiri" w:eastAsia="Amiri" w:cs="Amiri"/>
          <w:color w:val="111111"/>
          <w:sz w:val="28"/>
          <w:sz w:val="28"/>
          <w:szCs w:val="28"/>
          <w:rtl w:val="true"/>
          <w:lang w:bidi="ar-SA"/>
        </w:rPr>
        <w:t>مع تيقّن الطهارة ، ولا يحتاج إلى النية ، أم تعبّد محض ، فيعمّ الجميع ويلزم فيه النية؟</w:t>
      </w:r>
    </w:p>
    <w:p>
      <w:pPr>
        <w:pStyle w:val="BookText"/>
        <w:rPr/>
      </w:pPr>
      <w:r>
        <w:rPr>
          <w:rFonts w:ascii="Amiri" w:hAnsi="Amiri" w:eastAsia="Amiri" w:cs="Amiri"/>
          <w:color w:val="111111"/>
          <w:sz w:val="28"/>
          <w:sz w:val="28"/>
          <w:szCs w:val="28"/>
          <w:rtl w:val="true"/>
          <w:lang w:bidi="ar-SA"/>
        </w:rPr>
        <w:t xml:space="preserve">الأقرب الثاني ، وفاقا لجماعة </w:t>
      </w:r>
      <w:r>
        <w:rPr>
          <w:rStyle w:val="FootnoteAnchor"/>
          <w:rtl w:val="true"/>
        </w:rPr>
        <w:footnoteReference w:id="857"/>
      </w:r>
      <w:r>
        <w:rPr>
          <w:rFonts w:ascii="Amiri" w:hAnsi="Amiri" w:eastAsia="Amiri" w:cs="Amiri"/>
          <w:color w:val="111111"/>
          <w:sz w:val="28"/>
          <w:sz w:val="28"/>
          <w:szCs w:val="28"/>
          <w:rtl w:val="true"/>
          <w:lang w:bidi="ar-SA"/>
        </w:rPr>
        <w:t xml:space="preserve">، لإطلاق ما عدا ذيل الخبر الثاني ، وصريح صدره ، وعدم معارضتها له </w:t>
      </w:r>
      <w:r>
        <w:rPr>
          <w:rStyle w:val="FootnoteAnchor"/>
          <w:rtl w:val="true"/>
        </w:rPr>
        <w:footnoteReference w:id="858"/>
      </w:r>
      <w:r>
        <w:rPr>
          <w:rFonts w:ascii="Amiri" w:hAnsi="Amiri" w:eastAsia="Amiri" w:cs="Amiri"/>
          <w:color w:val="111111"/>
          <w:sz w:val="28"/>
          <w:sz w:val="28"/>
          <w:szCs w:val="28"/>
          <w:rtl w:val="true"/>
          <w:lang w:bidi="ar-SA"/>
        </w:rPr>
        <w:t xml:space="preserve">، لعدم تضمّنها ما يوجب التقييد ، مع معارضتها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صدره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ظهر عدم اختصاص الحكم بالإناء الذي يغترف منه ، وإن اختص الأوّلان به ، لإطلاق الأخير ، وعدم موجب للتقييد للمنافاة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والمدارك ، وبعض آخر </w:t>
      </w:r>
      <w:r>
        <w:rPr>
          <w:rStyle w:val="FootnoteAnchor"/>
          <w:rtl w:val="true"/>
        </w:rPr>
        <w:footnoteReference w:id="860"/>
      </w:r>
      <w:r>
        <w:rPr>
          <w:rFonts w:ascii="Amiri" w:hAnsi="Amiri" w:eastAsia="Amiri" w:cs="Amiri"/>
          <w:color w:val="111111"/>
          <w:sz w:val="28"/>
          <w:sz w:val="28"/>
          <w:szCs w:val="28"/>
          <w:rtl w:val="true"/>
          <w:lang w:bidi="ar-SA"/>
        </w:rPr>
        <w:t>، فخصّصوا الحكم به ، للأولين ، وانصراف إطلاق الأخير إلى الشائع من إناء الوضوء عندهم ، وهي الظروف الواسعة ، واقتصارا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إيجابه للاختصاص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الشيوع بحيث يوجب الانصراف ، مع أنّه لا يفيد مع تيقّن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المتيقّن هو المطلق ، للإطلاق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يستحب الغسل لحدث الريح ولا للمجدّد ، لعدم 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تتداخل الأسباب؟ 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عدمه ، وممّا مرّ من رواية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الظاهر التداخل مع اتّحاد السبب</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المضمضة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تحريك الماء في الفم ، ذكره الجوهري وغيره </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والاستنشاق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اجتذابه إلى داخل الأنف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للإجماع المحقّق ، والمحكي في اللوامع ، وعن الغنية </w:t>
      </w:r>
      <w:r>
        <w:rPr>
          <w:rStyle w:val="FootnoteAnchor"/>
          <w:rtl w:val="true"/>
        </w:rPr>
        <w:footnoteReference w:id="862"/>
      </w:r>
      <w:r>
        <w:rPr>
          <w:rFonts w:ascii="Amiri" w:hAnsi="Amiri" w:eastAsia="Amiri" w:cs="Amiri"/>
          <w:color w:val="111111"/>
          <w:sz w:val="28"/>
          <w:sz w:val="28"/>
          <w:szCs w:val="28"/>
          <w:rtl w:val="true"/>
          <w:lang w:bidi="ar-SA"/>
        </w:rPr>
        <w:t xml:space="preserve">، ونهاية الإحكام </w:t>
      </w:r>
      <w:r>
        <w:rPr>
          <w:rStyle w:val="FootnoteAnchor"/>
          <w:rtl w:val="true"/>
        </w:rPr>
        <w:footnoteReference w:id="863"/>
      </w:r>
      <w:r>
        <w:rPr>
          <w:rFonts w:ascii="Amiri" w:hAnsi="Amiri" w:eastAsia="Amiri" w:cs="Amiri"/>
          <w:color w:val="111111"/>
          <w:sz w:val="28"/>
          <w:sz w:val="28"/>
          <w:szCs w:val="28"/>
          <w:rtl w:val="true"/>
          <w:lang w:bidi="ar-SA"/>
        </w:rPr>
        <w:t xml:space="preserve">، 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المعروف من المذهب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وللمروي في الكافي في وصف وضوء مولانا أمير المؤمنين 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استنشق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تمضمض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في مجالس الصدوق ، والمقنع ، وثواب الأعمال ، وفلاح السائل ، والمحاسن ، وفقه الرضا ، إلاّ أنّ فيها تقديم التمضمض على الاستنشاق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عبد اللّه 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المضمضة والاستنشاق مما سنّ رسول اللّه صلی اللّه عليه وآله </w:t>
      </w:r>
      <w:r>
        <w:rPr>
          <w:rFonts w:eastAsia="IRNazanin" w:cs="IRNazanin"/>
          <w:color w:val="111111"/>
          <w:sz w:val="28"/>
          <w:szCs w:val="28"/>
          <w:rtl w:val="true"/>
          <w:lang w:bidi="fa-IR"/>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عنهما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من السنة ، فإن نسيتهما لم يكن عليك إعادة </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من الوضوء ، فإن نسيتهما فلا تعد </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 مجالس أبي علي والنهج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فانظر إلى الوضوء فإنه من تمام </w:t>
      </w:r>
    </w:p>
    <w:p>
      <w:pPr>
        <w:pStyle w:val="BookText"/>
        <w:rPr/>
      </w:pPr>
      <w:r>
        <w:rPr>
          <w:rFonts w:ascii="Amiri" w:hAnsi="Amiri" w:eastAsia="Amiri" w:cs="Amiri"/>
          <w:color w:val="111111"/>
          <w:sz w:val="28"/>
          <w:sz w:val="28"/>
          <w:szCs w:val="28"/>
          <w:rtl w:val="true"/>
          <w:lang w:bidi="ar-SA"/>
        </w:rPr>
        <w:t xml:space="preserve">الصلاة ، تمضمض ثلاث مرات ، واستنشق ثلاثا ، واغسل وجهك </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وليبالغ أحدكم في المضمضة والاستنشاق </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مجالس الصدوق في علل الوضوء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سنّ على أمتي المضمضة لينقي القلب من الحرام ، والاستنشاق ليحرم عليهم رائحة النار </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خصاله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المضمضة والاستنشاق سنّة وطهور للفم والأنف </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وقصور بعضها سندا مع التسامح منجبر بما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فقول العماني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ليسا بفرض ولا سنّة </w:t>
      </w:r>
      <w:r>
        <w:rPr>
          <w:rStyle w:val="FootnoteAnchor"/>
          <w:rtl w:val="true"/>
        </w:rPr>
        <w:footnoteReference w:id="874"/>
      </w:r>
      <w:r>
        <w:rPr>
          <w:rFonts w:ascii="Amiri" w:hAnsi="Amiri" w:eastAsia="Amiri" w:cs="Amiri"/>
          <w:color w:val="111111"/>
          <w:sz w:val="28"/>
          <w:sz w:val="28"/>
          <w:szCs w:val="28"/>
          <w:rtl w:val="true"/>
          <w:lang w:bidi="ar-SA"/>
        </w:rPr>
        <w:t>، ضعيف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الأخبار الموافقة له </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المصرّح به في أكثرها أنها ليسا من الوضوء ، والظاهر منه أفعاله الواجبة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الوضوء ليس إلاّ الواجب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المضمضة والاستنشاق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بواجب </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المراد أنهما ليسا من أفعال الوضوء مطلقا وإن كانا مستحبين ، كالسواك ، كما صرّح به الصدوق في الهداية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مسنونان خارجان عن الوضوء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الحضرمي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عليك مضمضة ولا استنشاق ، لأنهما من </w:t>
      </w:r>
    </w:p>
    <w:p>
      <w:pPr>
        <w:pStyle w:val="BookText"/>
        <w:rPr/>
      </w:pPr>
      <w:r>
        <w:rPr>
          <w:rFonts w:ascii="IRNazanin" w:hAnsi="IRNazanin" w:eastAsia="IRNazanin"/>
          <w:color w:val="111111"/>
          <w:sz w:val="28"/>
          <w:sz w:val="28"/>
          <w:szCs w:val="28"/>
          <w:rtl w:val="true"/>
          <w:lang w:bidi="fa-IR"/>
        </w:rPr>
        <w:t xml:space="preserve">الجوف </w:t>
      </w:r>
      <w:r>
        <w:rPr>
          <w:rFonts w:eastAsia="IRNazanin" w:cs="IRNazanin"/>
          <w:color w:val="111111"/>
          <w:sz w:val="28"/>
          <w:szCs w:val="28"/>
          <w:rtl w:val="true"/>
          <w:lang w:bidi="fa-IR"/>
        </w:rPr>
        <w:t xml:space="preserve">» </w:t>
      </w:r>
      <w:r>
        <w:rPr>
          <w:rStyle w:val="FootnoteAnchor"/>
          <w:rtl w:val="true"/>
        </w:rPr>
        <w:footnoteReference w:id="879"/>
      </w:r>
      <w:r>
        <w:rPr>
          <w:rFonts w:ascii="Amiri" w:hAnsi="Amiri" w:eastAsia="Amiri" w:cs="Amiri"/>
          <w:color w:val="111111"/>
          <w:sz w:val="28"/>
          <w:sz w:val="28"/>
          <w:szCs w:val="28"/>
          <w:rtl w:val="true"/>
          <w:lang w:bidi="ar-SA"/>
        </w:rPr>
        <w:t>فلا يفيد إلاّ نفي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المضمضة والاستنشاق فريضة ولا سنّة </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لاحتمال كون المراد بالسنّة الواجبة النبوية كما هو الشائع في الصدر الأول ، ولا أقلّ من عدم ثبوت الحقيقة الشرعية في المعنى المصطلح لها ، بل ولا المتشرّعة عند القدماء ، ومنه يظهر إمكان حملها في كلام العماني عليها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أكثر أخبار المقام وإن كان مطلقا إلاّ أنّ مقتضى رواية النهج </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التثليث ، وقد حكى في الغنية الإجماع عليه </w:t>
      </w:r>
      <w:r>
        <w:rPr>
          <w:rStyle w:val="FootnoteAnchor"/>
          <w:rtl w:val="true"/>
        </w:rPr>
        <w:footnoteReference w:id="882"/>
      </w:r>
      <w:r>
        <w:rPr>
          <w:rFonts w:ascii="Amiri" w:hAnsi="Amiri" w:eastAsia="Amiri" w:cs="Amiri"/>
          <w:color w:val="111111"/>
          <w:sz w:val="28"/>
          <w:sz w:val="28"/>
          <w:szCs w:val="28"/>
          <w:rtl w:val="true"/>
          <w:lang w:bidi="ar-SA"/>
        </w:rPr>
        <w:t xml:space="preserve">، وفي اللوامع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المعروف منهم ، وهو كاف في إثبات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قيل من أنّه لا شاهد عليه </w:t>
      </w:r>
      <w:r>
        <w:rPr>
          <w:rStyle w:val="FootnoteAnchor"/>
          <w:rtl w:val="true"/>
        </w:rPr>
        <w:footnoteReference w:id="883"/>
      </w:r>
      <w:r>
        <w:rPr>
          <w:rFonts w:ascii="Amiri" w:hAnsi="Amiri" w:eastAsia="Amiri" w:cs="Amiri"/>
          <w:color w:val="111111"/>
          <w:sz w:val="28"/>
          <w:sz w:val="28"/>
          <w:szCs w:val="28"/>
          <w:rtl w:val="true"/>
          <w:lang w:bidi="ar-SA"/>
        </w:rPr>
        <w:t>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أيضا الرواية المشهورة في حكاية علي بن يقطين ، المتقدّمة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تمضمض ثلاثا واستنشق ثلاثا </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وثبوت التقية في بعض ما ذكر معهما لا يضرّ بعد عدم ثبوتها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والاستدلال على التثليث بخبر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يتوضّأ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يتمضمض ثلاث مرات </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الاكتفاء في كلّ منهما بالأقلّ أيضا ، لإطلاق أكثر الأخبار ، وعدم استلزام استحباب التثليث ، لعدم استحباب المطلق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الأفضل إيقاع الثلاث في كلّ منهما بثلاث غرفات ، كما عن التذكرة ، ونهاية الإحكام </w:t>
      </w:r>
      <w:r>
        <w:rPr>
          <w:rStyle w:val="FootnoteAnchor"/>
          <w:rtl w:val="true"/>
        </w:rPr>
        <w:footnoteReference w:id="886"/>
      </w:r>
      <w:r>
        <w:rPr>
          <w:rFonts w:ascii="Amiri" w:hAnsi="Amiri" w:eastAsia="Amiri" w:cs="Amiri"/>
          <w:color w:val="111111"/>
          <w:sz w:val="28"/>
          <w:sz w:val="28"/>
          <w:szCs w:val="28"/>
          <w:rtl w:val="true"/>
          <w:lang w:bidi="ar-SA"/>
        </w:rPr>
        <w:t xml:space="preserve">، وفي اللوامع ، أو لا فيقتصر بغرفة لكلّ منهما كما في نهاية الشيخ ، وعن مصباحه ومختصره ، والمقنعة ، والمهذب ، والوسيلة ، والإشارة </w:t>
      </w:r>
      <w:r>
        <w:rPr>
          <w:rStyle w:val="FootnoteAnchor"/>
          <w:rtl w:val="true"/>
        </w:rPr>
        <w:footnoteReference w:id="887"/>
      </w:r>
      <w:r>
        <w:rPr>
          <w:rFonts w:ascii="Amiri" w:hAnsi="Amiri" w:eastAsia="Amiri" w:cs="Amiri"/>
          <w:color w:val="111111"/>
          <w:sz w:val="28"/>
          <w:sz w:val="28"/>
          <w:szCs w:val="28"/>
          <w:rtl w:val="true"/>
          <w:lang w:bidi="ar-SA"/>
        </w:rPr>
        <w:t xml:space="preserve">، أو بغرفة لهما معا ، كما عن ظاهر الاقتصاد ، والجامع ، والمبسوط </w:t>
      </w:r>
      <w:r>
        <w:rPr>
          <w:rStyle w:val="FootnoteAnchor"/>
          <w:rtl w:val="true"/>
        </w:rPr>
        <w:footnoteReference w:id="888"/>
      </w:r>
      <w:r>
        <w:rPr>
          <w:rFonts w:ascii="Amiri" w:hAnsi="Amiri" w:eastAsia="Amiri" w:cs="Amiri"/>
          <w:color w:val="111111"/>
          <w:sz w:val="28"/>
          <w:sz w:val="28"/>
          <w:szCs w:val="28"/>
          <w:rtl w:val="true"/>
          <w:lang w:bidi="ar-SA"/>
        </w:rPr>
        <w:t>والإصباح ، وفي الأخيرين التخيير بين الغرفة والغرفتين لهما بزيادة الثلاث في كلّ في الأخير؟</w:t>
      </w:r>
    </w:p>
    <w:p>
      <w:pPr>
        <w:pStyle w:val="BookText"/>
        <w:rPr/>
      </w:pPr>
      <w:r>
        <w:rPr>
          <w:rFonts w:ascii="Amiri" w:hAnsi="Amiri" w:eastAsia="Amiri" w:cs="Amiri"/>
          <w:color w:val="111111"/>
          <w:sz w:val="28"/>
          <w:sz w:val="28"/>
          <w:szCs w:val="28"/>
          <w:rtl w:val="true"/>
          <w:lang w:bidi="ar-SA"/>
        </w:rPr>
        <w:t xml:space="preserve">مقتضى ظواهر الإطلاقات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الكلّ وتساويه في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وتستحب المبالغة فيهما بإدارة الماء في جميع الفم وجذبه إلى أعلى الأنف ، كما صرّح به في المنتهى والتذكرة </w:t>
      </w:r>
      <w:r>
        <w:rPr>
          <w:rStyle w:val="FootnoteAnchor"/>
          <w:rtl w:val="true"/>
        </w:rPr>
        <w:footnoteReference w:id="889"/>
      </w:r>
      <w:r>
        <w:rPr>
          <w:rFonts w:ascii="Amiri" w:hAnsi="Amiri" w:eastAsia="Amiri" w:cs="Amiri"/>
          <w:color w:val="111111"/>
          <w:sz w:val="28"/>
          <w:sz w:val="28"/>
          <w:szCs w:val="28"/>
          <w:rtl w:val="true"/>
          <w:lang w:bidi="ar-SA"/>
        </w:rPr>
        <w:t xml:space="preserve">، لرواية ثواب الأعمال </w:t>
      </w:r>
      <w:r>
        <w:rPr>
          <w:rStyle w:val="FootnoteAnchor"/>
          <w:rtl w:val="true"/>
        </w:rPr>
        <w:footnoteReference w:id="890"/>
      </w:r>
      <w:r>
        <w:rPr>
          <w:rFonts w:ascii="IRNazanin" w:hAnsi="IRNazanin" w:eastAsia="IRNazanin"/>
          <w:color w:val="111111"/>
          <w:sz w:val="28"/>
          <w:sz w:val="28"/>
          <w:szCs w:val="28"/>
          <w:rtl w:val="true"/>
          <w:lang w:bidi="fa-IR"/>
        </w:rPr>
        <w:t xml:space="preserve">، ولأنها السبب </w:t>
      </w:r>
      <w:r>
        <w:rPr>
          <w:rStyle w:val="FootnoteAnchor"/>
          <w:rtl w:val="true"/>
        </w:rPr>
        <w:footnoteReference w:id="891"/>
      </w:r>
      <w:r>
        <w:rPr>
          <w:rFonts w:ascii="Amiri" w:hAnsi="Amiri" w:eastAsia="Amiri" w:cs="Amiri"/>
          <w:color w:val="111111"/>
          <w:sz w:val="28"/>
          <w:sz w:val="28"/>
          <w:szCs w:val="28"/>
          <w:rtl w:val="true"/>
          <w:lang w:bidi="ar-SA"/>
        </w:rPr>
        <w:t xml:space="preserve">للتنظيف المعلّل به في خبر الخصال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يلزم إخراج الماء في المضمضة ، فلو ابتلعه حصل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مقتضى إطلاق أكثر الأخبار بملاحظة عدم دلالة الترتيب الذكري على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الترتيب بينهما ، فيجوز تقديم كلّ منهما على الآخر ، أو توسيط بعض دفعات كلّ بين الآخر ، كما في بعض كتب الفاضل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المشهور تقديم المضمضة بدفعاتها الثلاثة ، وهو المحكي عن المقنعة ، والمصباح ، ومختصره والوسيلة ، والجامع ، والتحرير ، والتذكرة ، ونهاية الإحكام ، </w:t>
      </w:r>
    </w:p>
    <w:p>
      <w:pPr>
        <w:pStyle w:val="BookText"/>
        <w:rPr/>
      </w:pPr>
      <w:r>
        <w:rPr>
          <w:rFonts w:ascii="Amiri" w:hAnsi="Amiri" w:eastAsia="Amiri" w:cs="Amiri"/>
          <w:color w:val="111111"/>
          <w:sz w:val="28"/>
          <w:sz w:val="28"/>
          <w:szCs w:val="28"/>
          <w:rtl w:val="true"/>
          <w:lang w:bidi="ar-SA"/>
        </w:rPr>
        <w:t xml:space="preserve">والذكرى ، والنفلية ، والبيان </w:t>
      </w:r>
      <w:r>
        <w:rPr>
          <w:rStyle w:val="FootnoteAnchor"/>
          <w:rtl w:val="true"/>
        </w:rPr>
        <w:footnoteReference w:id="894"/>
      </w:r>
      <w:r>
        <w:rPr>
          <w:rFonts w:ascii="Amiri" w:hAnsi="Amiri" w:eastAsia="Amiri" w:cs="Amiri"/>
          <w:color w:val="111111"/>
          <w:sz w:val="28"/>
          <w:sz w:val="28"/>
          <w:szCs w:val="28"/>
          <w:rtl w:val="true"/>
          <w:lang w:bidi="ar-SA"/>
        </w:rPr>
        <w:t xml:space="preserve">، بل في المبسوط أنه لا يجوز تقديم الاستنشاق </w:t>
      </w:r>
      <w:r>
        <w:rPr>
          <w:rStyle w:val="FootnoteAnchor"/>
          <w:rtl w:val="true"/>
        </w:rPr>
        <w:footnoteReference w:id="895"/>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كذلك مع قصد المشروعية ، لعدم ثبوتها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للشك في شمول الإطلاق له ، سيما مع دلالة ظاهر الرواية الأولى </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غير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الترتيب ، وسيما مع الترتيب الذكري في كثير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استحباب تقديم المضمضة وإن لم يمكن من الأخبار ، للأصل ، وعدم دلالة الترتيب الذكري على الخارجي ، بل عدم دلالة الفعلي المذكور في الأولى على ما في غير الكافي ، لجواز كونه أحد فردي المستحب ، مع تعارضها بما في الكافي ، ولكن لا بأس بإثباته بالشهرة المحكية وفتوى الأجلّة ، لأنّ المقام مقام المسامحة ، فيكون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يثبت منه تقييد استحباب مطلقهما به حتى لا يستحب غير تلك الهيئة ويأثم بقصد المشروعية في غيرها ، إذ استحباب التقديم غير مناف لاستحباب المطلق ، بل غايته أنه مستحب آخر ، فمن تركه أتى بأحد المستحبين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شمول الإطلاق لو سلّم لم يضرّ ، لمكان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في اللوامع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الأمرين وإن استحب تقديم المضمضة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كونهما باليمنى ، لما تقدّم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ويجوزان للصائم وإن كان الأفضل له ترك المضمضة ، لمضمرة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الأفضل للصائم أن لا يتمضمض </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عند كلّ من المضمضة والاستنشاق وغسل الوجه واليدين ومسح الرأس والرجلين وبعد الوضوء بالمأثور ، وقول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تستحب قراءة آية الكرسي في أثر الوضوء ، رواه في جامع الأخبار </w:t>
      </w:r>
      <w:r>
        <w:rPr>
          <w:rStyle w:val="FootnoteAnchor"/>
          <w:rtl w:val="true"/>
        </w:rPr>
        <w:footnoteReference w:id="899"/>
      </w:r>
      <w:r>
        <w:rPr>
          <w:rFonts w:ascii="Amiri" w:hAnsi="Amiri" w:eastAsia="Amiri" w:cs="Amiri"/>
          <w:color w:val="111111"/>
          <w:sz w:val="28"/>
          <w:sz w:val="28"/>
          <w:szCs w:val="28"/>
          <w:rtl w:val="true"/>
          <w:lang w:bidi="ar-SA"/>
        </w:rPr>
        <w:t xml:space="preserve">وإنا أنزلناه ، رواه في البلد الأمين واختيار ابن الباقي </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الأدعية اختلاف في كتبه ، والداعي مخير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ومحل الدعاء في المضمضة والاستنشاق بعد الفعل ، لمكان قوله في رواية وضوء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تمضمض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واستنشق فقال </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بل المستفاد من تلك الرواية كون الدعاء في كلّ فعل بعد الفراغ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والظاهر تأدّي السنّة بقراءته بعده وفي الأثناء أيضا فيما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تثنية الغسلات في كلّ من الوجه واليدين ، كما يأتي بعد ذلك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بدأة الرجل بظاهر ذراعيه ، والمرأة بباطنهما ، لخبر ابن بزيع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فرض اللّه على النساء في الوضوء أن يبتدئن بباطن أذرعهن وفي الرجل بظاهر الذراع </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 xml:space="preserve">ومثله في الخصال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المراد منها في الرواية البدأة في كلّ من الغسلتين ، كما ذكره </w:t>
      </w:r>
    </w:p>
    <w:p>
      <w:pPr>
        <w:pStyle w:val="BookText"/>
        <w:rPr/>
      </w:pPr>
      <w:r>
        <w:rPr>
          <w:rFonts w:ascii="Amiri" w:hAnsi="Amiri" w:eastAsia="Amiri" w:cs="Amiri"/>
          <w:color w:val="111111"/>
          <w:sz w:val="28"/>
          <w:sz w:val="28"/>
          <w:szCs w:val="28"/>
          <w:rtl w:val="true"/>
          <w:lang w:bidi="ar-SA"/>
        </w:rPr>
        <w:t xml:space="preserve">جماعة </w:t>
      </w:r>
      <w:r>
        <w:rPr>
          <w:rStyle w:val="FootnoteAnchor"/>
          <w:rtl w:val="true"/>
        </w:rPr>
        <w:footnoteReference w:id="905"/>
      </w:r>
      <w:r>
        <w:rPr>
          <w:rFonts w:ascii="Amiri" w:hAnsi="Amiri" w:eastAsia="Amiri" w:cs="Amiri"/>
          <w:color w:val="111111"/>
          <w:sz w:val="28"/>
          <w:sz w:val="28"/>
          <w:szCs w:val="28"/>
          <w:rtl w:val="true"/>
          <w:lang w:bidi="ar-SA"/>
        </w:rPr>
        <w:t>، أو في الغسل حتى تكون الثانية مسكوتا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الأمران في كلام المشهور أيضا ، حيث أطلق فيه البدأة بالظاهر للرجل وبالباطن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في المبسوط بدأة الرجل في الأولى بالظاهر وفي الثانية بالباطن </w:t>
      </w:r>
      <w:r>
        <w:rPr>
          <w:rStyle w:val="FootnoteAnchor"/>
          <w:rtl w:val="true"/>
        </w:rPr>
        <w:footnoteReference w:id="906"/>
      </w:r>
      <w:r>
        <w:rPr>
          <w:rFonts w:ascii="Amiri" w:hAnsi="Amiri" w:eastAsia="Amiri" w:cs="Amiri"/>
          <w:color w:val="111111"/>
          <w:sz w:val="28"/>
          <w:sz w:val="28"/>
          <w:szCs w:val="28"/>
          <w:rtl w:val="true"/>
          <w:lang w:bidi="ar-SA"/>
        </w:rPr>
        <w:t xml:space="preserve">، وهو مختار الإصباح ، والإشارة ، والسرائر ، والشرائع ، والغنية ، والتذكرة </w:t>
      </w:r>
      <w:r>
        <w:rPr>
          <w:rStyle w:val="FootnoteAnchor"/>
          <w:rtl w:val="true"/>
        </w:rPr>
        <w:footnoteReference w:id="907"/>
      </w:r>
      <w:r>
        <w:rPr>
          <w:rFonts w:ascii="Amiri" w:hAnsi="Amiri" w:eastAsia="Amiri" w:cs="Amiri"/>
          <w:color w:val="111111"/>
          <w:sz w:val="28"/>
          <w:sz w:val="28"/>
          <w:szCs w:val="28"/>
          <w:rtl w:val="true"/>
          <w:lang w:bidi="ar-SA"/>
        </w:rPr>
        <w:t>، وفي الأخيرين الإجماع عليه ، وهو كاف في إثبات المطلوب ، للمسامحة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اشتهار الإطلاق ، لا سيما مع الاحتمال 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إسباغ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 </w:t>
      </w:r>
      <w:r>
        <w:rPr>
          <w:rFonts w:eastAsia="IRNazanin" w:cs="IRNazanin"/>
          <w:color w:val="111111"/>
          <w:sz w:val="28"/>
          <w:szCs w:val="28"/>
          <w:rtl w:val="true"/>
          <w:lang w:bidi="fa-IR"/>
        </w:rPr>
        <w:t xml:space="preserve">) </w:t>
      </w:r>
      <w:r>
        <w:rPr>
          <w:rStyle w:val="FootnoteAnchor"/>
          <w:rtl w:val="true"/>
        </w:rPr>
        <w:footnoteReference w:id="908"/>
      </w:r>
      <w:r>
        <w:rPr>
          <w:rFonts w:ascii="Amiri" w:hAnsi="Amiri" w:eastAsia="Amiri" w:cs="Amiri"/>
          <w:color w:val="111111"/>
          <w:sz w:val="28"/>
          <w:sz w:val="28"/>
          <w:szCs w:val="28"/>
          <w:rtl w:val="true"/>
          <w:lang w:bidi="ar-SA"/>
        </w:rPr>
        <w:t xml:space="preserve">بالإجماعين </w:t>
      </w:r>
      <w:r>
        <w:rPr>
          <w:rStyle w:val="FootnoteAnchor"/>
          <w:rtl w:val="true"/>
        </w:rPr>
        <w:footnoteReference w:id="909"/>
      </w:r>
      <w:r>
        <w:rPr>
          <w:rFonts w:ascii="Amiri" w:hAnsi="Amiri" w:eastAsia="Amiri" w:cs="Amiri"/>
          <w:color w:val="111111"/>
          <w:sz w:val="28"/>
          <w:sz w:val="28"/>
          <w:szCs w:val="28"/>
          <w:rtl w:val="true"/>
          <w:lang w:bidi="ar-SA"/>
        </w:rPr>
        <w:t xml:space="preserve">والمستفيضة من الروايات ، كمرسلتي الفقيه </w:t>
      </w:r>
      <w:r>
        <w:rPr>
          <w:rStyle w:val="FootnoteAnchor"/>
          <w:rtl w:val="true"/>
        </w:rPr>
        <w:footnoteReference w:id="910"/>
      </w:r>
      <w:r>
        <w:rPr>
          <w:rFonts w:ascii="Amiri" w:hAnsi="Amiri" w:eastAsia="Amiri" w:cs="Amiri"/>
          <w:color w:val="111111"/>
          <w:sz w:val="28"/>
          <w:sz w:val="28"/>
          <w:szCs w:val="28"/>
          <w:rtl w:val="true"/>
          <w:lang w:bidi="ar-SA"/>
        </w:rPr>
        <w:t xml:space="preserve">، وصحيحتي زرارة </w:t>
      </w:r>
      <w:r>
        <w:rPr>
          <w:rStyle w:val="FootnoteAnchor"/>
          <w:rtl w:val="true"/>
        </w:rPr>
        <w:footnoteReference w:id="911"/>
      </w:r>
      <w:r>
        <w:rPr>
          <w:rFonts w:ascii="Amiri" w:hAnsi="Amiri" w:eastAsia="Amiri" w:cs="Amiri"/>
          <w:color w:val="111111"/>
          <w:sz w:val="28"/>
          <w:sz w:val="28"/>
          <w:szCs w:val="28"/>
          <w:rtl w:val="true"/>
          <w:lang w:bidi="ar-SA"/>
        </w:rPr>
        <w:t xml:space="preserve">ومحمّد </w:t>
      </w:r>
      <w:r>
        <w:rPr>
          <w:rStyle w:val="FootnoteAnchor"/>
          <w:rtl w:val="true"/>
        </w:rPr>
        <w:footnoteReference w:id="912"/>
      </w:r>
      <w:r>
        <w:rPr>
          <w:rFonts w:ascii="Amiri" w:hAnsi="Amiri" w:eastAsia="Amiri" w:cs="Amiri"/>
          <w:color w:val="111111"/>
          <w:sz w:val="28"/>
          <w:sz w:val="28"/>
          <w:szCs w:val="28"/>
          <w:rtl w:val="true"/>
          <w:lang w:bidi="ar-SA"/>
        </w:rPr>
        <w:t xml:space="preserve">، وموثّقة سماعة </w:t>
      </w:r>
      <w:r>
        <w:rPr>
          <w:rStyle w:val="FootnoteAnchor"/>
          <w:rtl w:val="true"/>
        </w:rPr>
        <w:footnoteReference w:id="913"/>
      </w:r>
      <w:r>
        <w:rPr>
          <w:rFonts w:ascii="Amiri" w:hAnsi="Amiri" w:eastAsia="Amiri" w:cs="Amiri"/>
          <w:color w:val="111111"/>
          <w:sz w:val="28"/>
          <w:sz w:val="28"/>
          <w:szCs w:val="28"/>
          <w:rtl w:val="true"/>
          <w:lang w:bidi="ar-SA"/>
        </w:rPr>
        <w:t xml:space="preserve">، ورواية أبي بصير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دلالة في شي‌ء منها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فيجب الحمل على الاستحباب ، للاتّفاق واستفاضة الروايات بكفاية مثل الدهن وكف واحد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والحمل على ما يدخل فيه ماء الاستنجاء أيضا ، لأنّ المدّ لا يبلغه الوضوء ، كما في الذكرى </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استفادة وجوب غسل الرجلين منه كالعامة ، فاسد جدا ، لأنّ الوضوء الكامل يكون بأربع عشرة كفا أو ثلاث عشرة ، والمدّ لا يزيد على ذلك قطعا ، لأنّه رطل ونصف بالمدني وهو مائتان واثنان وتسعون درهما ونصف درهم ، ربع الصاع ، ومائة وثلاثة وخمسون ونصفا ، ونصف ثمن بالمثاقيل الصيرفية ، وهو أقلّ من ربع المن التبريزي المتعارف الآن في بلدنا ، وما يقاربه ، الذي هو ستمائة مثقال صيرفي وأربعون مثقالا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بيانه في بحث الكر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السواك ، واستحبابه عندنا في نفسه وللوضوء مجمع عليه ، والنصوص به في الموضعين مستفيضة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الثاني 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 بالسواك عند وضوء كل صلاة </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السواك شطر الوضوء </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السواك بعد الوضوء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الاستياك قبل أن يتوضّأ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نسي حتى يتوضّأ؟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يستاك ثمَّ يتمضمض ثلاث مرات </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التسويك بالإبهام والمسبحة عند الوضوء سواك </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 المحاسن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توضّأ الرجل وسوّك ثمَّ قام فصلّى ، وضع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 على فيه فلم يلفظ شيئا إلاّ التقمه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فيه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يستك قام الملك </w:t>
      </w:r>
    </w:p>
    <w:p>
      <w:pPr>
        <w:pStyle w:val="BookText"/>
        <w:rPr/>
      </w:pPr>
      <w:r>
        <w:rPr>
          <w:rFonts w:ascii="IRNazanin" w:hAnsi="IRNazanin" w:eastAsia="IRNazanin"/>
          <w:color w:val="111111"/>
          <w:sz w:val="28"/>
          <w:sz w:val="28"/>
          <w:szCs w:val="28"/>
          <w:rtl w:val="true"/>
          <w:lang w:bidi="fa-IR"/>
        </w:rPr>
        <w:t xml:space="preserve">جانبا </w:t>
      </w:r>
      <w:r>
        <w:rPr>
          <w:rFonts w:eastAsia="IRNazanin" w:cs="IRNazanin"/>
          <w:color w:val="111111"/>
          <w:sz w:val="28"/>
          <w:szCs w:val="28"/>
          <w:rtl w:val="true"/>
          <w:lang w:bidi="fa-IR"/>
        </w:rPr>
        <w:t xml:space="preserve">] </w:t>
      </w:r>
      <w:r>
        <w:rPr>
          <w:rStyle w:val="FootnoteAnchor"/>
          <w:rtl w:val="true"/>
        </w:rPr>
        <w:footnoteReference w:id="923"/>
      </w:r>
      <w:r>
        <w:rPr>
          <w:rFonts w:ascii="Amiri" w:hAnsi="Amiri" w:eastAsia="Amiri" w:cs="Amiri"/>
          <w:color w:val="111111"/>
          <w:sz w:val="28"/>
          <w:sz w:val="28"/>
          <w:szCs w:val="28"/>
          <w:rtl w:val="true"/>
          <w:lang w:bidi="ar-SA"/>
        </w:rPr>
        <w:t xml:space="preserve">يستمع إلى قراءته </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الرواية كونه من سنن الوضوء ، وليس فيما دلّ على استحبابه على الإطلاق منافاة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محلّه قبل الوضوء ، فمن نسيه فبعده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مراد من استحبه قبله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القول بالاستحباب في الموضعين أيضا ، لاستفاضة النصوص باستحبابه لكلّ صلاة </w:t>
      </w:r>
      <w:r>
        <w:rPr>
          <w:rStyle w:val="FootnoteAnchor"/>
          <w:rtl w:val="true"/>
        </w:rPr>
        <w:footnoteReference w:id="925"/>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تقديمه على غسل اليدين ، لفتوى طائفة من الأعيان بأفضليته </w:t>
      </w:r>
      <w:r>
        <w:rPr>
          <w:rStyle w:val="FootnoteAnchor"/>
          <w:rtl w:val="true"/>
        </w:rPr>
        <w:footnoteReference w:id="926"/>
      </w:r>
      <w:r>
        <w:rPr>
          <w:rFonts w:ascii="Amiri" w:hAnsi="Amiri" w:eastAsia="Amiri" w:cs="Amiri"/>
          <w:color w:val="111111"/>
          <w:sz w:val="28"/>
          <w:sz w:val="28"/>
          <w:szCs w:val="28"/>
          <w:rtl w:val="true"/>
          <w:lang w:bidi="ar-SA"/>
        </w:rPr>
        <w:t xml:space="preserve">ومقتضى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الاكتفاء فيه بالإصبع ، وتدلّ عليه أيضا مرسلة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أدنى السواك أن تدلك بإصبعك </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تنافيها 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يستاك مرة بيده إذا قام إلى صلاة الليل وهو يقدر على السواك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خاف الصبح فلا بأس به </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لجواز أن يكون الشرط للمرة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العين ، وفاقا للصدوق </w:t>
      </w:r>
      <w:r>
        <w:rPr>
          <w:rStyle w:val="FootnoteAnchor"/>
          <w:rtl w:val="true"/>
        </w:rPr>
        <w:footnoteReference w:id="929"/>
      </w:r>
      <w:r>
        <w:rPr>
          <w:rFonts w:ascii="Amiri" w:hAnsi="Amiri" w:eastAsia="Amiri" w:cs="Amiri"/>
          <w:color w:val="111111"/>
          <w:sz w:val="28"/>
          <w:sz w:val="28"/>
          <w:szCs w:val="28"/>
          <w:rtl w:val="true"/>
          <w:lang w:bidi="ar-SA"/>
        </w:rPr>
        <w:t xml:space="preserve">وجماعة </w:t>
      </w:r>
      <w:r>
        <w:rPr>
          <w:rStyle w:val="FootnoteAnchor"/>
          <w:rtl w:val="true"/>
        </w:rPr>
        <w:footnoteReference w:id="930"/>
      </w:r>
      <w:r>
        <w:rPr>
          <w:rFonts w:ascii="Amiri" w:hAnsi="Amiri" w:eastAsia="Amiri" w:cs="Amiri"/>
          <w:color w:val="111111"/>
          <w:sz w:val="28"/>
          <w:sz w:val="28"/>
          <w:szCs w:val="28"/>
          <w:rtl w:val="true"/>
          <w:lang w:bidi="ar-SA"/>
        </w:rPr>
        <w:t xml:space="preserve">، لمرسلة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افتحوا عيونكم عند الوضوء ، لعلّها لا ترى نار جهنم </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 نوادر الراوندي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اشربوا أعينكم الماء عند الوضوء ، لعلّها لا </w:t>
      </w:r>
      <w:bookmarkStart w:id="67" w:name="pg11612_110809"/>
    </w:p>
    <w:p>
      <w:pPr>
        <w:pStyle w:val="BookText"/>
        <w:rPr/>
      </w:pPr>
      <w:bookmarkEnd w:id="67"/>
      <w:r>
        <w:rPr>
          <w:rFonts w:ascii="Amiri" w:hAnsi="Amiri" w:eastAsia="Amiri" w:cs="Amiri"/>
          <w:color w:val="111111"/>
          <w:sz w:val="28"/>
          <w:sz w:val="28"/>
          <w:szCs w:val="28"/>
          <w:rtl w:val="true"/>
          <w:lang w:bidi="ar-SA"/>
        </w:rPr>
        <w:t xml:space="preserve">ترى نارا حامية </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والأمر هنا للندب ، لانتفاء الوجوب إجماعا ونصّا في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مرادهم بالفتح والإشراب ما يحصل به غسل نواحيها ، دون ما يوجب إيصال الماء إليها ، لنفي الشيخ استحبابه ، محتجّا بالإجماع وإيجابه الضرر غالبا </w:t>
      </w:r>
      <w:r>
        <w:rPr>
          <w:rStyle w:val="FootnoteAnchor"/>
          <w:rtl w:val="true"/>
        </w:rPr>
        <w:footnoteReference w:id="933"/>
      </w:r>
      <w:r>
        <w:rPr>
          <w:rFonts w:ascii="Amiri" w:hAnsi="Amiri" w:eastAsia="Amiri" w:cs="Amiri"/>
          <w:color w:val="111111"/>
          <w:sz w:val="28"/>
          <w:sz w:val="28"/>
          <w:szCs w:val="28"/>
          <w:rtl w:val="true"/>
          <w:lang w:bidi="ar-SA"/>
        </w:rPr>
        <w:t xml:space="preserve">، وقد روي أنّ ابن عمر كان يفعله فعمى لذلك </w:t>
      </w:r>
      <w:r>
        <w:rPr>
          <w:rStyle w:val="FootnoteAnchor"/>
          <w:rtl w:val="true"/>
        </w:rPr>
        <w:footnoteReference w:id="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إمرار اليد بالغسل ، وفاقا للمشهور ، تأسّيا بالحجج ، وللمروي في قرب الإسناد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تغمس في الوضوء ، ولا تلطم وجهك بالماء لطما ، ولكن اغسله من أعلى وجهك إلى أسفله مسحا ، وكذلك فامسح بالماء ذراعيك </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وضعفه مع عدم القائل يأبى عن إثبات الوجوب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الاستقبال حال الوضوء أيضا ، لقولهم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المجالس ما استقبل به القبلة </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الجلوس في مظان النجاسة ، ووجهه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عدّهما من مستحبات الوضوء 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5524355_73709187"/>
      <w:bookmarkStart w:id="69" w:name="_Toc26"/>
      <w:bookmarkEnd w:id="68"/>
      <w:r>
        <w:rPr>
          <w:rtl w:val="true"/>
        </w:rPr>
        <w:t xml:space="preserve">البحث الثاني </w:t>
      </w:r>
      <w:r>
        <w:rPr>
          <w:rtl w:val="true"/>
        </w:rPr>
        <w:t xml:space="preserve">: </w:t>
      </w:r>
      <w:r>
        <w:rPr>
          <w:rtl w:val="true"/>
        </w:rPr>
        <w:t>في مكروهاته</w:t>
      </w:r>
      <w:bookmarkEnd w:id="69"/>
    </w:p>
    <w:p>
      <w:pPr>
        <w:pStyle w:val="BookText"/>
        <w:rPr/>
      </w:pPr>
      <w:r>
        <w:rPr>
          <w:rFonts w:ascii="Amiri" w:hAnsi="Amiri" w:eastAsia="Amiri" w:cs="Amiri"/>
          <w:color w:val="111111"/>
          <w:sz w:val="28"/>
          <w:sz w:val="28"/>
          <w:szCs w:val="28"/>
          <w:rtl w:val="true"/>
          <w:lang w:bidi="ar-SA"/>
        </w:rPr>
        <w:t xml:space="preserve">وهي أيضا أمور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الاستعانة بصبّ الماء على الكف ، لما مرّ في مسألة المباشرة </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إحضار الماء وإسخانه ، ورفع الثوب عن العضو ونحوها ، للأصل والخروج عن </w:t>
      </w:r>
    </w:p>
    <w:p>
      <w:pPr>
        <w:pStyle w:val="BookText"/>
        <w:rPr/>
      </w:pPr>
      <w:r>
        <w:rPr>
          <w:rFonts w:ascii="Amiri" w:hAnsi="Amiri" w:eastAsia="Amiri" w:cs="Amiri"/>
          <w:color w:val="111111"/>
          <w:sz w:val="28"/>
          <w:sz w:val="28"/>
          <w:szCs w:val="28"/>
          <w:rtl w:val="true"/>
          <w:lang w:bidi="ar-SA"/>
        </w:rPr>
        <w:t xml:space="preserve">الصبّ المصرّح به في الأخبار </w:t>
      </w:r>
      <w:r>
        <w:rPr>
          <w:rStyle w:val="FootnoteAnchor"/>
          <w:rtl w:val="true"/>
        </w:rPr>
        <w:footnoteReference w:id="938"/>
      </w:r>
      <w:r>
        <w:rPr>
          <w:rFonts w:ascii="Amiri" w:hAnsi="Amiri" w:eastAsia="Amiri" w:cs="Amiri"/>
          <w:color w:val="111111"/>
          <w:sz w:val="28"/>
          <w:sz w:val="28"/>
          <w:szCs w:val="28"/>
          <w:rtl w:val="true"/>
          <w:lang w:bidi="ar-SA"/>
        </w:rPr>
        <w:t>، والشك في شمول التعليل فيها لمثلها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التمندل ، وهو تجفيف ماء الوضوء من الأعضاء المغسولة بالمنديل ، للشهرة بين الأصحاب ، بل ظاهر الوفاق كما في اللوامع ، وخبر ابن حمران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توضّأ فتمندل كانت له حسنة ، وإن توضّأ ولم يتمندل حتى يجف وضوؤه ، كان له ثلاثون حسنة </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ضائر في مقام المسامحة ، مع أنّه منجبر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ومدلوله رجحان ترك التمندل على فعله ، وهو بعينه الكراهة بالمعنى المعهود ، والحسنة الواحدة إنّما هي على الوضوء دون التمندل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فالإيراد بأنّه يدلّ على قلّة الثواب دون الكراهة المصطلحة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بأنّ الكراهة في العبادات بهذا المعنى ، لأنّ التمندل أمر وراء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والاستدلال على كراهته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في ثواب الوضوء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من كلّ قطرة </w:t>
      </w:r>
      <w:r>
        <w:rPr>
          <w:rFonts w:eastAsia="Amiri" w:cs="Amiri" w:ascii="Amiri" w:hAnsi="Amiri"/>
          <w:color w:val="111111"/>
          <w:sz w:val="28"/>
          <w:szCs w:val="28"/>
          <w:rtl w:val="true"/>
          <w:lang w:bidi="ar-SA"/>
        </w:rPr>
        <w:t xml:space="preserve">.. » </w:t>
      </w:r>
      <w:r>
        <w:rPr>
          <w:rStyle w:val="FootnoteAnchor"/>
          <w:rtl w:val="true"/>
        </w:rPr>
        <w:footnoteReference w:id="940"/>
      </w:r>
      <w:r>
        <w:rPr>
          <w:rFonts w:ascii="Amiri" w:hAnsi="Amiri" w:eastAsia="Amiri" w:cs="Amiri"/>
          <w:color w:val="111111"/>
          <w:sz w:val="28"/>
          <w:sz w:val="28"/>
          <w:szCs w:val="28"/>
          <w:rtl w:val="true"/>
          <w:lang w:bidi="ar-SA"/>
        </w:rPr>
        <w:t>باطل ، إذ لا يلزم أن تكون القطرة متقاطرة ، بل المراد قطرات ماء الوضوء</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للسيد في شرح الرسالة </w:t>
      </w:r>
      <w:r>
        <w:rPr>
          <w:rStyle w:val="FootnoteAnchor"/>
          <w:rtl w:val="true"/>
        </w:rPr>
        <w:footnoteReference w:id="941"/>
      </w:r>
      <w:r>
        <w:rPr>
          <w:rFonts w:ascii="Amiri" w:hAnsi="Amiri" w:eastAsia="Amiri" w:cs="Amiri"/>
          <w:color w:val="111111"/>
          <w:sz w:val="28"/>
          <w:sz w:val="28"/>
          <w:szCs w:val="28"/>
          <w:rtl w:val="true"/>
          <w:lang w:bidi="ar-SA"/>
        </w:rPr>
        <w:t xml:space="preserve">، وعن الشيخ في أحد قوليه </w:t>
      </w:r>
      <w:r>
        <w:rPr>
          <w:rStyle w:val="FootnoteAnchor"/>
          <w:rtl w:val="true"/>
        </w:rPr>
        <w:footnoteReference w:id="942"/>
      </w:r>
      <w:r>
        <w:rPr>
          <w:rFonts w:ascii="Amiri" w:hAnsi="Amiri" w:eastAsia="Amiri" w:cs="Amiri"/>
          <w:color w:val="111111"/>
          <w:sz w:val="28"/>
          <w:sz w:val="28"/>
          <w:szCs w:val="28"/>
          <w:rtl w:val="true"/>
          <w:lang w:bidi="ar-SA"/>
        </w:rPr>
        <w:t xml:space="preserve">فلم يكرهاه ، للأصل ، وصحيحة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التمسح بالمنديل قبل أن يجف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الحضرمي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بمسح الرجل وجهه بالثوب إذا توضأ إذا كان الثوب نظيفا </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عليه السلام توضّأ للصلاة ثمَّ مسح وجهه بأسفل قميصه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إسماعيل افعل هكذا ، فإني هكذا أفعل </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عليه السلام وقد توضّأ وهو محرم أخذ منديلا فمسح به وجهه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التمندل بعد الوضوء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لعلي عليه السلام خرقة في المسجد ليست إلاّ للوضوء يتمندل بها </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لعلي عليه السلام خرقة يعلقها في مسجد بيته لوجهه ، إذا توضّأ يتمندل بها </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لأمير المؤمنين خرقة يمسح بها وجهه إذا توضّأ للصلاة ، ثمَّ يعلّقها على وتد ولا يمسها غيره </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والثانيان لا ينفيان إلاّ البأس الذي هو الحرمة ، مع أنّ في ثانيهما نفي البأس عن المسح بالثوب ، وهو غير التمندل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ما في الرابع ، مع أنه قضية في واقعة ، فيجوز أن يكون لضرورة ، كشقاق أو خوف شين أو للتقية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متداول عند العامة مشتهر بينهم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يظهر دفع البواقي ، إذ يترجّح ما مرّ عليها ، لموافقتها العامة ومخالفتها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التمندل كما هو مورد الشهرة ومحل الرواية ، فلا كراهة في التمسح بالثوب والذيل والكم والقميص والتجفيف بالشمس والنار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نفض المتوضّئ يده ، للنبوي العامي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توضّأتم فلا تنفضوا أيديكم </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عاميا غير ضائر ، للمسامحة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التوضؤ من إناء فيه تماثيل ، للموثّق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الطست يكون فيه التماثيل ، أو الكوز أو التور يكون فيه تماثيل أو فضة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تتوضّأ منه ولا فيه </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في المسجد عن البول والغائط ، للخبر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الوضوء في المسجد ، فكرهه من البول والغائط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ينافي إطلاقه مفهوم خبر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الحدث في المسجد فلا بأس بالوضوء في المسجد </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 لأنّه إنّما هي إذا كان البأس مستعملا فيما يعم الكراهة مجازا ، وهو ليس بأولى من كون المفهوم غير معتبر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إمكان الاستدلال به على كراهة الوضوء من شي‌ء من الأحداث الواقعة خارجه أيضا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التوضؤ ببعض المياه المكروه استعمالها ، المتقدم في بحث المياه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bookmarkStart w:id="70" w:name="pg11612_110813"/>
    </w:p>
    <w:p>
      <w:pPr>
        <w:pStyle w:val="Heading3"/>
        <w:numPr>
          <w:ilvl w:val="2"/>
          <w:numId w:val="1"/>
        </w:numPr>
        <w:rPr/>
      </w:pPr>
      <w:bookmarkStart w:id="71" w:name="__RefHeading___Toc5524357_73709187"/>
      <w:bookmarkStart w:id="72" w:name="_Toc27"/>
      <w:bookmarkEnd w:id="70"/>
      <w:bookmarkEnd w:id="71"/>
      <w:r>
        <w:rPr>
          <w:rtl w:val="true"/>
        </w:rPr>
        <w:t xml:space="preserve">الفصل الخامس </w:t>
      </w:r>
      <w:r>
        <w:rPr>
          <w:rtl w:val="true"/>
        </w:rPr>
        <w:t xml:space="preserve">: </w:t>
      </w:r>
      <w:r>
        <w:rPr>
          <w:rtl w:val="true"/>
        </w:rPr>
        <w:t>في أحكامه</w:t>
      </w:r>
      <w:bookmarkEnd w:id="72"/>
    </w:p>
    <w:p>
      <w:pPr>
        <w:pStyle w:val="Heading4"/>
        <w:numPr>
          <w:ilvl w:val="3"/>
          <w:numId w:val="1"/>
        </w:numPr>
        <w:rPr/>
      </w:pPr>
      <w:bookmarkStart w:id="73" w:name="__RefHeading___Toc5524359_73709187"/>
      <w:bookmarkStart w:id="74" w:name="_Toc28"/>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 xml:space="preserve">وهي أمور نذكرها في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وجوب المرة الواحدة في الغسلات ، ولا ريب في أداء الواجب بها ، للإجماع ، والأصل ، وصدق الامتثال ، والوضوءات البيانية ، والنصوص المعتبرة ، كصحيحة زرارة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يجزيك من الوضوء ثلاث غرفات ، واحدة للوجه واثنتان للذراعين </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الوضوء ، إذا مس جلدك الماء فحسبك </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يستيقن أنّ الواحدة من الوضوء تجزيه لم يؤجر على الثنتين </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في عدم جواز الزائد على الثلاث ، لتوقيفية العبادة ، وإنّما الخلاف فيما بينهما من الثانية والثالثة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فاختلفوا في استحبابها وعدمه ، فالأظهر الأشهر ، بل عليه الإجماع في الانتصار </w:t>
      </w:r>
      <w:r>
        <w:rPr>
          <w:rStyle w:val="FootnoteAnchor"/>
          <w:rtl w:val="true"/>
        </w:rPr>
        <w:footnoteReference w:id="959"/>
      </w:r>
      <w:r>
        <w:rPr>
          <w:rFonts w:ascii="Amiri" w:hAnsi="Amiri" w:eastAsia="Amiri" w:cs="Amiri"/>
          <w:color w:val="111111"/>
          <w:sz w:val="28"/>
          <w:sz w:val="28"/>
          <w:szCs w:val="28"/>
          <w:rtl w:val="true"/>
          <w:lang w:bidi="ar-SA"/>
        </w:rPr>
        <w:t xml:space="preserve">والسرائر ، وعن الغنية </w:t>
      </w:r>
      <w:r>
        <w:rPr>
          <w:rStyle w:val="FootnoteAnchor"/>
          <w:rtl w:val="true"/>
        </w:rPr>
        <w:footnoteReference w:id="960"/>
      </w:r>
      <w:r>
        <w:rPr>
          <w:rFonts w:ascii="Amiri" w:hAnsi="Amiri" w:eastAsia="Amiri" w:cs="Amiri"/>
          <w:color w:val="111111"/>
          <w:sz w:val="28"/>
          <w:sz w:val="28"/>
          <w:szCs w:val="28"/>
          <w:rtl w:val="true"/>
          <w:lang w:bidi="ar-SA"/>
        </w:rPr>
        <w:t xml:space="preserve">، ونفى عنه الخلاف بعض المحقّقين ، وحكاه عن أمالي الصدوق </w:t>
      </w: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للإجماعات المنقولة والشهرة </w:t>
      </w:r>
    </w:p>
    <w:p>
      <w:pPr>
        <w:pStyle w:val="BookText"/>
        <w:rPr/>
      </w:pPr>
      <w:r>
        <w:rPr>
          <w:rFonts w:ascii="Amiri" w:hAnsi="Amiri" w:eastAsia="Amiri" w:cs="Amiri"/>
          <w:color w:val="111111"/>
          <w:sz w:val="28"/>
          <w:sz w:val="28"/>
          <w:szCs w:val="28"/>
          <w:rtl w:val="true"/>
          <w:lang w:bidi="ar-SA"/>
        </w:rPr>
        <w:t>الكافيتين في مقام 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وللمستفيضة من المعتبرة ، كصحيحتي ابن وهب </w:t>
      </w:r>
      <w:r>
        <w:rPr>
          <w:rStyle w:val="FootnoteAnchor"/>
          <w:rtl w:val="true"/>
        </w:rPr>
        <w:footnoteReference w:id="962"/>
      </w:r>
      <w:r>
        <w:rPr>
          <w:rFonts w:ascii="IRNazanin" w:hAnsi="IRNazanin" w:eastAsia="IRNazanin"/>
          <w:color w:val="111111"/>
          <w:sz w:val="28"/>
          <w:sz w:val="28"/>
          <w:szCs w:val="28"/>
          <w:rtl w:val="true"/>
          <w:lang w:bidi="fa-IR"/>
        </w:rPr>
        <w:t xml:space="preserve">وصفوان </w:t>
      </w:r>
      <w:r>
        <w:rPr>
          <w:rStyle w:val="FootnoteAnchor"/>
          <w:rtl w:val="true"/>
        </w:rPr>
        <w:footnoteReference w:id="963"/>
      </w:r>
      <w:r>
        <w:rPr>
          <w:rFonts w:ascii="Amiri" w:hAnsi="Amiri" w:eastAsia="Amiri" w:cs="Amiri"/>
          <w:color w:val="111111"/>
          <w:sz w:val="28"/>
          <w:sz w:val="28"/>
          <w:szCs w:val="28"/>
          <w:rtl w:val="true"/>
          <w:lang w:bidi="ar-SA"/>
        </w:rPr>
        <w:t xml:space="preserve">، ورواية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الوضوء مثنى مثنى </w:t>
      </w:r>
      <w:r>
        <w:rPr>
          <w:rFonts w:eastAsia="Amiri" w:cs="Amiri" w:ascii="Amiri" w:hAnsi="Amiri"/>
          <w:color w:val="111111"/>
          <w:sz w:val="28"/>
          <w:szCs w:val="28"/>
          <w:rtl w:val="true"/>
          <w:lang w:bidi="ar-SA"/>
        </w:rPr>
        <w:t xml:space="preserve">» </w:t>
      </w:r>
      <w:r>
        <w:rPr>
          <w:rStyle w:val="FootnoteAnchor"/>
          <w:rtl w:val="true"/>
        </w:rPr>
        <w:footnoteReference w:id="964"/>
      </w:r>
      <w:r>
        <w:rPr>
          <w:rFonts w:ascii="Amiri" w:hAnsi="Amiri" w:eastAsia="Amiri" w:cs="Amiri"/>
          <w:color w:val="111111"/>
          <w:sz w:val="28"/>
          <w:sz w:val="28"/>
          <w:szCs w:val="28"/>
          <w:rtl w:val="true"/>
          <w:lang w:bidi="ar-SA"/>
        </w:rPr>
        <w:t xml:space="preserve">وزاد في الأخيرة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زاد لم يؤجر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الوضوء الذي افترضه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ذكره ويذهب الغائط ، ثمَّ يتوضّأ مرتين مرتين </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حكاية وضوء علي بن يقطين ، المشهورة </w:t>
      </w:r>
      <w:r>
        <w:rPr>
          <w:rStyle w:val="FootnoteAnchor"/>
          <w:rtl w:val="true"/>
        </w:rPr>
        <w:footnoteReference w:id="966"/>
      </w:r>
      <w:r>
        <w:rPr>
          <w:rFonts w:ascii="Amiri" w:hAnsi="Amiri" w:eastAsia="Amiri" w:cs="Amiri"/>
          <w:color w:val="111111"/>
          <w:sz w:val="28"/>
          <w:sz w:val="28"/>
          <w:szCs w:val="28"/>
          <w:rtl w:val="true"/>
          <w:lang w:bidi="ar-SA"/>
        </w:rPr>
        <w:t xml:space="preserve">، وفيها بعد أمره بالثلاث وغسل الرجلين وتبطين اللحية تقية وظهور ارتفاعها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الآن توضّأ كما أمر اللّه تعالى ، اغسل وجهك مرة فريضة واخرى إسباغا ، واغسل يديك من المرفقين كذلك </w:t>
      </w:r>
      <w:r>
        <w:rPr>
          <w:rFonts w:eastAsia="Amiri" w:cs="Amiri" w:ascii="Amiri" w:hAnsi="Amiri"/>
          <w:color w:val="111111"/>
          <w:sz w:val="28"/>
          <w:szCs w:val="28"/>
          <w:rtl w:val="true"/>
          <w:lang w:bidi="ar-SA"/>
        </w:rPr>
        <w:t xml:space="preserve">» </w:t>
      </w:r>
      <w:r>
        <w:rPr>
          <w:rStyle w:val="FootnoteAnchor"/>
          <w:rtl w:val="true"/>
        </w:rPr>
        <w:footnoteReference w:id="96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في تفسير العياشي كيف يتوضّأ؟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مرتين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يمسح؟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مرة مرة </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رجال الكشي عن داود الرقي بعد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الزربي بالثلاث تقية وارتفاعها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داود بن زربي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مثنى مثنى ، ولا تزدن عليه ، فإنّك إن زدت عليه فلا صلاة لك </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 القائم عليه السلام في مكاتبة العريضي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الوضوء كما أمر اللّه غسل الوجه واليدين ومسح الرأس والرجلين واحدة ، واثنان إسباغ ، ومن زاد على الاثنين أثم </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مولانا الرضا عليه السلام في مكاتبة المأمون كما في العيون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واحدة فريضة واثنتان استحباب </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الشرط في رواية ابن بكير ، المتقدّمة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 مرّتين مرّتين ومثنى مثنى في رواياتهما على الغسلتين والمسحتين ، أو التجديد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تجويزه مرة وعدم مشروعية وضوءين تجديدا ، أو منتهى مرتبة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جدّا ، بل لا يتحمّله بعضها ، كروايات علي بن يقطين والعياشي والكشي ، بل أخبار مثنى مثنى </w:t>
      </w:r>
      <w:r>
        <w:rPr>
          <w:rStyle w:val="FootnoteAnchor"/>
          <w:rtl w:val="true"/>
        </w:rPr>
        <w:footnoteReference w:id="974"/>
      </w:r>
      <w:r>
        <w:rPr>
          <w:rFonts w:ascii="Amiri" w:hAnsi="Amiri" w:eastAsia="Amiri" w:cs="Amiri"/>
          <w:color w:val="111111"/>
          <w:sz w:val="28"/>
          <w:sz w:val="28"/>
          <w:szCs w:val="28"/>
          <w:rtl w:val="true"/>
          <w:lang w:bidi="ar-SA"/>
        </w:rPr>
        <w:t>، لمكان مقتضى حقيقة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الغرفتين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الوافي </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 إذ فضلهما لا قول به ، وجوازهما لا حدّ له ، والزائد على الثلاث فيه لا إثم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المنتقى </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يلائم روايتي علي بن يقطين والكشي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البزنطي والكليني ، فجعلا الفضل في واحدة واحدة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قولهما بعد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زاد على مرتين لم يؤجر ، فلا يفيد ثبوت </w:t>
      </w:r>
    </w:p>
    <w:p>
      <w:pPr>
        <w:pStyle w:val="BookText"/>
        <w:rPr/>
      </w:pPr>
      <w:r>
        <w:rPr>
          <w:rFonts w:ascii="Amiri" w:hAnsi="Amiri" w:eastAsia="Amiri" w:cs="Amiri"/>
          <w:color w:val="111111"/>
          <w:sz w:val="28"/>
          <w:sz w:val="28"/>
          <w:szCs w:val="28"/>
          <w:rtl w:val="true"/>
          <w:lang w:bidi="ar-SA"/>
        </w:rPr>
        <w:t xml:space="preserve">الأجر للمرتين ، إذ مرادهما أنه لم يؤجر على الوضوء ، بل وضوؤه باطل ، للنهي عنه بخصوصه ، ومفهومه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لم يزد يؤجر على الوضوء ، وهذا أعم من أن تكون الثانية مستحبة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مرادهما أنه يؤجر على المرتين ، لأنه أحد أفراد المخيّر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 نسب إليهما من عدم استحباب الثانية خلاف الواقع لذلك ،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تبعهما على ذلك جماعة من متأخّري المتأخّرين ، وهو الظاهر من المدارك ، والمنتقى ، والبحار ، والوافي ، والهندي في شرح القواعد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للمستفيضة كالرواية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الوضوء واحدة واحدة </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الوضوء للصلاة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مرة مرة </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الوضوء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وضوء علي عليه السلام إلاّ مرة مرة </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ومثلها الرابعة ، في وضوء النبي صلی اللّه عليه وآله ، وزاد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وتوضّأ النبي مرة مرة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وضوء لا يقبل اللّه الصلاة إلاّ به </w:t>
      </w:r>
      <w:r>
        <w:rPr>
          <w:rFonts w:eastAsia="IRNazanin" w:cs="IRNazanin"/>
          <w:color w:val="111111"/>
          <w:sz w:val="28"/>
          <w:szCs w:val="28"/>
          <w:rtl w:val="true"/>
          <w:lang w:bidi="fa-IR"/>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وتر يحبّ الوتر ، فقد يجزيك من الوضوء ثلاث غرفات ، واحدة للوجه واثنتان للذراعين </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والسادسة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الوضوء واحدة فرض ، واثنتان لا يؤجر ، والثالثة بدعة </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توضّأ مرتين لم يؤجر </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والثامنة المروية في العيون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الوضوء كما أمر اللّه في كتابه غسل الوجه واليدين إلى المرفقين ، ومسح الرأس والرجلين مرة واحدة </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والتاسعة المروية في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سألت أباك عن الوضوء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أنت؟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لن تسألني من هذه المسألة إلاّ وأنت ترى أني أخالف أبي ، توضّأ ثلاثا وخلّل أصابعك </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والعاشرة المروية في السرائر عن نوادر البزنطي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يده في الإناء فمسح رأسه ورجليه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الفضل في واحدة واحدة ، ومن زاد على اثنتين لم يؤجر </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 مضافا إلى الوضوءات البيانية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عن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هذا 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حقيقة الوضوء التي لا تحقّق له بدونها ، ونحن نسلّم أنّ حقيقته ذلك ، وذلك لا ينافي استحباب شي‌ء آخر ، كما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الوضوء غسلتان ومسحتان </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مع استحباب أمور كثيرة فيه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مثنى مثنى ، ومرتين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الاستحباب ، للإجماع على عدم وجوب التعدّد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الثالثة والرابعة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معارضتهما مع مرسلة ابن أبي المقدام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لأعجب ممّن يرغب أن يتوضّأ اثنتين وقد توضّأ رسول اللّه صلی اللّه عليه وآله اثنتين </w:t>
      </w:r>
      <w:r>
        <w:rPr>
          <w:rFonts w:eastAsia="IRNazanin" w:cs="IRNazanin"/>
          <w:color w:val="111111"/>
          <w:sz w:val="28"/>
          <w:szCs w:val="28"/>
          <w:rtl w:val="true"/>
          <w:lang w:bidi="fa-IR"/>
        </w:rPr>
        <w:t xml:space="preserve">» </w:t>
      </w:r>
      <w:r>
        <w:rPr>
          <w:rStyle w:val="FootnoteAnchor"/>
          <w:rtl w:val="true"/>
        </w:rPr>
        <w:footnoteReference w:id="990"/>
      </w:r>
      <w:r>
        <w:rPr>
          <w:rFonts w:ascii="IRNazanin" w:hAnsi="IRNazanin" w:eastAsia="IRNazanin"/>
          <w:color w:val="111111"/>
          <w:sz w:val="28"/>
          <w:sz w:val="28"/>
          <w:szCs w:val="28"/>
          <w:rtl w:val="true"/>
          <w:lang w:bidi="fa-IR"/>
        </w:rPr>
        <w:t xml:space="preserve">ومع إمكان إرادة أنّ وضوء النبيّ صلی اللّه عليه وآله لكلّ صلاة ما كانت إلاّ مرة ، ولذا توقّف الشهيد في استحباب التجديد لصلاة واحدة </w:t>
      </w:r>
      <w:r>
        <w:rPr>
          <w:rStyle w:val="FootnoteAnchor"/>
          <w:rtl w:val="true"/>
        </w:rPr>
        <w:footnoteReference w:id="99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يمكن أن يكون ذلك لبيان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المعلوم من حال النبيّ الاقتصار في العمل على ما وجب ، اشتغالا بالأهم ، وإظهارا للاستحباب وجواز الترك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في مرسلة مؤمن الطاق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فرض اللّه الوضوء واحدة واحدة ، ووضع رسول اللّه للناس اثنتين اثنتين </w:t>
      </w:r>
      <w:r>
        <w:rPr>
          <w:rFonts w:eastAsia="Amiri" w:cs="Amiri" w:ascii="Amiri" w:hAnsi="Amiri"/>
          <w:color w:val="111111"/>
          <w:sz w:val="28"/>
          <w:szCs w:val="28"/>
          <w:rtl w:val="true"/>
          <w:lang w:bidi="ar-SA"/>
        </w:rPr>
        <w:t xml:space="preserve">» </w:t>
      </w:r>
      <w:r>
        <w:rPr>
          <w:rStyle w:val="FootnoteAnchor"/>
          <w:rtl w:val="true"/>
        </w:rPr>
        <w:footnoteReference w:id="993"/>
      </w:r>
      <w:r>
        <w:rPr>
          <w:rFonts w:ascii="IRNazanin" w:hAnsi="IRNazanin" w:eastAsia="IRNazanin"/>
          <w:color w:val="111111"/>
          <w:sz w:val="28"/>
          <w:sz w:val="28"/>
          <w:szCs w:val="28"/>
          <w:rtl w:val="true"/>
          <w:lang w:bidi="fa-IR"/>
        </w:rPr>
        <w:t xml:space="preserve">وفي المروي في رجال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عدّة الطهارة؟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أوجبه اللّه فواحدة ، وأضاف إليها رسول اللّه صلی اللّه عليه وآله واحدة لضعف الناس ، ومن توضّأ ثلاثا فلا صلاة له </w:t>
      </w:r>
      <w:r>
        <w:rPr>
          <w:rFonts w:eastAsia="IRNazanin" w:cs="IRNazanin"/>
          <w:color w:val="111111"/>
          <w:sz w:val="28"/>
          <w:szCs w:val="28"/>
          <w:rtl w:val="true"/>
          <w:lang w:bidi="fa-IR"/>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إضافة الثانية للناس لضعفهم وتقصيرهم ، فلعلّ الحجج لبراءتهم عنهما لم يقصدوا إليها ، واختص استحبابها بغيرهم ، كما احتمله والدي في اللوامع ، بل هو الظاهر من كلام العماني والإسكافي بل المفيد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فالظاهر منه أنه لا يصح أقلّ منه ، لا أن يجب الاقتصار عليه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لو أريد عدم الصحة ، لخالف مذهب المستدلّ ، وخرج الخبر عن الحجية بالشذوذ ، وإن أريد المرجوحية ، فهي مجاز ليس أولى من غيره ، كبيان </w:t>
      </w:r>
    </w:p>
    <w:p>
      <w:pPr>
        <w:pStyle w:val="BookText"/>
        <w:rPr/>
      </w:pPr>
      <w:r>
        <w:rPr>
          <w:rFonts w:ascii="Amiri" w:hAnsi="Amiri" w:eastAsia="Amiri" w:cs="Amiri"/>
          <w:color w:val="111111"/>
          <w:sz w:val="28"/>
          <w:sz w:val="28"/>
          <w:szCs w:val="28"/>
          <w:rtl w:val="true"/>
          <w:lang w:bidi="ar-SA"/>
        </w:rPr>
        <w:t>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للخبر تتمة في طرق العامة تؤكّد ذلك وهو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توضّأ مرتين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وضوء من ضاعف له الأجر هذا </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حمل الإضافة في الروايتين على العهد وإرادة الوضوء البياني وكونه في مقام بيان أقلّ الواجب ممكن ، بل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يومئ إليه ، وبه يجمع بينهما وبين مرسلة ابن المقدام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منافاة حبّ الوتر من حيث هو لحبّ غيره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نفيه حبّ الغير ليس إلاّ بالمفهوم الضعيف ، ومع أنه أعم مطلقا من المسألة ، فيجب تخصيصه بأخبارها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والإجزاء المذكور فيه لا يبيّن إلاّ منتهى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السادسة والسابعة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بمعارضتهما مع رواية ابن بكير ، المتقدّمة </w:t>
      </w:r>
      <w:r>
        <w:rPr>
          <w:rStyle w:val="FootnoteAnchor"/>
          <w:rtl w:val="true"/>
        </w:rPr>
        <w:footnoteReference w:id="997"/>
      </w:r>
      <w:r>
        <w:rPr>
          <w:rFonts w:ascii="Amiri" w:hAnsi="Amiri" w:eastAsia="Amiri" w:cs="Amiri"/>
          <w:color w:val="111111"/>
          <w:sz w:val="28"/>
          <w:sz w:val="28"/>
          <w:szCs w:val="28"/>
          <w:rtl w:val="true"/>
          <w:lang w:bidi="ar-SA"/>
        </w:rPr>
        <w:t>بالعموم المطلق ، فيجب حملهما على من لم يستيقن إجزاء الواحدة ، وزعم وجوب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إمكان إرادة الوضوء الواحدة لكلّ صلاة ، فجوّز التجديد وإن لم يترتّب عليه بخصوصه أجر ، بل كان مخيّرا بين الوضوء والوضوءين ، وحرّم الثالثة ، كما اختاره الشهيد في الثالثة </w:t>
      </w:r>
      <w:r>
        <w:rPr>
          <w:rStyle w:val="FootnoteAnchor"/>
          <w:rtl w:val="true"/>
        </w:rPr>
        <w:footnoteReference w:id="998"/>
      </w:r>
      <w:r>
        <w:rPr>
          <w:rFonts w:ascii="Amiri" w:hAnsi="Amiri" w:eastAsia="Amiri" w:cs="Amiri"/>
          <w:color w:val="111111"/>
          <w:sz w:val="28"/>
          <w:sz w:val="28"/>
          <w:szCs w:val="28"/>
          <w:rtl w:val="true"/>
          <w:lang w:bidi="ar-SA"/>
        </w:rPr>
        <w:t xml:space="preserve">واحتمله الفاضل فيها </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وإن عارضتهما إطلاقات التجديد ، ولكن على الحمل على الغسلة أيضا تعارضهما أخبار الغسلة الثانية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الثامنة والتاسعة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أجيب عن الأولين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بالمعارضة المذكورة مع الموثّقة </w:t>
      </w:r>
      <w:r>
        <w:rPr>
          <w:rStyle w:val="FootnoteAnchor"/>
          <w:rtl w:val="true"/>
        </w:rPr>
        <w:footnoteReference w:id="1000"/>
      </w:r>
      <w:r>
        <w:rPr>
          <w:rFonts w:ascii="Amiri" w:hAnsi="Amiri" w:eastAsia="Amiri" w:cs="Amiri"/>
          <w:color w:val="111111"/>
          <w:sz w:val="28"/>
          <w:sz w:val="28"/>
          <w:szCs w:val="28"/>
          <w:rtl w:val="true"/>
          <w:lang w:bidi="ar-SA"/>
        </w:rPr>
        <w:t>فتخصّص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الظاهر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كلام البزنطي ، ولا أقلّ من احتماله ، فلا حجّية فيه في مقابلة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البيانيات ، فهي في بيان الواجبات ، لخلوّها عن كثير من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يردّ هذا القول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يجتمع مع رجحان العبادة ، إذ جزؤها إمّا واجب أو مستحب ، ولا معنى لاتّصافه بالإباحة المطلقة من دون 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في العبادة الرجحان الذاتي ، ويمكن أن يكون الكلام هنا في الإضافي بالنسبة إلى الواحدة كما في أحد فردي المخيّر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أيضا أن يكون مرادهما بجواز الثانية جوازها لا بقصد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يكون كلامهما في هذا الفعل في الوضوء من غير ملاحظة قصد كونه منه ، كما قالوا في تكرار المسح </w:t>
      </w:r>
      <w:r>
        <w:rPr>
          <w:rStyle w:val="FootnoteAnchor"/>
          <w:rtl w:val="true"/>
        </w:rPr>
        <w:footnoteReference w:id="1001"/>
      </w:r>
      <w:r>
        <w:rPr>
          <w:rFonts w:ascii="Amiri" w:hAnsi="Amiri" w:eastAsia="Amiri" w:cs="Amiri"/>
          <w:color w:val="111111"/>
          <w:sz w:val="28"/>
          <w:sz w:val="28"/>
          <w:szCs w:val="28"/>
          <w:rtl w:val="true"/>
          <w:lang w:bidi="ar-SA"/>
        </w:rPr>
        <w:t>، فحرّموا الثالثة فصاعدا ولو بدون قصد الوضوء ، للنصوص ، كالتكفير في الصلاة ، وجوّزوا الثانية إمّا مع المرجوحية كالتمندل ، أو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وللمحكي في الخلاف والسرائر عن بعض الأصحاب ، فقال بعدم مشروعية الثانية </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جماعة </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الصدوق ، فإنّ كلامه في الفقيه صريح في عدم الجواز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كان وضوء رسول اللّه صلی اللّه عليه وآله إلاّ مرة مرة ، وتوضّأ النبي مرة مرة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وضوء لا يقبل اللّه الصلاة إلا </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الأخبار التي رويت في أنّ الوضوء مرتين مرتين ، فأحدها بإسناد 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 مرسلة مؤمن الطاق المتقدمة </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جهة الإنكار لا الإخبار ، 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اللّه حدا ، فتجاوز رسول اللّه صلی اللّه عليه وآله وتعدّاه ، وقد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يَتَعَدَّ حُدُودَ اللّهِ فَقَدْ ظَلَمَ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الوضوء حدّ من حدود اللّه وأنّ المؤمن لا ينجّسه شي‌ء وإنّما يكفيه مثل 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تعدّى في وضوئه كان كناقضه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حديث آخر بإسناد 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رواية ابن أبي المقدام ، السابقة </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كان يجدّد الوضوء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هذا الحديث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لأعجب ممّن رغب عن تجديد الوضوء وقد جدّده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الذي روي أنّ من زاد على مرتين لم يؤجر ، يؤكد ما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أنّ تجديده بعد التجديد لا أجر له ، كالأذان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الظهر والعصر بأذان وإقامتين أجزأه ، ومن أذّن للعصر كان أفضل ، والأذان الثالث بدعة لا أجر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روي أنّ المرتين أفضل ، معناه التجديد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روي في مرتين أنه إسباغ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أحاديث فضل التجديد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فوّض اللّه إلى نبيه أمر دينه ولم يفوّض إليه تعدّي 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توضّأ مرتين لم يؤجر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أنه أتى بغير الذي أمر به ووعد الأجر عليه ، فلا يستحق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أخبار المرة ومرجوحية المرتين على الغسلة والغسلتين ، وأخبار فضل المرتين على التجديد ، وأنّ الثانية في الغسلة غير مأمور بها ، وأنّ فاعلها كناقض الوضوء ، وأنّ جعلها من الوضوء تعدّ عن حدود اللّه ، فتكون منهيّا عنها وإن لم تكن بنية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بينها وبين الثالثة والرابعة فتكون </w:t>
      </w:r>
    </w:p>
    <w:p>
      <w:pPr>
        <w:pStyle w:val="BookText"/>
        <w:rPr/>
      </w:pPr>
      <w:r>
        <w:rPr>
          <w:rFonts w:ascii="IRNazanin" w:hAnsi="IRNazanin" w:eastAsia="IRNazanin"/>
          <w:color w:val="111111"/>
          <w:sz w:val="28"/>
          <w:sz w:val="28"/>
          <w:szCs w:val="28"/>
          <w:rtl w:val="true"/>
          <w:lang w:bidi="fa-IR"/>
        </w:rPr>
        <w:t>حراما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هذا فما ذكره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نسبة الحرمة إلى الصدوق مخالف للواقع ، وما قاله كثير من المتأخّرين من نسبة جوازها إليه ، ليس من 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والباعث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باب حدّ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والوضوء مرة مرة ، ومن توضّأ مرتين لم يؤجر ، ومن توضّأ ثلاثا فقد أبدع ، حيث إنه فرّق بين الثانية والثالثة بعدم الأجر على الثانية وارتكاب البدعة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مراده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فيما هو بدعة ، حيث إن الثالثة مستحبة عند العامة </w:t>
      </w:r>
      <w:r>
        <w:rPr>
          <w:rStyle w:val="FootnoteAnchor"/>
          <w:rtl w:val="true"/>
        </w:rPr>
        <w:footnoteReference w:id="1007"/>
      </w:r>
      <w:r>
        <w:rPr>
          <w:rFonts w:ascii="Amiri" w:hAnsi="Amiri" w:eastAsia="Amiri" w:cs="Amiri"/>
          <w:color w:val="111111"/>
          <w:sz w:val="28"/>
          <w:sz w:val="28"/>
          <w:szCs w:val="28"/>
          <w:rtl w:val="true"/>
          <w:lang w:bidi="ar-SA"/>
        </w:rPr>
        <w:t>، فهي من بدعهم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ارتكب ما هو بدعة من العامة ، ومنهي عنه بخصوصه في الروايات ، سواء قصد به الوضوء أم لا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فلم يبتدعها أحد بخصوصها ، ولم ينه عنها كذلك ، بل هي غير مأمور بها وغير داخلة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ويلزمها عدم جواز إدخالها فيه بقصد الوضوء ، لكونه تعدّيا عن حدود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فالظاهر عدم الريب في ضعف ذلك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أيضا بعد ظاهر الوفاق ما تقدّم من أخبار رجحان الثانية </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مستفيضة أخرى دالّة على جوازها ومشروعيتها ، كمرسلة مؤمن الطاق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وحملها على الإنكار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الفقيه </w:t>
      </w: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الأصل والظاهر ، ومخالف لما صرّح به في روايات أخر كما مرّ </w:t>
      </w:r>
      <w:r>
        <w:rPr>
          <w:rStyle w:val="FootnoteAnchor"/>
          <w:rtl w:val="true"/>
        </w:rPr>
        <w:footnoteReference w:id="1011"/>
      </w:r>
      <w:r>
        <w:rPr>
          <w:rFonts w:ascii="Amiri" w:hAnsi="Amiri" w:eastAsia="Amiri" w:cs="Amiri"/>
          <w:color w:val="111111"/>
          <w:sz w:val="28"/>
          <w:sz w:val="28"/>
          <w:szCs w:val="28"/>
          <w:rtl w:val="true"/>
          <w:lang w:bidi="ar-SA"/>
        </w:rPr>
        <w:t xml:space="preserve">، ومرسلة ابن أبي المقدام ، والمروي في رجال الكشي كما مرّ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شرائع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الوجه واليدين إلى المرفقين ، ومسح الرأس والقدمين إلى الكعبين مرة مرة ، ومرتان جائز </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ومستند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أخبار عدم الأجر على المرتين ، بانضمام حمل أخبار رجحانهما على التجديدي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ضعف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الغسلة الثانية ، وأمّا الثالثة فاختلفوا في حرمتها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هو الأول كما عليه المعظم ، للأصل في العبادات ، والمعتبرة المنجبرة المتقدّمة ، كمرسلة ابن أبي عمير </w:t>
      </w:r>
      <w:r>
        <w:rPr>
          <w:rStyle w:val="FootnoteAnchor"/>
          <w:rtl w:val="true"/>
        </w:rPr>
        <w:footnoteReference w:id="1014"/>
      </w:r>
      <w:r>
        <w:rPr>
          <w:rFonts w:ascii="Amiri" w:hAnsi="Amiri" w:eastAsia="Amiri" w:cs="Amiri"/>
          <w:color w:val="111111"/>
          <w:sz w:val="28"/>
          <w:sz w:val="28"/>
          <w:szCs w:val="28"/>
          <w:rtl w:val="true"/>
          <w:lang w:bidi="ar-SA"/>
        </w:rPr>
        <w:t xml:space="preserve">وروايات الكشي </w:t>
      </w:r>
      <w:r>
        <w:rPr>
          <w:rStyle w:val="FootnoteAnchor"/>
          <w:rtl w:val="true"/>
        </w:rPr>
        <w:footnoteReference w:id="1015"/>
      </w:r>
      <w:r>
        <w:rPr>
          <w:rFonts w:ascii="Amiri" w:hAnsi="Amiri" w:eastAsia="Amiri" w:cs="Amiri"/>
          <w:color w:val="111111"/>
          <w:sz w:val="28"/>
          <w:sz w:val="28"/>
          <w:szCs w:val="28"/>
          <w:rtl w:val="true"/>
          <w:lang w:bidi="ar-SA"/>
        </w:rPr>
        <w:t xml:space="preserve">والعريضي </w:t>
      </w:r>
      <w:r>
        <w:rPr>
          <w:rStyle w:val="FootnoteAnchor"/>
          <w:rtl w:val="true"/>
        </w:rPr>
        <w:footnoteReference w:id="1016"/>
      </w:r>
      <w:r>
        <w:rPr>
          <w:rFonts w:ascii="Amiri" w:hAnsi="Amiri" w:eastAsia="Amiri" w:cs="Amiri"/>
          <w:color w:val="111111"/>
          <w:sz w:val="28"/>
          <w:sz w:val="28"/>
          <w:szCs w:val="28"/>
          <w:rtl w:val="true"/>
          <w:lang w:bidi="ar-SA"/>
        </w:rPr>
        <w:t xml:space="preserve">وزرارة </w:t>
      </w:r>
      <w:r>
        <w:rPr>
          <w:rStyle w:val="FootnoteAnchor"/>
          <w:rtl w:val="true"/>
        </w:rPr>
        <w:footnoteReference w:id="1017"/>
      </w:r>
      <w:r>
        <w:rPr>
          <w:rFonts w:ascii="IRNazanin" w:hAnsi="IRNazanin" w:eastAsia="IRNazanin"/>
          <w:color w:val="111111"/>
          <w:sz w:val="28"/>
          <w:sz w:val="28"/>
          <w:szCs w:val="28"/>
          <w:rtl w:val="true"/>
          <w:lang w:bidi="fa-IR"/>
        </w:rPr>
        <w:t xml:space="preserve">والسرائر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لظاهر من 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مستند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كالمفيد ، حيث جعلها تكلّفا ، والزائد عليها بدعة </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والقديمين ، فجعلاها غير محتاج إليها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إليه في المعتبر </w:t>
      </w:r>
      <w:r>
        <w:rPr>
          <w:rStyle w:val="FootnoteAnchor"/>
          <w:rtl w:val="true"/>
        </w:rPr>
        <w:footnoteReference w:id="1021"/>
      </w:r>
      <w:r>
        <w:rPr>
          <w:rFonts w:ascii="Amiri" w:hAnsi="Amiri" w:eastAsia="Amiri" w:cs="Amiri"/>
          <w:color w:val="111111"/>
          <w:sz w:val="28"/>
          <w:sz w:val="28"/>
          <w:szCs w:val="28"/>
          <w:rtl w:val="true"/>
          <w:lang w:bidi="ar-SA"/>
        </w:rPr>
        <w:t xml:space="preserve">، وهو فرية ، لأنّه قال بعد حكمه باستحباب الثانية وكون الثالثة بدعة ونسبة استحبابها إلى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 الثالثة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ليست مشروعة ، فإذا اعتقد التشريع أثم ، ولأنه يكون إدخالا في الدين ما ليس منه ، فيكون مردودا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قال بعد إتمام المسألة في 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تبطل الطهارة لو غسل </w:t>
      </w:r>
    </w:p>
    <w:p>
      <w:pPr>
        <w:pStyle w:val="BookText"/>
        <w:rPr/>
      </w:pPr>
      <w:r>
        <w:rPr>
          <w:rFonts w:ascii="Amiri" w:hAnsi="Amiri" w:eastAsia="Amiri" w:cs="Amiri"/>
          <w:color w:val="111111"/>
          <w:sz w:val="28"/>
          <w:sz w:val="28"/>
          <w:szCs w:val="28"/>
          <w:rtl w:val="true"/>
          <w:lang w:bidi="ar-SA"/>
        </w:rPr>
        <w:t xml:space="preserve">يديه ثلاثا؟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لأنه مسح لا بماء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 لأنه لا ينفك من ماء الوضوء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أنه غير جوازها ، ولذا قال بعض من صرّح بحرمتها بعدم بطلان الوضوء معها على الإطلاق ، وعدم البأس بمزج ماء الوضوء بغيره في المسح بعد بقاء مائه ، ولذا نسب الجماعة إلى المعتبر ، القول بعدم إبطال الثالثة للوضوء </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إن لم يحصل المسح بمائها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ولزومه إذا كانت في اليسرى ظاهر ، وفي الوجه واليمنى غير ظاهر ، لاضمحلاله بما يرد عليه من بقية ماء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الثالثة إنّما هو إذا كان بقصد الوضوء ، كما هو ظاهر بعض 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بعض آخر لا يفيد ، لوجوب الاقتصار على موضع انجباره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يحرم لو غسل لا بقصده إلاّ أنه يبطل الوضوء بها لو أتى بها في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تكرار في المسح عندنا لا وجوبا ولا استحبابا ، للأصل ، والإجماعين ، وبعض النصوص المتقدّمة </w:t>
      </w:r>
      <w:r>
        <w:rPr>
          <w:rStyle w:val="FootnoteAnchor"/>
          <w:rtl w:val="true"/>
        </w:rPr>
        <w:footnoteReference w:id="1024"/>
      </w:r>
      <w:r>
        <w:rPr>
          <w:rFonts w:ascii="Amiri" w:hAnsi="Amiri" w:eastAsia="Amiri" w:cs="Amiri"/>
          <w:color w:val="111111"/>
          <w:sz w:val="28"/>
          <w:sz w:val="28"/>
          <w:szCs w:val="28"/>
          <w:rtl w:val="true"/>
          <w:lang w:bidi="ar-SA"/>
        </w:rPr>
        <w:t>المؤيدة بالوضوءات 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يقيّد إطلاق ما مرّ من أنّ الوضوء مثنى مثنى أو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كرّره لم يأثم إلاّ مع قصد المشروعية ، وعليه ينزل إطلاق التحريم في كلام الشيخين </w:t>
      </w:r>
      <w:r>
        <w:rPr>
          <w:rStyle w:val="FootnoteAnchor"/>
          <w:rtl w:val="true"/>
        </w:rPr>
        <w:footnoteReference w:id="1025"/>
      </w:r>
      <w:r>
        <w:rPr>
          <w:rFonts w:ascii="Amiri" w:hAnsi="Amiri" w:eastAsia="Amiri" w:cs="Amiri"/>
          <w:color w:val="111111"/>
          <w:sz w:val="28"/>
          <w:sz w:val="28"/>
          <w:szCs w:val="28"/>
          <w:rtl w:val="true"/>
          <w:lang w:bidi="ar-SA"/>
        </w:rPr>
        <w:t xml:space="preserve">وابني حمزة وإدريس </w:t>
      </w:r>
      <w:r>
        <w:rPr>
          <w:rStyle w:val="FootnoteAnchor"/>
          <w:rtl w:val="true"/>
        </w:rPr>
        <w:footnoteReference w:id="1026"/>
      </w:r>
      <w:r>
        <w:rPr>
          <w:rFonts w:ascii="Amiri" w:hAnsi="Amiri" w:eastAsia="Amiri" w:cs="Amiri"/>
          <w:color w:val="111111"/>
          <w:sz w:val="28"/>
          <w:sz w:val="28"/>
          <w:szCs w:val="28"/>
          <w:rtl w:val="true"/>
          <w:lang w:bidi="ar-SA"/>
        </w:rPr>
        <w:t>، بل كلام الأخير صريح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حينئذ وضوؤه صحيحا بغير خلاف ، كما في السرائر وعن الذكرى </w:t>
      </w:r>
      <w:r>
        <w:rPr>
          <w:rStyle w:val="FootnoteAnchor"/>
          <w:rtl w:val="true"/>
        </w:rPr>
        <w:footnoteReference w:id="1027"/>
      </w:r>
      <w:r>
        <w:rPr>
          <w:rFonts w:ascii="Amiri" w:hAnsi="Amiri" w:eastAsia="Amiri" w:cs="Amiri"/>
          <w:color w:val="111111"/>
          <w:sz w:val="28"/>
          <w:sz w:val="28"/>
          <w:szCs w:val="28"/>
          <w:rtl w:val="true"/>
          <w:lang w:bidi="ar-SA"/>
        </w:rPr>
        <w:t>، بل إجماعا كما في اللوامع</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يكره بدون ذلك القصد؟ صرّح به في اللوامع ، مدّعيا عليه الشهرة بل </w:t>
      </w:r>
    </w:p>
    <w:p>
      <w:pPr>
        <w:pStyle w:val="BookText"/>
        <w:rPr/>
      </w:pP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 لكفاية الدعوى في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اللوامع بجواز التثنية في بعض الأعضاء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 للأمر بالتثنية في كلّ منها على حدة ، سيما في روايتي علي بن يقطين والعريضي </w:t>
      </w:r>
      <w:r>
        <w:rPr>
          <w:rStyle w:val="FootnoteAnchor"/>
          <w:rtl w:val="true"/>
        </w:rPr>
        <w:footnoteReference w:id="1028"/>
      </w:r>
      <w:r>
        <w:rPr>
          <w:rFonts w:ascii="IRNazanin" w:hAnsi="IRNazanin" w:eastAsia="IRNazanin"/>
          <w:color w:val="111111"/>
          <w:sz w:val="28"/>
          <w:sz w:val="28"/>
          <w:szCs w:val="28"/>
          <w:rtl w:val="true"/>
          <w:lang w:bidi="fa-IR"/>
        </w:rPr>
        <w:t>، والأصل عدم الارتباط والتوقّف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في جزء من البعض فلا شك في عدم استحبابها ، ولا في عدم جوازها بقصد المشروعية ، ولا في جوازها لا بقصدها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يخدش في صحة الوضوء لو أتى به في اليسرى لمكان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والمناط صدق التثنية عرفا ، فلا يضرّ عدم الاستيعاب الحقيقي في الغسلة الأولى إذا صدق غسل كلّ ذلك العضو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يحرم تثليث بعض الأعضاء بل البعض من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فيحصل الإشكال في الغرفات المتعدّدة ، سيما إذا استوعب كلّ منها أكثر العضو أو كثيرا منه ، إذ لا يشترط إمرار اليد في تحقّق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الأردبيلي الميل إلى ترك الغرفة الثالثة مطلقا </w:t>
      </w:r>
      <w:r>
        <w:rPr>
          <w:rStyle w:val="FootnoteAnchor"/>
          <w:rtl w:val="true"/>
        </w:rPr>
        <w:footnoteReference w:id="1029"/>
      </w:r>
      <w:r>
        <w:rPr>
          <w:rFonts w:ascii="Amiri" w:hAnsi="Amiri" w:eastAsia="Amiri" w:cs="Amiri"/>
          <w:color w:val="111111"/>
          <w:sz w:val="28"/>
          <w:sz w:val="28"/>
          <w:szCs w:val="28"/>
          <w:rtl w:val="true"/>
          <w:lang w:bidi="ar-SA"/>
        </w:rPr>
        <w:t>، لعدم معهوديتها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في الغسل في الوجه واليدين مسمّاه عرفا ، فيشترط الجري فيه اختيارا إجماعا ، ومطلقا على الأصح بل الأشهر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أن يكون إجماعا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للأصل ، واستصحاب الحدث ، وعدم صدق الغسل المأمور به بدونه ، لعدم حصوله إلاّ به فيثبته أوامر الغسل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وبها وبما دلّ على اشتراط الجري كمفهوم حسنة زرارة ، الآتية ، 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جرى عليه الماء فقد أجزأه </w:t>
      </w:r>
      <w:r>
        <w:rPr>
          <w:rFonts w:eastAsia="Amiri" w:cs="Amiri" w:ascii="Amiri" w:hAnsi="Amiri"/>
          <w:color w:val="111111"/>
          <w:sz w:val="28"/>
          <w:szCs w:val="28"/>
          <w:rtl w:val="true"/>
          <w:lang w:bidi="ar-SA"/>
        </w:rPr>
        <w:t xml:space="preserve">» </w:t>
      </w:r>
      <w:r>
        <w:rPr>
          <w:rStyle w:val="FootnoteAnchor"/>
          <w:rtl w:val="true"/>
        </w:rPr>
        <w:footnoteReference w:id="1031"/>
      </w:r>
      <w:r>
        <w:rPr>
          <w:rFonts w:ascii="Amiri" w:hAnsi="Amiri" w:eastAsia="Amiri" w:cs="Amiri"/>
          <w:color w:val="111111"/>
          <w:sz w:val="28"/>
          <w:sz w:val="28"/>
          <w:szCs w:val="28"/>
          <w:rtl w:val="true"/>
          <w:lang w:bidi="ar-SA"/>
        </w:rPr>
        <w:t xml:space="preserve">وصحيحة محمد في اغتسال الجنب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جرى </w:t>
      </w:r>
    </w:p>
    <w:p>
      <w:pPr>
        <w:pStyle w:val="BookText"/>
        <w:rPr/>
      </w:pPr>
      <w:r>
        <w:rPr>
          <w:rFonts w:ascii="Amiri" w:hAnsi="Amiri" w:eastAsia="Amiri" w:cs="Amiri"/>
          <w:color w:val="111111"/>
          <w:sz w:val="28"/>
          <w:sz w:val="28"/>
          <w:szCs w:val="28"/>
          <w:rtl w:val="true"/>
          <w:lang w:bidi="ar-SA"/>
        </w:rPr>
        <w:t xml:space="preserve">عليه الماء فقد طهر </w:t>
      </w:r>
      <w:r>
        <w:rPr>
          <w:rFonts w:eastAsia="Amiri" w:cs="Amiri" w:ascii="Amiri" w:hAnsi="Amiri"/>
          <w:color w:val="111111"/>
          <w:sz w:val="28"/>
          <w:szCs w:val="28"/>
          <w:rtl w:val="true"/>
          <w:lang w:bidi="ar-SA"/>
        </w:rPr>
        <w:t xml:space="preserve">» </w:t>
      </w:r>
      <w:r>
        <w:rPr>
          <w:rStyle w:val="FootnoteAnchor"/>
          <w:rtl w:val="true"/>
        </w:rPr>
        <w:footnoteReference w:id="1032"/>
      </w:r>
      <w:r>
        <w:rPr>
          <w:rFonts w:ascii="Amiri" w:hAnsi="Amiri" w:eastAsia="Amiri" w:cs="Amiri"/>
          <w:color w:val="111111"/>
          <w:sz w:val="28"/>
          <w:sz w:val="28"/>
          <w:szCs w:val="28"/>
          <w:rtl w:val="true"/>
          <w:lang w:bidi="ar-SA"/>
        </w:rPr>
        <w:t xml:space="preserve">تقيّد إطلاقات الدهن وكفاية مسّ الماء للجلد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وتؤيد المطلوب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أصابه المطر وابتلّت أعضاء وضوئه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غسله فإنّ ذلك يجزيه </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ويكفي أقلّه ، بأن ينتقل كلّ جزء من الماء من محله إلى غيره ، كما ذكره الفقهاء إمّا صريحا ، أو بتمثيلهم بالدهن الذي لا يزيد عنه غالبا ، لصدق الغسل معه ، ولذا ورد كفاية مثل ما على الحشفة في غسل البول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ولحسنة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الجنب ما جرى عليه الماء من جسده قليله وكثيره فقد أجزأه </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وصحيحته في الوضوء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مس جلدك الماء فحسبك </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 معه من الماء مقدار كف وحضرت الصلاة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يقسّمه أثلاثا ثلث للوجه ، وثلث لليد اليمنى ، وثلث لليسرى </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المصرّحة بكفاية مثل الدهن في الوضوء أو الغسل </w:t>
      </w:r>
      <w:r>
        <w:rPr>
          <w:rStyle w:val="FootnoteAnchor"/>
          <w:rtl w:val="true"/>
        </w:rPr>
        <w:footnoteReference w:id="1039"/>
      </w:r>
      <w:r>
        <w:rPr>
          <w:rFonts w:ascii="Amiri" w:hAnsi="Amiri" w:eastAsia="Amiri" w:cs="Amiri"/>
          <w:color w:val="111111"/>
          <w:sz w:val="28"/>
          <w:sz w:val="28"/>
          <w:szCs w:val="28"/>
          <w:rtl w:val="true"/>
          <w:lang w:bidi="ar-SA"/>
        </w:rPr>
        <w:t>، فإنّ التدهين يتحقّق بمثل هذا الجري أيضا ، فتشمله أخباره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والرواية الواردة في بقاء لمعة من جسد رسول اللّه صلی اللّه عليه وآله وأخذه الماء من بلل شعره ومسحه ذلك الموضع مروية في نوادر الراوندي وغيره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وأدنى ما يكفيك ويجزيك من الماء ما يبلّ به جسدك مثل الدهن </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في الأول </w:t>
      </w:r>
      <w:r>
        <w:rPr>
          <w:rStyle w:val="FootnoteAnchor"/>
          <w:rtl w:val="true"/>
        </w:rPr>
        <w:footnoteReference w:id="1042"/>
      </w:r>
      <w:r>
        <w:rPr>
          <w:rFonts w:ascii="Amiri" w:hAnsi="Amiri" w:eastAsia="Amiri" w:cs="Amiri"/>
          <w:color w:val="111111"/>
          <w:sz w:val="28"/>
          <w:sz w:val="28"/>
          <w:szCs w:val="28"/>
          <w:rtl w:val="true"/>
          <w:lang w:bidi="ar-SA"/>
        </w:rPr>
        <w:t xml:space="preserve">للمقنعة والنهاية </w:t>
      </w:r>
      <w:r>
        <w:rPr>
          <w:rStyle w:val="FootnoteAnchor"/>
          <w:rtl w:val="true"/>
        </w:rPr>
        <w:footnoteReference w:id="1043"/>
      </w:r>
      <w:r>
        <w:rPr>
          <w:rFonts w:ascii="Amiri" w:hAnsi="Amiri" w:eastAsia="Amiri" w:cs="Amiri"/>
          <w:color w:val="111111"/>
          <w:sz w:val="28"/>
          <w:sz w:val="28"/>
          <w:szCs w:val="28"/>
          <w:rtl w:val="true"/>
          <w:lang w:bidi="ar-SA"/>
        </w:rPr>
        <w:t xml:space="preserve">وصريح والدي العلاّمة ، فاكتفوا بمجرد البلل الخالي عن الجري حال الضرورة ، مع إمكان حمل كلام الأولين على الاجتزاء بأقلّ الجري حال الضرورة ، فيوافقان في حال الاضطرار لما عليه الشهرة ، وفي الاختيار لما يأتي من مختار الناصرية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بمطلقات أوامر الغسل المتوقّف على الجريان ، وإطلاقات كفاية البل ، كخبري الغنوي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يجزيك من الغسل والاستنجاء ما بلّت يمينك </w:t>
      </w:r>
      <w:r>
        <w:rPr>
          <w:rFonts w:eastAsia="Amiri" w:cs="Amiri" w:ascii="Amiri" w:hAnsi="Amiri"/>
          <w:color w:val="111111"/>
          <w:sz w:val="28"/>
          <w:szCs w:val="28"/>
          <w:rtl w:val="true"/>
          <w:lang w:bidi="ar-SA"/>
        </w:rPr>
        <w:t xml:space="preserve">» </w:t>
      </w:r>
      <w:r>
        <w:rPr>
          <w:rStyle w:val="FootnoteAnchor"/>
          <w:rtl w:val="true"/>
        </w:rPr>
        <w:footnoteReference w:id="1045"/>
      </w:r>
      <w:r>
        <w:rPr>
          <w:rFonts w:ascii="Amiri" w:hAnsi="Amiri" w:eastAsia="Amiri" w:cs="Amiri"/>
          <w:color w:val="111111"/>
          <w:sz w:val="28"/>
          <w:sz w:val="28"/>
          <w:szCs w:val="28"/>
          <w:rtl w:val="true"/>
          <w:lang w:bidi="ar-SA"/>
        </w:rPr>
        <w:t xml:space="preserve">كما في أحدهما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بللت يدك </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كما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زرارة ، المتقدّمة </w:t>
      </w:r>
      <w:r>
        <w:rPr>
          <w:rStyle w:val="FootnoteAnchor"/>
          <w:rtl w:val="true"/>
        </w:rPr>
        <w:footnoteReference w:id="1047"/>
      </w:r>
      <w:r>
        <w:rPr>
          <w:rFonts w:ascii="Amiri" w:hAnsi="Amiri" w:eastAsia="Amiri" w:cs="Amiri"/>
          <w:color w:val="111111"/>
          <w:sz w:val="28"/>
          <w:sz w:val="28"/>
          <w:szCs w:val="28"/>
          <w:rtl w:val="true"/>
          <w:lang w:bidi="ar-SA"/>
        </w:rPr>
        <w:t xml:space="preserve">، وصحيحة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يأخذ أحدكم الراحة من الدهن فيملأ بها جسده ، والماء أوسع من ذلك </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وأخبار الدهن الظاهرة فيما لا يتحقق معه الجريان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بتخصيص أول الإطلاقين بحال الاختيار ، للإطلاقات الثانية المقيدة بحال </w:t>
      </w:r>
    </w:p>
    <w:p>
      <w:pPr>
        <w:pStyle w:val="BookText"/>
        <w:rPr/>
      </w:pPr>
      <w:r>
        <w:rPr>
          <w:rFonts w:ascii="Amiri" w:hAnsi="Amiri" w:eastAsia="Amiri" w:cs="Amiri"/>
          <w:color w:val="111111"/>
          <w:sz w:val="28"/>
          <w:sz w:val="28"/>
          <w:szCs w:val="28"/>
          <w:rtl w:val="true"/>
          <w:lang w:bidi="ar-SA"/>
        </w:rPr>
        <w:t>الاضطرار إجماعا ، فتكون أخص منه ، فيقيّد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w:t>
      </w:r>
      <w:r>
        <w:rPr>
          <w:rStyle w:val="FootnoteAnchor"/>
          <w:rtl w:val="true"/>
        </w:rPr>
        <w:footnoteReference w:id="1049"/>
      </w:r>
      <w:r>
        <w:rPr>
          <w:rFonts w:ascii="Amiri" w:hAnsi="Amiri" w:eastAsia="Amiri" w:cs="Amiri"/>
          <w:color w:val="111111"/>
          <w:sz w:val="28"/>
          <w:sz w:val="28"/>
          <w:szCs w:val="28"/>
          <w:rtl w:val="true"/>
          <w:lang w:bidi="ar-SA"/>
        </w:rPr>
        <w:t xml:space="preserve">بعد الاستثناء في 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أسبغ الوضوء إن وجدت ماء وإلاّ فإنّه يكفيك اليسير </w:t>
      </w:r>
      <w:r>
        <w:rPr>
          <w:rFonts w:eastAsia="Amiri" w:cs="Amiri" w:ascii="Amiri" w:hAnsi="Amiri"/>
          <w:color w:val="111111"/>
          <w:sz w:val="28"/>
          <w:szCs w:val="28"/>
          <w:rtl w:val="true"/>
          <w:lang w:bidi="ar-SA"/>
        </w:rPr>
        <w:t xml:space="preserve">» </w:t>
      </w:r>
      <w:r>
        <w:rPr>
          <w:rStyle w:val="FootnoteAnchor"/>
          <w:rtl w:val="true"/>
        </w:rPr>
        <w:footnoteReference w:id="10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واليسير بإطلاقه يتناول ما لا جري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ولمرسلة الكليني ، السابقة </w:t>
      </w:r>
      <w:r>
        <w:rPr>
          <w:rStyle w:val="FootnoteAnchor"/>
          <w:rtl w:val="true"/>
        </w:rPr>
        <w:footnoteReference w:id="1051"/>
      </w:r>
      <w:r>
        <w:rPr>
          <w:rFonts w:ascii="Amiri" w:hAnsi="Amiri" w:eastAsia="Amiri" w:cs="Amiri"/>
          <w:color w:val="111111"/>
          <w:sz w:val="28"/>
          <w:sz w:val="28"/>
          <w:szCs w:val="28"/>
          <w:rtl w:val="true"/>
          <w:lang w:bidi="ar-SA"/>
        </w:rPr>
        <w:t xml:space="preserve">، وصحيحة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الجنب أو على غير وضوء لا يكون معه ماء وهو يصيب ثلجا وصعيدا ، أيّهما أفضل أيتيمّم أم يتمسّح بالثلج وجهه؟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الثلج إذا بلّ رأسه وجسده أفضل ، فإن لم يقدر على أن يغتسل به فليتيمّم </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ابن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يصيبنا الدمق والثلج ونريد أن نتوضّأ ولا نجد إلاّ ماء جامدا ، فكيف أتوضّأ أدلك به جلدي؟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وتخصيص </w:t>
      </w:r>
      <w:r>
        <w:rPr>
          <w:rStyle w:val="FootnoteAnchor"/>
          <w:rtl w:val="true"/>
        </w:rPr>
        <w:footnoteReference w:id="1054"/>
      </w:r>
      <w:r>
        <w:rPr>
          <w:rFonts w:ascii="Amiri" w:hAnsi="Amiri" w:eastAsia="Amiri" w:cs="Amiri"/>
          <w:color w:val="111111"/>
          <w:sz w:val="28"/>
          <w:sz w:val="28"/>
          <w:szCs w:val="28"/>
          <w:rtl w:val="true"/>
          <w:lang w:bidi="ar-SA"/>
        </w:rPr>
        <w:t>ثانيهما بحال الاضطرار ، للإجماع ، ولما قبل الاستثناء من صحيحة الحلبي ، وللإطلاقات الأولى المقيّدة بحال الاختيار بالأخبار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كلّ من التخصيصين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صلاحية ما ذكر له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الإطلاقات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إنما يعلم تقييدها بحال الاضطرار إجماعا لو اختصّت بالبلّ الخالي عن الجريان المباين للغسل ، وليس كذلك بل أعم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ما تقدّم على صحيحة محمّد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هي وما يعقبها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فلتحقّق أقل الجري بالتدهين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Style w:val="FootnoteAnchor"/>
          <w:rtl w:val="true"/>
        </w:rPr>
        <w:footnoteReference w:id="1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بقدر الراحة كما في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دلالة فيها على مطلوبهم ، لعدم خلوّها عن ضرب من الإجمال ، وعلى هذا فتقييدها بالبلّ المشتمل على الجري المتضمّن مع الغسل ، وإبقاء الحالة على عمومها بالإجماع ، ليس بأولى من تقييدها بحالة الاضطرار به </w:t>
      </w:r>
      <w:r>
        <w:rPr>
          <w:rStyle w:val="FootnoteAnchor"/>
          <w:rtl w:val="true"/>
        </w:rPr>
        <w:footnoteReference w:id="1056"/>
      </w:r>
      <w:r>
        <w:rPr>
          <w:rFonts w:ascii="Amiri" w:hAnsi="Amiri" w:eastAsia="Amiri" w:cs="Amiri"/>
          <w:color w:val="111111"/>
          <w:sz w:val="28"/>
          <w:sz w:val="28"/>
          <w:szCs w:val="28"/>
          <w:rtl w:val="true"/>
          <w:lang w:bidi="ar-SA"/>
        </w:rPr>
        <w:t xml:space="preserve">، فلا يعلم منافاتها للإطلاق </w:t>
      </w:r>
      <w:r>
        <w:rPr>
          <w:rStyle w:val="FootnoteAnchor"/>
          <w:rtl w:val="true"/>
        </w:rPr>
        <w:footnoteReference w:id="1057"/>
      </w:r>
      <w:r>
        <w:rPr>
          <w:rFonts w:ascii="Amiri" w:hAnsi="Amiri" w:eastAsia="Amiri" w:cs="Amiri"/>
          <w:color w:val="111111"/>
          <w:sz w:val="28"/>
          <w:sz w:val="28"/>
          <w:szCs w:val="28"/>
          <w:rtl w:val="true"/>
          <w:lang w:bidi="ar-SA"/>
        </w:rPr>
        <w:t>الأول حتى يقيّد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بعد الاستثناء في الصحيحة </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فلاحتمال أن يراد منه اليسير من الغسل ولا شك أنّه أيضا لا يتحقّق إلاّ مع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لو أريد اليسير من الماء أيضا ، لم يكن مقيّدا ، لأنّه أعمّ ممّا يتحقق معه الجري ، فيعارض الإطلاق الأول بالعموم من وجه ، فلا يكون أخصّ منه حتى يقيده ، والترجيح للإطلاق </w:t>
      </w:r>
      <w:r>
        <w:rPr>
          <w:rStyle w:val="FootnoteAnchor"/>
          <w:rtl w:val="true"/>
        </w:rPr>
        <w:footnoteReference w:id="1059"/>
      </w:r>
      <w:r>
        <w:rPr>
          <w:rFonts w:ascii="Amiri" w:hAnsi="Amiri" w:eastAsia="Amiri" w:cs="Amiri"/>
          <w:color w:val="111111"/>
          <w:sz w:val="28"/>
          <w:sz w:val="28"/>
          <w:szCs w:val="28"/>
          <w:rtl w:val="true"/>
          <w:lang w:bidi="ar-SA"/>
        </w:rPr>
        <w:t>، لموافقة الكتاب والأصل والشهرة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المرسلة </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تحقّق أقلّ الجريان في كلّ موضع بثلث الكف ، كيف مع أنّه تظهر من صحيحة محمد كفاية أقلّ من كف من الدهن لتمام الجسد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الخبران الأخيران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ظاهرهما المسح بالثلج والجمد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به أحد ، كما يأتي في بحث التيمم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أنّهما معارضان مع صحيحتين أخريين آتيتين في ذلك البحث ، دالّتين على وجوب الانتقال إلى التيمم في مثل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التخصيص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فلمثل ما مرّ أيضا من عدم صلاحية ما ذكر لبيانه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قبل الاستثناء من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الإسباغ غير الغسل ، بل هو نوع منه غير واجب إجماعا فتوى ونصا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ثبوت تقييدها بحال الاختيار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عرفت ضعف التخصيص فيحصل التعارض بين الإطلاقين بالعموم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والترجيح للأول ، لما مرّ من موافقة الكتاب والشهرة ، بل الإجماع ، لما عرفت من الاحتمال في كلام الشيخين </w:t>
      </w:r>
      <w:r>
        <w:rPr>
          <w:rStyle w:val="FootnoteAnchor"/>
          <w:rtl w:val="true"/>
        </w:rPr>
        <w:footnoteReference w:id="1062"/>
      </w:r>
      <w:r>
        <w:rPr>
          <w:rFonts w:ascii="Amiri" w:hAnsi="Amiri" w:eastAsia="Amiri" w:cs="Amiri"/>
          <w:color w:val="111111"/>
          <w:sz w:val="28"/>
          <w:sz w:val="28"/>
          <w:szCs w:val="28"/>
          <w:rtl w:val="true"/>
          <w:lang w:bidi="ar-SA"/>
        </w:rPr>
        <w:t>، مع أنّه لولاه لكان المرجع إلى أصل الاشتغال واستصحاب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وخلافا في الثاني لظاهر المدارك ، فإنّ ظاهره عدم صدق الغسل عرفا بمثل ذلك الجري </w:t>
      </w:r>
      <w:r>
        <w:rPr>
          <w:rStyle w:val="FootnoteAnchor"/>
          <w:rtl w:val="true"/>
        </w:rPr>
        <w:footnoteReference w:id="1063"/>
      </w:r>
      <w:r>
        <w:rPr>
          <w:rFonts w:ascii="Amiri" w:hAnsi="Amiri" w:eastAsia="Amiri" w:cs="Amiri"/>
          <w:color w:val="111111"/>
          <w:sz w:val="28"/>
          <w:sz w:val="28"/>
          <w:szCs w:val="28"/>
          <w:rtl w:val="true"/>
          <w:lang w:bidi="ar-SA"/>
        </w:rPr>
        <w:t xml:space="preserve">، وهو ظاهر الناصريات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وجوب فعل ما يسمّى غسلا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الأخبار الواردة بأنّه يجزئك ولو مثل الدهن ، فإنّها محمولة على دهن يجري على العضو ويكثر عليه حتى يسمّى غسلا ولا يجوز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ويكثر عليه ، اشتراط أكثر من هذا الجري ، فإنه لا يقال للقدر من الماء الذي ينتقل من جزء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الظاهر من الحلّي </w:t>
      </w:r>
      <w:r>
        <w:rPr>
          <w:rStyle w:val="FootnoteAnchor"/>
          <w:rtl w:val="true"/>
        </w:rPr>
        <w:footnoteReference w:id="106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الغسل عرفا على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ممنوع كما </w:t>
      </w:r>
    </w:p>
    <w:p>
      <w:pPr>
        <w:pStyle w:val="BookText"/>
        <w:rPr/>
      </w:pPr>
      <w:r>
        <w:rPr>
          <w:rFonts w:ascii="Amiri" w:hAnsi="Amiri" w:eastAsia="Amiri" w:cs="Amiri"/>
          <w:color w:val="111111"/>
          <w:sz w:val="28"/>
          <w:sz w:val="28"/>
          <w:szCs w:val="28"/>
          <w:rtl w:val="true"/>
          <w:lang w:bidi="ar-SA"/>
        </w:rPr>
        <w:t xml:space="preserve">مرّ </w:t>
      </w:r>
      <w:r>
        <w:rPr>
          <w:rStyle w:val="FootnoteAnchor"/>
          <w:rtl w:val="true"/>
        </w:rPr>
        <w:footnoteReference w:id="1066"/>
      </w:r>
      <w:r>
        <w:rPr>
          <w:rFonts w:ascii="Amiri" w:hAnsi="Amiri" w:eastAsia="Amiri" w:cs="Amiri"/>
          <w:color w:val="111111"/>
          <w:sz w:val="28"/>
          <w:sz w:val="28"/>
          <w:szCs w:val="28"/>
          <w:rtl w:val="true"/>
          <w:lang w:bidi="ar-SA"/>
        </w:rPr>
        <w:t>، بل الظاهر أنه لولاه ، لما تحقّق الغسل الواجب لكلّ جزء من كلّ عضو بالغرفة الواحدة المجزية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يجب العلم بحصول أقلّ الجري في كلّ جزء جزء من المواضع ، كما تدلّ عليه الروايات المتقدّمة في غسل اليد </w:t>
      </w:r>
      <w:r>
        <w:rPr>
          <w:rStyle w:val="FootnoteAnchor"/>
          <w:rtl w:val="true"/>
        </w:rPr>
        <w:footnoteReference w:id="1067"/>
      </w:r>
      <w:r>
        <w:rPr>
          <w:rFonts w:ascii="Amiri" w:hAnsi="Amiri" w:eastAsia="Amiri" w:cs="Amiri"/>
          <w:color w:val="111111"/>
          <w:sz w:val="28"/>
          <w:sz w:val="28"/>
          <w:szCs w:val="28"/>
          <w:rtl w:val="true"/>
          <w:lang w:bidi="ar-SA"/>
        </w:rPr>
        <w:t>، المصرّحة بوجوب غسل كلّ جزء وإجراء الماء أو إدخاله تحت الخاتم ونحوه ، والأولى بلّ الموضع أوّلا ليجري عليه الماء 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بعض أعضاء الطهارة مؤوفا بغير القطع ، من نحو كسر أو قرح أو 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يكون في موضع الغسل أو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في موضع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لا تكون عليه جبيرة من خشب أو خرقة أو دواء أو غيرها أو تكون ، فإن كانت عليه ، فإمّا لا يمكن غسل ما تحتها بنزع أو تكرير أو وضع في الماء من غير ضرر ولا مشقة أو يمكن ، فإن أمكن ذلك بأحد الوجوه الثلاثة ، وجب إجماعا ، اتّباعا لأوامر الغسل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التخيير بين الثلاثة ، كجماعة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في التحرير والنهاية </w:t>
      </w:r>
      <w:r>
        <w:rPr>
          <w:rStyle w:val="FootnoteAnchor"/>
          <w:rtl w:val="true"/>
        </w:rPr>
        <w:footnoteReference w:id="1068"/>
      </w:r>
      <w:r>
        <w:rPr>
          <w:rFonts w:ascii="Amiri" w:hAnsi="Amiri" w:eastAsia="Amiri" w:cs="Amiri"/>
          <w:color w:val="111111"/>
          <w:sz w:val="28"/>
          <w:sz w:val="28"/>
          <w:szCs w:val="28"/>
          <w:rtl w:val="true"/>
          <w:lang w:bidi="ar-SA"/>
        </w:rPr>
        <w:t xml:space="preserve">، والكركي </w:t>
      </w:r>
      <w:r>
        <w:rPr>
          <w:rStyle w:val="FootnoteAnchor"/>
          <w:rtl w:val="true"/>
        </w:rPr>
        <w:footnoteReference w:id="1069"/>
      </w:r>
      <w:r>
        <w:rPr>
          <w:rFonts w:ascii="Amiri" w:hAnsi="Amiri" w:eastAsia="Amiri" w:cs="Amiri"/>
          <w:color w:val="111111"/>
          <w:sz w:val="28"/>
          <w:sz w:val="28"/>
          <w:szCs w:val="28"/>
          <w:rtl w:val="true"/>
          <w:lang w:bidi="ar-SA"/>
        </w:rPr>
        <w:t xml:space="preserve">، والدروس والبيان </w:t>
      </w:r>
      <w:r>
        <w:rPr>
          <w:rStyle w:val="FootnoteAnchor"/>
          <w:rtl w:val="true"/>
        </w:rPr>
        <w:footnoteReference w:id="1070"/>
      </w:r>
      <w:r>
        <w:rPr>
          <w:rFonts w:ascii="Amiri" w:hAnsi="Amiri" w:eastAsia="Amiri" w:cs="Amiri"/>
          <w:color w:val="111111"/>
          <w:sz w:val="28"/>
          <w:sz w:val="28"/>
          <w:szCs w:val="28"/>
          <w:rtl w:val="true"/>
          <w:lang w:bidi="ar-SA"/>
        </w:rPr>
        <w:t xml:space="preserve">، بل في اللوامع الإجماع عليه ، للأصل ، وحصول الغسل ، وإطلاق 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ينكسر ساعده أو موضع من مواضع الوضوء فلا يقدر أن يمسح عليه لحال الجبر إذا جبر ، كيف يصنع؟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أراد أن يتوضّأ فليضع إناء فيه ماء ويضع الجبيرة في الماء حتى يصل الماء إلى جلده ، وقد أجزأه ذلك من غير أن يحلّه </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الترتيب فينزع وجوبا مع الإمكان ، وإلاّ فالتكرير أو الوضع ، كالتذكرة </w:t>
      </w:r>
      <w:r>
        <w:rPr>
          <w:rStyle w:val="FootnoteAnchor"/>
          <w:rtl w:val="true"/>
        </w:rPr>
        <w:footnoteReference w:id="1072"/>
      </w:r>
      <w:r>
        <w:rPr>
          <w:rFonts w:ascii="Amiri" w:hAnsi="Amiri" w:eastAsia="Amiri" w:cs="Amiri"/>
          <w:color w:val="111111"/>
          <w:sz w:val="28"/>
          <w:sz w:val="28"/>
          <w:szCs w:val="28"/>
          <w:rtl w:val="true"/>
          <w:lang w:bidi="ar-SA"/>
        </w:rPr>
        <w:t xml:space="preserve">، بل ظاهر التهذيب </w:t>
      </w:r>
      <w:r>
        <w:rPr>
          <w:rStyle w:val="FootnoteAnchor"/>
          <w:rtl w:val="true"/>
        </w:rPr>
        <w:footnoteReference w:id="1073"/>
      </w:r>
      <w:r>
        <w:rPr>
          <w:rFonts w:ascii="Amiri" w:hAnsi="Amiri" w:eastAsia="Amiri" w:cs="Amiri"/>
          <w:color w:val="111111"/>
          <w:sz w:val="28"/>
          <w:sz w:val="28"/>
          <w:szCs w:val="28"/>
          <w:rtl w:val="true"/>
          <w:lang w:bidi="ar-SA"/>
        </w:rPr>
        <w:t xml:space="preserve">والنهاية </w:t>
      </w:r>
      <w:r>
        <w:rPr>
          <w:rStyle w:val="FootnoteAnchor"/>
          <w:rtl w:val="true"/>
        </w:rPr>
        <w:footnoteReference w:id="1074"/>
      </w:r>
      <w:r>
        <w:rPr>
          <w:rFonts w:ascii="IRNazanin" w:hAnsi="IRNazanin" w:eastAsia="IRNazanin"/>
          <w:color w:val="111111"/>
          <w:sz w:val="28"/>
          <w:sz w:val="28"/>
          <w:szCs w:val="28"/>
          <w:rtl w:val="true"/>
          <w:lang w:bidi="fa-IR"/>
        </w:rPr>
        <w:t xml:space="preserve">، بل المعتبر والمنتهى </w:t>
      </w:r>
      <w:r>
        <w:rPr>
          <w:rStyle w:val="FootnoteAnchor"/>
          <w:rtl w:val="true"/>
        </w:rPr>
        <w:footnoteReference w:id="1075"/>
      </w:r>
      <w:r>
        <w:rPr>
          <w:rFonts w:ascii="Amiri" w:hAnsi="Amiri" w:eastAsia="Amiri" w:cs="Amiri"/>
          <w:color w:val="111111"/>
          <w:sz w:val="28"/>
          <w:sz w:val="28"/>
          <w:szCs w:val="28"/>
          <w:rtl w:val="true"/>
          <w:lang w:bidi="ar-SA"/>
        </w:rPr>
        <w:t xml:space="preserve">، بل عليه دعوى الإجماع كما ذكره في اللوامع ، وجعله جمع من مشايخنا الأحوط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لحسنة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تكون القرحة في ذراعه أو نحو ذلك من مواضع الوضوء فيعصبها بالخرقة ويتوضّأ ويمسح عليها إذا توضّأ؟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يؤذيه الماء فليمسح على الخرقة ، وإن كان لا يؤذيه الماء فلينزع الخرقة ثمَّ ليغسلها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الجرح كيف يصنع به في غسله؟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ما حوله </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بك في المواضع التي يجب عليها الوضوء قرحة أو دماميل ولم يؤذك فحلّها واغسلها ، وإن أضرّك حلّها ، فامسح يدك على الجبائر والقروح ، ولا تحلّها ولا تعبث بجراحتك </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قولان </w:t>
      </w:r>
      <w:r>
        <w:rPr>
          <w:rStyle w:val="FootnoteAnchor"/>
          <w:rtl w:val="true"/>
        </w:rPr>
        <w:footnoteReference w:id="1079"/>
      </w:r>
      <w:r>
        <w:rPr>
          <w:rFonts w:ascii="Amiri" w:hAnsi="Amiri" w:eastAsia="Amiri" w:cs="Amiri"/>
          <w:color w:val="111111"/>
          <w:sz w:val="28"/>
          <w:sz w:val="28"/>
          <w:szCs w:val="28"/>
          <w:rtl w:val="true"/>
          <w:lang w:bidi="ar-SA"/>
        </w:rPr>
        <w:t xml:space="preserve">، أظهرهما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يدفع الأصل وإطلاق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 الموثّق ، لتقييده بعدم القدرة على المسح على الموضع لأجل الجبيرة ، ولا يكون ذلك ، إلاّ مع تعذّر النزع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مجرد وجوده فغير مناف للقدرة كما لا تنتفي بوجود حائل آخر ممكن الرفع</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هنا قول آخر محكي عن الذخيرة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النزع والتكرير على </w:t>
      </w:r>
    </w:p>
    <w:p>
      <w:pPr>
        <w:pStyle w:val="BookText"/>
        <w:rPr/>
      </w:pPr>
      <w:r>
        <w:rPr>
          <w:rFonts w:ascii="IRNazanin" w:hAnsi="IRNazanin" w:eastAsia="IRNazanin"/>
          <w:color w:val="111111"/>
          <w:sz w:val="28"/>
          <w:sz w:val="28"/>
          <w:szCs w:val="28"/>
          <w:rtl w:val="true"/>
          <w:lang w:bidi="fa-IR"/>
        </w:rPr>
        <w:t xml:space="preserve">الوضع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أقف على دليل له إلاّ ما ادّعاه من الإجماع ، وهو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لم يذكر جماعة الوضع أصلا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الشيخ في كتابي الحديث عدم وجوبه ، حيث حمل الموثّق على الاستحباب عند المكنة وعدم الضرورة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لم يمكن غسل ما تحتها بأحد الوجوه الثلاثة ، يمسح على الجبيرة ويغسل ما حولها وجوبا ، سواء أمكن مع ذلك حلّ الجبيرة أولا ، اتّفاقا محققا ومنقولا ، كما عن الخلاف </w:t>
      </w:r>
      <w:r>
        <w:rPr>
          <w:rStyle w:val="FootnoteAnchor"/>
          <w:rtl w:val="true"/>
        </w:rPr>
        <w:footnoteReference w:id="1083"/>
      </w:r>
      <w:r>
        <w:rPr>
          <w:rFonts w:ascii="Amiri" w:hAnsi="Amiri" w:eastAsia="Amiri" w:cs="Amiri"/>
          <w:color w:val="111111"/>
          <w:sz w:val="28"/>
          <w:sz w:val="28"/>
          <w:szCs w:val="28"/>
          <w:rtl w:val="true"/>
          <w:lang w:bidi="ar-SA"/>
        </w:rPr>
        <w:t xml:space="preserve">وفي المعتبر ، والمنتهى ، والتذكرة ، والمدارك </w:t>
      </w:r>
      <w:r>
        <w:rPr>
          <w:rStyle w:val="FootnoteAnchor"/>
          <w:rtl w:val="true"/>
        </w:rPr>
        <w:footnoteReference w:id="1084"/>
      </w:r>
      <w:r>
        <w:rPr>
          <w:rFonts w:ascii="Amiri" w:hAnsi="Amiri" w:eastAsia="Amiri" w:cs="Amiri"/>
          <w:color w:val="111111"/>
          <w:sz w:val="28"/>
          <w:sz w:val="28"/>
          <w:szCs w:val="28"/>
          <w:rtl w:val="true"/>
          <w:lang w:bidi="ar-SA"/>
        </w:rPr>
        <w:t>، مع عدم إمكان الحل ، وعلى الأظهر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للإجماع في الأول ، وللمستفيضة فيهما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والرضوي المتقدّمان وحسنة كليب والوشاء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إذا كان كسيرا كيف يصنع بالصلاة؟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يتخوف على نفسه فليمسح على جبائره </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الدواء إذا كان على يد الرجل يجزيه أن يمسح عليه؟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يجزيه أن يمسح على طلي الدواء </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الجبائر تكون على الكسير كيف يتوضّأ صاحبها ، وكيف يغتسل إذا أجنب؟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يجزيه المسح بالماء عليها في الجنابة </w:t>
      </w:r>
    </w:p>
    <w:p>
      <w:pPr>
        <w:pStyle w:val="BookText"/>
        <w:rPr/>
      </w:pPr>
      <w:r>
        <w:rPr>
          <w:rFonts w:ascii="IRNazanin" w:hAnsi="IRNazanin" w:eastAsia="IRNazanin"/>
          <w:color w:val="111111"/>
          <w:sz w:val="28"/>
          <w:sz w:val="28"/>
          <w:szCs w:val="28"/>
          <w:rtl w:val="true"/>
          <w:lang w:bidi="fa-IR"/>
        </w:rPr>
        <w:t xml:space="preserve">والوضوء </w:t>
      </w:r>
      <w:r>
        <w:rPr>
          <w:rFonts w:eastAsia="IRNazanin" w:cs="IRNazanin"/>
          <w:color w:val="111111"/>
          <w:sz w:val="28"/>
          <w:szCs w:val="28"/>
          <w:rtl w:val="true"/>
          <w:lang w:bidi="fa-IR"/>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تعارض تلك الأخبار روايات التيمّم </w:t>
      </w:r>
      <w:r>
        <w:rPr>
          <w:rStyle w:val="FootnoteAnchor"/>
          <w:rtl w:val="true"/>
        </w:rPr>
        <w:footnoteReference w:id="1088"/>
      </w:r>
      <w:r>
        <w:rPr>
          <w:rFonts w:ascii="Amiri" w:hAnsi="Amiri" w:eastAsia="Amiri" w:cs="Amiri"/>
          <w:color w:val="111111"/>
          <w:sz w:val="28"/>
          <w:sz w:val="28"/>
          <w:szCs w:val="28"/>
          <w:rtl w:val="true"/>
          <w:lang w:bidi="ar-SA"/>
        </w:rPr>
        <w:t>، لأنّها بين ظاهرة في المجرد عن الجبيرة أو مطلقة بالنسبة إليه ، وهذه خاصة بذي الجبيرة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الروايات المقتصرة بغسل ما حول الجرح ، كذيل حسنة الحلبي ، المتقدّمة ، وصحيحة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الجرح كيف يصنع به صاحبه؟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ما حوله </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الجبائر أنه يغسل ما حولها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الكسير تكون عليه الجبائر أو تكون به الجراحة كيف يصنع بالوضوء وعند غسل الجنابة وغسل الجمعة؟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ما وصل إليه الغسل ممّا ظهر مما ليس عليه الجبائر ويدع ما سوى ذلك مما لا يستطيع غسله ، ولا ينزع الجبائر ولا يعبث بجراحته </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إيجاب غسل ما حوله وعدم العبث بالجراحة وعدم غسلها لا ينافي وجوب المسح إذا كان ثابتا من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الصحيحة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ويدع ما سوى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الجسد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لا يستطيع غسله ولا يعبث بجراحته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المسح على الجبيرة التي هي غير الجسد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الظاهر منه أنه يدع غسله فلا منافاة أصلا ، ولو منع الظهور فلا أقلّ </w:t>
      </w:r>
    </w:p>
    <w:p>
      <w:pPr>
        <w:pStyle w:val="BookText"/>
        <w:rPr/>
      </w:pPr>
      <w:r>
        <w:rPr>
          <w:rFonts w:ascii="Amiri" w:hAnsi="Amiri" w:eastAsia="Amiri" w:cs="Amiri"/>
          <w:color w:val="111111"/>
          <w:sz w:val="28"/>
          <w:sz w:val="28"/>
          <w:szCs w:val="28"/>
          <w:rtl w:val="true"/>
          <w:lang w:bidi="ar-SA"/>
        </w:rPr>
        <w:t>من الاحتمال فلا يعارض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على فرض الدلالة فللمعارضة مع ما مرّ غير صالحة ، لمخالفته في الجملة لعمل المعظم بل الكلّ الموجبة لشذوذها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فتوى الصدوق والكليني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بمضمونها </w:t>
      </w:r>
      <w:r>
        <w:rPr>
          <w:rStyle w:val="FootnoteAnchor"/>
          <w:rtl w:val="true"/>
        </w:rPr>
        <w:footnoteReference w:id="1092"/>
      </w:r>
      <w:r>
        <w:rPr>
          <w:rFonts w:ascii="IRNazanin" w:hAnsi="IRNazanin" w:eastAsia="IRNazanin"/>
          <w:color w:val="111111"/>
          <w:sz w:val="28"/>
          <w:sz w:val="28"/>
          <w:szCs w:val="28"/>
          <w:rtl w:val="true"/>
          <w:lang w:bidi="fa-IR"/>
        </w:rPr>
        <w:t>وحمل أخبار المسح على الاستحباب فاسد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اختاره واحد من متأخري المتأخرين </w:t>
      </w:r>
      <w:r>
        <w:rPr>
          <w:rStyle w:val="FootnoteAnchor"/>
          <w:rtl w:val="true"/>
        </w:rPr>
        <w:footnoteReference w:id="1093"/>
      </w:r>
      <w:r>
        <w:rPr>
          <w:rFonts w:ascii="Amiri" w:hAnsi="Amiri" w:eastAsia="Amiri" w:cs="Amiri"/>
          <w:color w:val="111111"/>
          <w:sz w:val="28"/>
          <w:sz w:val="28"/>
          <w:szCs w:val="28"/>
          <w:rtl w:val="true"/>
          <w:lang w:bidi="ar-SA"/>
        </w:rPr>
        <w:t xml:space="preserve">ومال إليه آخر </w:t>
      </w:r>
      <w:r>
        <w:rPr>
          <w:rStyle w:val="FootnoteAnchor"/>
          <w:rtl w:val="true"/>
        </w:rPr>
        <w:footnoteReference w:id="1094"/>
      </w:r>
      <w:r>
        <w:rPr>
          <w:rFonts w:ascii="Amiri" w:hAnsi="Amiri" w:eastAsia="Amiri" w:cs="Amiri"/>
          <w:color w:val="111111"/>
          <w:sz w:val="28"/>
          <w:sz w:val="28"/>
          <w:szCs w:val="28"/>
          <w:rtl w:val="true"/>
          <w:lang w:bidi="ar-SA"/>
        </w:rPr>
        <w:t>، ولا يعبأ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الإجماع تقدّم تلك الأخبار على الآية فيما إذا صدق على صاحب الكسر أو نحوه المريض وإن تعارضا بالعموم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Style w:val="FootnoteAnchor"/>
          <w:rtl w:val="true"/>
        </w:rPr>
        <w:footnoteReference w:id="1095"/>
      </w:r>
      <w:r>
        <w:rPr>
          <w:rFonts w:ascii="Amiri" w:hAnsi="Amiri" w:eastAsia="Amiri" w:cs="Amiri"/>
          <w:color w:val="111111"/>
          <w:sz w:val="28"/>
          <w:sz w:val="28"/>
          <w:szCs w:val="28"/>
          <w:rtl w:val="true"/>
          <w:lang w:bidi="ar-SA"/>
        </w:rPr>
        <w:t xml:space="preserve">إما هو السقم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بعض اللغويين </w:t>
      </w:r>
      <w:r>
        <w:rPr>
          <w:rStyle w:val="FootnoteAnchor"/>
          <w:rtl w:val="true"/>
        </w:rPr>
        <w:footnoteReference w:id="1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تعارض بينهما أصلا ، لتغاير السقم والكسر ونحوه كما هو ظاهر ، أو يكون شاملا لجميع الآفات حتى الكسر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المتّصف بها أيضا مريضا لغة وإن لم يكن كذلك عرفا ، ولا يضرّ لتأخّر الحادث ، فتكون الآية أعم مطلقا يجب تخصيصها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تكن على الموضع جبيرة وآذاه الماء ، فالحقّ فيه التخيير بين أحد الأمور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على الجبيرة بوضع شي‌ء على الموضع ومسحه ، وإمّا التيمم ، وإمّا الاكتفاء بغسل ما حول الموضع</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جواز المسح على شي‌ء وضعه على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فلحسنة الحلبي ، المتقدّمة </w:t>
      </w:r>
      <w:r>
        <w:rPr>
          <w:rStyle w:val="FootnoteAnchor"/>
          <w:rtl w:val="true"/>
        </w:rPr>
        <w:footnoteReference w:id="1097"/>
      </w:r>
      <w:r>
        <w:rPr>
          <w:rFonts w:ascii="Amiri" w:hAnsi="Amiri" w:eastAsia="Amiri" w:cs="Amiri"/>
          <w:color w:val="111111"/>
          <w:sz w:val="28"/>
          <w:sz w:val="28"/>
          <w:szCs w:val="28"/>
          <w:rtl w:val="true"/>
          <w:lang w:bidi="ar-SA"/>
        </w:rPr>
        <w:t>، دلّت بإطلاقها على المسح بالخرقة المعصوبة مع إيذاء الماء ، سواء كانت على الموضع قبل إرادة الوضوء ، أو عصبها حينها مع تجرّد الموضع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عدم تعيّن ذلك حتى يجب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فللأصل وعدم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فليمسح على الخرقة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وجوبه المتوقّف امتثاله على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منه وجوبه على من سئل عنه أي من يعصبها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ويتوضّأ ، الذي هو مرجع المستتر </w:t>
      </w:r>
      <w:r>
        <w:rPr>
          <w:rFonts w:eastAsia="Amiri" w:cs="Amiri" w:ascii="Amiri" w:hAnsi="Amiri"/>
          <w:color w:val="111111"/>
          <w:sz w:val="28"/>
          <w:szCs w:val="28"/>
          <w:rtl w:val="true"/>
          <w:lang w:bidi="ar-SA"/>
        </w:rPr>
        <w:t xml:space="preserve">) </w:t>
      </w:r>
      <w:r>
        <w:rPr>
          <w:rStyle w:val="FootnoteAnchor"/>
          <w:rtl w:val="true"/>
        </w:rPr>
        <w:footnoteReference w:id="1098"/>
      </w:r>
      <w:r>
        <w:rPr>
          <w:rFonts w:ascii="Amiri" w:hAnsi="Amiri" w:eastAsia="Amiri" w:cs="Amiri"/>
          <w:color w:val="111111"/>
          <w:sz w:val="28"/>
          <w:sz w:val="28"/>
          <w:szCs w:val="28"/>
          <w:rtl w:val="true"/>
          <w:lang w:bidi="ar-SA"/>
        </w:rPr>
        <w:t>وهو كذلك ، لا على من لم يعصبها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أنّ من عليه جبيرة يمكن حلّها لو حلّها كان حكمه التخيير أيضا ، ولم يتعيّن عليه المسح على الجبيرة ، لعدم دليل على وجوب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فيه استصحاب وجوب المسح على الخرقة الموقوف على وضعها ، بخلاف من ليست عليه ، فإنّه لم يثبت وجوب عليه حتى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جواز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فلمطلقاته كالمرسلة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يؤمم المجدور والكسير إذا أصابتهما الجنابة </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المجدور والكسير يؤممان ولا يغسلان </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يتيمّم المجدور والكسير بالتراب إذا أصابته الجنابة </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الكسير والمبطون يتيمّم ولا يغتسل </w:t>
      </w:r>
      <w:r>
        <w:rPr>
          <w:rFonts w:eastAsia="Amiri" w:cs="Amiri" w:ascii="Amiri" w:hAnsi="Amiri"/>
          <w:color w:val="111111"/>
          <w:sz w:val="28"/>
          <w:szCs w:val="28"/>
          <w:rtl w:val="true"/>
          <w:lang w:bidi="ar-SA"/>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تصيبه الجنابة وبه قروح أو جروح ، أو يخاف على نفسه من البرد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يغتسل ويتيمم </w:t>
      </w:r>
      <w:r>
        <w:rPr>
          <w:rFonts w:eastAsia="Amiri" w:cs="Amiri" w:ascii="Amiri" w:hAnsi="Amiri"/>
          <w:color w:val="111111"/>
          <w:sz w:val="28"/>
          <w:szCs w:val="28"/>
          <w:rtl w:val="true"/>
          <w:lang w:bidi="ar-SA"/>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به القرح والجراحة يجنب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w:t>
      </w:r>
    </w:p>
    <w:p>
      <w:pPr>
        <w:pStyle w:val="BookText"/>
        <w:rPr/>
      </w:pPr>
      <w:r>
        <w:rPr>
          <w:rFonts w:ascii="Amiri" w:hAnsi="Amiri" w:eastAsia="Amiri" w:cs="Amiri"/>
          <w:color w:val="111111"/>
          <w:sz w:val="28"/>
          <w:sz w:val="28"/>
          <w:szCs w:val="28"/>
          <w:rtl w:val="true"/>
          <w:lang w:bidi="ar-SA"/>
        </w:rPr>
        <w:t xml:space="preserve">لا يغتسل ، يتيمّم </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تكون به القروح في جسده فتصيبه الجنابة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يتيمم </w:t>
      </w:r>
      <w:r>
        <w:rPr>
          <w:rFonts w:eastAsia="Amiri" w:cs="Amiri" w:ascii="Amiri" w:hAnsi="Amiri"/>
          <w:color w:val="111111"/>
          <w:sz w:val="28"/>
          <w:szCs w:val="28"/>
          <w:rtl w:val="true"/>
          <w:lang w:bidi="ar-SA"/>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كانت به قروح أو علّة يخاف منها على نفسه يتيمّم </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على جواز التيمم لكلّ من كانت به قروح أو كسر أو علّة ، خرج من به جبيرة أو خرقة بما مرّ ، وأمّا الخالي عنهما فتبقى فيه مطلقات التيمّم خالية عن المعارض ، فيجوز له التيمّم ،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شي‌ء وعصبه على الموضع ، للأصل الخالي عن المعارض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يجب عليه المسح عليها ، للحسنة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يندفع ذلك الأصل بمطلقات التيمّم ، لعدم دلالتها على الزائد على مشروعيته ، لخلوّها عن الدالّ على وجوبه وحرمة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وجه عدم تعيّن التيمم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جواز الاكتفاء بغسل ما حول الموضع فقط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فلمطلقاته المتقدّمة </w:t>
      </w:r>
      <w:r>
        <w:rPr>
          <w:rStyle w:val="FootnoteAnchor"/>
          <w:rtl w:val="true"/>
        </w:rPr>
        <w:footnoteReference w:id="1108"/>
      </w:r>
      <w:r>
        <w:rPr>
          <w:rFonts w:ascii="Amiri" w:hAnsi="Amiri" w:eastAsia="Amiri" w:cs="Amiri"/>
          <w:color w:val="111111"/>
          <w:sz w:val="28"/>
          <w:sz w:val="28"/>
          <w:szCs w:val="28"/>
          <w:rtl w:val="true"/>
          <w:lang w:bidi="ar-SA"/>
        </w:rPr>
        <w:t>، فإنها شاملة بإطلاقها للمجرد عن الجبيرة والمشغول بها ، زيد في الثاني المسح على الجبيرة لأوامره ، وأما الأوّل فلا دليل على وجوب أمر آخر فيه من وضع الخرقة والمسح عليها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تنافيها أخبار التيمّم ، لعدم إثباتها الأزيد من المشروعية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تنافي أخبار غسل ما حوله أيضا أخبار التيمم ،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ما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أكثر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مفيد للوجوب فيعيّنه ويعارض مشروعية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السؤال إنّما وقع في غسله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به في غسله؟ فلا يفيد إلاّ وجوب غسل ما حولها إذا غسل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 هنا أمورا ثلاثة كلّها واردة على المورد من دون مدافعة بعضها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جواز العصب والوضع الموجب للمسح على الجبيرة بضميمة الحسنة ، ومجوّزات التيمّم ، ومطلقات غسل ما حول الموضع ، فيجوز العمل بكلّ منها فيه وهو معنى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عدم إمكان غسل الموضع لإيذاء الماء ، وإلاّ كما إذا لم يحتبس الدم ففي شمول الحسنة له محل كلام ، فينحصر الأمر بين التيمّم وغسل ما حوله ، إلاّ إذا قلنا بعدم اشتراط طهارة محل الوضوء فيتوضّأ إن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بالتخيير وإن كان موجودا ، ولكنه إمّا في المجبور مطلقا بين التيمّم والجبيرة ، أو بينه وبين غسل ما حولها ، أو في المجرد بين الأوّلين ، كما هو محتمل كلام المبسوط في مبحثي الوضوء والتيمم </w:t>
      </w:r>
      <w:r>
        <w:rPr>
          <w:rStyle w:val="FootnoteAnchor"/>
          <w:rtl w:val="true"/>
        </w:rPr>
        <w:footnoteReference w:id="1109"/>
      </w:r>
      <w:r>
        <w:rPr>
          <w:rFonts w:ascii="Amiri" w:hAnsi="Amiri" w:eastAsia="Amiri" w:cs="Amiri"/>
          <w:color w:val="111111"/>
          <w:sz w:val="28"/>
          <w:sz w:val="28"/>
          <w:szCs w:val="28"/>
          <w:rtl w:val="true"/>
          <w:lang w:bidi="ar-SA"/>
        </w:rPr>
        <w:t>، أو فيه بين الأخيرين ، فالقول بالتخيير بين الثلاثة خرق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في مثل المقام شطط من الكلام وجزاف تام ، فإنّ في كلام كثير منهم في المسألة إجمالا لا يحصل منه تمام المرام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أنّ التيمّم إنّما هو مع العجز عن المائية مطلقا دعوى بلا بيّنة ، وللمطلقات السالفة مخالفة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يشرع معه ، وقد يشرع أيضا مع العجز عن إكمال المائية ، كما قد لا يشرع معه أيضا كما في المسح على الخفين ، أو بالبلّة الجديدة ، أو في المواضع المقطوعة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 ثمَّ لو أمكن في المجرد مسح العضو من غير ضرر وإن لم يمكن غسله فهل يجب أو الحكم التخيير المتقدّم؟</w:t>
      </w:r>
    </w:p>
    <w:p>
      <w:pPr>
        <w:pStyle w:val="BookText"/>
        <w:rPr/>
      </w:pPr>
      <w:r>
        <w:rPr>
          <w:rFonts w:ascii="Amiri" w:hAnsi="Amiri" w:eastAsia="Amiri" w:cs="Amiri"/>
          <w:color w:val="111111"/>
          <w:sz w:val="28"/>
          <w:sz w:val="28"/>
          <w:szCs w:val="28"/>
          <w:rtl w:val="true"/>
          <w:lang w:bidi="ar-SA"/>
        </w:rPr>
        <w:t>الحق هو الثاني ، لعدم دليل على وجوب المسح بل ولا على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والرضوي غير دالّ عليه ، لأنّ فيه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أضرّك حلّها ، فامسح على الجبائر والقروح </w:t>
      </w:r>
      <w:r>
        <w:rPr>
          <w:rFonts w:eastAsia="Amiri" w:cs="Amiri" w:ascii="Amiri" w:hAnsi="Amiri"/>
          <w:color w:val="111111"/>
          <w:sz w:val="28"/>
          <w:szCs w:val="28"/>
          <w:rtl w:val="true"/>
          <w:lang w:bidi="ar-SA"/>
        </w:rPr>
        <w:t xml:space="preserve">» </w:t>
      </w:r>
      <w:r>
        <w:rPr>
          <w:rStyle w:val="FootnoteAnchor"/>
          <w:rtl w:val="true"/>
        </w:rPr>
        <w:footnoteReference w:id="1110"/>
      </w:r>
      <w:r>
        <w:rPr>
          <w:rFonts w:ascii="Amiri" w:hAnsi="Amiri" w:eastAsia="Amiri" w:cs="Amiri"/>
          <w:color w:val="111111"/>
          <w:sz w:val="28"/>
          <w:sz w:val="28"/>
          <w:szCs w:val="28"/>
          <w:rtl w:val="true"/>
          <w:lang w:bidi="ar-SA"/>
        </w:rPr>
        <w:t>وهو يدلّ على وجود شي‌ء ، فالمراد بالمسح على القروح المسح على 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بالأوّل </w:t>
      </w:r>
      <w:r>
        <w:rPr>
          <w:rStyle w:val="FootnoteAnchor"/>
          <w:rtl w:val="true"/>
        </w:rPr>
        <w:footnoteReference w:id="1111"/>
      </w:r>
      <w:r>
        <w:rPr>
          <w:rFonts w:ascii="Amiri" w:hAnsi="Amiri" w:eastAsia="Amiri" w:cs="Amiri"/>
          <w:color w:val="111111"/>
          <w:sz w:val="28"/>
          <w:sz w:val="28"/>
          <w:szCs w:val="28"/>
          <w:rtl w:val="true"/>
          <w:lang w:bidi="ar-SA"/>
        </w:rPr>
        <w:t xml:space="preserve">، تحصيلا للأقرب إلى الحقيقة ، ولتضمّن الغسل إيّاه ، فلا يسقط بتعذّر أصله ، ولمثل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الميسور لا يسقط بالمعسور </w:t>
      </w:r>
      <w:r>
        <w:rPr>
          <w:rFonts w:eastAsia="Amiri" w:cs="Amiri" w:ascii="Amiri" w:hAnsi="Amiri"/>
          <w:color w:val="111111"/>
          <w:sz w:val="28"/>
          <w:szCs w:val="28"/>
          <w:rtl w:val="true"/>
          <w:lang w:bidi="ar-SA"/>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وجوب تحصيل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يقال بذلك في معاني الألفاظ وهو غير المورد ، مع أنّ فيه أيضا كلاما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تضمّن الغسل إيّاه ، فإنّه قد يتحقّق بدون المسح فلا أمر بالمسح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ولكن الأمر به تبعي يفوت بفوات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الدلالة كما بيّناه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يظهر فساد التمسك بتلك الأدلّة لإيجاب المسح على الجبيرة في المجرد أيضا ، مع أنّ صدق الجبيرة الواردة في الأخبار على كلّ خرقة محل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الآفة في موضع المسح وكانت عليه جبيرة ، فأمكن نزعها ومسح الموضع ، وجب</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يمكن ، فإن أمكن تكرير الماء أو الوضع فيه فالظاهر التخيير بينه </w:t>
      </w:r>
    </w:p>
    <w:p>
      <w:pPr>
        <w:pStyle w:val="BookText"/>
        <w:rPr/>
      </w:pPr>
      <w:r>
        <w:rPr>
          <w:rFonts w:ascii="Amiri" w:hAnsi="Amiri" w:eastAsia="Amiri" w:cs="Amiri"/>
          <w:color w:val="111111"/>
          <w:sz w:val="28"/>
          <w:sz w:val="28"/>
          <w:szCs w:val="28"/>
          <w:rtl w:val="true"/>
          <w:lang w:bidi="ar-SA"/>
        </w:rPr>
        <w:t xml:space="preserve">وبين المسح على الجبيرة ، لدلالة الموثقة </w:t>
      </w:r>
      <w:r>
        <w:rPr>
          <w:rStyle w:val="FootnoteAnchor"/>
          <w:rtl w:val="true"/>
        </w:rPr>
        <w:footnoteReference w:id="1113"/>
      </w:r>
      <w:r>
        <w:rPr>
          <w:rFonts w:ascii="Amiri" w:hAnsi="Amiri" w:eastAsia="Amiri" w:cs="Amiri"/>
          <w:color w:val="111111"/>
          <w:sz w:val="28"/>
          <w:sz w:val="28"/>
          <w:szCs w:val="28"/>
          <w:rtl w:val="true"/>
          <w:lang w:bidi="ar-SA"/>
        </w:rPr>
        <w:t xml:space="preserve">على الأول ، وأخبار الجبيرة </w:t>
      </w:r>
      <w:r>
        <w:rPr>
          <w:rStyle w:val="FootnoteAnchor"/>
          <w:rtl w:val="true"/>
        </w:rPr>
        <w:footnoteReference w:id="1114"/>
      </w:r>
      <w:r>
        <w:rPr>
          <w:rFonts w:ascii="Amiri" w:hAnsi="Amiri" w:eastAsia="Amiri" w:cs="Amiri"/>
          <w:color w:val="111111"/>
          <w:sz w:val="28"/>
          <w:sz w:val="28"/>
          <w:szCs w:val="28"/>
          <w:rtl w:val="true"/>
          <w:lang w:bidi="ar-SA"/>
        </w:rPr>
        <w:t>على الثاني ، والتعارض بالعموم من وجه ، لاختصاص الأولى بما أمكن فيه التكرير والوضع ، والثانية بما لم يمكن في مواضع الغسل ، ولا ترجيح ، فالحكم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يمكن شي‌ء من الأمرين ، مسح على الجبيرة وجوبا ، لأخبارها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تكن عليه جبيرة ، فالظاهر التيمم ، لأخباره الفارغة عن المعارض في المقام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وضع شي‌ء والمسح عليه فلا دليل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حسنة الحلبي </w:t>
      </w:r>
      <w:r>
        <w:rPr>
          <w:rStyle w:val="FootnoteAnchor"/>
          <w:rtl w:val="true"/>
        </w:rPr>
        <w:footnoteReference w:id="1116"/>
      </w:r>
      <w:r>
        <w:rPr>
          <w:rFonts w:ascii="Amiri" w:hAnsi="Amiri" w:eastAsia="Amiri" w:cs="Amiri"/>
          <w:color w:val="111111"/>
          <w:sz w:val="28"/>
          <w:sz w:val="28"/>
          <w:szCs w:val="28"/>
          <w:rtl w:val="true"/>
          <w:lang w:bidi="ar-SA"/>
        </w:rPr>
        <w:t xml:space="preserve">فالظاهر من قوله في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فليغسلها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القرح في موضع الغسل ، بل يحتمله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ونحو ذلك من مواضع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 والمراد نحوه من مواضع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كانت الجبيرة أو الموضع المجرد عنها وما حولهما خالية عن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فإن كانت النجاسة مما لا جرم لها يمنع من وصول الماء ، فعلى القول بعدم ثبوت اشتراط طهارة موضع الوضوء سيما على الإطلاق الشامل للمقام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ما مرّ من غير تفاوت ، فمع الجبيرة يمسح عليها وجوبا ، وبدونها يتخيّر بين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 باشتراط طهارة موضعه حتى الجبيرة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النجاسة متعدية إلى ما حول الموضع أيضا ، 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مختصة بالجبيرة أو الموضع دون ما حوله ، يجب وضع شي‌ء طاهر على أحدهما والمسح عليه ، وادّعوا عليه الإجماع ، فإن ثبت ، وإلاّ فلا دليل على ذلك الوضع</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الاكتفاء بغسل ما حوله وبين التيمّم ، </w:t>
      </w:r>
      <w:bookmarkStart w:id="75" w:name="pg11612_110841"/>
    </w:p>
    <w:p>
      <w:pPr>
        <w:pStyle w:val="BookText"/>
        <w:rPr/>
      </w:pPr>
      <w:bookmarkEnd w:id="75"/>
      <w:r>
        <w:rPr>
          <w:rFonts w:ascii="Amiri" w:hAnsi="Amiri" w:eastAsia="Amiri" w:cs="Amiri"/>
          <w:color w:val="111111"/>
          <w:sz w:val="28"/>
          <w:sz w:val="28"/>
          <w:szCs w:val="28"/>
          <w:rtl w:val="true"/>
          <w:lang w:bidi="ar-SA"/>
        </w:rPr>
        <w:t>لخلوّهما عن المعارض ، حيث إنّ أخبار المسح على الجبيرة لا تكون شاملة للمقام حينئذ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وتحصيل الأقرب إلى الحقيقة ، والخروج عن الشبهة ، وطلب اليقين بالبراءة غير مفيدة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وجوبه أولا ، وعدم أقربيته من غسل ما حولها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فلإمكان وجوب المسح على النجس أو التيمّم ، فلا يحصل اليقين بمجرد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للنجاسة جرم لم يمكن إزالته ، فإن كانت على الجبيرة ، فالظاهر التخيير بين التيمّم وغسل ما في الحول خاصة ، لمطلقاتهما الخالية عن معارضة أخبار الجبيرة ، لعدم فائدة في المسح عليها ، وعدم دليل على وضع شي‌ء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على الجرح المجرد ، فالتخيير بينهما وبين شدّ العصابة ، لإطلاق الحسنة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كانت فيما حول الموضع فالتيمم خاصة ، لمطلقاته الخالية عن معارضة شي‌ء مما مرّ ، ووجهه ظاهر</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5524361_73709187"/>
      <w:bookmarkStart w:id="77" w:name="_Toc29"/>
      <w:bookmarkEnd w:id="76"/>
      <w:r>
        <w:rPr>
          <w:rtl w:val="true"/>
        </w:rPr>
        <w:t xml:space="preserve">فروع </w:t>
      </w:r>
      <w:r>
        <w:rPr>
          <w:rtl w:val="true"/>
        </w:rPr>
        <w:t>:</w:t>
      </w:r>
      <w:bookmarkEnd w:id="77"/>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جماعة أنّ في حكم الكسر وأخويه مرضا آخر في موضع الوضوء يضرّه الماء كورم أو وجع أو رمد أو سلعة إذا كانت عليه 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بدونها فحكموا بالتيمم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في الثاني كذلك ، لرواية الدعائم </w:t>
      </w:r>
      <w:r>
        <w:rPr>
          <w:rStyle w:val="FootnoteAnchor"/>
          <w:rtl w:val="true"/>
        </w:rPr>
        <w:footnoteReference w:id="1118"/>
      </w:r>
      <w:r>
        <w:rPr>
          <w:rFonts w:ascii="Amiri" w:hAnsi="Amiri" w:eastAsia="Amiri" w:cs="Amiri"/>
          <w:color w:val="111111"/>
          <w:sz w:val="28"/>
          <w:sz w:val="28"/>
          <w:szCs w:val="28"/>
          <w:rtl w:val="true"/>
          <w:lang w:bidi="ar-SA"/>
        </w:rPr>
        <w:t>المنجبرة في المورد ، فإنّه تثبت منها مشروعية التيمّم له ولم تثبت مشروعية غيره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الأوّل فهو مشكل ، لعدم دليل على مشروعية الجبيرة في مثله ، فإنّ </w:t>
      </w:r>
    </w:p>
    <w:p>
      <w:pPr>
        <w:pStyle w:val="BookText"/>
        <w:rPr/>
      </w:pPr>
      <w:r>
        <w:rPr>
          <w:rFonts w:ascii="Amiri" w:hAnsi="Amiri" w:eastAsia="Amiri" w:cs="Amiri"/>
          <w:color w:val="111111"/>
          <w:sz w:val="28"/>
          <w:sz w:val="28"/>
          <w:szCs w:val="28"/>
          <w:rtl w:val="true"/>
          <w:lang w:bidi="ar-SA"/>
        </w:rPr>
        <w:t>كلام كثير من الأصحاب مختص بالكسر وأخويه ، فلا يثبت منه إجماع في المورد ، وأكثر أخبار الجبيرة مخصوصة 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حسنة الوشاء </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عمّت مثل ذلك أيضا إلاّ أنّها لا تدلّ على المطلوب ، لجواز أن يكون المراد منها المسح الذي في التيمّم ، ولذا استدلّوا على المسح على الجبيرة في التيمّم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وشمول إطلاق اليد فيها لغير الكفّين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لتعيّن المسح بالماء للوضوء ، إذ لا تيمّم على غيرهما ، وبضميمة عدم الفصل يثبت فيهما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مفيد ، لجواز أن يريد الإجزاء عن الأمر الندبي بالمسح على الذراع في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كون اليد مشتركة معنوية بين الكفّين وما فوقهما محلّ كلام ، والاستعمال في الآية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عثرت فانقطع ظفري فجعلت على إصبعي مرارة فكيف أصنع بالوضوء؟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 هذا وأشباهه من كتاب اللّه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1120"/>
      </w:r>
      <w:r>
        <w:rPr>
          <w:rFonts w:ascii="Amiri" w:hAnsi="Amiri" w:eastAsia="Amiri" w:cs="Amiri"/>
          <w:color w:val="111111"/>
          <w:sz w:val="28"/>
          <w:sz w:val="28"/>
          <w:szCs w:val="28"/>
          <w:rtl w:val="true"/>
          <w:lang w:bidi="ar-SA"/>
        </w:rPr>
        <w:t xml:space="preserve">امسح عليه </w:t>
      </w:r>
      <w:r>
        <w:rPr>
          <w:rFonts w:eastAsia="Amiri" w:cs="Amiri" w:ascii="Amiri" w:hAnsi="Amiri"/>
          <w:color w:val="111111"/>
          <w:sz w:val="28"/>
          <w:szCs w:val="28"/>
          <w:rtl w:val="true"/>
          <w:lang w:bidi="ar-SA"/>
        </w:rPr>
        <w:t xml:space="preserve">» </w:t>
      </w:r>
      <w:r>
        <w:rPr>
          <w:rStyle w:val="FootnoteAnchor"/>
          <w:rtl w:val="true"/>
        </w:rPr>
        <w:footnoteReference w:id="1121"/>
      </w:r>
      <w:r>
        <w:rPr>
          <w:rFonts w:ascii="Amiri" w:hAnsi="Amiri" w:eastAsia="Amiri" w:cs="Amiri"/>
          <w:color w:val="111111"/>
          <w:sz w:val="28"/>
          <w:sz w:val="28"/>
          <w:szCs w:val="28"/>
          <w:rtl w:val="true"/>
          <w:lang w:bidi="ar-SA"/>
        </w:rPr>
        <w:t>فخارجة عن المقام ، لأنّ الظاهر أنّ انقطاع الظفر من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هناك رواية عامة أو مطلقة أخرى من أخبار الجبائر يتوهّم شمولها لما نحن فيه ، مع أنّ في صدق الجبيرة على المعصوب عليه نظرا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العذر مما يقطع معه بكون صاحبه مريضا كالمجدور ونحوه ، فحكمه التيمم ، للآية وروايات المجدور </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يقطع فيحتمل الجبيرة والتيمم ، والأحوط الجمع ، بل هو الأظهر ، لاستصحاب الاشتغال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رواية الدعائم فلا تفيد هنا ، لضعفها الخالي عن الجابر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العذر متعلّقا بموضع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كذلك كالسقيم والمبطون وخائف البرد ونحوها ، فحكمه التيمم ، لأخباره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المسح على الخرق وإن لم يتضرر به ، لعدم التوقيف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لصق بالعضو شي‌ء ولم يمكن إزالته من غير أن يكون مجروحا أو مريضا ، ففي وجوب المسح عليه إن كان طاهرا ، أو وضع شي‌ء عليه إن كان نجسا ، أو التيمّم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يرجّح الأوّل بوجوب غسل كلّ عضو ، فلا ينتفي بتعذّر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بثبوت الربط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ترجيحه في صورة الطهارة بإطلاق صحيحة محمّد ورواية عمر ابن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يحلق رأسه ثمَّ يطليه بالحناء ويتوضأ للصلاة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يمسح رأسه والحناء عليه </w:t>
      </w:r>
      <w:r>
        <w:rPr>
          <w:rFonts w:eastAsia="Amiri" w:cs="Amiri" w:ascii="Amiri" w:hAnsi="Amiri"/>
          <w:color w:val="111111"/>
          <w:sz w:val="28"/>
          <w:szCs w:val="28"/>
          <w:rtl w:val="true"/>
          <w:lang w:bidi="ar-SA"/>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يخضب رأسه بالحناء ثمَّ يبدو له في الوضوء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يمسح فوق الحناء </w:t>
      </w:r>
      <w:r>
        <w:rPr>
          <w:rFonts w:eastAsia="Amiri" w:cs="Amiri" w:ascii="Amiri" w:hAnsi="Amiri"/>
          <w:color w:val="111111"/>
          <w:sz w:val="28"/>
          <w:szCs w:val="28"/>
          <w:rtl w:val="true"/>
          <w:lang w:bidi="ar-SA"/>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وكذا مع النجاسة على القول بعدم اشتراط طهر المحل ، كما هو الأظهر ، فيمسح على ذلك الشي‌ء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 الآخر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قاعدة أصالة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 بل هو الأحوط على القول الأول أيضا ، بل في الصورة الأولى</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يشترط الجريان في المسح هنا سواء كان في موضع الغسل </w:t>
      </w:r>
    </w:p>
    <w:p>
      <w:pPr>
        <w:pStyle w:val="BookText"/>
        <w:rPr/>
      </w:pPr>
      <w:r>
        <w:rPr>
          <w:rFonts w:ascii="Amiri" w:hAnsi="Amiri" w:eastAsia="Amiri" w:cs="Amiri"/>
          <w:color w:val="111111"/>
          <w:sz w:val="28"/>
          <w:sz w:val="28"/>
          <w:szCs w:val="28"/>
          <w:rtl w:val="true"/>
          <w:lang w:bidi="ar-SA"/>
        </w:rPr>
        <w:t>أو المسح ، لصدق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عدمه ، لذلك ، حيث إنّ المسح أعمّ مما يتضمّنه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واشتراط الثاني في الثاني لوجوبه في مبدله ، كالأوّل في الأوّل ، لأنّ المأمور به أوّلا هو الغسل ومع تعذّره يتعين أقرب المجازات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نهاية الإحكام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وإن اختاره والدي في اللوامع أيضا ، لمنع الوجوب في المبدل كما مرّ </w:t>
      </w:r>
      <w:r>
        <w:rPr>
          <w:rStyle w:val="FootnoteAnchor"/>
          <w:rtl w:val="true"/>
        </w:rPr>
        <w:footnoteReference w:id="1125"/>
      </w:r>
      <w:r>
        <w:rPr>
          <w:rFonts w:ascii="Amiri" w:hAnsi="Amiri" w:eastAsia="Amiri" w:cs="Amiri"/>
          <w:color w:val="111111"/>
          <w:sz w:val="28"/>
          <w:sz w:val="28"/>
          <w:szCs w:val="28"/>
          <w:rtl w:val="true"/>
          <w:lang w:bidi="ar-SA"/>
        </w:rPr>
        <w:t>، ومنع تعيّن الأقرب في مثل تلك المواضع ، سيما مع وجود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استيعاب الجبيرة بالمسح إن كانت في موضع المسح ، وفاقا كما في اللوامع ، أو موضع الغسل كما في الذكرى وعن المبسوط </w:t>
      </w:r>
      <w:r>
        <w:rPr>
          <w:rStyle w:val="FootnoteAnchor"/>
          <w:rtl w:val="true"/>
        </w:rPr>
        <w:footnoteReference w:id="1126"/>
      </w:r>
      <w:r>
        <w:rPr>
          <w:rFonts w:ascii="Amiri" w:hAnsi="Amiri" w:eastAsia="Amiri" w:cs="Amiri"/>
          <w:color w:val="111111"/>
          <w:sz w:val="28"/>
          <w:sz w:val="28"/>
          <w:szCs w:val="28"/>
          <w:rtl w:val="true"/>
          <w:lang w:bidi="ar-SA"/>
        </w:rPr>
        <w:t xml:space="preserve">، لصدق المسح على الجبيرة إذا مسح بعضها ، ألا ترى أنّه إذا مسحت اليد على الوجه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يده على وجهه ، وإن لم يستوعب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للفاضلين </w:t>
      </w:r>
      <w:r>
        <w:rPr>
          <w:rStyle w:val="FootnoteAnchor"/>
          <w:rtl w:val="true"/>
        </w:rPr>
        <w:footnoteReference w:id="1127"/>
      </w:r>
      <w:r>
        <w:rPr>
          <w:rFonts w:ascii="Amiri" w:hAnsi="Amiri" w:eastAsia="Amiri" w:cs="Amiri"/>
          <w:color w:val="111111"/>
          <w:sz w:val="28"/>
          <w:sz w:val="28"/>
          <w:szCs w:val="28"/>
          <w:rtl w:val="true"/>
          <w:lang w:bidi="ar-SA"/>
        </w:rPr>
        <w:t xml:space="preserve">، لظهور الحسنتين </w:t>
      </w:r>
      <w:r>
        <w:rPr>
          <w:rStyle w:val="FootnoteAnchor"/>
          <w:rtl w:val="true"/>
        </w:rPr>
        <w:footnoteReference w:id="1128"/>
      </w:r>
      <w:r>
        <w:rPr>
          <w:rFonts w:ascii="Amiri" w:hAnsi="Amiri" w:eastAsia="Amiri" w:cs="Amiri"/>
          <w:color w:val="111111"/>
          <w:sz w:val="28"/>
          <w:sz w:val="28"/>
          <w:szCs w:val="28"/>
          <w:rtl w:val="true"/>
          <w:lang w:bidi="ar-SA"/>
        </w:rPr>
        <w:t>فيه ، وهو ممنوع ، ولثبوته في مبدله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هو الأحوط ، وكيف كان فلا ينبغي الريب في عدم وجوب تخليلها بالمسح إذا كانت لها خلل وفرج وثقوب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عمّت الجبيرة تمام عضو أو كلّ الأعضاء ، مسح على الجميع وسقط الغسل ، وفاقا لصريح التذكرة والمنتهى </w:t>
      </w:r>
      <w:r>
        <w:rPr>
          <w:rStyle w:val="FootnoteAnchor"/>
          <w:rtl w:val="true"/>
        </w:rPr>
        <w:footnoteReference w:id="1129"/>
      </w:r>
      <w:r>
        <w:rPr>
          <w:rFonts w:ascii="Amiri" w:hAnsi="Amiri" w:eastAsia="Amiri" w:cs="Amiri"/>
          <w:color w:val="111111"/>
          <w:sz w:val="28"/>
          <w:sz w:val="28"/>
          <w:szCs w:val="28"/>
          <w:rtl w:val="true"/>
          <w:lang w:bidi="ar-SA"/>
        </w:rPr>
        <w:t xml:space="preserve">، لإطلاق كثير من الروايات </w:t>
      </w:r>
      <w:r>
        <w:rPr>
          <w:rStyle w:val="FootnoteAnchor"/>
          <w:rtl w:val="true"/>
        </w:rPr>
        <w:footnoteReference w:id="1130"/>
      </w:r>
      <w:r>
        <w:rPr>
          <w:rFonts w:ascii="Amiri" w:hAnsi="Amiri" w:eastAsia="Amiri" w:cs="Amiri"/>
          <w:color w:val="111111"/>
          <w:sz w:val="28"/>
          <w:sz w:val="28"/>
          <w:szCs w:val="28"/>
          <w:rtl w:val="true"/>
          <w:lang w:bidi="ar-SA"/>
        </w:rPr>
        <w:t>، إلاّ أن يتضرّر به فيتيمّم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بعض من عاصرناه التأمل في استغراق الجميع أو تمام عضو أو </w:t>
      </w:r>
    </w:p>
    <w:p>
      <w:pPr>
        <w:pStyle w:val="BookText"/>
        <w:rPr/>
      </w:pPr>
      <w:r>
        <w:rPr>
          <w:rFonts w:ascii="Amiri" w:hAnsi="Amiri" w:eastAsia="Amiri" w:cs="Amiri"/>
          <w:color w:val="111111"/>
          <w:sz w:val="28"/>
          <w:sz w:val="28"/>
          <w:szCs w:val="28"/>
          <w:rtl w:val="true"/>
          <w:lang w:bidi="ar-SA"/>
        </w:rPr>
        <w:t xml:space="preserve">الأبعاض المتكثّرة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يجب حينئذ استيعاب جبيرة كلّ عضو بالمسح؟ الظاهر لا ، لما مرّ ، والأحوط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زادت الجبيرة عن محل الجرح ولم يمكن غسل ما تحت الزائد بنزع أو تكرير يمسح عليه ، لعموم ما تقدّم من الروايات ، لعدم الاستفصال ، أو الإطلاق ، سيما مع أنّ الغالب في الجبائر اشتمالها على زائد لا يمكن غسل ما تحته ، بل المساوي أو الناقص غير متحقّق أو شاذّ غير ملتفت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الجرح وما في حكمه في غير موضع الطهارة ولكن تضرّر بغسل مواضعها ، يتعيّن التيمّم ، لعموم أخباره </w:t>
      </w:r>
      <w:r>
        <w:rPr>
          <w:rStyle w:val="FootnoteAnchor"/>
          <w:rtl w:val="true"/>
        </w:rPr>
        <w:footnoteReference w:id="1132"/>
      </w:r>
      <w:r>
        <w:rPr>
          <w:rFonts w:ascii="Amiri" w:hAnsi="Amiri" w:eastAsia="Amiri" w:cs="Amiri"/>
          <w:color w:val="111111"/>
          <w:sz w:val="28"/>
          <w:sz w:val="28"/>
          <w:szCs w:val="28"/>
          <w:rtl w:val="true"/>
          <w:lang w:bidi="ar-SA"/>
        </w:rPr>
        <w:t>، وعدم شمول روايات الجبيرة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توضّأ جبيرة فهل يجب إبقاء الجبيرة حال الصلاة أم يجوز حلّها إن أمكن؟ 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 وعليه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أن يكون المسح برطوبة أو يجوز مع جفاف اليد أيضا؟ المتبادر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بل يصرّح به في رواية العياشي ، المتقدّمة </w:t>
      </w:r>
      <w:r>
        <w:rPr>
          <w:rStyle w:val="FootnoteAnchor"/>
          <w:rtl w:val="true"/>
        </w:rPr>
        <w:footnoteReference w:id="1133"/>
      </w:r>
      <w:r>
        <w:rPr>
          <w:rFonts w:ascii="Amiri" w:hAnsi="Amiri" w:eastAsia="Amiri" w:cs="Amiri"/>
          <w:color w:val="111111"/>
          <w:sz w:val="28"/>
          <w:sz w:val="28"/>
          <w:szCs w:val="28"/>
          <w:rtl w:val="true"/>
          <w:lang w:bidi="ar-SA"/>
        </w:rPr>
        <w:t>المنجبرة بظاهر 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يجب أن تكون الرطوبة من ماء الوضوء إذا كانت الجبيرة في محل المسح؟ الأحوط ذلك ، بل يستفاد تعيينه من أخبار المسح بنداوة الوضوء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 في الرضوي أنّه يجب مسح الجبيرة باليد </w:t>
      </w:r>
      <w:r>
        <w:rPr>
          <w:rStyle w:val="FootnoteAnchor"/>
          <w:rtl w:val="true"/>
        </w:rPr>
        <w:footnoteReference w:id="1135"/>
      </w:r>
      <w:r>
        <w:rPr>
          <w:rFonts w:ascii="Amiri" w:hAnsi="Amiri" w:eastAsia="Amiri" w:cs="Amiri"/>
          <w:color w:val="111111"/>
          <w:sz w:val="28"/>
          <w:sz w:val="28"/>
          <w:szCs w:val="28"/>
          <w:rtl w:val="true"/>
          <w:lang w:bidi="ar-SA"/>
        </w:rPr>
        <w:t>، فلا يجوز بعضو آخر أو بغير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عليه بناء الأصحاب ، فالرواية به منجبرة فعليه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كون الجبيرة ممسوحة ، كما هو مقتضى رواياتها ، فلا يجزي مسحها </w:t>
      </w:r>
    </w:p>
    <w:p>
      <w:pPr>
        <w:pStyle w:val="BookText"/>
        <w:rPr/>
      </w:pPr>
      <w:r>
        <w:rPr>
          <w:rFonts w:ascii="Amiri" w:hAnsi="Amiri" w:eastAsia="Amiri" w:cs="Amiri"/>
          <w:color w:val="111111"/>
          <w:sz w:val="28"/>
          <w:sz w:val="28"/>
          <w:szCs w:val="28"/>
          <w:rtl w:val="true"/>
          <w:lang w:bidi="ar-SA"/>
        </w:rPr>
        <w:t xml:space="preserve">على اليد كما قيل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والحجامة والشقوق الصغار من الجرح ، فحكمها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تجفيف الجبيرة وترقيقها ولو أمكن ، للأصل ، إلاّ أن يشدّ على فوقها شي‌ء من غير حاجة إليه فيحلّ ، للشك في صدق اسم الجبيرة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وضع شي‌ء عليها بلا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الجبيرة على المرفق أو أعلى الوجه ، يبدأ بها فيمسحها أوّلا ، ثمَّ يغسل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ما صلّى بالوضوء جبيرة وإن بقي وقتها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يعيد وضوءه لو زال العذر أم لا؟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ولو كان قبل الصلاة ، لاستصحاب الوضوء ، وأخبار حصر الناقض ، والنهي عن التوضّؤ إلاّ مع اليقين بالحدث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زال العذر قبل تمام الوضوء بعد الجبيرة في عضو 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زال قبل تمام العضو الذي فيه الجبيرة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في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له الوضوء أو يستحب إنّما يجب أو 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التجديد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المكلّف محدثا ، وإلاّ يكفي وضوؤه الذي عليه لتلك الأمور كلاّ ، ولا يحتاج إلى وضوء آخر ولو كان وضوؤه ندبيا وأراد فعل الواجب المشروط به ، بالإجماع المحقّق والمنقول </w:t>
      </w:r>
      <w:r>
        <w:rPr>
          <w:rStyle w:val="FootnoteAnchor"/>
          <w:rtl w:val="true"/>
        </w:rPr>
        <w:footnoteReference w:id="1138"/>
      </w:r>
      <w:r>
        <w:rPr>
          <w:rFonts w:ascii="Amiri" w:hAnsi="Amiri" w:eastAsia="Amiri" w:cs="Amiri"/>
          <w:color w:val="111111"/>
          <w:sz w:val="28"/>
          <w:sz w:val="28"/>
          <w:szCs w:val="28"/>
          <w:rtl w:val="true"/>
          <w:lang w:bidi="ar-SA"/>
        </w:rPr>
        <w:t>، وهو الحجة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موثّقة ابن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أن تحدث وضوءا حتى تستيقن أنّك قد أحدثت </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والمروي في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المرء إذا توضّأ صلّى بوضوئه ذلك ما شاء من الصلوات ما لم يحدث أو ينم أو يجامع أو يكون منه ما يجب منه إعادة الوضوء </w:t>
      </w:r>
      <w:r>
        <w:rPr>
          <w:rFonts w:eastAsia="Amiri" w:cs="Amiri" w:ascii="Amiri" w:hAnsi="Amiri"/>
          <w:color w:val="111111"/>
          <w:sz w:val="28"/>
          <w:szCs w:val="28"/>
          <w:rtl w:val="true"/>
          <w:lang w:bidi="ar-SA"/>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في أنّ من كان على وضوء لا يجب عليه الوضوء للمغرب </w:t>
      </w:r>
      <w:r>
        <w:rPr>
          <w:rStyle w:val="FootnoteAnchor"/>
          <w:rtl w:val="true"/>
        </w:rPr>
        <w:footnoteReference w:id="1141"/>
      </w:r>
      <w:r>
        <w:rPr>
          <w:rFonts w:ascii="Amiri" w:hAnsi="Amiri" w:eastAsia="Amiri" w:cs="Amiri"/>
          <w:color w:val="111111"/>
          <w:sz w:val="28"/>
          <w:sz w:val="28"/>
          <w:szCs w:val="28"/>
          <w:rtl w:val="true"/>
          <w:lang w:bidi="ar-SA"/>
        </w:rPr>
        <w:t xml:space="preserve">، وفي أنّ من تيقّن الطهارة وشك في الحدث لا يتوضّأ </w:t>
      </w:r>
      <w:r>
        <w:rPr>
          <w:rStyle w:val="FootnoteAnchor"/>
          <w:rtl w:val="true"/>
        </w:rPr>
        <w:footnoteReference w:id="1142"/>
      </w:r>
      <w:r>
        <w:rPr>
          <w:rFonts w:ascii="Amiri" w:hAnsi="Amiri" w:eastAsia="Amiri" w:cs="Amiri"/>
          <w:color w:val="111111"/>
          <w:sz w:val="28"/>
          <w:sz w:val="28"/>
          <w:szCs w:val="28"/>
          <w:rtl w:val="true"/>
          <w:lang w:bidi="ar-SA"/>
        </w:rPr>
        <w:t xml:space="preserve">، وما دلّ على أنّ الوضوء لا ينقضه إلاّ حدث كصحيحة الأشعري </w:t>
      </w:r>
      <w:r>
        <w:rPr>
          <w:rStyle w:val="FootnoteAnchor"/>
          <w:rtl w:val="true"/>
        </w:rPr>
        <w:footnoteReference w:id="1143"/>
      </w:r>
      <w:r>
        <w:rPr>
          <w:rFonts w:ascii="Amiri" w:hAnsi="Amiri" w:eastAsia="Amiri" w:cs="Amiri"/>
          <w:color w:val="111111"/>
          <w:sz w:val="28"/>
          <w:sz w:val="28"/>
          <w:szCs w:val="28"/>
          <w:rtl w:val="true"/>
          <w:lang w:bidi="ar-SA"/>
        </w:rPr>
        <w:t xml:space="preserve">وغيرها مما مرّ في بحث النواقض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أيضا أنّه لم يثبت من أدلّة وجوب الوضوء أو استحبابه لغايات إلاّ مطلوبية كون المكلّف عندها مع الوضوء ، الذي هو غسل الوجه واليدين ومسح الرأس والرجلين ، غاية ما في الباب ثبوت قصد الامتثال أيضا ، فإذا حصل ذلك يحصل المطلوب ، ولم يثبت اعتبار قصد الغاية أو تجديد الوضوء عند الغاية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ويؤكّده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الكافي في الصحيح من أنّه أمر اللّه سبحانه ، النبيّ صلی اللّه عليه وآله ليلة المعراج بالوضوء ثمَّ بالصلاة </w:t>
      </w:r>
      <w:r>
        <w:rPr>
          <w:rStyle w:val="FootnoteAnchor"/>
          <w:rtl w:val="true"/>
        </w:rPr>
        <w:footnoteReference w:id="1145"/>
      </w:r>
      <w:r>
        <w:rPr>
          <w:rFonts w:ascii="Amiri" w:hAnsi="Amiri" w:eastAsia="Amiri" w:cs="Amiri"/>
          <w:color w:val="111111"/>
          <w:sz w:val="28"/>
          <w:sz w:val="28"/>
          <w:szCs w:val="28"/>
          <w:rtl w:val="true"/>
          <w:lang w:bidi="ar-SA"/>
        </w:rPr>
        <w:t>وعلّمه بالتفصيل ، ولم يأمر أوّلا بالوضوء للصلاة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w:t>
      </w:r>
      <w:r>
        <w:rPr>
          <w:rFonts w:eastAsia="Amiri" w:cs="Amiri" w:ascii="Amiri" w:hAnsi="Amiri"/>
          <w:color w:val="111111"/>
          <w:sz w:val="28"/>
          <w:szCs w:val="28"/>
          <w:rtl w:val="true"/>
          <w:lang w:bidi="ar-SA"/>
        </w:rPr>
        <w:t xml:space="preserve">) </w:t>
      </w:r>
      <w:r>
        <w:rPr>
          <w:rStyle w:val="FootnoteAnchor"/>
          <w:rtl w:val="true"/>
        </w:rPr>
        <w:footnoteReference w:id="1146"/>
      </w:r>
      <w:r>
        <w:rPr>
          <w:rFonts w:ascii="Amiri" w:hAnsi="Amiri" w:eastAsia="Amiri" w:cs="Amiri"/>
          <w:color w:val="111111"/>
          <w:sz w:val="28"/>
          <w:sz w:val="28"/>
          <w:szCs w:val="28"/>
          <w:rtl w:val="true"/>
          <w:lang w:bidi="ar-SA"/>
        </w:rPr>
        <w:t xml:space="preserve">فالمتبادر منه أنّه إن لم يكن متطهرا ،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 الأسد فخذ سلاحك ، يعني إذا لم تكن مسلّحا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الآية مفسّرة في الصحيح بالقيام من النوم </w:t>
      </w:r>
      <w:r>
        <w:rPr>
          <w:rStyle w:val="FootnoteAnchor"/>
          <w:rtl w:val="true"/>
        </w:rPr>
        <w:footnoteReference w:id="1147"/>
      </w:r>
      <w:r>
        <w:rPr>
          <w:rFonts w:ascii="IRNazanin" w:hAnsi="IRNazanin" w:eastAsia="IRNazanin"/>
          <w:color w:val="111111"/>
          <w:sz w:val="28"/>
          <w:sz w:val="28"/>
          <w:szCs w:val="28"/>
          <w:rtl w:val="true"/>
          <w:lang w:bidi="fa-IR"/>
        </w:rPr>
        <w:t xml:space="preserve">، مع أنّه على فرض شمولها </w:t>
      </w:r>
    </w:p>
    <w:p>
      <w:pPr>
        <w:pStyle w:val="BookText"/>
        <w:rPr/>
      </w:pPr>
      <w:r>
        <w:rPr>
          <w:rFonts w:ascii="Amiri" w:hAnsi="Amiri" w:eastAsia="Amiri" w:cs="Amiri"/>
          <w:color w:val="111111"/>
          <w:sz w:val="28"/>
          <w:sz w:val="28"/>
          <w:szCs w:val="28"/>
          <w:rtl w:val="true"/>
          <w:lang w:bidi="ar-SA"/>
        </w:rPr>
        <w:t>للجميع فتخصيصها بمثل موثّقة ابن بكير وسائر ما مرّ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الحال في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تطهّر ثمَّ آوى إلى فراشه </w:t>
      </w:r>
      <w:r>
        <w:rPr>
          <w:rFonts w:eastAsia="Amiri" w:cs="Amiri" w:ascii="Amiri" w:hAnsi="Amiri"/>
          <w:color w:val="111111"/>
          <w:sz w:val="28"/>
          <w:szCs w:val="28"/>
          <w:rtl w:val="true"/>
          <w:lang w:bidi="ar-SA"/>
        </w:rPr>
        <w:t xml:space="preserve">» </w:t>
      </w:r>
      <w:r>
        <w:rPr>
          <w:rStyle w:val="FootnoteAnchor"/>
          <w:rtl w:val="true"/>
        </w:rPr>
        <w:footnoteReference w:id="1148"/>
      </w:r>
      <w:r>
        <w:rPr>
          <w:rFonts w:ascii="Amiri" w:hAnsi="Amiri" w:eastAsia="Amiri" w:cs="Amiri"/>
          <w:color w:val="111111"/>
          <w:sz w:val="28"/>
          <w:sz w:val="28"/>
          <w:szCs w:val="28"/>
          <w:rtl w:val="true"/>
          <w:lang w:bidi="ar-SA"/>
        </w:rPr>
        <w:t xml:space="preserve">سيما مع معارضته بمثل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تدخل على الزوجة إلاّ متوضّئا </w:t>
      </w:r>
      <w:r>
        <w:rPr>
          <w:rFonts w:eastAsia="Amiri" w:cs="Amiri" w:ascii="Amiri" w:hAnsi="Amiri"/>
          <w:color w:val="111111"/>
          <w:sz w:val="28"/>
          <w:szCs w:val="28"/>
          <w:rtl w:val="true"/>
          <w:lang w:bidi="ar-SA"/>
        </w:rPr>
        <w:t xml:space="preserve">» </w:t>
      </w:r>
      <w:r>
        <w:rPr>
          <w:rStyle w:val="FootnoteAnchor"/>
          <w:rtl w:val="true"/>
        </w:rPr>
        <w:footnoteReference w:id="114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لقارئ القرآن متطهّرا خمس وعشرون حسنة </w:t>
      </w:r>
      <w:r>
        <w:rPr>
          <w:rFonts w:eastAsia="Amiri" w:cs="Amiri" w:ascii="Amiri" w:hAnsi="Amiri"/>
          <w:color w:val="111111"/>
          <w:sz w:val="28"/>
          <w:szCs w:val="28"/>
          <w:rtl w:val="true"/>
          <w:lang w:bidi="ar-SA"/>
        </w:rPr>
        <w:t xml:space="preserve">» </w:t>
      </w:r>
      <w:r>
        <w:rPr>
          <w:rStyle w:val="FootnoteAnchor"/>
          <w:rtl w:val="true"/>
        </w:rPr>
        <w:footnoteReference w:id="1150"/>
      </w:r>
      <w:r>
        <w:rPr>
          <w:rFonts w:ascii="Amiri" w:hAnsi="Amiri" w:eastAsia="Amiri" w:cs="Amiri"/>
          <w:color w:val="111111"/>
          <w:sz w:val="28"/>
          <w:sz w:val="28"/>
          <w:szCs w:val="28"/>
          <w:rtl w:val="true"/>
          <w:lang w:bidi="ar-SA"/>
        </w:rPr>
        <w:t>ونحوها ، بضميمة عدم الفصل بين 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الوضوء المجامع للحدث الأكبر كوضوء المحتلم للجماع والحائض لا يعبأ به لغاياته بعد الطهارة من الحيض والجنابة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ويتفرع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وضوء واحد لجميع غاياته ، كما مرّ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للمحدث مسّ كتابة القرآن ، وفاقا للخلاف ، والتهذيب ، والصدوق </w:t>
      </w:r>
      <w:r>
        <w:rPr>
          <w:rStyle w:val="FootnoteAnchor"/>
          <w:rtl w:val="true"/>
        </w:rPr>
        <w:footnoteReference w:id="1152"/>
      </w:r>
      <w:r>
        <w:rPr>
          <w:rFonts w:ascii="Amiri" w:hAnsi="Amiri" w:eastAsia="Amiri" w:cs="Amiri"/>
          <w:color w:val="111111"/>
          <w:sz w:val="28"/>
          <w:sz w:val="28"/>
          <w:szCs w:val="28"/>
          <w:rtl w:val="true"/>
          <w:lang w:bidi="ar-SA"/>
        </w:rPr>
        <w:t xml:space="preserve">، وعن الكليني </w:t>
      </w:r>
      <w:r>
        <w:rPr>
          <w:rStyle w:val="FootnoteAnchor"/>
          <w:rtl w:val="true"/>
        </w:rPr>
        <w:footnoteReference w:id="1153"/>
      </w:r>
      <w:r>
        <w:rPr>
          <w:rFonts w:ascii="Amiri" w:hAnsi="Amiri" w:eastAsia="Amiri" w:cs="Amiri"/>
          <w:color w:val="111111"/>
          <w:sz w:val="28"/>
          <w:sz w:val="28"/>
          <w:szCs w:val="28"/>
          <w:rtl w:val="true"/>
          <w:lang w:bidi="ar-SA"/>
        </w:rPr>
        <w:t xml:space="preserve">، والحلبي ، وأحكام الراوندي ، وابن سعيد </w:t>
      </w:r>
      <w:r>
        <w:rPr>
          <w:rStyle w:val="FootnoteAnchor"/>
          <w:rtl w:val="true"/>
        </w:rPr>
        <w:footnoteReference w:id="1154"/>
      </w:r>
      <w:r>
        <w:rPr>
          <w:rFonts w:ascii="Amiri" w:hAnsi="Amiri" w:eastAsia="Amiri" w:cs="Amiri"/>
          <w:color w:val="111111"/>
          <w:sz w:val="28"/>
          <w:sz w:val="28"/>
          <w:szCs w:val="28"/>
          <w:rtl w:val="true"/>
          <w:lang w:bidi="ar-SA"/>
        </w:rPr>
        <w:t xml:space="preserve">، والفاضلين </w:t>
      </w:r>
      <w:r>
        <w:rPr>
          <w:rStyle w:val="FootnoteAnchor"/>
          <w:rtl w:val="true"/>
        </w:rPr>
        <w:footnoteReference w:id="1155"/>
      </w:r>
      <w:r>
        <w:rPr>
          <w:rFonts w:ascii="IRNazanin" w:hAnsi="IRNazanin" w:eastAsia="IRNazanin"/>
          <w:color w:val="111111"/>
          <w:sz w:val="28"/>
          <w:sz w:val="28"/>
          <w:szCs w:val="28"/>
          <w:rtl w:val="true"/>
          <w:lang w:bidi="fa-IR"/>
        </w:rPr>
        <w:t xml:space="preserve">، ومحتمل المبسوط </w:t>
      </w:r>
      <w:r>
        <w:rPr>
          <w:rStyle w:val="FootnoteAnchor"/>
          <w:rtl w:val="true"/>
        </w:rPr>
        <w:footnoteReference w:id="1156"/>
      </w:r>
      <w:r>
        <w:rPr>
          <w:rFonts w:ascii="IRNazanin" w:hAnsi="IRNazanin" w:eastAsia="IRNazanin"/>
          <w:color w:val="111111"/>
          <w:sz w:val="28"/>
          <w:sz w:val="28"/>
          <w:szCs w:val="28"/>
          <w:rtl w:val="true"/>
          <w:lang w:bidi="fa-IR"/>
        </w:rPr>
        <w:t>، ومعظم من تأخّر عنهم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للمروي عن الباقر عليه السلام في مجمع البيان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للجنب ، والحائض ، والمحدث ، مس المصحف </w:t>
      </w:r>
      <w:r>
        <w:rPr>
          <w:rFonts w:eastAsia="Amiri" w:cs="Amiri" w:ascii="Amiri" w:hAnsi="Amiri"/>
          <w:color w:val="111111"/>
          <w:sz w:val="28"/>
          <w:szCs w:val="28"/>
          <w:rtl w:val="true"/>
          <w:lang w:bidi="ar-SA"/>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وضعفه منجبر بالشهرة المحقّقة والمحكية مستفيضة </w:t>
      </w:r>
      <w:r>
        <w:rPr>
          <w:rStyle w:val="FootnoteAnchor"/>
          <w:rtl w:val="true"/>
        </w:rPr>
        <w:footnoteReference w:id="1158"/>
      </w:r>
      <w:r>
        <w:rPr>
          <w:rFonts w:ascii="Amiri" w:hAnsi="Amiri" w:eastAsia="Amiri" w:cs="Amiri"/>
          <w:color w:val="111111"/>
          <w:sz w:val="28"/>
          <w:sz w:val="28"/>
          <w:szCs w:val="28"/>
          <w:rtl w:val="true"/>
          <w:lang w:bidi="ar-SA"/>
        </w:rPr>
        <w:t xml:space="preserve">، بل بالإجماع المصرّح به في الخلاف وعن ظاهر التبيان ومجمع البيان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والاستدلال بقوله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w:t>
      </w:r>
      <w:r>
        <w:rPr>
          <w:rFonts w:eastAsia="Amiri" w:cs="Amiri" w:ascii="Amiri" w:hAnsi="Amiri"/>
          <w:color w:val="111111"/>
          <w:sz w:val="28"/>
          <w:szCs w:val="28"/>
          <w:rtl w:val="true"/>
          <w:lang w:bidi="ar-SA"/>
        </w:rPr>
        <w:t xml:space="preserve">) </w:t>
      </w:r>
      <w:r>
        <w:rPr>
          <w:rStyle w:val="FootnoteAnchor"/>
          <w:rtl w:val="true"/>
        </w:rPr>
        <w:footnoteReference w:id="1160"/>
      </w:r>
      <w:r>
        <w:rPr>
          <w:rFonts w:ascii="Amiri" w:hAnsi="Amiri" w:eastAsia="Amiri" w:cs="Amiri"/>
          <w:color w:val="111111"/>
          <w:sz w:val="28"/>
          <w:sz w:val="28"/>
          <w:szCs w:val="28"/>
          <w:rtl w:val="true"/>
          <w:lang w:bidi="ar-SA"/>
        </w:rPr>
        <w:t xml:space="preserve">ضعيف لا لاحتمال رجوع الضمير إلى الكتاب المكنون بل هو أقرب للأقربية ، أو لعدم ثبوت الحقيقة الشرعية في الطهارة ، إمّا مطلقا أو عند نزول الآية ، لأنّهما وإن كانا كذلك إلاّ أنّ المستفاد من روايات الأئمة إرادة القرآن والطهارة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ابن عبد الحميد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المصحف لا تمسّه على غير طهر ولا جنبا ، ولا تمسّ خطه ، ولا تعلّقه ، 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المجمع عن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الأحداث والخباثات </w:t>
      </w:r>
      <w:r>
        <w:rPr>
          <w:rFonts w:eastAsia="Amiri" w:cs="Amiri" w:ascii="Amiri" w:hAnsi="Amiri"/>
          <w:color w:val="111111"/>
          <w:sz w:val="28"/>
          <w:szCs w:val="28"/>
          <w:rtl w:val="true"/>
          <w:lang w:bidi="ar-SA"/>
        </w:rPr>
        <w:t xml:space="preserve">»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منجبر بدعوى الإجماع عليه في المجمع ، وباشتهاره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لعدم ثبوت دلالة الجملة الخبرية على الوجوب ، كما بيّنّا في موضعه ، وصرّح به جماعة منهم الأردبيلي ، وفي المدارك والبحار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عدم دلالة خبر ابن عبد الحميد ، لجواز 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وقوع النهي فيه عن التعليق أيضا ، وهو ليس حراما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اتّحاد السياق يشعر بعدم إرادة الوجوب في المس أيضا ، وتخصيصه بالتعليق المستلزم </w:t>
      </w:r>
    </w:p>
    <w:p>
      <w:pPr>
        <w:pStyle w:val="BookText"/>
        <w:rPr/>
      </w:pPr>
      <w:r>
        <w:rPr>
          <w:rFonts w:ascii="Amiri" w:hAnsi="Amiri" w:eastAsia="Amiri" w:cs="Amiri"/>
          <w:color w:val="111111"/>
          <w:sz w:val="28"/>
          <w:sz w:val="28"/>
          <w:szCs w:val="28"/>
          <w:rtl w:val="true"/>
          <w:lang w:bidi="ar-SA"/>
        </w:rPr>
        <w:t>لمباشرة الجسد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 نهي الجنب أيضا ، حيث إنّه محرّم إجماعا ، فيتعارض السياقان ويبقى ظهور التحريم باقيا بحاله ، إذ حرمة مسّ الجنب لا تدلّ على إرادتها هنا أيضا ، فلعلّه أريد مطلق رجحان الترك المتحقق مع كلّ من الكراهة والتحريم ، مع أنّ الإجماع في الجنب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يظهر الحال في سائر الأخبار الواردة في هذا المضمار </w:t>
      </w:r>
      <w:r>
        <w:rPr>
          <w:rStyle w:val="FootnoteAnchor"/>
          <w:rtl w:val="true"/>
        </w:rPr>
        <w:footnoteReference w:id="1164"/>
      </w:r>
      <w:r>
        <w:rPr>
          <w:rFonts w:ascii="Amiri" w:hAnsi="Amiri" w:eastAsia="Amiri" w:cs="Amiri"/>
          <w:color w:val="111111"/>
          <w:sz w:val="28"/>
          <w:sz w:val="28"/>
          <w:szCs w:val="28"/>
          <w:rtl w:val="true"/>
          <w:lang w:bidi="ar-SA"/>
        </w:rPr>
        <w:t>، فإنّها بين المشتملة على الجملة الخبرية والمحتملة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يحلّ له أن يكتب القرآن في الألواح والصحيفة وهو على غير وضوء؟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165"/>
      </w:r>
      <w:r>
        <w:rPr>
          <w:rFonts w:ascii="Amiri" w:hAnsi="Amiri" w:eastAsia="Amiri" w:cs="Amiri"/>
          <w:color w:val="111111"/>
          <w:sz w:val="28"/>
          <w:sz w:val="28"/>
          <w:szCs w:val="28"/>
          <w:rtl w:val="true"/>
          <w:lang w:bidi="ar-SA"/>
        </w:rPr>
        <w:t xml:space="preserve">فإخراجها عن ظاهرها لازم ، لمخالفته للإجماع ، ومعارضته لحسنة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التعويذ يعلّق على الحائض؟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تقرؤه وتكتبه ولا تصيبه يدها </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وحملها على مس الكتابة ليس بأولى من الحمل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بدلالتها على حرمة مسّ الكتابة من باب المقدّمة ، لعدم انفكاك الكتابة عنه غالبا ، فلا يضرّ انتفاؤه عن ذي المقدمة ، فاسد جدّا ، لانتفاء التابع بانتفاء المتبوع ، مع أنّ عدم الانفكاك في الغالب ، ممنوع</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وخلافا للحلّي ، والمدارك </w:t>
      </w:r>
      <w:r>
        <w:rPr>
          <w:rStyle w:val="FootnoteAnchor"/>
          <w:rtl w:val="true"/>
        </w:rPr>
        <w:footnoteReference w:id="1167"/>
      </w:r>
      <w:r>
        <w:rPr>
          <w:rFonts w:ascii="IRNazanin" w:hAnsi="IRNazanin" w:eastAsia="IRNazanin"/>
          <w:color w:val="111111"/>
          <w:sz w:val="28"/>
          <w:sz w:val="28"/>
          <w:szCs w:val="28"/>
          <w:rtl w:val="true"/>
          <w:lang w:bidi="fa-IR"/>
        </w:rPr>
        <w:t xml:space="preserve">، وغرر المجامع ، ومحتمل المبسوط </w:t>
      </w:r>
      <w:r>
        <w:rPr>
          <w:rStyle w:val="FootnoteAnchor"/>
          <w:rtl w:val="true"/>
        </w:rPr>
        <w:footnoteReference w:id="1168"/>
      </w:r>
      <w:r>
        <w:rPr>
          <w:rFonts w:ascii="Amiri" w:hAnsi="Amiri" w:eastAsia="Amiri" w:cs="Amiri"/>
          <w:color w:val="111111"/>
          <w:sz w:val="28"/>
          <w:sz w:val="28"/>
          <w:szCs w:val="28"/>
          <w:rtl w:val="true"/>
          <w:lang w:bidi="ar-SA"/>
        </w:rPr>
        <w:t xml:space="preserve">، وعن القاضي </w:t>
      </w:r>
      <w:r>
        <w:rPr>
          <w:rStyle w:val="FootnoteAnchor"/>
          <w:rtl w:val="true"/>
        </w:rPr>
        <w:footnoteReference w:id="1169"/>
      </w:r>
      <w:r>
        <w:rPr>
          <w:rFonts w:ascii="Amiri" w:hAnsi="Amiri" w:eastAsia="Amiri" w:cs="Amiri"/>
          <w:color w:val="111111"/>
          <w:sz w:val="28"/>
          <w:sz w:val="28"/>
          <w:szCs w:val="28"/>
          <w:rtl w:val="true"/>
          <w:lang w:bidi="ar-SA"/>
        </w:rPr>
        <w:t>، للأصل ، وضعف الروايات من حيث السند والدلالة ، كالآية من حيث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ظاهر مما مرّ</w:t>
      </w:r>
      <w:r>
        <w:rPr>
          <w:rFonts w:eastAsia="Amiri" w:cs="Amiri" w:ascii="Amiri" w:hAnsi="Amiri"/>
          <w:color w:val="111111"/>
          <w:sz w:val="28"/>
          <w:szCs w:val="28"/>
          <w:rtl w:val="true"/>
          <w:lang w:bidi="ar-SA"/>
        </w:rPr>
        <w:t xml:space="preserve">. </w:t>
      </w:r>
      <w:bookmarkStart w:id="78" w:name="pg11612_110851"/>
    </w:p>
    <w:p>
      <w:pPr>
        <w:pStyle w:val="Heading4"/>
        <w:numPr>
          <w:ilvl w:val="3"/>
          <w:numId w:val="1"/>
        </w:numPr>
        <w:rPr/>
      </w:pPr>
      <w:bookmarkStart w:id="79" w:name="__RefHeading___Toc5524363_73709187"/>
      <w:bookmarkStart w:id="80" w:name="_Toc30"/>
      <w:bookmarkEnd w:id="78"/>
      <w:bookmarkEnd w:id="79"/>
      <w:r>
        <w:rPr>
          <w:rtl w:val="true"/>
        </w:rPr>
        <w:t xml:space="preserve">فروع </w:t>
      </w:r>
      <w:r>
        <w:rPr>
          <w:rtl w:val="true"/>
        </w:rPr>
        <w:t>:</w:t>
      </w:r>
      <w:bookmarkEnd w:id="80"/>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مختص بالمكلّف ، فلا يحرم على الصبي والمجنون وفاقا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وجوب منعهما على الولي قولان ،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بالوجوب </w:t>
      </w:r>
      <w:r>
        <w:rPr>
          <w:rStyle w:val="FootnoteAnchor"/>
          <w:rtl w:val="true"/>
        </w:rPr>
        <w:footnoteReference w:id="1170"/>
      </w:r>
      <w:r>
        <w:rPr>
          <w:rFonts w:ascii="Amiri" w:hAnsi="Amiri" w:eastAsia="Amiri" w:cs="Amiri"/>
          <w:color w:val="111111"/>
          <w:sz w:val="28"/>
          <w:sz w:val="28"/>
          <w:szCs w:val="28"/>
          <w:rtl w:val="true"/>
          <w:lang w:bidi="ar-SA"/>
        </w:rPr>
        <w:t>، ولا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استحباب منعه على الولي تمرينا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تحريم في مسّ غير القرآن من الكتب المنسوخة ، والتفسير ، والحديث ، وأسماء الحجج ، ولا ما نسخ تلاوته من القرآن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نسخ حكمه دون تلاوته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تحريم في مس الورق ، والحمل ، والتعليق ، للأصل ، والإجماع ، ومرسلة حريز الصحيحة عن حماد المجمع على تصحيح ما يصح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تمسّ الكتاب ومسّ الورق </w:t>
      </w:r>
      <w:r>
        <w:rPr>
          <w:rFonts w:eastAsia="Amiri" w:cs="Amiri" w:ascii="Amiri" w:hAnsi="Amiri"/>
          <w:color w:val="111111"/>
          <w:sz w:val="28"/>
          <w:szCs w:val="28"/>
          <w:rtl w:val="true"/>
          <w:lang w:bidi="ar-SA"/>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يظهر اختصاص المصحف المنهي عن مسّه بالخط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يكره التعليق ، لخبر ابن عبد الحميد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كتابة المصحف يتحقّق بمسّ جزء منه ولو قليلا ، فيحزم مسّ كلّ آية منها وأبعاضها ولو كلمة ، بل ولو حرفا ، ولو مثل المدّ والتشديد ، وفاقا للأكثر كما في اللوامع ، لصدق مس المصحف</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التعدّي إلى الأعراب نظر ، والشهرة المحقّقة أو المحكية الجابرة في مثله غير معلومة ، بل صدق الكتابة والخط عليه مشكوك فيه ، ويؤكّده خلوّ المصاحف </w:t>
      </w:r>
    </w:p>
    <w:p>
      <w:pPr>
        <w:pStyle w:val="BookText"/>
        <w:rPr/>
      </w:pPr>
      <w:r>
        <w:rPr>
          <w:rFonts w:ascii="Amiri" w:hAnsi="Amiri" w:eastAsia="Amiri" w:cs="Amiri"/>
          <w:color w:val="111111"/>
          <w:sz w:val="28"/>
          <w:sz w:val="28"/>
          <w:szCs w:val="28"/>
          <w:rtl w:val="true"/>
          <w:lang w:bidi="ar-SA"/>
        </w:rPr>
        <w:t>السابقة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يشترط التحريم بكون الممسوس مكتوبا في المصحف ، أو يحرم مسّها ولو في غيره؟ الأحوط بل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وفاقا للأكثر كما في اللوامع ، لتنقيح المناط ، ولتحريم مسّها بالاستصحاب لو فصلت آية أو كلمة من المصحف ، ويسري إلى غير المفصول بعدم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تغيّر الموضوع خطأ ، لأنّ المفصول مصحف ، ولو شك فيه فتستصحب المصحفية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الجواب لو عورض استصحاب الحرمة باستصحاب حال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للذكرى </w:t>
      </w:r>
      <w:r>
        <w:rPr>
          <w:rStyle w:val="FootnoteAnchor"/>
          <w:rtl w:val="true"/>
        </w:rPr>
        <w:footnoteReference w:id="1173"/>
      </w:r>
      <w:r>
        <w:rPr>
          <w:rFonts w:ascii="Amiri" w:hAnsi="Amiri" w:eastAsia="Amiri" w:cs="Amiri"/>
          <w:color w:val="111111"/>
          <w:sz w:val="28"/>
          <w:sz w:val="28"/>
          <w:szCs w:val="28"/>
          <w:rtl w:val="true"/>
          <w:lang w:bidi="ar-SA"/>
        </w:rPr>
        <w:t xml:space="preserve">في الثانية في الدراهم ، للزوم الحرج ، وهو ممنوع ، وخبر ابن مسلم </w:t>
      </w:r>
      <w:r>
        <w:rPr>
          <w:rStyle w:val="FootnoteAnchor"/>
          <w:rtl w:val="true"/>
        </w:rPr>
        <w:footnoteReference w:id="1174"/>
      </w:r>
      <w:r>
        <w:rPr>
          <w:rFonts w:ascii="Amiri" w:hAnsi="Amiri" w:eastAsia="Amiri" w:cs="Amiri"/>
          <w:color w:val="111111"/>
          <w:sz w:val="28"/>
          <w:sz w:val="28"/>
          <w:szCs w:val="28"/>
          <w:rtl w:val="true"/>
          <w:lang w:bidi="ar-SA"/>
        </w:rPr>
        <w:t>، وهو غير 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يشترط في المكتوب في غير المصحف عدم احتمال كونه غير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احتمله لا يحرم ولو رقم بنية القرآن ، للأصل ، والشك في الصدق ، واحتمال مدخلية الامتياز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فصل غير الممتاز عن المصحف ، فبقاء الحرمة للاستصحاب محتمل بل راجح ، ولا يسري إلى غيره ، لعدم ثبوت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اختصاص التحريم بالكتابة المتعارفة ، فلا يحرم مسّ ما كتب مقلوبا ، أو محكوكا ، أو غير ظاهر ، وإن ظهر بعد عمل كمقابلة النار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الكتابة المجسّمة إشكال ، والاجتناب أحوط</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يختص التحريم بخط دون خط ، فيحرم مسّ المصحف المكتوب بالخط الهندي ، والكوفي ، والعجمي ، من الخطوط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التعدّي إلى الخطوط </w:t>
      </w:r>
    </w:p>
    <w:p>
      <w:pPr>
        <w:pStyle w:val="BookText"/>
        <w:rPr/>
      </w:pPr>
      <w:r>
        <w:rPr>
          <w:rFonts w:ascii="Amiri" w:hAnsi="Amiri" w:eastAsia="Amiri" w:cs="Amiri"/>
          <w:color w:val="111111"/>
          <w:sz w:val="28"/>
          <w:sz w:val="28"/>
          <w:szCs w:val="28"/>
          <w:rtl w:val="true"/>
          <w:lang w:bidi="ar-SA"/>
        </w:rPr>
        <w:t>المجعولة والمقطعة نظر ، والشهرة الجابرة غير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تجوز كتابته على جسد المحدث؟ الظاهر نعم ، لعدم صدق المس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تجوز كتابة المحدث له بالإصبع ، لأن ما كتب لا يمسّ ، وما لم يكتب بعد ليس بمصحف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التحريم بالمسّ بالكف ولا بما تحلّه الحياة خاصة ، بل يحرم المسّ بجزء من البدن مطلقا ولو بالظفر والسن ، لصدق المسّ المحرّم بالخبر </w:t>
      </w:r>
      <w:r>
        <w:rPr>
          <w:rStyle w:val="FootnoteAnchor"/>
          <w:rtl w:val="true"/>
        </w:rPr>
        <w:footnoteReference w:id="1175"/>
      </w:r>
      <w:r>
        <w:rPr>
          <w:rFonts w:ascii="Amiri" w:hAnsi="Amiri" w:eastAsia="Amiri" w:cs="Amiri"/>
          <w:color w:val="111111"/>
          <w:sz w:val="28"/>
          <w:sz w:val="28"/>
          <w:szCs w:val="28"/>
          <w:rtl w:val="true"/>
          <w:lang w:bidi="ar-SA"/>
        </w:rPr>
        <w:t>المنجبر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الظاهر عدم تحريم اصابة الشعر ، للشك في صدق المس وعدم حصول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المس بما غسل من أعضائه قبل تمام الوضوء ، لعدم ارتفاع الحدث أصلا إلاّ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يتقاطر بوله ولا يقدر على استمساكه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له فترة تسع الطهارة وبعض الصلاة ، يجب عليه الوضوء لكلّ صلاة ، ويعفى عن الخارج في أثنائها ، على الأظهر الأشهر ، كما في الذخيرة وغيره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وجوب الوضوء لكلّ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فلناقضية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 في نقض القطرات الخارجة بغير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الشك في شمول إطلاقات ناقضية البول لها لندرتها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 لأنّ انصراف المطلق إلى الشائع الوجودي إنّما هو إذا صلح الشيوع قرينة لإرادته وكانت مفهمة لها ، وهو هنا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كذلك لم يحتج إلى التقييد بعدم الفترة بقدر الصلاة كما قيّده الأصحاب ، ولم تكن القطرة الخارجة من غير صاحب السلس بلا اختيار ناقضا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العفو عن الخارج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فللإجماع ، ولزوم التكليف بما لا يطاق إن وجب لكلّ خارج ، والترجيح بلا مرجّح إن وجب للبعض ، مع أنّه لا يقدر على </w:t>
      </w:r>
    </w:p>
    <w:p>
      <w:pPr>
        <w:pStyle w:val="BookText"/>
        <w:rPr/>
      </w:pPr>
      <w:r>
        <w:rPr>
          <w:rFonts w:ascii="Amiri" w:hAnsi="Amiri" w:eastAsia="Amiri" w:cs="Amiri"/>
          <w:color w:val="111111"/>
          <w:sz w:val="28"/>
          <w:sz w:val="28"/>
          <w:szCs w:val="28"/>
          <w:rtl w:val="true"/>
          <w:lang w:bidi="ar-SA"/>
        </w:rPr>
        <w:t>الطهارة بشي‌ء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في الأول للمحكي عن المبسوط </w:t>
      </w:r>
      <w:r>
        <w:rPr>
          <w:rStyle w:val="FootnoteAnchor"/>
          <w:rtl w:val="true"/>
        </w:rPr>
        <w:footnoteReference w:id="1177"/>
      </w:r>
      <w:r>
        <w:rPr>
          <w:rFonts w:ascii="Amiri" w:hAnsi="Amiri" w:eastAsia="Amiri" w:cs="Amiri"/>
          <w:color w:val="111111"/>
          <w:sz w:val="28"/>
          <w:sz w:val="28"/>
          <w:szCs w:val="28"/>
          <w:rtl w:val="true"/>
          <w:lang w:bidi="ar-SA"/>
        </w:rPr>
        <w:t xml:space="preserve">، ومال إليه طائفة من مشايخنا </w:t>
      </w:r>
      <w:r>
        <w:rPr>
          <w:rStyle w:val="FootnoteAnchor"/>
          <w:rtl w:val="true"/>
        </w:rPr>
        <w:footnoteReference w:id="1178"/>
      </w:r>
      <w:r>
        <w:rPr>
          <w:rFonts w:ascii="Amiri" w:hAnsi="Amiri" w:eastAsia="Amiri" w:cs="Amiri"/>
          <w:color w:val="111111"/>
          <w:sz w:val="28"/>
          <w:sz w:val="28"/>
          <w:szCs w:val="28"/>
          <w:rtl w:val="true"/>
          <w:lang w:bidi="ar-SA"/>
        </w:rPr>
        <w:t>، فيصلّي بوضوء واحد عدّة صلوات ولا يتوضّأ إلاّ مع البول اختيارا ، لاستصحاب صحة الوضوء مع الشك في الناقضية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قد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ولظاهر 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يأخذه تقطير في فرجه إما دم وإما غيره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فليضع خريطة وليتوضّأ وليصلّ ، فإنما ذلك بلاء ابتلي به ، فلا يعيدن إلاّ من الحدث الذي يتوضّأ منه </w:t>
      </w:r>
      <w:r>
        <w:rPr>
          <w:rFonts w:eastAsia="Amiri" w:cs="Amiri" w:ascii="Amiri" w:hAnsi="Amiri"/>
          <w:color w:val="111111"/>
          <w:sz w:val="28"/>
          <w:szCs w:val="28"/>
          <w:rtl w:val="true"/>
          <w:lang w:bidi="ar-SA"/>
        </w:rPr>
        <w:t xml:space="preserve">»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ظهور لها في مطلوبهم ، لعدم تعيّن الوضوء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يفيد التعليل ، إذ لعلّه علّة للعفو عن الخبث أو عن الحدث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آخر الحديث ، لجواز أن يكون المراد بالحدث الذي يتوضّأ البول والغائط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ولحسنة ابن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يعتريه البول ولا يقدر على حبسه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يقدر على حبسه فاللّه سبحانه أولى بالعذر ، يجعل الخريطة </w:t>
      </w:r>
      <w:r>
        <w:rPr>
          <w:rFonts w:eastAsia="Amiri" w:cs="Amiri" w:ascii="Amiri" w:hAnsi="Amiri"/>
          <w:color w:val="111111"/>
          <w:sz w:val="28"/>
          <w:szCs w:val="28"/>
          <w:rtl w:val="true"/>
          <w:lang w:bidi="ar-SA"/>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الاستفصال مع قيام احتمال كون السؤال عن الأحداث والأخباث ، والجواب بأنّه معذور ليس عليه شي‌ء سوى جعل الخريطة ، يفيد عدم كون الخارج حدثا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يجب إلاّ بجعل الخريطة لعدم سراية الخبث ، ولم ينف عنه وجوب شي‌ء آخر بأدلّته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وللمنتهى فيه أيضا ، فأوجب لكلّ صلاة وضوءا إلاّ للعصر والعشاء ، </w:t>
      </w:r>
    </w:p>
    <w:p>
      <w:pPr>
        <w:pStyle w:val="BookText"/>
        <w:rPr/>
      </w:pPr>
      <w:r>
        <w:rPr>
          <w:rFonts w:ascii="Amiri" w:hAnsi="Amiri" w:eastAsia="Amiri" w:cs="Amiri"/>
          <w:color w:val="111111"/>
          <w:sz w:val="28"/>
          <w:sz w:val="28"/>
          <w:szCs w:val="28"/>
          <w:rtl w:val="true"/>
          <w:lang w:bidi="ar-SA"/>
        </w:rPr>
        <w:t xml:space="preserve">فاكتفى بواحد للظهرين وبآخر للعشاءين ، بأن يجمع بينهما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لصحيحة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الرجل يقطر منه البول والدم إذا كان حين الصلاة اتخذ كيسا وجعل قطنا ثمَّ علقه عليه وأدخل ذكره فيه ثمَّ صلّى يجمع الظهر والعصر ، يؤخّر الظهر ويعجّل العصر بأذان وإقامتين ، ويؤخّر المغرب ويعجّل العشاء بأذان وإقامتين ، ويفعل مثل ذلك في الصبح </w:t>
      </w:r>
      <w:r>
        <w:rPr>
          <w:rFonts w:eastAsia="Amiri" w:cs="Amiri" w:ascii="Amiri" w:hAnsi="Amiri"/>
          <w:color w:val="111111"/>
          <w:sz w:val="28"/>
          <w:szCs w:val="28"/>
          <w:rtl w:val="true"/>
          <w:lang w:bidi="ar-SA"/>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الجمع له ظهور في كونهما بوضوء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منع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له فترة تسع الطهارة وبعض الصلاة بأن يتقاطر في الأثناء مثل مرة أو مرتين ، فظاهر الأكثر أنّه أيضا كمن لا فترة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مشكل ، إذ قد عرفت أنّ المعوّل فيه هو الإجماع ، وتحقّقه فيما نحن فيه غير معلوم ، والتكليف بما لا يطاق ، وانتفاؤه فيه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وجوّز بعض مشايخنا أن يلحق بالمبطون ، فيتوضّأ كلّما أحدث ويبني على صلاته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كذلك ، بل عليه الفتوى ، لخبر القماط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يجد غمزا أو أذى أو عصرا من البول وهو في الصلاة المكتوبة في الركعة الأولى أو الثانية أو الثالثة أو الرابعة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أصاب شيئا من ذلك فلا بأس بأن يخرج لحاجته تلك فيتوضّأ ، ثمَّ ينصرف إلى مصلاّه الذي كان يصلّي فيه فيبني على صلاته من الموضع الذي خرج منه لحاجته </w:t>
      </w:r>
      <w:r>
        <w:rPr>
          <w:rFonts w:eastAsia="Amiri" w:cs="Amiri" w:ascii="Amiri" w:hAnsi="Amiri"/>
          <w:color w:val="111111"/>
          <w:sz w:val="28"/>
          <w:szCs w:val="28"/>
          <w:rtl w:val="true"/>
          <w:lang w:bidi="ar-SA"/>
        </w:rPr>
        <w:t xml:space="preserve">» </w:t>
      </w:r>
      <w:r>
        <w:rPr>
          <w:rStyle w:val="FootnoteAnchor"/>
          <w:rtl w:val="true"/>
        </w:rPr>
        <w:footnoteReference w:id="118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إطلاقها يشمل السلس وغيره ، خرج الأخير بالإجماع فيبقى الباقي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ولزوم الفعل الكثير غير ضائر ، كما يأتي في المبطون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كانت له فترة تسع الطهارة وتمام الصلاة معتادة أو مظنونة بل أو محتملة يجب عليه التأخير إلى زمانها إن تعيّن ، وإلى آخر الوقت إن لم يتعيّن ، لعمومات اشتراط الوضوء المنتقض بخروج البول مطلقا لعمومات ناقضيته وإطلاقاتها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فجأ مثل ذلك الحدث في زمان الفترة ، ففي الوضوء والبناء ، أو إعادة الصلاة في فترة اخرى إن كانت له ، أو العفو ، 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لخبر القمّاط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 اشتراط الطهارة ومنافاة الفعل الكثير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المبطون كالسلس بأقسامه على ما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فالخالي عن الفترة بقدر الوضوء وبعض الصلاة يتوضّأ وضوءا واحدا ، للإجماع ، كما صرّح به في اللوامع أيضا ، ولنفي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الفترة الكلية أي بقدر الطهارة وتمام الصلاة ولو احتمالية يؤخّرهما إلى زمان الفترة أو آخر الوقت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يؤخّر واتّفق التمام ففي صحة عمله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العدم ، لعدم ثبوت مشروعية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الفترات الجزئية التي تسع الوضوء وشيئا من الصلاة يتوضّأ ويبني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ذو الفترة الكلية إن اتّفق الحدث في زمانها فجأة على الأظهر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عليه التأخير إلى فترة أخرى لو كانت له ، لخبر القمّاط المتقدّم ، وموثّقة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البطن يتوضّأ ثمَّ يرجع في صلاته فيتمّم ما بقي </w:t>
      </w:r>
      <w:r>
        <w:rPr>
          <w:rFonts w:eastAsia="Amiri" w:cs="Amiri" w:ascii="Amiri" w:hAnsi="Amiri"/>
          <w:color w:val="111111"/>
          <w:sz w:val="28"/>
          <w:szCs w:val="28"/>
          <w:rtl w:val="true"/>
          <w:lang w:bidi="ar-SA"/>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وتخصيصها بإرادة تجديد الوضوء بعد ما صلّى صلاة ثمَّ يرجع في الصلاة الباقية تخصيص بلا مخصّص ، لشمول إطلاقها الأثناء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وصحيحة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في الصلاة فأجد غمزا في بطني ، أو أذى ، أو ضربانا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انصرف ثمَّ توضّأ وابن على ما مضى من صلاتك ما لم تنقض الصلاة بالكلام متعمّدا </w:t>
      </w:r>
      <w:r>
        <w:rPr>
          <w:rFonts w:eastAsia="Amiri" w:cs="Amiri" w:ascii="Amiri" w:hAnsi="Amiri"/>
          <w:color w:val="111111"/>
          <w:sz w:val="28"/>
          <w:szCs w:val="28"/>
          <w:rtl w:val="true"/>
          <w:lang w:bidi="ar-SA"/>
        </w:rPr>
        <w:t xml:space="preserve">» </w:t>
      </w:r>
      <w:r>
        <w:rPr>
          <w:rStyle w:val="FootnoteAnchor"/>
          <w:rtl w:val="true"/>
        </w:rPr>
        <w:footnoteReference w:id="1188"/>
      </w:r>
      <w:r>
        <w:rPr>
          <w:rFonts w:ascii="Amiri" w:hAnsi="Amiri" w:eastAsia="Amiri" w:cs="Amiri"/>
          <w:color w:val="111111"/>
          <w:sz w:val="28"/>
          <w:sz w:val="28"/>
          <w:szCs w:val="28"/>
          <w:rtl w:val="true"/>
          <w:lang w:bidi="ar-SA"/>
        </w:rPr>
        <w:t>الحديث ، فإنّها بإطلاقها تشمل المبطون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وخروج غيره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 وعدم التصريح فيها بخروج الحدث لا يقدح ، لأنّ المراد من لا يقدر على الإمساك قطعا ، لوجوب التحفّظ مع إمكانه ، ووجوب الإعادة لو لم يتحفّظ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بعدم مقاومة تلك الأخبار لما دلّ على اشتراط الصلاة بالطهارة ، وعدم وقوع الفعل الكثير فيها ، فتجب الإعادة فيما أمكن لذي الفترة الكلية الذي فجأه الحدث ، مدفوع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فبمنع ثبوت اشتراط الطهارة الحاصلة أولا مطلقا ، ولا دليل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Style w:val="FootnoteAnchor"/>
          <w:rtl w:val="true"/>
        </w:rPr>
        <w:footnoteReference w:id="1189"/>
      </w:r>
      <w:r>
        <w:rPr>
          <w:rFonts w:ascii="Amiri" w:hAnsi="Amiri" w:eastAsia="Amiri" w:cs="Amiri"/>
          <w:color w:val="111111"/>
          <w:sz w:val="28"/>
          <w:sz w:val="28"/>
          <w:szCs w:val="28"/>
          <w:rtl w:val="true"/>
          <w:lang w:bidi="ar-SA"/>
        </w:rPr>
        <w:t xml:space="preserve">مطلقها فيحصل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Style w:val="FootnoteAnchor"/>
          <w:rtl w:val="true"/>
        </w:rPr>
        <w:footnoteReference w:id="1190"/>
      </w:r>
      <w:r>
        <w:rPr>
          <w:rFonts w:ascii="Amiri" w:hAnsi="Amiri" w:eastAsia="Amiri" w:cs="Amiri"/>
          <w:color w:val="111111"/>
          <w:sz w:val="28"/>
          <w:sz w:val="28"/>
          <w:szCs w:val="28"/>
          <w:rtl w:val="true"/>
          <w:lang w:bidi="ar-SA"/>
        </w:rPr>
        <w:t>، ولم يثبت اشتراط استمرارها إلى آخر الصلاة مطلقا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وبعض الأخبار الشاملة للمقام إمّا معارضة بمثلها أو عامة بالنسبة إلى ما مرّ ، أو غير صريح الدلالة على الخلاف ، كرواية ابن الجهم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صلّى الظهر أو العصر فأحدث حين جلس في الرابعة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فلا يعيد ، وإن كان لم يتشهّد قبل أن يحدث فليعد </w:t>
      </w:r>
      <w:r>
        <w:rPr>
          <w:rFonts w:eastAsia="IRNazanin" w:cs="IRNazanin"/>
          <w:color w:val="111111"/>
          <w:sz w:val="28"/>
          <w:szCs w:val="28"/>
          <w:rtl w:val="true"/>
          <w:lang w:bidi="fa-IR"/>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فإنّها معارضة مع صحيحة زرارة </w:t>
      </w:r>
      <w:r>
        <w:rPr>
          <w:rStyle w:val="FootnoteAnchor"/>
          <w:rtl w:val="true"/>
        </w:rPr>
        <w:footnoteReference w:id="1192"/>
      </w:r>
      <w:r>
        <w:rPr>
          <w:rFonts w:ascii="Amiri" w:hAnsi="Amiri" w:eastAsia="Amiri" w:cs="Amiri"/>
          <w:color w:val="111111"/>
          <w:sz w:val="28"/>
          <w:sz w:val="28"/>
          <w:szCs w:val="28"/>
          <w:rtl w:val="true"/>
          <w:lang w:bidi="ar-SA"/>
        </w:rPr>
        <w:t xml:space="preserve">، وموثّقته </w:t>
      </w:r>
      <w:r>
        <w:rPr>
          <w:rStyle w:val="FootnoteAnchor"/>
          <w:rtl w:val="true"/>
        </w:rPr>
        <w:footnoteReference w:id="1193"/>
      </w:r>
      <w:r>
        <w:rPr>
          <w:rFonts w:ascii="Amiri" w:hAnsi="Amiri" w:eastAsia="Amiri" w:cs="Amiri"/>
          <w:color w:val="111111"/>
          <w:sz w:val="28"/>
          <w:sz w:val="28"/>
          <w:szCs w:val="28"/>
          <w:rtl w:val="true"/>
          <w:lang w:bidi="ar-SA"/>
        </w:rPr>
        <w:t xml:space="preserve">، وموثّقة ابنه عبيد </w:t>
      </w:r>
      <w:r>
        <w:rPr>
          <w:rStyle w:val="FootnoteAnchor"/>
          <w:rtl w:val="true"/>
        </w:rPr>
        <w:footnoteReference w:id="1194"/>
      </w:r>
      <w:r>
        <w:rPr>
          <w:rFonts w:ascii="Amiri" w:hAnsi="Amiri" w:eastAsia="Amiri" w:cs="Amiri"/>
          <w:color w:val="111111"/>
          <w:sz w:val="28"/>
          <w:sz w:val="28"/>
          <w:szCs w:val="28"/>
          <w:rtl w:val="true"/>
          <w:lang w:bidi="ar-SA"/>
        </w:rPr>
        <w:t>، وأعم من البطن ، ومحتملة لأن يراد منها إعادة الوضوء دون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فبمنع كون الوضوء فعلا كثيرا ، ومنع إيجاب مطلقه ولو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الأمران جميعا ، فالموثّقة مقيّدة لأخبارهما قطعا فيجب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أيضا للمطلوب بمثل 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البطن الغالب يتوضّأ ويبني على صلاته </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نظر ، لاحتمال أن يراد بالوضوء الوضوء المأمور به أولا قبل الدخول في الصلاة ، وبالبناء عدم القطع ، أي يبني على صحة صلاته ولا يقطعها بالحدث في الأثناء ، ولم يعلم انفهام المعنى المتعارف بين المتفقّهة الآن من البناء في زمان المعصوم ، وإنّما حملناه على المتعارف في رواية الفضيل ، لقرينة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ينقض الصلاة </w:t>
      </w:r>
      <w:r>
        <w:rPr>
          <w:rFonts w:eastAsia="Amiri" w:cs="Amiri" w:ascii="Amiri" w:hAnsi="Amiri"/>
          <w:color w:val="111111"/>
          <w:sz w:val="28"/>
          <w:szCs w:val="28"/>
          <w:rtl w:val="true"/>
          <w:lang w:bidi="ar-SA"/>
        </w:rPr>
        <w:t xml:space="preserve">» </w:t>
      </w:r>
      <w:r>
        <w:rPr>
          <w:rStyle w:val="FootnoteAnchor"/>
          <w:rtl w:val="true"/>
        </w:rPr>
        <w:footnoteReference w:id="1196"/>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وغير القادر على حفظ الريح كالبطن ، لخبر القمّاط </w:t>
      </w:r>
      <w:r>
        <w:rPr>
          <w:rStyle w:val="FootnoteAnchor"/>
          <w:rtl w:val="true"/>
        </w:rPr>
        <w:footnoteReference w:id="1197"/>
      </w:r>
      <w:r>
        <w:rPr>
          <w:rFonts w:ascii="Amiri" w:hAnsi="Amiri" w:eastAsia="Amiri" w:cs="Amiri"/>
          <w:color w:val="111111"/>
          <w:sz w:val="28"/>
          <w:sz w:val="28"/>
          <w:szCs w:val="28"/>
          <w:rtl w:val="true"/>
          <w:lang w:bidi="ar-SA"/>
        </w:rPr>
        <w:t>ورواية الفضيل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تيقّن الطهارة أو الحدث وشك في الآخر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المتيقّن إجماعا ، وهو مع الاستصحاب حجة ، مضافا فيهما </w:t>
      </w:r>
      <w:r>
        <w:rPr>
          <w:rStyle w:val="FootnoteAnchor"/>
          <w:rtl w:val="true"/>
        </w:rPr>
        <w:footnoteReference w:id="1198"/>
      </w:r>
      <w:r>
        <w:rPr>
          <w:rFonts w:ascii="Amiri" w:hAnsi="Amiri" w:eastAsia="Amiri" w:cs="Amiri"/>
          <w:color w:val="111111"/>
          <w:sz w:val="28"/>
          <w:sz w:val="28"/>
          <w:szCs w:val="28"/>
          <w:rtl w:val="true"/>
          <w:lang w:bidi="ar-SA"/>
        </w:rPr>
        <w:t xml:space="preserve">إلى الرضوي المنجبر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شككت في الوضوء وكنت على يقين من الحدث فتوضّأ ، وإن شككت في الحدث وكنت على يقين من الوضوء فلا ينقض الشك اليقين إلاّ أن تستيقن </w:t>
      </w:r>
      <w:r>
        <w:rPr>
          <w:rFonts w:eastAsia="Amiri" w:cs="Amiri" w:ascii="Amiri" w:hAnsi="Amiri"/>
          <w:color w:val="111111"/>
          <w:sz w:val="28"/>
          <w:szCs w:val="28"/>
          <w:rtl w:val="true"/>
          <w:lang w:bidi="ar-SA"/>
        </w:rPr>
        <w:t xml:space="preserve">»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الأوّل </w:t>
      </w:r>
      <w:r>
        <w:rPr>
          <w:rStyle w:val="FootnoteAnchor"/>
          <w:rtl w:val="true"/>
        </w:rPr>
        <w:footnoteReference w:id="1200"/>
      </w:r>
      <w:r>
        <w:rPr>
          <w:rFonts w:ascii="Amiri" w:hAnsi="Amiri" w:eastAsia="Amiri" w:cs="Amiri"/>
          <w:color w:val="111111"/>
          <w:sz w:val="28"/>
          <w:sz w:val="28"/>
          <w:szCs w:val="28"/>
          <w:rtl w:val="true"/>
          <w:lang w:bidi="ar-SA"/>
        </w:rPr>
        <w:t xml:space="preserve">إلى المستفيضة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حرّك إلى جنبه شي‌ء ولم يعلم به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حتى يستيقن أنّه قد نام ، حتى يجي‌ء من ذلك أمر بيّن ، وإلاّ فإنّه على يقين من وضوئه ، ولا ينقض اليقين أبدا بالشك ، ولكن ينقضه يقين آخر </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ابن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استيقنت أنّك قد توضّأت فإياك أن تحدث وضوءا أبدا حتى تستيقن أنك قد أحدثت </w:t>
      </w:r>
      <w:r>
        <w:rPr>
          <w:rFonts w:eastAsia="Amiri" w:cs="Amiri" w:ascii="Amiri" w:hAnsi="Amiri"/>
          <w:color w:val="111111"/>
          <w:sz w:val="28"/>
          <w:szCs w:val="28"/>
          <w:rtl w:val="true"/>
          <w:lang w:bidi="ar-SA"/>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 الريح في بطني حتى أظن أنّها قد خرجت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عليك وضوء حتى تسمع الصوت أو تجد الريح </w:t>
      </w:r>
      <w:r>
        <w:rPr>
          <w:rFonts w:eastAsia="Amiri" w:cs="Amiri" w:ascii="Amiri" w:hAnsi="Amiri"/>
          <w:color w:val="111111"/>
          <w:sz w:val="28"/>
          <w:szCs w:val="28"/>
          <w:rtl w:val="true"/>
          <w:lang w:bidi="ar-SA"/>
        </w:rPr>
        <w:t xml:space="preserve">» </w:t>
      </w:r>
      <w:r>
        <w:rPr>
          <w:rStyle w:val="FootnoteAnchor"/>
          <w:rtl w:val="true"/>
        </w:rPr>
        <w:footnoteReference w:id="1203"/>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المروي في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يكون على وضوء وشك على وضوء هو أم 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ذكر وهو في صلاته انصرف وتوضّأ وأعادها ، وإن ذكر وقد</w:t>
      </w:r>
    </w:p>
    <w:p>
      <w:pPr>
        <w:pStyle w:val="BookText"/>
        <w:rPr/>
      </w:pPr>
      <w:r>
        <w:rPr>
          <w:rFonts w:ascii="Amiri" w:hAnsi="Amiri" w:eastAsia="Amiri" w:cs="Amiri"/>
          <w:color w:val="111111"/>
          <w:sz w:val="28"/>
          <w:sz w:val="28"/>
          <w:szCs w:val="28"/>
          <w:rtl w:val="true"/>
          <w:lang w:bidi="ar-SA"/>
        </w:rPr>
        <w:t xml:space="preserve">فرغ من صلاته أجزأه ذلك </w:t>
      </w:r>
      <w:r>
        <w:rPr>
          <w:rFonts w:eastAsia="Amiri" w:cs="Amiri" w:ascii="Amiri" w:hAnsi="Amiri"/>
          <w:color w:val="111111"/>
          <w:sz w:val="28"/>
          <w:szCs w:val="28"/>
          <w:rtl w:val="true"/>
          <w:lang w:bidi="ar-SA"/>
        </w:rPr>
        <w:t xml:space="preserve">» </w:t>
      </w:r>
      <w:r>
        <w:rPr>
          <w:rStyle w:val="FootnoteAnchor"/>
          <w:rtl w:val="true"/>
        </w:rPr>
        <w:footnoteReference w:id="1204"/>
      </w:r>
      <w:r>
        <w:rPr>
          <w:rFonts w:ascii="Amiri" w:hAnsi="Amiri" w:eastAsia="Amiri" w:cs="Amiri"/>
          <w:color w:val="111111"/>
          <w:sz w:val="28"/>
          <w:sz w:val="28"/>
          <w:szCs w:val="28"/>
          <w:rtl w:val="true"/>
          <w:lang w:bidi="ar-SA"/>
        </w:rPr>
        <w:t>، فمع ضعفه بنفسه وشذوذه غير مفيد للوجوب ، والإجزاء بعد الصلاة يؤكّده أيضا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الثاني </w:t>
      </w:r>
      <w:r>
        <w:rPr>
          <w:rStyle w:val="FootnoteAnchor"/>
          <w:rtl w:val="true"/>
        </w:rPr>
        <w:footnoteReference w:id="1205"/>
      </w:r>
      <w:r>
        <w:rPr>
          <w:rFonts w:ascii="Amiri" w:hAnsi="Amiri" w:eastAsia="Amiri" w:cs="Amiri"/>
          <w:color w:val="111111"/>
          <w:sz w:val="28"/>
          <w:sz w:val="28"/>
          <w:szCs w:val="28"/>
          <w:rtl w:val="true"/>
          <w:lang w:bidi="ar-SA"/>
        </w:rPr>
        <w:t xml:space="preserve">إلى إطلاقات وجوب الوضوء للصلاة وعموماته ، خرج ما خرج </w:t>
      </w:r>
    </w:p>
    <w:p>
      <w:pPr>
        <w:pStyle w:val="BookText"/>
        <w:rPr/>
      </w:pPr>
      <w:r>
        <w:rPr>
          <w:rFonts w:ascii="Amiri" w:hAnsi="Amiri" w:eastAsia="Amiri" w:cs="Amiri"/>
          <w:color w:val="111111"/>
          <w:sz w:val="28"/>
          <w:sz w:val="28"/>
          <w:szCs w:val="28"/>
          <w:rtl w:val="true"/>
          <w:lang w:bidi="ar-SA"/>
        </w:rPr>
        <w:t>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شك في الوضوء بعد ما فرغ من الصلاة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يمضي على صلاته ولا يعيد </w:t>
      </w:r>
      <w:r>
        <w:rPr>
          <w:rFonts w:eastAsia="Amiri" w:cs="Amiri" w:ascii="Amiri" w:hAnsi="Amiri"/>
          <w:color w:val="111111"/>
          <w:sz w:val="28"/>
          <w:szCs w:val="28"/>
          <w:rtl w:val="true"/>
          <w:lang w:bidi="ar-SA"/>
        </w:rPr>
        <w:t xml:space="preserve">» </w:t>
      </w:r>
      <w:r>
        <w:rPr>
          <w:rStyle w:val="FootnoteAnchor"/>
          <w:rtl w:val="true"/>
        </w:rPr>
        <w:footnoteReference w:id="1206"/>
      </w:r>
      <w:r>
        <w:rPr>
          <w:rFonts w:ascii="Amiri" w:hAnsi="Amiri" w:eastAsia="Amiri" w:cs="Amiri"/>
          <w:color w:val="111111"/>
          <w:sz w:val="28"/>
          <w:sz w:val="28"/>
          <w:szCs w:val="28"/>
          <w:rtl w:val="true"/>
          <w:lang w:bidi="ar-SA"/>
        </w:rPr>
        <w:t xml:space="preserve">فهي إنما فيما بعد الصلاة ، ولا اعتبار بالشك في الوضوء بعدها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في بحث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وجب الوضوء لصلاة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أعم من الشك بعد اليقين ، فيجب التخصيص بالمروي في قرب الإسناد المنجبر في المقام الذي هو 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حكم الشك في الصورتين الظن على الأظهر الأشهر ، بل نسب إلى ظاهر الأصحاب </w:t>
      </w:r>
      <w:r>
        <w:rPr>
          <w:rStyle w:val="FootnoteAnchor"/>
          <w:rtl w:val="true"/>
        </w:rPr>
        <w:footnoteReference w:id="1207"/>
      </w:r>
      <w:r>
        <w:rPr>
          <w:rFonts w:ascii="Amiri" w:hAnsi="Amiri" w:eastAsia="Amiri" w:cs="Amiri"/>
          <w:color w:val="111111"/>
          <w:sz w:val="28"/>
          <w:sz w:val="28"/>
          <w:szCs w:val="28"/>
          <w:rtl w:val="true"/>
          <w:lang w:bidi="ar-SA"/>
        </w:rPr>
        <w:t>، وأكثر ما مرّ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جعل مبنى الحكم الاستصحاب وتوهّم انحصار دليله في ظن البقاء ، من توهّم ابتناء الحكم على الظن ببقاء الوضوء ودورانه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انحصار المبنى ودليله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تعارض مفهومي ينقضه يقين آخر ولا ينقض اليقين بالشك ، وربما يرجع الثاني في الثاني باعتضاده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المفهومين من باب اللقب فلا اعتبار بهما ، فالاستصحاب الثابت حجيته ولو مع ظن الزوال دالّ على الحكم في الصورتين بلا معارض ، مضافا إلى العمومات ، وخصوص خبر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اليقين والشك وإن اجتمعا في الزمان ، ولكن زمان متعلّقهما مختلف فلا يرد إشكال ، ولا حاجة في رفعه </w:t>
      </w:r>
      <w:r>
        <w:rPr>
          <w:rStyle w:val="FootnoteAnchor"/>
          <w:rtl w:val="true"/>
        </w:rPr>
        <w:footnoteReference w:id="1208"/>
      </w:r>
      <w:r>
        <w:rPr>
          <w:rFonts w:ascii="Amiri" w:hAnsi="Amiri" w:eastAsia="Amiri" w:cs="Amiri"/>
          <w:color w:val="111111"/>
          <w:sz w:val="28"/>
          <w:sz w:val="28"/>
          <w:szCs w:val="28"/>
          <w:rtl w:val="true"/>
          <w:lang w:bidi="ar-SA"/>
        </w:rPr>
        <w:t>إلى حمل اليقين على الظن أو الحدث على السبب ، مع أنّهما لا يفيدان أصلا كما لا يخفى</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تيقّنهما وشك في المتأخّر تطهّر مطلقا ، وفاقا للمشهور ، </w:t>
      </w:r>
    </w:p>
    <w:p>
      <w:pPr>
        <w:pStyle w:val="BookText"/>
        <w:rPr/>
      </w:pPr>
      <w:r>
        <w:rPr>
          <w:rFonts w:ascii="Amiri" w:hAnsi="Amiri" w:eastAsia="Amiri" w:cs="Amiri"/>
          <w:color w:val="111111"/>
          <w:sz w:val="28"/>
          <w:sz w:val="28"/>
          <w:szCs w:val="28"/>
          <w:rtl w:val="true"/>
          <w:lang w:bidi="ar-SA"/>
        </w:rPr>
        <w:t xml:space="preserve">لتكافؤ الاحتمالين الموجب لتساقطهما الرافع لليقين بالطهارة الواجب للمشروط بها ، ولعمومات وجوب الوضوء وإطلاقاته ، والرضوي المنجبر بالشهرتين </w:t>
      </w:r>
      <w:r>
        <w:rPr>
          <w:rStyle w:val="FootnoteAnchor"/>
          <w:rtl w:val="true"/>
        </w:rPr>
        <w:footnoteReference w:id="120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 على يقين من الوضوء والحدث ولا تدري أيّهما أسبق فتوضّأ </w:t>
      </w:r>
      <w:r>
        <w:rPr>
          <w:rFonts w:eastAsia="Amiri" w:cs="Amiri" w:ascii="Amiri" w:hAnsi="Amiri"/>
          <w:color w:val="111111"/>
          <w:sz w:val="28"/>
          <w:szCs w:val="28"/>
          <w:rtl w:val="true"/>
          <w:lang w:bidi="ar-SA"/>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وإطلاقه يشمل ما لو علم وقت الحدث بالخصوص ، فلا يضرّ عدم تكافؤ الاحتمالين حينئذ ، لأصالة تأخّر الوضوء الحادث عن وقت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تنافيه الموثّقة المتقدّمة </w:t>
      </w:r>
      <w:r>
        <w:rPr>
          <w:rStyle w:val="FootnoteAnchor"/>
          <w:rtl w:val="true"/>
        </w:rPr>
        <w:footnoteReference w:id="1211"/>
      </w:r>
      <w:r>
        <w:rPr>
          <w:rFonts w:ascii="Amiri" w:hAnsi="Amiri" w:eastAsia="Amiri" w:cs="Amiri"/>
          <w:color w:val="111111"/>
          <w:sz w:val="28"/>
          <w:sz w:val="28"/>
          <w:szCs w:val="28"/>
          <w:rtl w:val="true"/>
          <w:lang w:bidi="ar-SA"/>
        </w:rPr>
        <w:t>حيث لا يقين بالحدث ، لمنع عدم اليقين به ، بل هو متيقّن لا محالة في زمان ، ولا دليل على اشتراط تيقّن لحوقه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ذكرنا من الأدلّة يعمّ صورتي الجهل والعلم بالحالة السابقة على الأمرين ، فالحكم ثابت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للكركي ، وظاهر المعتبر </w:t>
      </w:r>
      <w:r>
        <w:rPr>
          <w:rStyle w:val="FootnoteAnchor"/>
          <w:rtl w:val="true"/>
        </w:rPr>
        <w:footnoteReference w:id="1212"/>
      </w:r>
      <w:r>
        <w:rPr>
          <w:rFonts w:ascii="Amiri" w:hAnsi="Amiri" w:eastAsia="Amiri" w:cs="Amiri"/>
          <w:color w:val="111111"/>
          <w:sz w:val="28"/>
          <w:sz w:val="28"/>
          <w:szCs w:val="28"/>
          <w:rtl w:val="true"/>
          <w:lang w:bidi="ar-SA"/>
        </w:rPr>
        <w:t>، فمع العلم يأخذ بضد السابقة ، لانتقاضها بورود ضدّها يقينا ، ولا يعلم ارتفاع الضد لجواز تعاقب المثلين فيجب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ورود ضد الضدّ أيضا متيقّن وارتفاعه غير معلوم ،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من الأمرين أثرهما دون نفسهما ، وتحقّق أثر ضدّ الضد غير معلوم لجواز التوالي فيستصحب أثر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الضدّ هو الأثر ، وحصول ضدّ الضدّ غير معلوم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صورة تيقن الطهارة تكون هناك طهارتان بمعنى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متيقّنة ومشكوكة ، وحدث بمعناه متيقّن ، والمتيقّنة قد ارتفعت بالمتيقّن ، والمشكوكة لا تعارضه فيبنى عليه ، وقس عليه صورة تيقّن الحدث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السابقة مرتفعة قطعا ، والمضادّة له متحقّقة كذلك ، وتحقّق المماثلة للثانية مشكوك فيه ، فتستصحب المضادة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المماثلة بعد زمان الحالة السابقة يقيني أيضا ، لحصول الفعل المماثل بعده ، وهو إمّا قبل الضدّ أو بعده ، وعلى التقديرين يكون الأثر المماثل متحققا في زمانه ، وارتفاعه مشكوك فيه ، لاحتمال البعدية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ولظاهري </w:t>
      </w:r>
      <w:r>
        <w:rPr>
          <w:rStyle w:val="FootnoteAnchor"/>
          <w:rtl w:val="true"/>
        </w:rPr>
        <w:footnoteReference w:id="1213"/>
      </w:r>
      <w:r>
        <w:rPr>
          <w:rFonts w:ascii="IRNazanin" w:hAnsi="IRNazanin" w:eastAsia="IRNazanin"/>
          <w:color w:val="111111"/>
          <w:sz w:val="28"/>
          <w:sz w:val="28"/>
          <w:szCs w:val="28"/>
          <w:rtl w:val="true"/>
          <w:lang w:bidi="fa-IR"/>
        </w:rPr>
        <w:t xml:space="preserve">المنتهى ، والمختلف </w:t>
      </w:r>
      <w:r>
        <w:rPr>
          <w:rStyle w:val="FootnoteAnchor"/>
          <w:rtl w:val="true"/>
        </w:rPr>
        <w:footnoteReference w:id="1214"/>
      </w:r>
      <w:r>
        <w:rPr>
          <w:rFonts w:ascii="Amiri" w:hAnsi="Amiri" w:eastAsia="Amiri" w:cs="Amiri"/>
          <w:color w:val="111111"/>
          <w:sz w:val="28"/>
          <w:sz w:val="28"/>
          <w:szCs w:val="28"/>
          <w:rtl w:val="true"/>
          <w:lang w:bidi="ar-SA"/>
        </w:rPr>
        <w:t>، فيأخذ بمثل السابقة مع العلم ، فلا يتطهر مع العلم بالطهارة لتيقّن نقضها ، وعدم إمكان الطهارة عن حدث مع بقاء السابقة ، فتكون الطهارة الثانية بعد الحدث ونقضها 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عليه صورة العلم بالحدث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إنّما يكون مع العلم بالتعاقب وعدم احتمال التوالي فيخرج عن مسألة الشك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ونقضها مشكوك فيه ، يدخله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مراده صورة العلم بالتعاقب مع احتمال التعدد في كلّ من الأمرين المتحقّقين بعد الحالة السابقة ، فيدخل في مسألة الشك ، ولكن لا يكون من المسألة المبحوث عنها ، بل من السابقة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تيقّن الطهارة أو الحدث والشك في رفعه ، وحكمه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تيقّن ترك غسل عضو أو بعضه أو مسحه ، أتى به وبما بعده إن كان ، سواء كان في أثناء الوضوء أو بعده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وجوب الإتيان به وجوب الإتيان بالمأمور به ، وصحيحة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تيقّنت أنك لم تتم وضوءك فأعد على ما تركت يقينا </w:t>
      </w:r>
      <w:r>
        <w:rPr>
          <w:rFonts w:eastAsia="Amiri" w:cs="Amiri" w:ascii="Amiri" w:hAnsi="Amiri"/>
          <w:color w:val="111111"/>
          <w:sz w:val="28"/>
          <w:szCs w:val="28"/>
          <w:rtl w:val="true"/>
          <w:lang w:bidi="ar-SA"/>
        </w:rPr>
        <w:t xml:space="preserve">»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وحسنة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ذكرت وأنت في صلاتك أنك قد تركت شيئا من وضوئك المفروض عليك فانصرف وأتمّ الذي نسيته من وضوئك وأعد صلاتك </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w:t>
      </w:r>
      <w:r>
        <w:rPr>
          <w:rStyle w:val="FootnoteAnchor"/>
          <w:rtl w:val="true"/>
        </w:rPr>
        <w:footnoteReference w:id="1218"/>
      </w:r>
      <w:r>
        <w:rPr>
          <w:rFonts w:ascii="Amiri" w:hAnsi="Amiri" w:eastAsia="Amiri" w:cs="Amiri"/>
          <w:color w:val="111111"/>
          <w:sz w:val="28"/>
          <w:sz w:val="28"/>
          <w:szCs w:val="28"/>
          <w:rtl w:val="true"/>
          <w:lang w:bidi="ar-SA"/>
        </w:rPr>
        <w:t xml:space="preserve">وعلى الإتيان بما بعده وجوب الترتيب ، وصحيحة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غسلت الذراع قبل الوجه فابدأ بالوجه وأعد على الذراع ، وإن مسحت الرجل قبل الرأس فامسح على الرأس ثمَّ أعد على الرجل </w:t>
      </w:r>
      <w:r>
        <w:rPr>
          <w:rFonts w:eastAsia="Amiri" w:cs="Amiri" w:ascii="Amiri" w:hAnsi="Amiri"/>
          <w:color w:val="111111"/>
          <w:sz w:val="28"/>
          <w:szCs w:val="28"/>
          <w:rtl w:val="true"/>
          <w:lang w:bidi="ar-SA"/>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بدأ بيده قبل وجهه وبرجليه قبل يديه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يبدأ بما بدأ اللّه وليعد ما كان فعل </w:t>
      </w:r>
      <w:r>
        <w:rPr>
          <w:rFonts w:eastAsia="Amiri" w:cs="Amiri" w:ascii="Amiri" w:hAnsi="Amiri"/>
          <w:color w:val="111111"/>
          <w:sz w:val="28"/>
          <w:szCs w:val="28"/>
          <w:rtl w:val="true"/>
          <w:lang w:bidi="ar-SA"/>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يتوضّأ فيبدأ بالشمال قبل اليمين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اليمين ويعيد اليسار </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وحسنة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نسي الرجل أن يغسل يمينه فغسل شماله ومسح رأسه ورجليه وذكر بعد ذلك غسل يمينه وشماله ومسح رأسه ورجليه ، وإن كان إنّما نسي شماله فليغسل الشمال ولا يعيد على ما كان توضّأ </w:t>
      </w:r>
      <w:r>
        <w:rPr>
          <w:rFonts w:eastAsia="Amiri" w:cs="Amiri" w:ascii="Amiri" w:hAnsi="Amiri"/>
          <w:color w:val="111111"/>
          <w:sz w:val="28"/>
          <w:szCs w:val="28"/>
          <w:rtl w:val="true"/>
          <w:lang w:bidi="ar-SA"/>
        </w:rPr>
        <w:t xml:space="preserve">» </w:t>
      </w:r>
      <w:r>
        <w:rPr>
          <w:rStyle w:val="FootnoteAnchor"/>
          <w:rtl w:val="true"/>
        </w:rPr>
        <w:footnoteReference w:id="1222"/>
      </w:r>
      <w:r>
        <w:rPr>
          <w:rFonts w:ascii="Amiri" w:hAnsi="Amiri" w:eastAsia="Amiri" w:cs="Amiri"/>
          <w:color w:val="111111"/>
          <w:sz w:val="28"/>
          <w:sz w:val="28"/>
          <w:szCs w:val="28"/>
          <w:rtl w:val="true"/>
          <w:lang w:bidi="ar-SA"/>
        </w:rPr>
        <w:t xml:space="preserve">أي غسل ، لأنّه معنى </w:t>
      </w:r>
    </w:p>
    <w:p>
      <w:pPr>
        <w:pStyle w:val="BookText"/>
        <w:rPr/>
      </w:pP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وموثّقة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نسيت فغسلت ذراعك قبل وجهك فأعد غسل وجهك ثمَّ اغسل ذراعيك بعد الوجه ، فإن بدأت بذراعك الأيسر قبل الأيمن فأعد غسل اليمين ثمَّ اغسل اليسار ، وإن نسيت مسح رأسك حتى تغسل رجليك فامسح رأسك ثمَّ اغسل رجليك </w:t>
      </w:r>
      <w:r>
        <w:rPr>
          <w:rFonts w:eastAsia="Amiri" w:cs="Amiri" w:ascii="Amiri" w:hAnsi="Amiri"/>
          <w:color w:val="111111"/>
          <w:sz w:val="28"/>
          <w:szCs w:val="28"/>
          <w:rtl w:val="true"/>
          <w:lang w:bidi="ar-SA"/>
        </w:rPr>
        <w:t xml:space="preserve">»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دلّ بظاهره على إعادة الوضوء كخبر ابن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من الوضوء الذراع والرأس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الوضوء إنّ الوضوء يتبع بعضه بعضا </w:t>
      </w:r>
      <w:r>
        <w:rPr>
          <w:rFonts w:eastAsia="Amiri" w:cs="Amiri" w:ascii="Amiri" w:hAnsi="Amiri"/>
          <w:color w:val="111111"/>
          <w:sz w:val="28"/>
          <w:szCs w:val="28"/>
          <w:rtl w:val="true"/>
          <w:lang w:bidi="ar-SA"/>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نسي مسح رأسه أو قدميه أو شيئا من الوضوء الذي ذكره اللّه في القرآن كان عليه إعادة الوضوء والصلاة </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على عدم إعادة ما بعد المنسي كمرسلة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يبقى من وجهه إذا توضّأ موضع لم يصبه الماء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يجزيه أن يبلّه من بعض جسده </w:t>
      </w:r>
      <w:r>
        <w:rPr>
          <w:rFonts w:eastAsia="Amiri" w:cs="Amiri" w:ascii="Amiri" w:hAnsi="Amiri"/>
          <w:color w:val="111111"/>
          <w:sz w:val="28"/>
          <w:szCs w:val="28"/>
          <w:rtl w:val="true"/>
          <w:lang w:bidi="ar-SA"/>
        </w:rPr>
        <w:t xml:space="preserve">»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توضأ ونسي غسل يساره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يساره وحدها ولا يعيد وضوء شي‌ء غيرها </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على عدم غسل شي‌ء لا المنسي ولا ما بعده كرواية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مضى من صلاتك وطهورك فذكرته تذكّرا فامضه ولا إعادة عليك فيه </w:t>
      </w:r>
      <w:r>
        <w:rPr>
          <w:rFonts w:eastAsia="Amiri" w:cs="Amiri" w:ascii="Amiri" w:hAnsi="Amiri"/>
          <w:color w:val="111111"/>
          <w:sz w:val="28"/>
          <w:szCs w:val="28"/>
          <w:rtl w:val="true"/>
          <w:lang w:bidi="ar-SA"/>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فلا يصلح </w:t>
      </w:r>
      <w:r>
        <w:rPr>
          <w:rStyle w:val="FootnoteAnchor"/>
          <w:rtl w:val="true"/>
        </w:rPr>
        <w:footnoteReference w:id="1229"/>
      </w:r>
      <w:r>
        <w:rPr>
          <w:rFonts w:ascii="Amiri" w:hAnsi="Amiri" w:eastAsia="Amiri" w:cs="Amiri"/>
          <w:color w:val="111111"/>
          <w:sz w:val="28"/>
          <w:sz w:val="28"/>
          <w:szCs w:val="28"/>
          <w:rtl w:val="true"/>
          <w:lang w:bidi="ar-SA"/>
        </w:rPr>
        <w:t>للاحتجاج ، لمخالفتها لعمل الكلّ الموجب لشذوذها ، المخرج إيّاها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في الأوّل ، من عدم الدلالة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 من ظهوره في حال جفاف الكلّ الموجب للإعادة إجماعا بقرينة إعادة الصلاة ، إذ مع الإتيان بها لا يبقى البلل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الثالث ، أنه غير دالّ على عدم غسل ما بعده ، فإنّه يحتمل أن يكون المراد الإجزاء في غسل هذا الموضع المنسي ببلّة بعض جسده وعدم الاحتياج إلى ماء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الرابع ، أنّ الوضوء حقيقة في الغسل ، فمفاده أنه لا يعيد غسل شي‌ء آخر ، ولا ينافي وجوب المسح عليه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الخامس ، من الإجمال المسقط للاستدلال ،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أن يراد به تذكّر تركه ، يمكن أن يراد به تذكّر فعله تذكّرا ما ، أي ولو بالاحتمال البعيد ، ولم يتيقّن 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أو تبعيضية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بالمضي الفراغ من الفعل ، فيكون مرجعه إلى الشك بعد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الإسكافي في إعادة ما بعده إذا كان المتروك دون الدرهم ، واكتفى بغسل المتروك خاصة </w:t>
      </w:r>
      <w:r>
        <w:rPr>
          <w:rStyle w:val="FootnoteAnchor"/>
          <w:rtl w:val="true"/>
        </w:rPr>
        <w:footnoteReference w:id="1230"/>
      </w:r>
      <w:r>
        <w:rPr>
          <w:rFonts w:ascii="Amiri" w:hAnsi="Amiri" w:eastAsia="Amiri" w:cs="Amiri"/>
          <w:color w:val="111111"/>
          <w:sz w:val="28"/>
          <w:sz w:val="28"/>
          <w:szCs w:val="28"/>
          <w:rtl w:val="true"/>
          <w:lang w:bidi="ar-SA"/>
        </w:rPr>
        <w:t xml:space="preserve">، واستند برواية </w:t>
      </w:r>
      <w:r>
        <w:rPr>
          <w:rStyle w:val="FootnoteAnchor"/>
          <w:rtl w:val="true"/>
        </w:rPr>
        <w:footnoteReference w:id="1231"/>
      </w:r>
      <w:r>
        <w:rPr>
          <w:rFonts w:ascii="Amiri" w:hAnsi="Amiri" w:eastAsia="Amiri" w:cs="Amiri"/>
          <w:color w:val="111111"/>
          <w:sz w:val="28"/>
          <w:sz w:val="28"/>
          <w:szCs w:val="28"/>
          <w:rtl w:val="true"/>
          <w:lang w:bidi="ar-SA"/>
        </w:rPr>
        <w:t>غير ثابتة عندنا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ذكر قبل الجفاف المبطل ، وإلاّ استأنف إجماعا ، ووجهه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ويدلّ عليه إطلاق خبر ابن حكيم ، وموثقة سماعة ، الخالي عن الشذوذ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وبما مرّ في مسألة الموالاة </w:t>
      </w:r>
      <w:r>
        <w:rPr>
          <w:rStyle w:val="FootnoteAnchor"/>
          <w:rtl w:val="true"/>
        </w:rPr>
        <w:footnoteReference w:id="1232"/>
      </w:r>
      <w:r>
        <w:rPr>
          <w:rFonts w:ascii="Amiri" w:hAnsi="Amiri" w:eastAsia="Amiri" w:cs="Amiri"/>
          <w:color w:val="111111"/>
          <w:sz w:val="28"/>
          <w:sz w:val="28"/>
          <w:szCs w:val="28"/>
          <w:rtl w:val="true"/>
          <w:lang w:bidi="ar-SA"/>
        </w:rPr>
        <w:t>تقيّد الإطلاقات ، مع عدم تصريح فيها بما ينافي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فعل من أفعال الوضوء ، فإمّا يكون قبل الفراغ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يأتي به وبما بعده ، ولا يستأنف إلاّ مع جفاف ما قبله ، للإجماع في الكلّ ، والأصل ، والاستصحاب في الأوّل </w:t>
      </w:r>
      <w:r>
        <w:rPr>
          <w:rStyle w:val="FootnoteAnchor"/>
          <w:rtl w:val="true"/>
        </w:rPr>
        <w:footnoteReference w:id="1233"/>
      </w:r>
      <w:r>
        <w:rPr>
          <w:rFonts w:ascii="Amiri" w:hAnsi="Amiri" w:eastAsia="Amiri" w:cs="Amiri"/>
          <w:color w:val="111111"/>
          <w:sz w:val="28"/>
          <w:sz w:val="28"/>
          <w:szCs w:val="28"/>
          <w:rtl w:val="true"/>
          <w:lang w:bidi="ar-SA"/>
        </w:rPr>
        <w:t>، وأدلّة الترتيب في الثاني ، والأصل وعدم المقتضي في الثالث ، وأدلّة الإعادة مع الجفاف في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في الأوّل إلى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قاعدا على وضوئك فلم تدر أغسلت ذراعيك أم لا ، فأعد عليهما وعلى جميع ما شككت فيه أنك لم تغسله أو تمسحه مما سمى اللّه ما دمت في حال الوضوء </w:t>
      </w:r>
      <w:r>
        <w:rPr>
          <w:rFonts w:eastAsia="Amiri" w:cs="Amiri" w:ascii="Amiri" w:hAnsi="Amiri"/>
          <w:color w:val="111111"/>
          <w:sz w:val="28"/>
          <w:szCs w:val="28"/>
          <w:rtl w:val="true"/>
          <w:lang w:bidi="ar-SA"/>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في الثاني أيضا حيث إنّ الشك في السابق يوجب الشك في الغسل والمسح الصحيحين اللذين هما المرادان منهما في اللاحق أيضا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ينافيها موثّق ابن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في شي‌ء من الوضوء وقد دخلت في غيره فليس شكك بشي‌ء ، إنّما الشك إذا كنت في شي‌ء لم تجزه </w:t>
      </w:r>
      <w:r>
        <w:rPr>
          <w:rFonts w:eastAsia="Amiri" w:cs="Amiri" w:ascii="Amiri" w:hAnsi="Amiri"/>
          <w:color w:val="111111"/>
          <w:sz w:val="28"/>
          <w:szCs w:val="28"/>
          <w:rtl w:val="true"/>
          <w:lang w:bidi="ar-SA"/>
        </w:rPr>
        <w:t xml:space="preserve">» </w:t>
      </w:r>
      <w:r>
        <w:rPr>
          <w:rStyle w:val="FootnoteAnchor"/>
          <w:rtl w:val="true"/>
        </w:rPr>
        <w:footnoteReference w:id="1235"/>
      </w:r>
      <w:r>
        <w:rPr>
          <w:rFonts w:ascii="Amiri" w:hAnsi="Amiri" w:eastAsia="Amiri" w:cs="Amiri"/>
          <w:color w:val="111111"/>
          <w:sz w:val="28"/>
          <w:sz w:val="28"/>
          <w:szCs w:val="28"/>
          <w:rtl w:val="true"/>
          <w:lang w:bidi="ar-SA"/>
        </w:rPr>
        <w:t xml:space="preserve">حيث دلّ صدره على عدم إعادة شي‌ء مع الدخول في غيره ، ومفهوم ذيله على عدم اعتبار الشك في شي‌ء إذا لم يكن فيه ، لجواز رجوع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صدره إلى الوضوء ، </w:t>
      </w:r>
    </w:p>
    <w:p>
      <w:pPr>
        <w:pStyle w:val="BookText"/>
        <w:rPr/>
      </w:pPr>
      <w:r>
        <w:rPr>
          <w:rFonts w:ascii="Amiri" w:hAnsi="Amiri" w:eastAsia="Amiri" w:cs="Amiri"/>
          <w:color w:val="111111"/>
          <w:sz w:val="28"/>
          <w:sz w:val="28"/>
          <w:szCs w:val="28"/>
          <w:rtl w:val="true"/>
          <w:lang w:bidi="ar-SA"/>
        </w:rPr>
        <w:t xml:space="preserve">وعدم إفادة ذيله الحصر إن أريد مفهوم الحصر كما بيّنا في الأصول </w:t>
      </w:r>
      <w:r>
        <w:rPr>
          <w:rStyle w:val="FootnoteAnchor"/>
          <w:rtl w:val="true"/>
        </w:rPr>
        <w:footnoteReference w:id="1236"/>
      </w:r>
      <w:r>
        <w:rPr>
          <w:rFonts w:ascii="Amiri" w:hAnsi="Amiri" w:eastAsia="Amiri" w:cs="Amiri"/>
          <w:color w:val="111111"/>
          <w:sz w:val="28"/>
          <w:sz w:val="28"/>
          <w:szCs w:val="28"/>
          <w:rtl w:val="true"/>
          <w:lang w:bidi="ar-SA"/>
        </w:rPr>
        <w:t xml:space="preserve">، مع عدم لزوم اتّحاد الشيئين ، فيمكن أن يراد بالأخير الكلّ ، وتغايرهما مع التنكير جائز ، بل راجح كما قيل في تكرر العسر واليسر في الآية </w:t>
      </w:r>
      <w:r>
        <w:rPr>
          <w:rStyle w:val="FootnoteAnchor"/>
          <w:rtl w:val="true"/>
        </w:rPr>
        <w:footnoteReference w:id="1237"/>
      </w:r>
      <w:r>
        <w:rPr>
          <w:rFonts w:ascii="Amiri" w:hAnsi="Amiri" w:eastAsia="Amiri" w:cs="Amiri"/>
          <w:color w:val="111111"/>
          <w:sz w:val="28"/>
          <w:sz w:val="28"/>
          <w:szCs w:val="28"/>
          <w:rtl w:val="true"/>
          <w:lang w:bidi="ar-SA"/>
        </w:rPr>
        <w:t>، ومنه يعلم عدم الدلالة لو أريد مفهومه الشرطي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الجميع فيكون الموثّق أعم مطلقا من الصحيحة ، فيجب تخصيصه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 النظر عنها فهو لا يقاومها ، لشذوذه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فالمرجع إلى الأصل ، وهو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 ظهر عدم ضرر في مرسلة الواسطي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أغسل وجهي ثمَّ أغسل يدي ويشكّكني الشيطان أنّي لم أغسل ذراعي ويدي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وجدت برد الماء على ذراعك فلا تعد </w:t>
      </w:r>
      <w:r>
        <w:rPr>
          <w:rFonts w:eastAsia="Amiri" w:cs="Amiri" w:ascii="Amiri" w:hAnsi="Amiri"/>
          <w:color w:val="111111"/>
          <w:sz w:val="28"/>
          <w:szCs w:val="28"/>
          <w:rtl w:val="true"/>
          <w:lang w:bidi="ar-SA"/>
        </w:rPr>
        <w:t xml:space="preserve">» </w:t>
      </w:r>
      <w:r>
        <w:rPr>
          <w:rStyle w:val="FootnoteAnchor"/>
          <w:rtl w:val="true"/>
        </w:rPr>
        <w:footnoteReference w:id="1238"/>
      </w:r>
      <w:r>
        <w:rPr>
          <w:rFonts w:ascii="Amiri" w:hAnsi="Amiri" w:eastAsia="Amiri" w:cs="Amiri"/>
          <w:color w:val="111111"/>
          <w:sz w:val="28"/>
          <w:sz w:val="28"/>
          <w:szCs w:val="28"/>
          <w:rtl w:val="true"/>
          <w:lang w:bidi="ar-SA"/>
        </w:rPr>
        <w:t>مع أنّ مع وجدان برد الماء يخرج عن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يظهر الجواب عن المعتبرة الدالّة على عدم العبرة بالشك مع تجاوز المحل ، كموثقة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شككت فيما مضى فامضه كما هو </w:t>
      </w:r>
      <w:r>
        <w:rPr>
          <w:rFonts w:eastAsia="Amiri" w:cs="Amiri" w:ascii="Amiri" w:hAnsi="Amiri"/>
          <w:color w:val="111111"/>
          <w:sz w:val="28"/>
          <w:szCs w:val="28"/>
          <w:rtl w:val="true"/>
          <w:lang w:bidi="ar-SA"/>
        </w:rPr>
        <w:t xml:space="preserve">» </w:t>
      </w:r>
      <w:r>
        <w:rPr>
          <w:rStyle w:val="FootnoteAnchor"/>
          <w:rtl w:val="true"/>
        </w:rPr>
        <w:footnoteReference w:id="1239"/>
      </w: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خرجت من شي‌ء ثمَّ دخلت في غيره فشكّك ليس بشي‌ء </w:t>
      </w:r>
      <w:r>
        <w:rPr>
          <w:rFonts w:eastAsia="Amiri" w:cs="Amiri" w:ascii="Amiri" w:hAnsi="Amiri"/>
          <w:color w:val="111111"/>
          <w:sz w:val="28"/>
          <w:szCs w:val="28"/>
          <w:rtl w:val="true"/>
          <w:lang w:bidi="ar-SA"/>
        </w:rPr>
        <w:t xml:space="preserve">» </w:t>
      </w:r>
      <w:r>
        <w:rPr>
          <w:rStyle w:val="FootnoteAnchor"/>
          <w:rtl w:val="true"/>
        </w:rPr>
        <w:footnoteReference w:id="1240"/>
      </w:r>
      <w:r>
        <w:rPr>
          <w:rFonts w:ascii="Amiri" w:hAnsi="Amiri" w:eastAsia="Amiri" w:cs="Amiri"/>
          <w:color w:val="111111"/>
          <w:sz w:val="28"/>
          <w:sz w:val="28"/>
          <w:szCs w:val="28"/>
          <w:rtl w:val="true"/>
          <w:lang w:bidi="ar-SA"/>
        </w:rPr>
        <w:t>لكون الجميع أعم مطلقا ممّا مر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الظاهر من بعض تلك الأخبار إرادة الشك في جزء الفعل والدخول في غير الفعل ، فإنّ الخروج من شي‌ء والدخول في غيره لا يكون إلاّ مع العلم بالتلبّس به ، وحصوله في الوضوء ظاهر ، وأما في الفعل المشكوك فمعلوم الانتفاء ، فلا يعلم شمول تلك الروايات لمثل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فرق فيما ذكر بين النية وغيرها ، فلو شك فيها ، أتى بها وبما بعدها ، للأصل والاستصحاب المذكورين ، مضافا إلى الإجماع المركّب ، وعدم المعارض ، لما عرفت في الأخبار من عدم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الحكم يعم كثير الشك أيضا ، أم يخصّ بمن عداه وهو لا يلتفت إلى شكه؟</w:t>
      </w:r>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الثاني ، وفاقا لصريح السرائر ، والكركي ، والذكرى </w:t>
      </w:r>
      <w:r>
        <w:rPr>
          <w:rStyle w:val="FootnoteAnchor"/>
          <w:rtl w:val="true"/>
        </w:rPr>
        <w:footnoteReference w:id="1241"/>
      </w:r>
      <w:r>
        <w:rPr>
          <w:rFonts w:ascii="Amiri" w:hAnsi="Amiri" w:eastAsia="Amiri" w:cs="Amiri"/>
          <w:color w:val="111111"/>
          <w:sz w:val="28"/>
          <w:sz w:val="28"/>
          <w:szCs w:val="28"/>
          <w:rtl w:val="true"/>
          <w:lang w:bidi="ar-SA"/>
        </w:rPr>
        <w:t xml:space="preserve">، واللوامع مصرّحا فيه بعدم العثور على مصرّح بالخلاف ، واستقر به في نهاية الإحكام </w:t>
      </w:r>
      <w:r>
        <w:rPr>
          <w:rStyle w:val="FootnoteAnchor"/>
          <w:rtl w:val="true"/>
        </w:rPr>
        <w:footnoteReference w:id="1242"/>
      </w:r>
      <w:r>
        <w:rPr>
          <w:rFonts w:ascii="Amiri" w:hAnsi="Amiri" w:eastAsia="Amiri" w:cs="Amiri"/>
          <w:color w:val="111111"/>
          <w:sz w:val="28"/>
          <w:sz w:val="28"/>
          <w:szCs w:val="28"/>
          <w:rtl w:val="true"/>
          <w:lang w:bidi="ar-SA"/>
        </w:rPr>
        <w:t xml:space="preserve">، ونفى عنه البعد في المدارك </w:t>
      </w:r>
      <w:r>
        <w:rPr>
          <w:rStyle w:val="FootnoteAnchor"/>
          <w:rtl w:val="true"/>
        </w:rPr>
        <w:footnoteReference w:id="1243"/>
      </w:r>
      <w:r>
        <w:rPr>
          <w:rFonts w:ascii="Amiri" w:hAnsi="Amiri" w:eastAsia="Amiri" w:cs="Amiri"/>
          <w:color w:val="111111"/>
          <w:sz w:val="28"/>
          <w:sz w:val="28"/>
          <w:szCs w:val="28"/>
          <w:rtl w:val="true"/>
          <w:lang w:bidi="ar-SA"/>
        </w:rPr>
        <w:t>، لنفي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ومفهوم التعليل في صحيحة زرارة ، وأبي بصير في كثير الشك في الصلاة ، بعد الأمر بالمضي في الشك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تعوّدوا الخبيث من أنفسكم نقض الصلاة فتطمعوه ، فإنّ الشيطان خبيث معتاد لما عود ، فليمض أحدكم في الوهم ولا تكثرن نقض الصلاة ، فإنّه إذا فعل ذلك مرّات لم يعد إليك </w:t>
      </w:r>
      <w:r>
        <w:rPr>
          <w:rFonts w:eastAsia="Amiri" w:cs="Amiri" w:ascii="Amiri" w:hAnsi="Amiri"/>
          <w:color w:val="111111"/>
          <w:sz w:val="28"/>
          <w:szCs w:val="28"/>
          <w:rtl w:val="true"/>
          <w:lang w:bidi="ar-SA"/>
        </w:rPr>
        <w:t xml:space="preserve">»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خصوص 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له رجلا مبتلى بالوضوء والصلاة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عاقل ، فقال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 عقل له وهو يطيع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يطيع الشيطان؟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سله هذا الذي يأتيه من أي شي‌ء؟ فإنّه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عمل الشيطان </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وصرّح في مرسلة الواسطي ، المتقدّمة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الشك من الشيطان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يدلّ عليه التعليل في رواية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السؤال عن رجل شك في </w:t>
      </w:r>
    </w:p>
    <w:p>
      <w:pPr>
        <w:pStyle w:val="BookText"/>
        <w:rPr/>
      </w:pPr>
      <w:r>
        <w:rPr>
          <w:rFonts w:ascii="Amiri" w:hAnsi="Amiri" w:eastAsia="Amiri" w:cs="Amiri"/>
          <w:color w:val="111111"/>
          <w:sz w:val="28"/>
          <w:sz w:val="28"/>
          <w:szCs w:val="28"/>
          <w:rtl w:val="true"/>
          <w:lang w:bidi="ar-SA"/>
        </w:rPr>
        <w:t xml:space="preserve">صلاته ، وجوابه بأنه يمضي في صلاته ويتعوّذ باللّه من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يوشك أن يذهب عنه </w:t>
      </w:r>
      <w:r>
        <w:rPr>
          <w:rFonts w:eastAsia="Amiri" w:cs="Amiri" w:ascii="Amiri" w:hAnsi="Amiri"/>
          <w:color w:val="111111"/>
          <w:sz w:val="28"/>
          <w:szCs w:val="28"/>
          <w:rtl w:val="true"/>
          <w:lang w:bidi="ar-SA"/>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كثر عليك السهو فامض في صلاتك ، فإنه يوشك أن يدعك ، إنما هو من الشيطان </w:t>
      </w:r>
      <w:r>
        <w:rPr>
          <w:rFonts w:eastAsia="Amiri" w:cs="Amiri" w:ascii="Amiri" w:hAnsi="Amiri"/>
          <w:color w:val="111111"/>
          <w:sz w:val="28"/>
          <w:szCs w:val="28"/>
          <w:rtl w:val="true"/>
          <w:lang w:bidi="ar-SA"/>
        </w:rPr>
        <w:t xml:space="preserve">» </w:t>
      </w:r>
      <w:r>
        <w:rPr>
          <w:rStyle w:val="FootnoteAnchor"/>
          <w:rtl w:val="true"/>
        </w:rPr>
        <w:footnoteReference w:id="1247"/>
      </w:r>
      <w:r>
        <w:rPr>
          <w:rFonts w:ascii="Amiri" w:hAnsi="Amiri" w:eastAsia="Amiri" w:cs="Amiri"/>
          <w:color w:val="111111"/>
          <w:sz w:val="28"/>
          <w:sz w:val="28"/>
          <w:szCs w:val="28"/>
          <w:rtl w:val="true"/>
          <w:lang w:bidi="ar-SA"/>
        </w:rPr>
        <w:t>وظاهر أنّ المراد بالسهو فيها الشك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الإمضاء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يوشك أن يدعك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جار في ذلك المورد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ويؤكّده بعض العمومات المتقدّمة </w:t>
      </w:r>
      <w:r>
        <w:rPr>
          <w:rStyle w:val="FootnoteAnchor"/>
          <w:rtl w:val="true"/>
        </w:rPr>
        <w:footnoteReference w:id="1248"/>
      </w:r>
      <w:r>
        <w:rPr>
          <w:rFonts w:ascii="Amiri" w:hAnsi="Amiri" w:eastAsia="Amiri" w:cs="Amiri"/>
          <w:color w:val="111111"/>
          <w:sz w:val="28"/>
          <w:sz w:val="28"/>
          <w:szCs w:val="28"/>
          <w:rtl w:val="true"/>
          <w:lang w:bidi="ar-SA"/>
        </w:rPr>
        <w:t>، الخالي في المقام عن الشذوذ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لظاهر إطلاق من أطلق وهو جماعة ، فالأوّل ، للأصل ، والاستصحاب ، وإطلاق الصحيحة المتقدّمة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ويندفع الأولان ، ويقيّد الثالث بما مرّ ، مع إمكان الخدش في الأخير باعتبار كون المواجه بالخطاب خاصّا ، وكونه كثير الشك غير معلوم ، والإجماع على الاشتراك والتعميم منتف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وكثرة الشك هنا تناط إلى العرف ، ولا يبعد كون من شك ثلاثا متواليا كثير الشك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الشك بعد الفراغ لم يلتفت إليه إجماعا محقّقا ومحكيا مستفيضا </w:t>
      </w:r>
      <w:r>
        <w:rPr>
          <w:rStyle w:val="FootnoteAnchor"/>
          <w:rtl w:val="true"/>
        </w:rPr>
        <w:footnoteReference w:id="1250"/>
      </w:r>
      <w:r>
        <w:rPr>
          <w:rFonts w:ascii="Amiri" w:hAnsi="Amiri" w:eastAsia="Amiri" w:cs="Amiri"/>
          <w:color w:val="111111"/>
          <w:sz w:val="28"/>
          <w:sz w:val="28"/>
          <w:szCs w:val="28"/>
          <w:rtl w:val="true"/>
          <w:lang w:bidi="ar-SA"/>
        </w:rPr>
        <w:t>، وهو الحجة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مفهوم ما مرّ في صحيحة زرارة ، المتقدّمة </w:t>
      </w:r>
      <w:r>
        <w:rPr>
          <w:rStyle w:val="FootnoteAnchor"/>
          <w:rtl w:val="true"/>
        </w:rPr>
        <w:footnoteReference w:id="1251"/>
      </w:r>
      <w:r>
        <w:rPr>
          <w:rFonts w:ascii="IRNazanin" w:hAnsi="IRNazanin" w:eastAsia="IRNazanin"/>
          <w:color w:val="111111"/>
          <w:sz w:val="28"/>
          <w:sz w:val="28"/>
          <w:szCs w:val="28"/>
          <w:rtl w:val="true"/>
          <w:lang w:bidi="fa-IR"/>
        </w:rPr>
        <w:t xml:space="preserve">، ومنطوق ما بعده </w:t>
      </w:r>
    </w:p>
    <w:p>
      <w:pPr>
        <w:pStyle w:val="BookText"/>
        <w:rPr/>
      </w:pP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قمت من الوضوء وفرغت منه وقد صرت في حال أخرى في الصلاة أو في غيرها ، فشككت في بعض ما سمّى اللّه ممّا أوجب اللّه عليك فيه وضوءا فلا شي‌ء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مرّ من موثّقتي ابن أبي يعفور ومسلم </w:t>
      </w:r>
      <w:r>
        <w:rPr>
          <w:rStyle w:val="FootnoteAnchor"/>
          <w:rtl w:val="true"/>
        </w:rPr>
        <w:footnoteReference w:id="1252"/>
      </w:r>
      <w:r>
        <w:rPr>
          <w:rFonts w:ascii="Amiri" w:hAnsi="Amiri" w:eastAsia="Amiri" w:cs="Amiri"/>
          <w:color w:val="111111"/>
          <w:sz w:val="28"/>
          <w:sz w:val="28"/>
          <w:szCs w:val="28"/>
          <w:rtl w:val="true"/>
          <w:lang w:bidi="ar-SA"/>
        </w:rPr>
        <w:t xml:space="preserve">، والصحيحة الأخرى لزرارة </w:t>
      </w:r>
      <w:r>
        <w:rPr>
          <w:rStyle w:val="FootnoteAnchor"/>
          <w:rtl w:val="true"/>
        </w:rPr>
        <w:footnoteReference w:id="1253"/>
      </w:r>
      <w:r>
        <w:rPr>
          <w:rFonts w:ascii="Amiri" w:hAnsi="Amiri" w:eastAsia="Amiri" w:cs="Amiri"/>
          <w:color w:val="111111"/>
          <w:sz w:val="28"/>
          <w:sz w:val="28"/>
          <w:szCs w:val="28"/>
          <w:rtl w:val="true"/>
          <w:lang w:bidi="ar-SA"/>
        </w:rPr>
        <w:t xml:space="preserve">، وصحيحتي بكير ، ومحمّد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يشك بعد ما يتوضّأ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حين ما يتوضّأ أذكر منه حين يشك </w:t>
      </w:r>
      <w:r>
        <w:rPr>
          <w:rFonts w:eastAsia="Amiri" w:cs="Amiri" w:ascii="Amiri" w:hAnsi="Amiri"/>
          <w:color w:val="111111"/>
          <w:sz w:val="28"/>
          <w:szCs w:val="28"/>
          <w:rtl w:val="true"/>
          <w:lang w:bidi="ar-SA"/>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شك في الوضوء بعد ما فرغ من الصلاة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يمضي على صلاته ولا يعيد </w:t>
      </w:r>
      <w:r>
        <w:rPr>
          <w:rFonts w:eastAsia="Amiri" w:cs="Amiri" w:ascii="Amiri" w:hAnsi="Amiri"/>
          <w:color w:val="111111"/>
          <w:sz w:val="28"/>
          <w:szCs w:val="28"/>
          <w:rtl w:val="true"/>
          <w:lang w:bidi="ar-SA"/>
        </w:rPr>
        <w:t xml:space="preserve">»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تضمّنته صحيحة زرارة الأولى من المسح عند الشك بعد الفراغ لو وجد البلل ، فهو بالإجماع ليس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والمعتبر في الحكم إنّما هو إتمام الوضوء دون الانصراف من الحالة المتحقّقة حين الوضوء من القيام أو الجلوس ، على الأشهر الأظهر ، كما صرّح به جمع ممّن تأخّر </w:t>
      </w:r>
      <w:r>
        <w:rPr>
          <w:rStyle w:val="FootnoteAnchor"/>
          <w:rtl w:val="true"/>
        </w:rPr>
        <w:footnoteReference w:id="1256"/>
      </w:r>
      <w:r>
        <w:rPr>
          <w:rFonts w:ascii="Amiri" w:hAnsi="Amiri" w:eastAsia="Amiri" w:cs="Amiri"/>
          <w:color w:val="111111"/>
          <w:sz w:val="28"/>
          <w:sz w:val="28"/>
          <w:szCs w:val="28"/>
          <w:rtl w:val="true"/>
          <w:lang w:bidi="ar-SA"/>
        </w:rPr>
        <w:t xml:space="preserve">، بل في المدارك وعن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1257"/>
      </w:r>
      <w:r>
        <w:rPr>
          <w:rFonts w:ascii="Amiri" w:hAnsi="Amiri" w:eastAsia="Amiri" w:cs="Amiri"/>
          <w:color w:val="111111"/>
          <w:sz w:val="28"/>
          <w:sz w:val="28"/>
          <w:szCs w:val="28"/>
          <w:rtl w:val="true"/>
          <w:lang w:bidi="ar-SA"/>
        </w:rPr>
        <w:t>، للموثّقتين ، والصحيحتين المتعقّبتين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تنافيها صحيحة زرارة الأولى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مفهوم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قاعدا على وضوئك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المراد منه الاشتغال </w:t>
      </w:r>
    </w:p>
    <w:p>
      <w:pPr>
        <w:pStyle w:val="BookText"/>
        <w:rPr/>
      </w:pPr>
      <w:r>
        <w:rPr>
          <w:rFonts w:ascii="Amiri" w:hAnsi="Amiri" w:eastAsia="Amiri" w:cs="Amiri"/>
          <w:color w:val="111111"/>
          <w:sz w:val="28"/>
          <w:sz w:val="28"/>
          <w:szCs w:val="28"/>
          <w:rtl w:val="true"/>
          <w:lang w:bidi="ar-SA"/>
        </w:rPr>
        <w:t>بقرينة التعدية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ولظهور عدم اعتبار القعود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مفهومه لو اعتبر ، لكان مدلوله أنه لو توضّأ فإنّما لم يكن الحكم كذلك ،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لو أريد منه ظاهره لاحتاج إلى تجوّزات ليست أولى من الحمل على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منطوق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دمت في حال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فلاحتمال كون الإضافة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مفهوم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معنى القيام من شي‌ء الفراغ منه ، ولو سلّم ، فيحتاج إلى تجوّز وتخصيص ليس بأولى من حمله على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ضعف قول من اشترط القيام من الوضوء ولو تقديرا ، مستندا إلى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إتمام الوضوء والفراغ منه إنّما يتحقّق بإكمال العضو الأخير منه ولو لم يدخل بعد في فعل آخر ، فلا يلتفت إلى الشك بمجرده إذا كان الشك في غير العضو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فيه فعدم الالتفات إليه إنّما هو بالإعراض عن الوضوء ، أو الدخول في فعل آخر غير الوضوء ، فإنه لا يلتفت حينئذ ، لصدق الفراغ ، والخروج ، والدخول في الغير ، والمضي ، وبعد التوضّؤ ، المعلّق على كلّ منها الحكم فيما تقدّم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لم يتحقّق الإعراض ولا الدخول في فعل آخر فيجب الإتيان به ، لعدم القطع بالفراغ والإتمام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غسل أحد المخرجين عمدا وصلّى ، أعاد الصلاة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تركه نسيانا على الأظهر ، وفاقا للأكثر ، كما صرّح به جماعة </w:t>
      </w:r>
      <w:r>
        <w:rPr>
          <w:rStyle w:val="FootnoteAnchor"/>
          <w:rtl w:val="true"/>
        </w:rPr>
        <w:footnoteReference w:id="1259"/>
      </w:r>
      <w:r>
        <w:rPr>
          <w:rFonts w:ascii="Amiri" w:hAnsi="Amiri" w:eastAsia="Amiri" w:cs="Amiri"/>
          <w:color w:val="111111"/>
          <w:sz w:val="28"/>
          <w:sz w:val="28"/>
          <w:szCs w:val="28"/>
          <w:rtl w:val="true"/>
          <w:lang w:bidi="ar-SA"/>
        </w:rPr>
        <w:t>، للمستفيضة كصحيحتي زرارة ، وابن أبي نصر ، ومرسلة ابن بكير ،ة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الواردة في مخرج البول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توضّأت يوما ولم أغسل ذكري ثمَّ صلّيت ، فسألت أبا عبد اللّه عليه السلام عن 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ذكرك وأعد صلاتك </w:t>
      </w:r>
      <w:r>
        <w:rPr>
          <w:rFonts w:eastAsia="Amiri" w:cs="Amiri" w:ascii="Amiri" w:hAnsi="Amiri"/>
          <w:color w:val="111111"/>
          <w:sz w:val="28"/>
          <w:szCs w:val="28"/>
          <w:rtl w:val="true"/>
          <w:lang w:bidi="ar-SA"/>
        </w:rPr>
        <w:t xml:space="preserve">»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أبول وأتوضّأ وأنسى استنجائي ثمَّ أذكر بعد ما صلّيت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ذكرك وأعد صلاتك ولا تعد وضوءك </w:t>
      </w:r>
      <w:r>
        <w:rPr>
          <w:rFonts w:eastAsia="Amiri" w:cs="Amiri" w:ascii="Amiri" w:hAnsi="Amiri"/>
          <w:color w:val="111111"/>
          <w:sz w:val="28"/>
          <w:szCs w:val="28"/>
          <w:rtl w:val="true"/>
          <w:lang w:bidi="ar-SA"/>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يبول وينسى أن يغسل ذكره حتى يتوضّأ ويصلّي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ذكره ويعيد الصلاة ولا يعيد الوضوء </w:t>
      </w:r>
      <w:r>
        <w:rPr>
          <w:rFonts w:eastAsia="Amiri" w:cs="Amiri" w:ascii="Amiri" w:hAnsi="Amiri"/>
          <w:color w:val="111111"/>
          <w:sz w:val="28"/>
          <w:szCs w:val="28"/>
          <w:rtl w:val="true"/>
          <w:lang w:bidi="ar-SA"/>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 الواردة في البول والغائط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دخلت الغائط فقضيت الحاجة فلم تهرق الماء ، ثمَّ توضّأت ونسيت أن تستنجي ، فذكرت بعد ما صلّيت ، فعليك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أهرقت الماء فنسيت أن تغسل ذكرك حتى صلّيت ، فعليك إعادة الوضوء والصلاة وغسل ذكرك ، لأنّ البول مثل البراز </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بعض نسخ الكافي كما نقله بعض الأجلّة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مثل البراز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قوله 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فعليك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احتمل إرادة إعادة الوضوء أو مع الصلاة الموجبة للحمل على الاستحباب ، لعدم وجوب إعادة الوضوء عند جلّ الأصحاب ، إلاّ أنّ أصالة الحقيقة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الوجوب المختص بالصلاة تعيّن الحمل على إرادة إعادة الصلاة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في وجوب إعادتها في البول ضمّ إعادة الوضوء المستحبة مع الصلاة في قوله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w:t>
      </w:r>
      <w:r>
        <w:rPr>
          <w:rFonts w:eastAsia="Amiri" w:cs="Amiri" w:ascii="Amiri" w:hAnsi="Amiri"/>
          <w:color w:val="111111"/>
          <w:sz w:val="28"/>
          <w:szCs w:val="28"/>
          <w:rtl w:val="true"/>
          <w:lang w:bidi="ar-SA"/>
        </w:rPr>
        <w:t xml:space="preserve">.. » ] </w:t>
      </w:r>
      <w:r>
        <w:rPr>
          <w:rStyle w:val="FootnoteAnchor"/>
          <w:rtl w:val="true"/>
        </w:rPr>
        <w:footnoteReference w:id="1264"/>
      </w:r>
      <w:r>
        <w:rPr>
          <w:rFonts w:ascii="Amiri" w:hAnsi="Amiri" w:eastAsia="Amiri" w:cs="Amiri"/>
          <w:color w:val="111111"/>
          <w:sz w:val="28"/>
          <w:sz w:val="28"/>
          <w:szCs w:val="28"/>
          <w:rtl w:val="true"/>
          <w:lang w:bidi="ar-SA"/>
        </w:rPr>
        <w:t>إذ إرادة مطلق الرجحان في موضع مجازا بقرينة لا تنافي الوجوب الثابت بدليل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لا يضرّ في وجوب إعادتها في الغائط أيضا جعله مثل البول ، لتحقّق المماثلة في مطلق الرجحان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للمنقول عن العماني ، فلم يوجب الإعادة مطلقا </w:t>
      </w:r>
      <w:r>
        <w:rPr>
          <w:rStyle w:val="FootnoteAnchor"/>
          <w:rtl w:val="true"/>
        </w:rPr>
        <w:footnoteReference w:id="1265"/>
      </w:r>
      <w:r>
        <w:rPr>
          <w:rFonts w:ascii="Amiri" w:hAnsi="Amiri" w:eastAsia="Amiri" w:cs="Amiri"/>
          <w:color w:val="111111"/>
          <w:sz w:val="28"/>
          <w:sz w:val="28"/>
          <w:szCs w:val="28"/>
          <w:rtl w:val="true"/>
          <w:lang w:bidi="ar-SA"/>
        </w:rPr>
        <w:t>، بل جعلها أولى بحمل رواياتها على الأولوية ، لمعارضة أخبار الإعادة في البول مع خبري ابن أبي نصر وهشام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فذكرت أنّي لم أغسل ذكري بعد ما صليت أفأعيد؟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يتوضّأ وينسى غسل ذكره وقد بال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ذكره ولا يعيد الصلاة </w:t>
      </w:r>
      <w:r>
        <w:rPr>
          <w:rFonts w:eastAsia="Amiri" w:cs="Amiri" w:ascii="Amiri" w:hAnsi="Amiri"/>
          <w:color w:val="111111"/>
          <w:sz w:val="28"/>
          <w:szCs w:val="28"/>
          <w:rtl w:val="true"/>
          <w:lang w:bidi="ar-SA"/>
        </w:rPr>
        <w:t xml:space="preserve">»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الغائط مع صحيحة علي وموثّقة عمّار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ذكر وهو في صلاته أنّه لم يستنج من الخلاء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ينصرف ويستنجي من الخلاء ويعيد الصلاة ، وإن ذكر وقد فرغ من صلاته ، أجزأه ذلك ولا إعادة عليه </w:t>
      </w:r>
      <w:r>
        <w:rPr>
          <w:rFonts w:eastAsia="Amiri" w:cs="Amiri" w:ascii="Amiri" w:hAnsi="Amiri"/>
          <w:color w:val="111111"/>
          <w:sz w:val="28"/>
          <w:szCs w:val="28"/>
          <w:rtl w:val="true"/>
          <w:lang w:bidi="ar-SA"/>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رجلا نسي أن يستنجي من الغائط حتى يصلّي لم يعد الصلاة </w:t>
      </w:r>
      <w:r>
        <w:rPr>
          <w:rFonts w:eastAsia="Amiri" w:cs="Amiri" w:ascii="Amiri" w:hAnsi="Amiri"/>
          <w:color w:val="111111"/>
          <w:sz w:val="28"/>
          <w:szCs w:val="28"/>
          <w:rtl w:val="true"/>
          <w:lang w:bidi="ar-SA"/>
        </w:rPr>
        <w:t xml:space="preserve">»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شاذة ، ولشهرة القدماء مخالفة ، فعن درجة الحجية خارجة ، فللتعارض مع ما مرّ غير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وللفقيه </w:t>
      </w:r>
      <w:r>
        <w:rPr>
          <w:rStyle w:val="FootnoteAnchor"/>
          <w:rtl w:val="true"/>
        </w:rPr>
        <w:footnoteReference w:id="1270"/>
      </w:r>
      <w:r>
        <w:rPr>
          <w:rFonts w:ascii="Amiri" w:hAnsi="Amiri" w:eastAsia="Amiri" w:cs="Amiri"/>
          <w:color w:val="111111"/>
          <w:sz w:val="28"/>
          <w:sz w:val="28"/>
          <w:szCs w:val="28"/>
          <w:rtl w:val="true"/>
          <w:lang w:bidi="ar-SA"/>
        </w:rPr>
        <w:t xml:space="preserve">ووالدي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غسل الغائط خاصة ، فلم يوجبا في تركه الإعادة ، للأخيرتين الخاليتين عن المعارض ، إذ ليس إلاّ موثّقة سماعة </w:t>
      </w:r>
      <w:r>
        <w:rPr>
          <w:rStyle w:val="FootnoteAnchor"/>
          <w:rtl w:val="true"/>
        </w:rPr>
        <w:footnoteReference w:id="1271"/>
      </w:r>
      <w:r>
        <w:rPr>
          <w:rFonts w:ascii="Amiri" w:hAnsi="Amiri" w:eastAsia="Amiri" w:cs="Amiri"/>
          <w:color w:val="111111"/>
          <w:sz w:val="28"/>
          <w:sz w:val="28"/>
          <w:szCs w:val="28"/>
          <w:rtl w:val="true"/>
          <w:lang w:bidi="ar-SA"/>
        </w:rPr>
        <w:t>، وهي ضعيفة الدلالة ، لما مرّت إليه آنفا الإشارة ، سيما على نسخة نفي المماثلة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الأخيرتان بما مرّ من الشذوذ والمخالفة ، ويقوى ضعف دلالة الموثّقة بما ذكرناه ثمة ، وعدم حجية في النفي المذكور لاختلاف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وللإسكافي فيه وفي غسل البول في خارج الوقت ، فلم يوجب الإعادة ، وخصها بالوقت في ترك غسل مخرج البول </w:t>
      </w:r>
      <w:r>
        <w:rPr>
          <w:rStyle w:val="FootnoteAnchor"/>
          <w:rtl w:val="true"/>
        </w:rPr>
        <w:footnoteReference w:id="1272"/>
      </w:r>
      <w:r>
        <w:rPr>
          <w:rFonts w:ascii="Amiri" w:hAnsi="Amiri" w:eastAsia="Amiri" w:cs="Amiri"/>
          <w:color w:val="111111"/>
          <w:sz w:val="28"/>
          <w:sz w:val="28"/>
          <w:szCs w:val="28"/>
          <w:rtl w:val="true"/>
          <w:lang w:bidi="ar-SA"/>
        </w:rPr>
        <w:t>، ولعل المخالفة الأولى لمثل ما مر للصدوق مع جوابه ، والثانية للجمع بين الأخبار المضعف بما مرّ مع عدم الشاهد</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وللمقنع ، فخصّ الإعادة بالوقت لمن تمسح بالأحجار خاصة دون خارجه وغير المتمسّح </w:t>
      </w:r>
      <w:r>
        <w:rPr>
          <w:rStyle w:val="FootnoteAnchor"/>
          <w:rtl w:val="true"/>
        </w:rPr>
        <w:footnoteReference w:id="1273"/>
      </w:r>
      <w:r>
        <w:rPr>
          <w:rFonts w:ascii="Amiri" w:hAnsi="Amiri" w:eastAsia="Amiri" w:cs="Amiri"/>
          <w:color w:val="111111"/>
          <w:sz w:val="28"/>
          <w:sz w:val="28"/>
          <w:szCs w:val="28"/>
          <w:rtl w:val="true"/>
          <w:lang w:bidi="ar-SA"/>
        </w:rPr>
        <w:t xml:space="preserve">، لموثّقة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نسي أن يغسل دبره بالماء حتى صلّى إلاّ أنه قد تمسّح بثلاثة أحجار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في وقت تلك الصلاة فليعد الوضوء وليعد الصلاة ، وإن كان قد مضى وقت تلك الصلاة التي صلّى فقد جازت صلاته </w:t>
      </w:r>
    </w:p>
    <w:p>
      <w:pPr>
        <w:pStyle w:val="BookText"/>
        <w:rPr/>
      </w:pPr>
      <w:r>
        <w:rPr>
          <w:rFonts w:ascii="Amiri" w:hAnsi="Amiri" w:eastAsia="Amiri" w:cs="Amiri"/>
          <w:color w:val="111111"/>
          <w:sz w:val="28"/>
          <w:sz w:val="28"/>
          <w:szCs w:val="28"/>
          <w:rtl w:val="true"/>
          <w:lang w:bidi="ar-SA"/>
        </w:rPr>
        <w:t xml:space="preserve">وليتوضّأ لما يستقبل </w:t>
      </w:r>
      <w:r>
        <w:rPr>
          <w:rFonts w:eastAsia="Amiri" w:cs="Amiri" w:ascii="Amiri" w:hAnsi="Amiri"/>
          <w:color w:val="111111"/>
          <w:sz w:val="28"/>
          <w:szCs w:val="28"/>
          <w:rtl w:val="true"/>
          <w:lang w:bidi="ar-SA"/>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هذا الخبر عن المورد خارج ، وحمله على الاستحباب لازم ، لكفاية التمسّح بالأحجار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هذه المسألة ليست عين مسألة الصلاة مع نجاسة الثوب أو البدن ، كما توهّم </w:t>
      </w:r>
      <w:r>
        <w:rPr>
          <w:rStyle w:val="FootnoteAnchor"/>
          <w:rtl w:val="true"/>
        </w:rPr>
        <w:footnoteReference w:id="1275"/>
      </w:r>
      <w:r>
        <w:rPr>
          <w:rFonts w:ascii="Amiri" w:hAnsi="Amiri" w:eastAsia="Amiri" w:cs="Amiri"/>
          <w:color w:val="111111"/>
          <w:sz w:val="28"/>
          <w:sz w:val="28"/>
          <w:szCs w:val="28"/>
          <w:rtl w:val="true"/>
          <w:lang w:bidi="ar-SA"/>
        </w:rPr>
        <w:t>، بل هذه غيرها كما صرّح به والدي وغيره ، ويدلّ عليه تفاوت أقوالهم في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والجهل بالأصل أو الحكم كالنسيان ، لترك الاستفصال في الصحيحة الأولى </w:t>
      </w:r>
      <w:r>
        <w:rPr>
          <w:rStyle w:val="FootnoteAnchor"/>
          <w:rtl w:val="true"/>
        </w:rPr>
        <w:footnoteReference w:id="1276"/>
      </w:r>
      <w:r>
        <w:rPr>
          <w:rFonts w:ascii="Amiri" w:hAnsi="Amiri" w:eastAsia="Amiri" w:cs="Amiri"/>
          <w:color w:val="111111"/>
          <w:sz w:val="28"/>
          <w:sz w:val="28"/>
          <w:szCs w:val="28"/>
          <w:rtl w:val="true"/>
          <w:lang w:bidi="ar-SA"/>
        </w:rPr>
        <w:t>، بضميمة الإجماع المركّب في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تحقّقه في نفس المورد أيضا ، لعدم فصل أحد بين الجهل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تجب إعادة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لنادر </w:t>
      </w:r>
      <w:r>
        <w:rPr>
          <w:rStyle w:val="FootnoteAnchor"/>
          <w:rtl w:val="true"/>
        </w:rPr>
        <w:footnoteReference w:id="1277"/>
      </w:r>
      <w:r>
        <w:rPr>
          <w:rFonts w:ascii="IRNazanin" w:hAnsi="IRNazanin" w:eastAsia="IRNazanin"/>
          <w:color w:val="111111"/>
          <w:sz w:val="28"/>
          <w:sz w:val="28"/>
          <w:szCs w:val="28"/>
          <w:rtl w:val="true"/>
          <w:lang w:bidi="fa-IR"/>
        </w:rPr>
        <w:t xml:space="preserve">، لبعض الأخبار </w:t>
      </w:r>
      <w:r>
        <w:rPr>
          <w:rStyle w:val="FootnoteAnchor"/>
          <w:rtl w:val="true"/>
        </w:rPr>
        <w:footnoteReference w:id="1278"/>
      </w:r>
      <w:r>
        <w:rPr>
          <w:rFonts w:ascii="Amiri" w:hAnsi="Amiri" w:eastAsia="Amiri" w:cs="Amiri"/>
          <w:color w:val="111111"/>
          <w:sz w:val="28"/>
          <w:sz w:val="28"/>
          <w:szCs w:val="28"/>
          <w:rtl w:val="true"/>
          <w:lang w:bidi="ar-SA"/>
        </w:rPr>
        <w:t>المعارض بأكثر منه ، المرجوح عنه بالشذوذ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ترك واجب من الوضوء بعد الصلاة أعادهما ، للأصل ، وموثّقة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نسي مسح رأسه أو قدميه أو شيئا من الوضوء ، كان عليه إعادة الوضوء والصلاة </w:t>
      </w:r>
      <w:r>
        <w:rPr>
          <w:rFonts w:eastAsia="Amiri" w:cs="Amiri" w:ascii="Amiri" w:hAnsi="Amiri"/>
          <w:color w:val="111111"/>
          <w:sz w:val="28"/>
          <w:szCs w:val="28"/>
          <w:rtl w:val="true"/>
          <w:lang w:bidi="ar-SA"/>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ذكر في أثنائها ، قطعها واستأنفها بعد إعادته لو جفّ ، للمستفيضة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توضّأ وضوءين وصلّى بعدهما ، ثمَّ ذكر خللا في أحدهما ، صحّت صلاته مطلقا على الأقوى ، لصحة أحد الوضوءين الكافية في </w:t>
      </w:r>
    </w:p>
    <w:p>
      <w:pPr>
        <w:pStyle w:val="BookText"/>
        <w:rPr/>
      </w:pPr>
      <w:r>
        <w:rPr>
          <w:rFonts w:ascii="Amiri" w:hAnsi="Amiri" w:eastAsia="Amiri" w:cs="Amiri"/>
          <w:color w:val="111111"/>
          <w:sz w:val="28"/>
          <w:sz w:val="28"/>
          <w:szCs w:val="28"/>
          <w:rtl w:val="true"/>
          <w:lang w:bidi="ar-SA"/>
        </w:rPr>
        <w:t>صحة الصلاة مطلقا ، على المختار من كفاية نية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يندفع استصحاب حكم الحدث السابق في بعض الاحتمالات ، حيث لا قطع بالمزيل ، لاحتمال الخلل في الأوّل ، وعدم صحة الثاني ، لعدم </w:t>
      </w:r>
      <w:r>
        <w:rPr>
          <w:rStyle w:val="FootnoteAnchor"/>
          <w:rtl w:val="true"/>
        </w:rPr>
        <w:footnoteReference w:id="1281"/>
      </w:r>
      <w:r>
        <w:rPr>
          <w:rFonts w:ascii="Amiri" w:hAnsi="Amiri" w:eastAsia="Amiri" w:cs="Amiri"/>
          <w:color w:val="111111"/>
          <w:sz w:val="28"/>
          <w:sz w:val="28"/>
          <w:szCs w:val="28"/>
          <w:rtl w:val="true"/>
          <w:lang w:bidi="ar-SA"/>
        </w:rPr>
        <w:t>اشتماله على ما يشترط في النية ، لمنع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بأنه لو أوقعهما أو أحدهما بنية الندب مع ظهور الوجوب لم يصح ، لعدم شرعية المندوب مع الشغل بالواجب </w:t>
      </w:r>
      <w:r>
        <w:rPr>
          <w:rStyle w:val="FootnoteAnchor"/>
          <w:rtl w:val="true"/>
        </w:rPr>
        <w:footnoteReference w:id="1282"/>
      </w:r>
      <w:r>
        <w:rPr>
          <w:rFonts w:ascii="Amiri" w:hAnsi="Amiri" w:eastAsia="Amiri" w:cs="Amiri"/>
          <w:color w:val="111111"/>
          <w:sz w:val="28"/>
          <w:sz w:val="28"/>
          <w:szCs w:val="28"/>
          <w:rtl w:val="true"/>
          <w:lang w:bidi="ar-SA"/>
        </w:rPr>
        <w:t xml:space="preserve">،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ذلك ، مع أنّ مناط التكليف هو اعتقاد المكلّف دون الواقع ، فهو عليه مندوب حين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يندفع ما يستشكل به على بعض صور المسألة على اعتبار نية الوجه أو الاستباحة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بطلان الأخير باعتبار عدم وقوعه على وجهه المعتبر ، أو عدم كونه مبيحا ، لعدم قصد الإباحة فيه ، يكفي صحة الأولى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عبرة باحتمال كون الخلل فيه ، لكونه شكّا بعد الفراغ ، فتشمله أخبار عدم اعتبار الشك حينئذ ، كما اختاره في البشرى </w:t>
      </w:r>
      <w:r>
        <w:rPr>
          <w:rStyle w:val="FootnoteAnchor"/>
          <w:rtl w:val="true"/>
        </w:rPr>
        <w:footnoteReference w:id="1283"/>
      </w:r>
      <w:r>
        <w:rPr>
          <w:rFonts w:ascii="IRNazanin" w:hAnsi="IRNazanin" w:eastAsia="IRNazanin"/>
          <w:color w:val="111111"/>
          <w:sz w:val="28"/>
          <w:sz w:val="28"/>
          <w:szCs w:val="28"/>
          <w:rtl w:val="true"/>
          <w:lang w:bidi="fa-IR"/>
        </w:rPr>
        <w:t xml:space="preserve">، والمنتهى </w:t>
      </w:r>
      <w:r>
        <w:rPr>
          <w:rStyle w:val="FootnoteAnchor"/>
          <w:rtl w:val="true"/>
        </w:rPr>
        <w:footnoteReference w:id="1284"/>
      </w:r>
      <w:r>
        <w:rPr>
          <w:rFonts w:ascii="Amiri" w:hAnsi="Amiri" w:eastAsia="Amiri" w:cs="Amiri"/>
          <w:color w:val="111111"/>
          <w:sz w:val="28"/>
          <w:sz w:val="28"/>
          <w:szCs w:val="28"/>
          <w:rtl w:val="true"/>
          <w:lang w:bidi="ar-SA"/>
        </w:rPr>
        <w:t xml:space="preserve">، وبعض الأجلّة من المتأخّرين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والقطع بترك في أحدهما لا يوجب القطع بالترك في خصوص أحدهما ولا يخرجه عن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تبادر غير مثل ذلك عن إخباره ممنوعة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أنّه لو صلّى بكلّ واحدة صلاة ، صحّت الصلاتان معا مطلقا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وادّعى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الوفاق على إعادة الأولى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عندي غير </w:t>
      </w:r>
      <w:bookmarkStart w:id="81" w:name="pg11612_110877"/>
    </w:p>
    <w:p>
      <w:pPr>
        <w:pStyle w:val="BookText"/>
        <w:rPr/>
      </w:pPr>
      <w:bookmarkEnd w:id="81"/>
      <w:r>
        <w:rPr>
          <w:rFonts w:ascii="Amiri" w:hAnsi="Amiri" w:eastAsia="Amiri" w:cs="Amiri"/>
          <w:color w:val="111111"/>
          <w:sz w:val="28"/>
          <w:sz w:val="28"/>
          <w:szCs w:val="28"/>
          <w:rtl w:val="true"/>
          <w:lang w:bidi="ar-SA"/>
        </w:rPr>
        <w:t xml:space="preserve">ثابت ، بل يظهر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ثبوته عنده وإرادته </w:t>
      </w:r>
      <w:r>
        <w:rPr>
          <w:rStyle w:val="FootnoteAnchor"/>
          <w:rtl w:val="true"/>
        </w:rPr>
        <w:footnoteReference w:id="1286"/>
      </w:r>
      <w:r>
        <w:rPr>
          <w:rFonts w:ascii="Amiri" w:hAnsi="Amiri" w:eastAsia="Amiri" w:cs="Amiri"/>
          <w:color w:val="111111"/>
          <w:sz w:val="28"/>
          <w:sz w:val="28"/>
          <w:szCs w:val="28"/>
          <w:rtl w:val="true"/>
          <w:lang w:bidi="ar-SA"/>
        </w:rPr>
        <w:t>السكوتي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الالتفات إلى الشك بعد الفراغ أصل ثابت من نصوصه ، فلا يلتفت إليه بالنسبة إلى شي‌ء من الوضوءين ، نظير وجدان المني في الثوب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فرض توقّف أمر على الوضوءين معا ، جاء بطلانه ، ولكنه غير متحقّق ، بل يكفي صحة الأول خاصة لصحة الصلاتين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الثاني غير مضرّ بعد صحة الأوّل في صحة الصلاة مطلقا ، والأوّل محكوم بالصحة للفراغ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الحكم لو علم الخلل في طهارتين من ثلاث ، أو ثلاث من أربع أو أربع من خمس</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5524365_73709187"/>
      <w:bookmarkStart w:id="83" w:name="_Toc31"/>
      <w:bookmarkEnd w:id="82"/>
      <w:r>
        <w:rPr>
          <w:rtl w:val="true"/>
        </w:rPr>
        <w:t xml:space="preserve">فرع </w:t>
      </w:r>
      <w:r>
        <w:rPr>
          <w:rtl w:val="true"/>
        </w:rPr>
        <w:t>:</w:t>
      </w:r>
      <w:bookmarkEnd w:id="83"/>
    </w:p>
    <w:p>
      <w:pPr>
        <w:pStyle w:val="BookText"/>
        <w:rPr/>
      </w:pPr>
      <w:r>
        <w:rPr>
          <w:rFonts w:ascii="Amiri" w:hAnsi="Amiri" w:eastAsia="Amiri" w:cs="Amiri"/>
          <w:color w:val="111111"/>
          <w:sz w:val="28"/>
          <w:sz w:val="28"/>
          <w:szCs w:val="28"/>
          <w:rtl w:val="true"/>
          <w:lang w:bidi="ar-SA"/>
        </w:rPr>
        <w:t>لو صلى بكلّ منهما صلاة وتيقّن الحدث بعد واحدة من الطهارتين ، تجب عليه الطهارة للصلاة اللاحقة مطلقا ، لأنه متيقّن بالحدث والوضوء الشاك في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الصلاتان السابقتان فإن علم أنّ الحدث عقيب الصلاة ، صحّت الصلاتان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شك أنه قبلها أو بعدها ، فمقتضى قاعدة استصحاب شغل الذمة بكلّ من الصلاتين ، واستصحاب عدم امتثاله وعدم الإتيان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إعادتهما معا ، كما عليه الأكثر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مقتضى قاعدة عدم الالتفات إلى الشك بعد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صحتهما معا ، كما جوزه بعض الأجلّة </w:t>
      </w:r>
      <w:r>
        <w:rPr>
          <w:rStyle w:val="FootnoteAnchor"/>
          <w:rtl w:val="true"/>
        </w:rPr>
        <w:footnoteReference w:id="1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 لاندفاع الأصول الاستصحابية به ، وعدم </w:t>
      </w:r>
    </w:p>
    <w:p>
      <w:pPr>
        <w:pStyle w:val="BookText"/>
        <w:rPr/>
      </w:pPr>
      <w:r>
        <w:rPr>
          <w:rFonts w:ascii="Amiri" w:hAnsi="Amiri" w:eastAsia="Amiri" w:cs="Amiri"/>
          <w:color w:val="111111"/>
          <w:sz w:val="28"/>
          <w:sz w:val="28"/>
          <w:szCs w:val="28"/>
          <w:rtl w:val="true"/>
          <w:lang w:bidi="ar-SA"/>
        </w:rPr>
        <w:t>تحقّق دليل ولا ثبوت 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أنه قبل الصلاة ، فيعيدهما معا ، لأنّ هنا شكّا في البطلان متعلّقا بكلّ من الصلاتين ، وقطعا فيه متعلّقا بواحد لا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وإن لم يلتفت إليه لكونه بعد الفراغ ، ولكن الثاني لكونه قطعا يلتفت إليه قطعا ، نظير ثلاثة أوان مشتبهة ، واحد منها نجس ، فيجتنب عن الكلّ وإن لم يجتنب عن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فاللازم النظر فيما يستتبع ذلك القطع ، ومقتضاه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الصلاتين ، لأنّه مقتض للقطع باشتغال الذمة بصلاة معيّنة واقعا وإن لم يعلمها بعينها ، ولا يحصل القطع بالبراءة بفعل واحد منهما ، فيستصحب ذلك الاشتغال حتى يأتي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ما إذا علم أنّه قبلها ما لو علم وقت الحدث بعينه دون الصلاة ، فبحكم أصالة تأخّر الحادث يحكم بتأخّر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كانت الصلاتان مختلفتين عددا ، أتى بهما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اتّفقتا ، فالأظهر الموافق لقول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يأتي بواحدة ناويا له ما في الذمة ، لأصالة البراءة عن الزائد ، لأنّ ما اشتغل به صلاة واحدة يقينا لا غير ، ولا دليل على الزائد إلاّ عدم تعيّنها في نظره ، وهو غير موجب للتعدّد بوجه ، ولا موجب له إلاّ عدم إمكان تعيّنها في النية ، وهو غير موجب لعدم لزومه ، إذ اشتراط التعيين لأجل التميّز وانطباق الفعل على المأمور به واقعا ، وهو هنا حاصل ، لاتّحاده وتعيّنه في الواقع وإن لم يتعيّن في نظر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الدالّ على الاجتزاء بالثلاث لمن نسي فريضة مجهولة من الخمس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وحسنة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نسيت الظهر حتى صلّيت العصر فذكرتها وأنت في الصلاة أو بعد فراغك فانوها الأولى ثمَّ صلّ العصر ، فإنما هي أربع مكان </w:t>
      </w:r>
    </w:p>
    <w:p>
      <w:pPr>
        <w:pStyle w:val="BookText"/>
        <w:rPr/>
      </w:pPr>
      <w:r>
        <w:rPr>
          <w:rFonts w:ascii="IRNazanin" w:hAnsi="IRNazanin" w:eastAsia="IRNazanin"/>
          <w:color w:val="111111"/>
          <w:sz w:val="28"/>
          <w:sz w:val="28"/>
          <w:szCs w:val="28"/>
          <w:rtl w:val="true"/>
          <w:lang w:bidi="fa-IR"/>
        </w:rPr>
        <w:t xml:space="preserve">أربع </w:t>
      </w:r>
      <w:r>
        <w:rPr>
          <w:rFonts w:eastAsia="IRNazanin" w:cs="IRNazanin"/>
          <w:color w:val="111111"/>
          <w:sz w:val="28"/>
          <w:szCs w:val="28"/>
          <w:rtl w:val="true"/>
          <w:lang w:bidi="fa-IR"/>
        </w:rPr>
        <w:t xml:space="preserve">»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للشيخ </w:t>
      </w:r>
      <w:r>
        <w:rPr>
          <w:rStyle w:val="FootnoteAnchor"/>
          <w:rtl w:val="true"/>
        </w:rPr>
        <w:footnoteReference w:id="1290"/>
      </w:r>
      <w:r>
        <w:rPr>
          <w:rFonts w:ascii="Amiri" w:hAnsi="Amiri" w:eastAsia="Amiri" w:cs="Amiri"/>
          <w:color w:val="111111"/>
          <w:sz w:val="28"/>
          <w:sz w:val="28"/>
          <w:szCs w:val="28"/>
          <w:rtl w:val="true"/>
          <w:lang w:bidi="ar-SA"/>
        </w:rPr>
        <w:t xml:space="preserve">والحلبيين </w:t>
      </w:r>
      <w:r>
        <w:rPr>
          <w:rStyle w:val="FootnoteAnchor"/>
          <w:rtl w:val="true"/>
        </w:rPr>
        <w:footnoteReference w:id="1291"/>
      </w:r>
      <w:r>
        <w:rPr>
          <w:rFonts w:ascii="Amiri" w:hAnsi="Amiri" w:eastAsia="Amiri" w:cs="Amiri"/>
          <w:color w:val="111111"/>
          <w:sz w:val="28"/>
          <w:sz w:val="28"/>
          <w:szCs w:val="28"/>
          <w:rtl w:val="true"/>
          <w:lang w:bidi="ar-SA"/>
        </w:rPr>
        <w:t xml:space="preserve">، فيعيد الصلاتين ، تحصيلا لليقين بالبراءة ، اعتبارا للجزم في النية ،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فاتته صلاة فليقضها كما فاتته </w:t>
      </w:r>
      <w:r>
        <w:rPr>
          <w:rFonts w:eastAsia="Amiri" w:cs="Amiri" w:ascii="Amiri" w:hAnsi="Amiri"/>
          <w:color w:val="111111"/>
          <w:sz w:val="28"/>
          <w:szCs w:val="28"/>
          <w:rtl w:val="true"/>
          <w:lang w:bidi="ar-SA"/>
        </w:rPr>
        <w:t xml:space="preserve">» </w:t>
      </w:r>
      <w:r>
        <w:rPr>
          <w:rStyle w:val="FootnoteAnchor"/>
          <w:rtl w:val="true"/>
        </w:rPr>
        <w:footnoteReference w:id="1292"/>
      </w:r>
      <w:r>
        <w:rPr>
          <w:rFonts w:ascii="Amiri" w:hAnsi="Amiri" w:eastAsia="Amiri" w:cs="Amiri"/>
          <w:color w:val="111111"/>
          <w:sz w:val="28"/>
          <w:sz w:val="28"/>
          <w:szCs w:val="28"/>
          <w:rtl w:val="true"/>
          <w:lang w:bidi="ar-SA"/>
        </w:rPr>
        <w:t>والفائتة كانت بنيّة معيّنة ، ومراعاة لاختلاف حالهما في الجهر والإخفات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الشغل ليس إلاّ بواحدة وقد فعلها ، فيحصل اليقين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ترديد في النية ، بل ينوي ما في الذمة ، وعدم علمه به غير ضائر ، ولو سلّم فلا ضرر في مثل هذا الترديد ، كما مرّ في بحث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فاتته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له ، إذا المتبادر منه أفعاله الخارجية ، مع أنه لم يجب التعيين في النية في الأصل أيضا إلاّ في صورة الاشتباه لأجل دفعه ، فكذا 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وجوب الجهر أو الإخفات هنا ، بل هو مخيّر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في المعتمد الوفاق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الجهر مثلا إنّما هو فيما يعلم أنّه عشاء ، وأمّا ما لا يعلم فلا دليل على وجوبه فيه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بما مرّ يعلم حال ما إذا أحدث حدثا واحدا عقيب ثلاث طهارات ، أو أربع ، أو خمس ، من المتمّم والمقصّر ، سواء كانت الكلّ تجديدية أو لا ، ولا ترتيب </w:t>
      </w:r>
    </w:p>
    <w:p>
      <w:pPr>
        <w:pStyle w:val="BookText"/>
        <w:rPr/>
      </w:pPr>
      <w:r>
        <w:rPr>
          <w:rFonts w:ascii="Amiri" w:hAnsi="Amiri" w:eastAsia="Amiri" w:cs="Amiri"/>
          <w:color w:val="111111"/>
          <w:sz w:val="28"/>
          <w:sz w:val="28"/>
          <w:szCs w:val="28"/>
          <w:rtl w:val="true"/>
          <w:lang w:bidi="ar-SA"/>
        </w:rPr>
        <w:t xml:space="preserve">أصلا ، لاتّحاد الفائتة ، ففي الخمس مثلا المتمّم يعيد ثلاثا </w:t>
      </w:r>
      <w:r>
        <w:rPr>
          <w:rStyle w:val="FootnoteAnchor"/>
          <w:rtl w:val="true"/>
        </w:rPr>
        <w:footnoteReference w:id="1293"/>
      </w:r>
      <w:r>
        <w:rPr>
          <w:rFonts w:ascii="Amiri" w:hAnsi="Amiri" w:eastAsia="Amiri" w:cs="Amiri"/>
          <w:color w:val="111111"/>
          <w:sz w:val="28"/>
          <w:sz w:val="28"/>
          <w:szCs w:val="28"/>
          <w:rtl w:val="true"/>
          <w:lang w:bidi="ar-SA"/>
        </w:rPr>
        <w:t xml:space="preserve">، والمقصّر اثنتين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علم فساد طهارتين من يوم قبل الصلاة ، فالمتمّم يعيد أربعا والمقصّر ثلاثا مع مراعاة الترتيب ، بأنّ يصلّي الأوّل ثنائية فرباعية فثلاثية فرباعية ، والثاني ثنائية فثلاثية فثنائية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فساد ثلاث من يوم أو أربع ، يجب الخمس في التمام والأربع في القصر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 يمكن استخراج حكم ما إذا علم فساد الطهارتين أو أكثر من أكثر من يوم متمّما كان أو مقصّرا أو متبعّضا أو مشتبها عليه الحال</w:t>
      </w:r>
      <w:r>
        <w:rPr>
          <w:rFonts w:eastAsia="Amiri" w:cs="Amiri" w:ascii="Amiri" w:hAnsi="Amiri"/>
          <w:color w:val="111111"/>
          <w:sz w:val="28"/>
          <w:szCs w:val="28"/>
          <w:rtl w:val="true"/>
          <w:lang w:bidi="ar-SA"/>
        </w:rPr>
        <w:t xml:space="preserve">. </w:t>
      </w:r>
      <w:bookmarkStart w:id="84" w:name="pg11612_110881"/>
    </w:p>
    <w:p>
      <w:pPr>
        <w:pStyle w:val="Heading2"/>
        <w:numPr>
          <w:ilvl w:val="1"/>
          <w:numId w:val="1"/>
        </w:numPr>
        <w:rPr/>
      </w:pPr>
      <w:bookmarkStart w:id="85" w:name="__RefHeading___Toc5524367_73709187"/>
      <w:bookmarkStart w:id="86" w:name="_Toc32"/>
      <w:bookmarkEnd w:id="84"/>
      <w:bookmarkEnd w:id="85"/>
      <w:r>
        <w:rPr>
          <w:rtl w:val="true"/>
        </w:rPr>
        <w:t xml:space="preserve">الباب الثاني </w:t>
      </w:r>
      <w:r>
        <w:rPr>
          <w:rtl w:val="true"/>
        </w:rPr>
        <w:t xml:space="preserve">: </w:t>
      </w:r>
      <w:r>
        <w:rPr>
          <w:rtl w:val="true"/>
        </w:rPr>
        <w:t>في الأغسال</w:t>
      </w:r>
      <w:bookmarkEnd w:id="86"/>
    </w:p>
    <w:p>
      <w:pPr>
        <w:pStyle w:val="Heading3"/>
        <w:numPr>
          <w:ilvl w:val="2"/>
          <w:numId w:val="1"/>
        </w:numPr>
        <w:rPr/>
      </w:pPr>
      <w:bookmarkStart w:id="87" w:name="__RefHeading___Toc5524369_73709187"/>
      <w:bookmarkStart w:id="88" w:name="_Toc33"/>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 xml:space="preserve">وهي واجبة ومندوبة ، فهنا مطلبان </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5524371_73709187"/>
      <w:bookmarkStart w:id="90" w:name="_Toc34"/>
      <w:bookmarkEnd w:id="89"/>
      <w:r>
        <w:rPr>
          <w:rtl w:val="true"/>
        </w:rPr>
        <w:t xml:space="preserve">المطلب الأوّل </w:t>
      </w:r>
      <w:r>
        <w:rPr>
          <w:rtl w:val="true"/>
        </w:rPr>
        <w:t xml:space="preserve">: </w:t>
      </w:r>
      <w:r>
        <w:rPr>
          <w:rtl w:val="true"/>
        </w:rPr>
        <w:t>في الواجبة منها</w:t>
      </w:r>
      <w:bookmarkEnd w:id="90"/>
    </w:p>
    <w:p>
      <w:pPr>
        <w:pStyle w:val="Heading4"/>
        <w:numPr>
          <w:ilvl w:val="3"/>
          <w:numId w:val="1"/>
        </w:numPr>
        <w:rPr/>
      </w:pPr>
      <w:bookmarkStart w:id="91" w:name="__RefHeading___Toc5524373_73709187"/>
      <w:bookmarkStart w:id="92" w:name="_Toc35"/>
      <w:bookmarkEnd w:id="91"/>
      <w:r>
        <w:rPr>
          <w:rtl w:val="true"/>
        </w:rPr>
        <w:t>اشارة</w:t>
      </w:r>
      <w:bookmarkEnd w:id="9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ستّة نذكر في فصول ستّة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11612_110883"/>
      <w:bookmarkStart w:id="94" w:name="pg11612_110883"/>
      <w:bookmarkEnd w:id="94"/>
    </w:p>
    <w:p>
      <w:pPr>
        <w:pStyle w:val="Heading4"/>
        <w:numPr>
          <w:ilvl w:val="3"/>
          <w:numId w:val="1"/>
        </w:numPr>
        <w:rPr/>
      </w:pPr>
      <w:bookmarkStart w:id="95" w:name="pg11612_110883"/>
      <w:bookmarkStart w:id="96" w:name="__RefHeading___Toc5524375_73709187"/>
      <w:bookmarkStart w:id="97" w:name="_Toc36"/>
      <w:bookmarkEnd w:id="95"/>
      <w:bookmarkEnd w:id="96"/>
      <w:r>
        <w:rPr>
          <w:rtl w:val="true"/>
        </w:rPr>
        <w:t xml:space="preserve">الفصل الأوّل </w:t>
      </w:r>
      <w:r>
        <w:rPr>
          <w:rtl w:val="true"/>
        </w:rPr>
        <w:t xml:space="preserve">: </w:t>
      </w:r>
      <w:r>
        <w:rPr>
          <w:rtl w:val="true"/>
        </w:rPr>
        <w:t>في غسل الجنابة</w:t>
      </w:r>
      <w:bookmarkEnd w:id="97"/>
    </w:p>
    <w:p>
      <w:pPr>
        <w:pStyle w:val="Heading5"/>
        <w:numPr>
          <w:ilvl w:val="4"/>
          <w:numId w:val="1"/>
        </w:numPr>
        <w:rPr/>
      </w:pPr>
      <w:bookmarkStart w:id="98" w:name="__RefHeading___Toc5524377_73709187"/>
      <w:bookmarkStart w:id="99" w:name="_Toc37"/>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 xml:space="preserve">والكلام فيه إما في سبب الجنابة ، أو أحكام الجنب ، أو غاية غسلها ، أو واجباته ، أو آدابه ، أو أحكامه ، ففيه أبحاث </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5524379_73709187"/>
      <w:bookmarkStart w:id="101" w:name="_Toc38"/>
      <w:bookmarkEnd w:id="100"/>
      <w:r>
        <w:rPr>
          <w:rtl w:val="true"/>
        </w:rPr>
        <w:t xml:space="preserve">البحث الأوّل </w:t>
      </w:r>
      <w:r>
        <w:rPr>
          <w:rtl w:val="true"/>
        </w:rPr>
        <w:t xml:space="preserve">: </w:t>
      </w:r>
      <w:r>
        <w:rPr>
          <w:rtl w:val="true"/>
        </w:rPr>
        <w:t>في سببها</w:t>
      </w:r>
      <w:bookmarkEnd w:id="101"/>
    </w:p>
    <w:p>
      <w:pPr>
        <w:pStyle w:val="Heading6"/>
        <w:numPr>
          <w:ilvl w:val="5"/>
          <w:numId w:val="1"/>
        </w:numPr>
        <w:rPr/>
      </w:pPr>
      <w:bookmarkStart w:id="102" w:name="__RefHeading___Toc5524381_73709187"/>
      <w:bookmarkStart w:id="103" w:name="_Toc39"/>
      <w:bookmarkEnd w:id="102"/>
      <w:r>
        <w:rPr>
          <w:rtl w:val="true"/>
        </w:rPr>
        <w:t>اشارة</w:t>
      </w:r>
      <w:bookmarkEnd w:id="103"/>
    </w:p>
    <w:p>
      <w:pPr>
        <w:pStyle w:val="BookText"/>
        <w:rPr/>
      </w:pPr>
      <w:r>
        <w:rPr>
          <w:rFonts w:ascii="IRNazanin" w:hAnsi="IRNazanin" w:eastAsia="IRNazanin"/>
          <w:color w:val="111111"/>
          <w:sz w:val="28"/>
          <w:sz w:val="28"/>
          <w:szCs w:val="28"/>
          <w:rtl w:val="true"/>
          <w:lang w:bidi="fa-IR"/>
        </w:rPr>
        <w:t xml:space="preserve">وهو أمران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أولا من بيان أنّ حقيقة المني هل هو الماء المسبوق بالشهوة المقارن للتلذّذ المعقب للفتور؟ بأن تكون تلك الأوصاف أجزاء حقيقته أو من لوازم ذاته ، كما صرّح بعض العامة </w:t>
      </w:r>
      <w:r>
        <w:rPr>
          <w:rStyle w:val="FootnoteAnchor"/>
          <w:rtl w:val="true"/>
        </w:rPr>
        <w:footnoteReference w:id="1295"/>
      </w:r>
      <w:r>
        <w:rPr>
          <w:rFonts w:ascii="Amiri" w:hAnsi="Amiri" w:eastAsia="Amiri" w:cs="Amiri"/>
          <w:color w:val="111111"/>
          <w:sz w:val="28"/>
          <w:sz w:val="28"/>
          <w:szCs w:val="28"/>
          <w:rtl w:val="true"/>
          <w:lang w:bidi="ar-SA"/>
        </w:rPr>
        <w:t xml:space="preserve">، وسمعته من بعض أرباب المعقول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المني إنّما يتكوّن في الأنثيين حال التلذّذ لأجله فيدفع ، ويشعر به كلام بعض فقهائنا المتأخّرين أيضا </w:t>
      </w:r>
      <w:r>
        <w:rPr>
          <w:rStyle w:val="FootnoteAnchor"/>
          <w:rtl w:val="true"/>
        </w:rPr>
        <w:footnoteReference w:id="1296"/>
      </w:r>
      <w:r>
        <w:rPr>
          <w:rFonts w:ascii="Amiri" w:hAnsi="Amiri" w:eastAsia="Amiri" w:cs="Amiri"/>
          <w:color w:val="111111"/>
          <w:sz w:val="28"/>
          <w:sz w:val="28"/>
          <w:szCs w:val="28"/>
          <w:rtl w:val="true"/>
          <w:lang w:bidi="ar-SA"/>
        </w:rPr>
        <w:t>، تمسّكا بالوجدان وبالأخبار النافية للغسل مع انتفائها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حقيقة معيّنة خارجة عنها تلك الأوصاف غير لازمة لها وإن كانت معروضة لها غالبا؟ كما هو الظاهر من كلام الأكثر ، لما دلّ على إمكان العلم بكون الخارج منيا بدون العلم بتلك الأوصاف ، كالأخبار الواردة فيمن وجد </w:t>
      </w:r>
      <w:r>
        <w:rPr>
          <w:rStyle w:val="FootnoteAnchor"/>
          <w:rtl w:val="true"/>
        </w:rPr>
        <w:footnoteReference w:id="1297"/>
      </w:r>
      <w:r>
        <w:rPr>
          <w:rFonts w:ascii="Amiri" w:hAnsi="Amiri" w:eastAsia="Amiri" w:cs="Amiri"/>
          <w:color w:val="111111"/>
          <w:sz w:val="28"/>
          <w:sz w:val="28"/>
          <w:szCs w:val="28"/>
          <w:rtl w:val="true"/>
          <w:lang w:bidi="ar-SA"/>
        </w:rPr>
        <w:t xml:space="preserve">المني في ثوبه ولم ير أنه احتلم ، ولما دلّ على وجوب الغسل بخروج </w:t>
      </w:r>
      <w:r>
        <w:rPr>
          <w:rStyle w:val="FootnoteAnchor"/>
          <w:rtl w:val="true"/>
        </w:rPr>
        <w:footnoteReference w:id="1298"/>
      </w:r>
      <w:r>
        <w:rPr>
          <w:rFonts w:ascii="Amiri" w:hAnsi="Amiri" w:eastAsia="Amiri" w:cs="Amiri"/>
          <w:color w:val="111111"/>
          <w:sz w:val="28"/>
          <w:sz w:val="28"/>
          <w:szCs w:val="28"/>
          <w:rtl w:val="true"/>
          <w:lang w:bidi="ar-SA"/>
        </w:rPr>
        <w:t>الماء المشتبه بعد الغسل وقبل الاستبراء مع فقده تلك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يعلم شي‌ء من الأمرين؟ فيتوقّف ، لضعف متمسّك القولين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المسلّم من الوجدان أنّ ما جمع الأوصاف مني ، </w:t>
      </w:r>
    </w:p>
    <w:p>
      <w:pPr>
        <w:pStyle w:val="BookText"/>
        <w:rPr/>
      </w:pPr>
      <w:r>
        <w:rPr>
          <w:rFonts w:ascii="Amiri" w:hAnsi="Amiri" w:eastAsia="Amiri" w:cs="Amiri"/>
          <w:color w:val="111111"/>
          <w:sz w:val="28"/>
          <w:sz w:val="28"/>
          <w:szCs w:val="28"/>
          <w:rtl w:val="true"/>
          <w:lang w:bidi="ar-SA"/>
        </w:rPr>
        <w:t>دون أنّ ما لم يجمعها ليس منيا ، ولذا قد يعلم كون الخارج منيا بدون العلم بتلك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يمكن أن يكون نفي الغسل في فاقد الأوصاف لأجل عدم العلم بكونه منيا ، لا للعلم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طريق العلم بوجود شي‌ء لا ينحصر في معرفة جميع أجزائه الحقيقية أو لوازمه الذاتية ، فقد يعرف وجود المني بأمر آخر غير تلك الأوصاف ، ولا يعلم وجود ذلك الأمر فيما علم فيه فقد تلك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الخارج بعد الغسل قبل الاستبراء يمكن أن يكون من بقية ما اجتمعت فيه الأوصاف الخارج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 هو الثالث ،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في مرسلة ابن رباط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المني فهو الذي يسترخي العظام ويفتر منه الجسد وفيه الغسل </w:t>
      </w:r>
      <w:r>
        <w:rPr>
          <w:rFonts w:eastAsia="Amiri" w:cs="Amiri" w:ascii="Amiri" w:hAnsi="Amiri"/>
          <w:color w:val="111111"/>
          <w:sz w:val="28"/>
          <w:szCs w:val="28"/>
          <w:rtl w:val="true"/>
          <w:lang w:bidi="ar-SA"/>
        </w:rPr>
        <w:t xml:space="preserve">» </w:t>
      </w:r>
      <w:r>
        <w:rPr>
          <w:rStyle w:val="FootnoteAnchor"/>
          <w:rtl w:val="true"/>
        </w:rPr>
        <w:footnoteReference w:id="1299"/>
      </w:r>
      <w:r>
        <w:rPr>
          <w:rFonts w:ascii="Amiri" w:hAnsi="Amiri" w:eastAsia="Amiri" w:cs="Amiri"/>
          <w:color w:val="111111"/>
          <w:sz w:val="28"/>
          <w:sz w:val="28"/>
          <w:szCs w:val="28"/>
          <w:rtl w:val="true"/>
          <w:lang w:bidi="ar-SA"/>
        </w:rPr>
        <w:t>ومقتضى أصالة الحقيقة في الحمل كون ذلك من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في نوادر الراوندي عن النبي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فأمّا المني فهو الماء الذي تكون منه الشهوة </w:t>
      </w:r>
      <w:r>
        <w:rPr>
          <w:rFonts w:eastAsia="Amiri" w:cs="Amiri" w:ascii="Amiri" w:hAnsi="Amiri"/>
          <w:color w:val="111111"/>
          <w:sz w:val="28"/>
          <w:szCs w:val="28"/>
          <w:rtl w:val="true"/>
          <w:lang w:bidi="ar-SA"/>
        </w:rPr>
        <w:t xml:space="preserve">»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عرفت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صرّحوا بأنّ خروج ما علم أنّه مني موجب للغسل مطلقا ، سواء كان خروجه في اليقظة أو النوم ، وكان خارجا من الرجل أو المرأة ، وكان الخارج مع الشهوة والتلذّذ والفتور أو لا ، إن فرض العلم به بدون الأوصاف</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محل الوفاق بين علماء الإسلام كافة إذا كان خارجا من الرجل مع الأوصاف ، وأخبار الفريقين به متواترة معنى بلا معارض </w:t>
      </w:r>
      <w:r>
        <w:rPr>
          <w:rStyle w:val="FootnoteAnchor"/>
          <w:rtl w:val="true"/>
        </w:rPr>
        <w:footnoteReference w:id="1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علمائنا خاصة </w:t>
      </w:r>
    </w:p>
    <w:p>
      <w:pPr>
        <w:pStyle w:val="BookText"/>
        <w:rPr/>
      </w:pPr>
      <w:r>
        <w:rPr>
          <w:rFonts w:ascii="Amiri" w:hAnsi="Amiri" w:eastAsia="Amiri" w:cs="Amiri"/>
          <w:color w:val="111111"/>
          <w:sz w:val="28"/>
          <w:sz w:val="28"/>
          <w:szCs w:val="28"/>
          <w:rtl w:val="true"/>
          <w:lang w:bidi="ar-SA"/>
        </w:rPr>
        <w:t xml:space="preserve">كما صرّح به جماعة </w:t>
      </w:r>
      <w:r>
        <w:rPr>
          <w:rStyle w:val="FootnoteAnchor"/>
          <w:rtl w:val="true"/>
        </w:rPr>
        <w:footnoteReference w:id="1302"/>
      </w:r>
      <w:r>
        <w:rPr>
          <w:rFonts w:ascii="Amiri" w:hAnsi="Amiri" w:eastAsia="Amiri" w:cs="Amiri"/>
          <w:color w:val="111111"/>
          <w:sz w:val="28"/>
          <w:sz w:val="28"/>
          <w:szCs w:val="28"/>
          <w:rtl w:val="true"/>
          <w:lang w:bidi="ar-SA"/>
        </w:rPr>
        <w:t>إذا كان خارجا منه بدون الأوصاف كلاّ أو بعضا ، وهو الحجة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إطلاقات وجوب الغسل بالماء الأكبر </w:t>
      </w:r>
      <w:r>
        <w:rPr>
          <w:rStyle w:val="FootnoteAnchor"/>
          <w:rtl w:val="true"/>
        </w:rPr>
        <w:footnoteReference w:id="1303"/>
      </w:r>
      <w:r>
        <w:rPr>
          <w:rFonts w:ascii="Amiri" w:hAnsi="Amiri" w:eastAsia="Amiri" w:cs="Amiri"/>
          <w:color w:val="111111"/>
          <w:sz w:val="28"/>
          <w:sz w:val="28"/>
          <w:szCs w:val="28"/>
          <w:rtl w:val="true"/>
          <w:lang w:bidi="ar-SA"/>
        </w:rPr>
        <w:t xml:space="preserve">، وعموم موثّقتي سماعة ، المستفاد من ترك الاستفصال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ينام ولم ير في نومه أنه احتلم ، ويجد في ثوبه وعلى فخذه الماء هل عليه غسل؟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يرى في ثوبه المني بعد ما يصبح ولم يكن رأى في منامه أنه احتلم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فليغتسل وليغسل ثوبه ويعيد صلاته </w:t>
      </w:r>
      <w:r>
        <w:rPr>
          <w:rFonts w:eastAsia="Amiri" w:cs="Amiri" w:ascii="Amiri" w:hAnsi="Amiri"/>
          <w:color w:val="111111"/>
          <w:sz w:val="28"/>
          <w:szCs w:val="28"/>
          <w:rtl w:val="true"/>
          <w:lang w:bidi="ar-SA"/>
        </w:rPr>
        <w:t xml:space="preserve">»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تعارضها صحيحة 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يرى في المنام ويجد الشهوة فيستيقظ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وينظر فلا يجد شيئا ثمَّ يمكث الهوين بعد فيخرج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مريضا فليغتسل ، وإن لم يكن مريضا فلا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فرق بينهما؟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الرجل إذا كان صحيحا جاء الماء بدفقة وقوة ، وإن كان مريضا لم يجئ إلاّ بفتور </w:t>
      </w:r>
      <w:r>
        <w:rPr>
          <w:rFonts w:eastAsia="Amiri" w:cs="Amiri" w:ascii="Amiri" w:hAnsi="Amiri"/>
          <w:color w:val="111111"/>
          <w:sz w:val="28"/>
          <w:szCs w:val="28"/>
          <w:rtl w:val="true"/>
          <w:lang w:bidi="ar-SA"/>
        </w:rPr>
        <w:t xml:space="preserve">»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الخارج فيها غير معيّن ، فيمكن أن يكون هو الماء المشتبه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يعلم عدم معارضة صحيحة ابن سعد </w:t>
      </w:r>
      <w:r>
        <w:rPr>
          <w:rStyle w:val="FootnoteAnchor"/>
          <w:rtl w:val="true"/>
        </w:rPr>
        <w:footnoteReference w:id="1307"/>
      </w:r>
      <w:r>
        <w:rPr>
          <w:rFonts w:ascii="Amiri" w:hAnsi="Amiri" w:eastAsia="Amiri" w:cs="Amiri"/>
          <w:color w:val="111111"/>
          <w:sz w:val="28"/>
          <w:sz w:val="28"/>
          <w:szCs w:val="28"/>
          <w:rtl w:val="true"/>
          <w:lang w:bidi="ar-SA"/>
        </w:rPr>
        <w:t xml:space="preserve">ورواية ابن أبي طلحة ، </w:t>
      </w:r>
    </w:p>
    <w:p>
      <w:pPr>
        <w:pStyle w:val="BookText"/>
        <w:rPr/>
      </w:pPr>
      <w:r>
        <w:rPr>
          <w:rFonts w:ascii="Amiri" w:hAnsi="Amiri" w:eastAsia="Amiri" w:cs="Amiri"/>
          <w:color w:val="111111"/>
          <w:sz w:val="28"/>
          <w:sz w:val="28"/>
          <w:szCs w:val="28"/>
          <w:rtl w:val="true"/>
          <w:lang w:bidi="ar-SA"/>
        </w:rPr>
        <w:t xml:space="preserve">المتقدّمة </w:t>
      </w:r>
      <w:r>
        <w:rPr>
          <w:rStyle w:val="FootnoteAnchor"/>
          <w:rtl w:val="true"/>
        </w:rPr>
        <w:footnoteReference w:id="1308"/>
      </w:r>
      <w:r>
        <w:rPr>
          <w:rFonts w:ascii="Amiri" w:hAnsi="Amiri" w:eastAsia="Amiri" w:cs="Amiri"/>
          <w:color w:val="111111"/>
          <w:sz w:val="28"/>
          <w:sz w:val="28"/>
          <w:szCs w:val="28"/>
          <w:rtl w:val="true"/>
          <w:lang w:bidi="ar-SA"/>
        </w:rPr>
        <w:t>، حيث إنّ تبادر خروج المني من الإنزال في عهد المعصوم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عن ذلك فغايتهما العموم فيتعارضان بالعموم من وجه ، والترجيح مع الأولى بمخالفة العامة ، كما صرّح به الجماعة ، وبموافقة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الجواب عن رواية ابن الفضيل ، الآتية ، وصحيحة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يلعب مع المرأة ويقبّلها فيخرج منه المني فما عليه؟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جاءت الشهوة ودفع وفتر لخروجه فعليه الغسل ، وإن كان إنما هو شي‌ء لم يجد له فترة ولا شهوة فلا بأس </w:t>
      </w:r>
      <w:r>
        <w:rPr>
          <w:rFonts w:eastAsia="Amiri" w:cs="Amiri" w:ascii="Amiri" w:hAnsi="Amiri"/>
          <w:color w:val="111111"/>
          <w:sz w:val="28"/>
          <w:szCs w:val="28"/>
          <w:rtl w:val="true"/>
          <w:lang w:bidi="ar-SA"/>
        </w:rPr>
        <w:t xml:space="preserve">»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إنّ المحتمل فيها رجوع المستتر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الخارج دون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أرجح إليه أيضا ، لم يضر ، إذ تصير الرواية حينئذ مخالفة لعمل جلّ الأصحاب بل كلّهم ، فتخرج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جواب آخر عن هذه الروايات لو سلّمت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 مع أنّ لنا أن نقول بدلالة الموثّقتين على وجوب الغسل مع العلم بعدم الشهوة أيضا بخصوصهما ، حيث إنّهما دلّتا على وجوبه مع عدم العلم بها ، ولو لا وجوبه مع العلم بالعدم أيضا ، لما وجب مع عدم العلم ، لأصالة عدم تحقّق الشهوة ،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الحقّ المشهور </w:t>
      </w:r>
      <w:r>
        <w:rPr>
          <w:rStyle w:val="FootnoteAnchor"/>
          <w:rtl w:val="true"/>
        </w:rPr>
        <w:footnoteReference w:id="1310"/>
      </w:r>
      <w:r>
        <w:rPr>
          <w:rFonts w:ascii="Amiri" w:hAnsi="Amiri" w:eastAsia="Amiri" w:cs="Amiri"/>
          <w:color w:val="111111"/>
          <w:sz w:val="28"/>
          <w:sz w:val="28"/>
          <w:szCs w:val="28"/>
          <w:rtl w:val="true"/>
          <w:lang w:bidi="ar-SA"/>
        </w:rPr>
        <w:t xml:space="preserve">، بل المجمع عليه عندنا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لشذوذ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 المرأة كذلك ، لما مرّ من الإجماع ، وللمستفيضة من النصوص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كرواية معاوية بن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أمنت المرأة والأمة من شهوة ، جامعها الرجل أو لم يجامعها ، في نوم كان ذلك أو في يقظة ، فإنّ عليها الغسل </w:t>
      </w:r>
      <w:r>
        <w:rPr>
          <w:rFonts w:eastAsia="Amiri" w:cs="Amiri" w:ascii="Amiri" w:hAnsi="Amiri"/>
          <w:color w:val="111111"/>
          <w:sz w:val="28"/>
          <w:szCs w:val="28"/>
          <w:rtl w:val="true"/>
          <w:lang w:bidi="ar-SA"/>
        </w:rPr>
        <w:t xml:space="preserve">»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ترى في منامها فتنزل ، عليها غسل؟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312"/>
      </w:r>
      <w:r>
        <w:rPr>
          <w:rFonts w:ascii="Amiri" w:hAnsi="Amiri" w:eastAsia="Amiri" w:cs="Amiri"/>
          <w:color w:val="111111"/>
          <w:sz w:val="28"/>
          <w:sz w:val="28"/>
          <w:szCs w:val="28"/>
          <w:rtl w:val="true"/>
          <w:lang w:bidi="ar-SA"/>
        </w:rPr>
        <w:t xml:space="preserve">وقريبة منها حسنة أديم بن الحر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ترى في المنام ما يرى الرجل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أنزلت فعليها الغسل ، وإن لم تنزل فليس عليها الغسل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الأشعري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أنزلت من شهوة فعليها الغسل </w:t>
      </w:r>
      <w:r>
        <w:rPr>
          <w:rFonts w:eastAsia="Amiri" w:cs="Amiri" w:ascii="Amiri" w:hAnsi="Amiri"/>
          <w:color w:val="111111"/>
          <w:sz w:val="28"/>
          <w:szCs w:val="28"/>
          <w:rtl w:val="true"/>
          <w:lang w:bidi="ar-SA"/>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محمّد بن الفضيل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جاءت الشهوة وأنزلت الماء وجب عليها الغسل </w:t>
      </w:r>
      <w:r>
        <w:rPr>
          <w:rFonts w:eastAsia="Amiri" w:cs="Amiri" w:ascii="Amiri" w:hAnsi="Amiri"/>
          <w:color w:val="111111"/>
          <w:sz w:val="28"/>
          <w:szCs w:val="28"/>
          <w:rtl w:val="true"/>
          <w:lang w:bidi="ar-SA"/>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أبي طلحة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قد أنزلت من 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عليها غسل </w:t>
      </w:r>
      <w:r>
        <w:rPr>
          <w:rFonts w:eastAsia="Amiri" w:cs="Amiri" w:ascii="Amiri" w:hAnsi="Amiri"/>
          <w:color w:val="111111"/>
          <w:sz w:val="28"/>
          <w:szCs w:val="28"/>
          <w:rtl w:val="true"/>
          <w:lang w:bidi="ar-SA"/>
        </w:rPr>
        <w:t xml:space="preserve">» </w:t>
      </w:r>
      <w:r>
        <w:rPr>
          <w:rStyle w:val="FootnoteAnchor"/>
          <w:rtl w:val="true"/>
        </w:rPr>
        <w:footnoteReference w:id="1317"/>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المقنع ، فنفى عنها الغسل إذا أمنت من غير جماع ، ولكن كلامه فيه ينفيه في احتلامها خاصة </w:t>
      </w:r>
      <w:r>
        <w:rPr>
          <w:rStyle w:val="FootnoteAnchor"/>
          <w:rtl w:val="true"/>
        </w:rPr>
        <w:footnoteReference w:id="1318"/>
      </w:r>
      <w:r>
        <w:rPr>
          <w:rFonts w:ascii="Amiri" w:hAnsi="Amiri" w:eastAsia="Amiri" w:cs="Amiri"/>
          <w:color w:val="111111"/>
          <w:sz w:val="28"/>
          <w:sz w:val="28"/>
          <w:szCs w:val="28"/>
          <w:rtl w:val="true"/>
          <w:lang w:bidi="ar-SA"/>
        </w:rPr>
        <w:t xml:space="preserve">، ويميل إلى ذلك كلام صاحب الوافي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لروايات دالّة على ذلك كصحيحتي عمر بن يزيد ، في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 xml:space="preserve">أمنت هي ولم يدخله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عليها الغسل </w:t>
      </w:r>
      <w:r>
        <w:rPr>
          <w:rFonts w:eastAsia="Amiri" w:cs="Amiri" w:ascii="Amiri" w:hAnsi="Amiri"/>
          <w:color w:val="111111"/>
          <w:sz w:val="28"/>
          <w:szCs w:val="28"/>
          <w:rtl w:val="true"/>
          <w:lang w:bidi="ar-SA"/>
        </w:rPr>
        <w:t xml:space="preserve">»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الأخرى بعد قول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ففخذت لها فأمذيت وأمنت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عليك وضوء ولا عليها الغسل </w:t>
      </w:r>
      <w:r>
        <w:rPr>
          <w:rFonts w:eastAsia="Amiri" w:cs="Amiri" w:ascii="Amiri" w:hAnsi="Amiri"/>
          <w:color w:val="111111"/>
          <w:sz w:val="28"/>
          <w:szCs w:val="28"/>
          <w:rtl w:val="true"/>
          <w:lang w:bidi="ar-SA"/>
        </w:rPr>
        <w:t xml:space="preserve">» </w:t>
      </w:r>
      <w:r>
        <w:rPr>
          <w:rStyle w:val="FootnoteAnchor"/>
          <w:rtl w:val="true"/>
        </w:rPr>
        <w:footnoteReference w:id="1321"/>
      </w:r>
      <w:r>
        <w:rPr>
          <w:rFonts w:ascii="Amiri" w:hAnsi="Amiri" w:eastAsia="Amiri" w:cs="Amiri"/>
          <w:color w:val="111111"/>
          <w:sz w:val="28"/>
          <w:sz w:val="28"/>
          <w:szCs w:val="28"/>
          <w:rtl w:val="true"/>
          <w:lang w:bidi="ar-SA"/>
        </w:rPr>
        <w:t xml:space="preserve">وصحيحة ابن أذينة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تحتلم في المنام فتهريق الماء الأعظم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عليها الغسل </w:t>
      </w:r>
      <w:r>
        <w:rPr>
          <w:rFonts w:eastAsia="Amiri" w:cs="Amiri" w:ascii="Amiri" w:hAnsi="Amiri"/>
          <w:color w:val="111111"/>
          <w:sz w:val="28"/>
          <w:szCs w:val="28"/>
          <w:rtl w:val="true"/>
          <w:lang w:bidi="ar-SA"/>
        </w:rPr>
        <w:t xml:space="preserve">»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عبيد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المرأة غسل من جنابتها إذا لم يأتها الرجل؟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323"/>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لمخالفتها لعمل قدماء الأصحاب شاذة ، وعن الحجية خارجة ، فلا تصلح للاستناد ، فكيف للمعارضة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فاحتمال أن يراد بالإمناء انفصاله عن مستقرّه وإن لم يخرج من الفرج ، بل انصبّ إلى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في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أكثرها ممكن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صورة العلم بكون الخارج منيا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اشتبه فيعتبر في الرجل الصحيح بالدفق ومقارنة الشهوة ، أي التلذّذ ، وفتور البدن بعده ، فيجب الغسل فيما اشتمل عليها جميعا ، ولا يجب فيما فقد فيه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المريض والمرأة بالثانيتين </w:t>
      </w:r>
      <w:r>
        <w:rPr>
          <w:rStyle w:val="FootnoteAnchor"/>
          <w:rtl w:val="true"/>
        </w:rPr>
        <w:footnoteReference w:id="1324"/>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لكون الثلاثة صفات لازمة غالبا في الأوّل </w:t>
      </w:r>
      <w:r>
        <w:rPr>
          <w:rStyle w:val="FootnoteAnchor"/>
          <w:rtl w:val="true"/>
        </w:rPr>
        <w:footnoteReference w:id="1325"/>
      </w:r>
      <w:r>
        <w:rPr>
          <w:rFonts w:ascii="Amiri" w:hAnsi="Amiri" w:eastAsia="Amiri" w:cs="Amiri"/>
          <w:color w:val="111111"/>
          <w:sz w:val="28"/>
          <w:sz w:val="28"/>
          <w:szCs w:val="28"/>
          <w:rtl w:val="true"/>
          <w:lang w:bidi="ar-SA"/>
        </w:rPr>
        <w:t xml:space="preserve">، والثاني في الثانيين </w:t>
      </w:r>
      <w:r>
        <w:rPr>
          <w:rStyle w:val="FootnoteAnchor"/>
          <w:rtl w:val="true"/>
        </w:rPr>
        <w:footnoteReference w:id="1326"/>
      </w:r>
      <w:r>
        <w:rPr>
          <w:rFonts w:ascii="Amiri" w:hAnsi="Amiri" w:eastAsia="Amiri" w:cs="Amiri"/>
          <w:color w:val="111111"/>
          <w:sz w:val="28"/>
          <w:sz w:val="28"/>
          <w:szCs w:val="28"/>
          <w:rtl w:val="true"/>
          <w:lang w:bidi="ar-SA"/>
        </w:rPr>
        <w:t xml:space="preserve">، كما قيل </w:t>
      </w:r>
      <w:r>
        <w:rPr>
          <w:rStyle w:val="FootnoteAnchor"/>
          <w:rtl w:val="true"/>
        </w:rPr>
        <w:footnoteReference w:id="1327"/>
      </w:r>
      <w:r>
        <w:rPr>
          <w:rFonts w:ascii="Amiri" w:hAnsi="Amiri" w:eastAsia="Amiri" w:cs="Amiri"/>
          <w:color w:val="111111"/>
          <w:sz w:val="28"/>
          <w:sz w:val="28"/>
          <w:szCs w:val="28"/>
          <w:rtl w:val="true"/>
          <w:lang w:bidi="ar-SA"/>
        </w:rPr>
        <w:t>، لأنّ المستفاد منها ليس إلاّ الظن ، إذ المفروض عدم حصول العلم بكونه منيا ، وإلاّ فيخرج عن المقام ، والظن غير معتبر ، إذ لا ينقض يقين الطهارة إلاّ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الحكم الأوّل </w:t>
      </w:r>
      <w:r>
        <w:rPr>
          <w:rStyle w:val="FootnoteAnchor"/>
          <w:rtl w:val="true"/>
        </w:rPr>
        <w:footnoteReference w:id="1328"/>
      </w:r>
      <w:r>
        <w:rPr>
          <w:rFonts w:ascii="Amiri" w:hAnsi="Amiri" w:eastAsia="Amiri" w:cs="Amiri"/>
          <w:color w:val="111111"/>
          <w:sz w:val="28"/>
          <w:sz w:val="28"/>
          <w:szCs w:val="28"/>
          <w:rtl w:val="true"/>
          <w:lang w:bidi="ar-SA"/>
        </w:rPr>
        <w:t xml:space="preserve">للأوّل </w:t>
      </w:r>
      <w:r>
        <w:rPr>
          <w:rStyle w:val="FootnoteAnchor"/>
          <w:rtl w:val="true"/>
        </w:rPr>
        <w:footnoteReference w:id="1329"/>
      </w:r>
      <w:r>
        <w:rPr>
          <w:rFonts w:ascii="Amiri" w:hAnsi="Amiri" w:eastAsia="Amiri" w:cs="Amiri"/>
          <w:color w:val="111111"/>
          <w:sz w:val="28"/>
          <w:sz w:val="28"/>
          <w:szCs w:val="28"/>
          <w:rtl w:val="true"/>
          <w:lang w:bidi="ar-SA"/>
        </w:rPr>
        <w:t xml:space="preserve">، لمنطوق الجزء الأوّل من صحيحة علي ، المتقدّمة </w:t>
      </w:r>
      <w:r>
        <w:rPr>
          <w:rStyle w:val="FootnoteAnchor"/>
          <w:rtl w:val="true"/>
        </w:rPr>
        <w:footnoteReference w:id="1330"/>
      </w:r>
      <w:r>
        <w:rPr>
          <w:rFonts w:ascii="Amiri" w:hAnsi="Amiri" w:eastAsia="Amiri" w:cs="Amiri"/>
          <w:color w:val="111111"/>
          <w:sz w:val="28"/>
          <w:sz w:val="28"/>
          <w:szCs w:val="28"/>
          <w:rtl w:val="true"/>
          <w:lang w:bidi="ar-SA"/>
        </w:rPr>
        <w:t xml:space="preserve">، وفي الثاني له </w:t>
      </w:r>
      <w:r>
        <w:rPr>
          <w:rStyle w:val="FootnoteAnchor"/>
          <w:rtl w:val="true"/>
        </w:rPr>
        <w:footnoteReference w:id="1331"/>
      </w:r>
      <w:r>
        <w:rPr>
          <w:rFonts w:ascii="Amiri" w:hAnsi="Amiri" w:eastAsia="Amiri" w:cs="Amiri"/>
          <w:color w:val="111111"/>
          <w:sz w:val="28"/>
          <w:sz w:val="28"/>
          <w:szCs w:val="28"/>
          <w:rtl w:val="true"/>
          <w:lang w:bidi="ar-SA"/>
        </w:rPr>
        <w:t xml:space="preserve">للأصل ، مضافا إلى منطوق جزئها الثاني في بعض أفراده </w:t>
      </w:r>
      <w:r>
        <w:rPr>
          <w:rStyle w:val="FootnoteAnchor"/>
          <w:rtl w:val="true"/>
        </w:rPr>
        <w:footnoteReference w:id="1332"/>
      </w:r>
      <w:r>
        <w:rPr>
          <w:rFonts w:ascii="Amiri" w:hAnsi="Amiri" w:eastAsia="Amiri" w:cs="Amiri"/>
          <w:color w:val="111111"/>
          <w:sz w:val="28"/>
          <w:sz w:val="28"/>
          <w:szCs w:val="28"/>
          <w:rtl w:val="true"/>
          <w:lang w:bidi="ar-SA"/>
        </w:rPr>
        <w:t>مع مفهوم الأوّل فيه أيضا ، وأمّا مفهومه في غيره ومفهوم الجزء الثاني فلتعارضهما وعدم المرجّح لا اعتبار بهما ، فالمرجع في موردهما هو الأصل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هذه الصحيحة وإن شملت بظاهرها الثاني ، أي المريض أيضا ، إلاّ أنّه اخرج منها ، لعدم اعتبار الدفق في المريض بالمعتبرة ، فهي مخصصة لها بالصحيح ، إذ اشتراط الحكم بكونه منيا بالدفق كما هو صريحها مخصوص به ، وبقي المريض كالمرأة تحت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اخرج عن الأصل مع الخروج بالشهوة ، ووجب عليه الغسل ، لصحيحة ابن أبي يعفور ، المتقدّمة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وحسنة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مريضا فأصابتك شهوة فإنّه ربما كان هو الدافق لكنه يجي‌ء مجيئا ضعيفا ليست له قوة لمكان مرضك ساعة بعد ساعة قليلا قليلا ، فاغتسل منه </w:t>
      </w:r>
      <w:r>
        <w:rPr>
          <w:rFonts w:eastAsia="Amiri" w:cs="Amiri" w:ascii="Amiri" w:hAnsi="Amiri"/>
          <w:color w:val="111111"/>
          <w:sz w:val="28"/>
          <w:szCs w:val="28"/>
          <w:rtl w:val="true"/>
          <w:lang w:bidi="ar-SA"/>
        </w:rPr>
        <w:t xml:space="preserve">»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احتلم فلمّا انتبه وجد بللا قليلا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إلاّ أن يكون مريضا فإنّه يضعف فعليه الغسل </w:t>
      </w:r>
      <w:r>
        <w:rPr>
          <w:rFonts w:eastAsia="Amiri" w:cs="Amiri" w:ascii="Amiri" w:hAnsi="Amiri"/>
          <w:color w:val="111111"/>
          <w:sz w:val="28"/>
          <w:szCs w:val="28"/>
          <w:rtl w:val="true"/>
          <w:lang w:bidi="ar-SA"/>
        </w:rPr>
        <w:t xml:space="preserve">»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يتوهّم عموم الأخيرة للخالي عن الشهوة أيضا ، لأنّ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ذلك في المنام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المراد منه ما معه الشهوة ، بل هو الظاهر ، كما صرّح به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والشهوة المتحقّقة حينئذ وإن كانت في النوم إلاّ أنّها كافية ، كما هو صريح صحيحة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بخلاف الدفع والفترة المعتبرين في الصحيح ، للأصل ، واختصاص دليله باليقظة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وأخرجت المرأة عن الأصل المذكور مع الشهوة في النوم أو اليقظة ، ووجب عليها الغسل ، لصحيحة ابن سعد ، المتقدّمة </w:t>
      </w:r>
      <w:r>
        <w:rPr>
          <w:rStyle w:val="FootnoteAnchor"/>
          <w:rtl w:val="true"/>
        </w:rPr>
        <w:footnoteReference w:id="1336"/>
      </w:r>
      <w:r>
        <w:rPr>
          <w:rFonts w:ascii="Amiri" w:hAnsi="Amiri" w:eastAsia="Amiri" w:cs="Amiri"/>
          <w:color w:val="111111"/>
          <w:sz w:val="28"/>
          <w:sz w:val="28"/>
          <w:szCs w:val="28"/>
          <w:rtl w:val="true"/>
          <w:lang w:bidi="ar-SA"/>
        </w:rPr>
        <w:t>وما يتعقّبها من الروايتين بالتقريب المتقدّم من حملهما على المشتبه ، أو على العموم ولو من جهة ترك الاستفصال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مقتضى إطلاق الأخبار فيهما وإن كان كفاية الثاني </w:t>
      </w:r>
      <w:r>
        <w:rPr>
          <w:rStyle w:val="FootnoteAnchor"/>
          <w:rtl w:val="true"/>
        </w:rPr>
        <w:footnoteReference w:id="1337"/>
      </w:r>
      <w:r>
        <w:rPr>
          <w:rFonts w:ascii="Amiri" w:hAnsi="Amiri" w:eastAsia="Amiri" w:cs="Amiri"/>
          <w:color w:val="111111"/>
          <w:sz w:val="28"/>
          <w:sz w:val="28"/>
          <w:szCs w:val="28"/>
          <w:rtl w:val="true"/>
          <w:lang w:bidi="ar-SA"/>
        </w:rPr>
        <w:t xml:space="preserve">خاصة ، إلاّ أنّها يقيّد إطلاقها بمرسلة ابن رباط ، المتقدّمة </w:t>
      </w:r>
      <w:r>
        <w:rPr>
          <w:rStyle w:val="FootnoteAnchor"/>
          <w:rtl w:val="true"/>
        </w:rPr>
        <w:footnoteReference w:id="1338"/>
      </w:r>
      <w:r>
        <w:rPr>
          <w:rFonts w:ascii="IRNazanin" w:hAnsi="IRNazanin" w:eastAsia="IRNazanin"/>
          <w:color w:val="111111"/>
          <w:sz w:val="28"/>
          <w:sz w:val="28"/>
          <w:szCs w:val="28"/>
          <w:rtl w:val="true"/>
          <w:lang w:bidi="fa-IR"/>
        </w:rPr>
        <w:t xml:space="preserve">، فإنّها تعارض إطلاقات اعتبار </w:t>
      </w:r>
    </w:p>
    <w:p>
      <w:pPr>
        <w:pStyle w:val="BookText"/>
        <w:rPr/>
      </w:pPr>
      <w:r>
        <w:rPr>
          <w:rFonts w:ascii="Amiri" w:hAnsi="Amiri" w:eastAsia="Amiri" w:cs="Amiri"/>
          <w:color w:val="111111"/>
          <w:sz w:val="28"/>
          <w:sz w:val="28"/>
          <w:szCs w:val="28"/>
          <w:rtl w:val="true"/>
          <w:lang w:bidi="ar-SA"/>
        </w:rPr>
        <w:t xml:space="preserve">الشهوة بالعموم من وجه ، والأصل مع عدم كفايته واعتبار الفترة أيضا فيهما ، كما صرّح به في المريض في المعتبر والمنتهى </w:t>
      </w:r>
      <w:r>
        <w:rPr>
          <w:rStyle w:val="FootnoteAnchor"/>
          <w:rtl w:val="true"/>
        </w:rPr>
        <w:footnoteReference w:id="1339"/>
      </w:r>
      <w:r>
        <w:rPr>
          <w:rFonts w:ascii="Amiri" w:hAnsi="Amiri" w:eastAsia="Amiri" w:cs="Amiri"/>
          <w:color w:val="111111"/>
          <w:sz w:val="28"/>
          <w:sz w:val="28"/>
          <w:szCs w:val="28"/>
          <w:rtl w:val="true"/>
          <w:lang w:bidi="ar-SA"/>
        </w:rPr>
        <w:t>، ويظهر اعتبارها في المرأة عن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اعتبار الدفق مع الشهوة ، كما احتمله في نهاية الإحكام </w:t>
      </w:r>
      <w:r>
        <w:rPr>
          <w:rStyle w:val="FootnoteAnchor"/>
          <w:rtl w:val="true"/>
        </w:rPr>
        <w:footnoteReference w:id="1340"/>
      </w:r>
      <w:r>
        <w:rPr>
          <w:rFonts w:ascii="Amiri" w:hAnsi="Amiri" w:eastAsia="Amiri" w:cs="Amiri"/>
          <w:color w:val="111111"/>
          <w:sz w:val="28"/>
          <w:sz w:val="28"/>
          <w:szCs w:val="28"/>
          <w:rtl w:val="true"/>
          <w:lang w:bidi="ar-SA"/>
        </w:rPr>
        <w:t xml:space="preserve">، أو اعتبار الثلاثة فيها ، كظاهر النافع </w:t>
      </w:r>
      <w:r>
        <w:rPr>
          <w:rStyle w:val="FootnoteAnchor"/>
          <w:rtl w:val="true"/>
        </w:rPr>
        <w:footnoteReference w:id="1341"/>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كالقول بكفاية الدفق في الرجل الصحيح ، كما هو المحكي </w:t>
      </w:r>
      <w:r>
        <w:rPr>
          <w:rStyle w:val="FootnoteAnchor"/>
          <w:rtl w:val="true"/>
        </w:rPr>
        <w:footnoteReference w:id="1342"/>
      </w:r>
      <w:r>
        <w:rPr>
          <w:rFonts w:ascii="Amiri" w:hAnsi="Amiri" w:eastAsia="Amiri" w:cs="Amiri"/>
          <w:color w:val="111111"/>
          <w:sz w:val="28"/>
          <w:sz w:val="28"/>
          <w:szCs w:val="28"/>
          <w:rtl w:val="true"/>
          <w:lang w:bidi="ar-SA"/>
        </w:rPr>
        <w:t>عن ظاهر نهاية الإحكام والوسيلة والمبسوط والاقتصاد والمصباح ومختصره ، والجملين والمقنعة والتبيان والمراسم والكافي ومجمع البيان والإصباح والروض وأحكام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لإطلاق الآية </w:t>
      </w:r>
      <w:r>
        <w:rPr>
          <w:rStyle w:val="FootnoteAnchor"/>
          <w:rtl w:val="true"/>
        </w:rPr>
        <w:footnoteReference w:id="1343"/>
      </w:r>
      <w:r>
        <w:rPr>
          <w:rFonts w:ascii="Amiri" w:hAnsi="Amiri" w:eastAsia="Amiri" w:cs="Amiri"/>
          <w:color w:val="111111"/>
          <w:sz w:val="28"/>
          <w:sz w:val="28"/>
          <w:szCs w:val="28"/>
          <w:rtl w:val="true"/>
          <w:lang w:bidi="ar-SA"/>
        </w:rPr>
        <w:t>بتوصيف الماء بالدافق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وضعفه ظاهر ، إذ توصيف بعض أفراد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يتكوّن منه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بالدافق لا يستلزم اتّصاف جميعها به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اعتبار رائحة الطلع ، أو العجين رطبا وبياض البيض جافّا ، كالتذكرة </w:t>
      </w:r>
      <w:r>
        <w:rPr>
          <w:rStyle w:val="FootnoteAnchor"/>
          <w:rtl w:val="true"/>
        </w:rPr>
        <w:footnoteReference w:id="1344"/>
      </w:r>
      <w:r>
        <w:rPr>
          <w:rFonts w:ascii="Amiri" w:hAnsi="Amiri" w:eastAsia="Amiri" w:cs="Amiri"/>
          <w:color w:val="111111"/>
          <w:sz w:val="28"/>
          <w:sz w:val="28"/>
          <w:szCs w:val="28"/>
          <w:rtl w:val="true"/>
          <w:lang w:bidi="ar-SA"/>
        </w:rPr>
        <w:t xml:space="preserve">، والشهيدين </w:t>
      </w:r>
      <w:r>
        <w:rPr>
          <w:rStyle w:val="FootnoteAnchor"/>
          <w:rtl w:val="true"/>
        </w:rPr>
        <w:footnoteReference w:id="1345"/>
      </w:r>
      <w:r>
        <w:rPr>
          <w:rFonts w:ascii="Amiri" w:hAnsi="Amiri" w:eastAsia="Amiri" w:cs="Amiri"/>
          <w:color w:val="111111"/>
          <w:sz w:val="28"/>
          <w:sz w:val="28"/>
          <w:szCs w:val="28"/>
          <w:rtl w:val="true"/>
          <w:lang w:bidi="ar-SA"/>
        </w:rPr>
        <w:t xml:space="preserve">، والكركي </w:t>
      </w:r>
      <w:r>
        <w:rPr>
          <w:rStyle w:val="FootnoteAnchor"/>
          <w:rtl w:val="true"/>
        </w:rPr>
        <w:footnoteReference w:id="1346"/>
      </w:r>
      <w:r>
        <w:rPr>
          <w:rFonts w:ascii="Amiri" w:hAnsi="Amiri" w:eastAsia="Amiri" w:cs="Amiri"/>
          <w:color w:val="111111"/>
          <w:sz w:val="28"/>
          <w:sz w:val="28"/>
          <w:szCs w:val="28"/>
          <w:rtl w:val="true"/>
          <w:lang w:bidi="ar-SA"/>
        </w:rPr>
        <w:t>نافيا عنه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عدمه ، كالأكثر ، كما في اللوامع ، قولان ، أقواهما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 للأصل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من غير الطبيعي لا يوجب الغسل مطلقا ، للصحاح الثلاثة لأبي الفضل وزرارة ، المتقدّمة في الأحداث الموجبة للوضوء </w:t>
      </w:r>
      <w:r>
        <w:rPr>
          <w:rStyle w:val="FootnoteAnchor"/>
          <w:rtl w:val="true"/>
        </w:rPr>
        <w:footnoteReference w:id="1347"/>
      </w:r>
      <w:r>
        <w:rPr>
          <w:rFonts w:ascii="Amiri" w:hAnsi="Amiri" w:eastAsia="Amiri" w:cs="Amiri"/>
          <w:color w:val="111111"/>
          <w:sz w:val="28"/>
          <w:sz w:val="28"/>
          <w:szCs w:val="28"/>
          <w:rtl w:val="true"/>
          <w:lang w:bidi="ar-SA"/>
        </w:rPr>
        <w:t xml:space="preserve">، والمصرّح به في 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بيان ما ينقض الوضوء خاصة حيث ذكر المني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 يقيّد إطلاق وجوب الغسل بخروج المني ، مضافا إلى انصرافه إلى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بالوجوب معه مطلقا ، أو مع انسداد الطبيعي ، أو مع الاعتياد ، أو كون المخرج من الصلب ، أو الإحليل أو البيضتين ،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ظاهر الوفاق عليه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ويلزم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خروجه في الخنثى المشكل من الفرجين ولو مع اعتياد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من فرج المرأة إن علم كونه من الرجل ، لم يوجب عليها الغسل ، للإجماع ، وخبر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تغتسل من الجنابة ثمَّ ترى نطفة الرجل بعد ذلك ، هل يوجب عليها غسل؟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إن شك في كونه منه أومنها ، بل ولو ظنّ أنه منها ، للأصل ، وصحيحة منصور </w:t>
      </w:r>
      <w:r>
        <w:rPr>
          <w:rStyle w:val="FootnoteAnchor"/>
          <w:rtl w:val="true"/>
        </w:rPr>
        <w:footnoteReference w:id="1349"/>
      </w:r>
      <w:r>
        <w:rPr>
          <w:rFonts w:ascii="Amiri" w:hAnsi="Amiri" w:eastAsia="Amiri" w:cs="Amiri"/>
          <w:color w:val="111111"/>
          <w:sz w:val="28"/>
          <w:sz w:val="28"/>
          <w:szCs w:val="28"/>
          <w:rtl w:val="true"/>
          <w:lang w:bidi="ar-SA"/>
        </w:rPr>
        <w:t xml:space="preserve">، وخبر 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أجنب فاغتسل قبل أن يبول فيخرج منه شي‌ء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فالمرأة يخرج منها شي‌ء بعد الغسل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فرق بينهما؟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ما يخرج من المرأة هو ماء الرجل </w:t>
      </w:r>
      <w:r>
        <w:rPr>
          <w:rFonts w:eastAsia="Amiri" w:cs="Amiri" w:ascii="Amiri" w:hAnsi="Amiri"/>
          <w:color w:val="111111"/>
          <w:sz w:val="28"/>
          <w:szCs w:val="28"/>
          <w:rtl w:val="true"/>
          <w:lang w:bidi="ar-SA"/>
        </w:rPr>
        <w:t xml:space="preserve">» </w:t>
      </w:r>
      <w:r>
        <w:rPr>
          <w:rStyle w:val="FootnoteAnchor"/>
          <w:rtl w:val="true"/>
        </w:rPr>
        <w:footnoteReference w:id="1350"/>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يحتمل أن يكون منه ، ويجب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لظاهر الحلّي حيث أطلق إعادتها الغسل إذا رأت بللا علمت أنه مني </w:t>
      </w:r>
      <w:r>
        <w:rPr>
          <w:rStyle w:val="FootnoteAnchor"/>
          <w:rtl w:val="true"/>
        </w:rPr>
        <w:footnoteReference w:id="1351"/>
      </w:r>
      <w:r>
        <w:rPr>
          <w:rFonts w:ascii="Amiri" w:hAnsi="Amiri" w:eastAsia="Amiri" w:cs="Amiri"/>
          <w:color w:val="111111"/>
          <w:sz w:val="28"/>
          <w:sz w:val="28"/>
          <w:szCs w:val="28"/>
          <w:rtl w:val="true"/>
          <w:lang w:bidi="ar-SA"/>
        </w:rPr>
        <w:t>، والظاهر غير ما إذا علم أنه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ولنهاية الإحكام حيث ألحق الظنّ بأنه منها بالعلم به </w:t>
      </w:r>
      <w:r>
        <w:rPr>
          <w:rStyle w:val="FootnoteAnchor"/>
          <w:rtl w:val="true"/>
        </w:rPr>
        <w:footnoteReference w:id="1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وجه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في المني كونه أبيض ، بل قد يكون بلون الدم لكثرة الوقاع ، فهو موجب للغسل إذا قطع بكونه منيا ، أو اجتمعت فيه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كنهاية الإحكام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 وتعليله 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رأيي الاحتلام إن لم يجد البلل لا غسل عليه مطلقا ، للأصل ، والإجماع ، وحسنة ابن أبي العلاء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رواية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رأى في منامه فوجد اللذة والشهوة ، ثمَّ قام فلم ير في ثوبه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مريضا فعليه الغسل ، وإن كان صحيحا فلا شي‌ء عليه </w:t>
      </w:r>
      <w:r>
        <w:rPr>
          <w:rFonts w:eastAsia="Amiri" w:cs="Amiri" w:ascii="Amiri" w:hAnsi="Amiri"/>
          <w:color w:val="111111"/>
          <w:sz w:val="28"/>
          <w:szCs w:val="28"/>
          <w:rtl w:val="true"/>
          <w:lang w:bidi="ar-SA"/>
        </w:rPr>
        <w:t xml:space="preserve">» </w:t>
      </w:r>
      <w:r>
        <w:rPr>
          <w:rStyle w:val="FootnoteAnchor"/>
          <w:rtl w:val="true"/>
        </w:rPr>
        <w:footnoteReference w:id="1354"/>
      </w:r>
      <w:r>
        <w:rPr>
          <w:rFonts w:ascii="Amiri" w:hAnsi="Amiri" w:eastAsia="Amiri" w:cs="Amiri"/>
          <w:color w:val="111111"/>
          <w:sz w:val="28"/>
          <w:sz w:val="28"/>
          <w:szCs w:val="28"/>
          <w:rtl w:val="true"/>
          <w:lang w:bidi="ar-SA"/>
        </w:rPr>
        <w:t>فلمخالفتها للإجماع مطروحة أو مؤوّلة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وجدها فمع تيقّن كونها منيا يغتسل ، ومع الاشتباه يرجع إلى الأوصاف</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أمسك المني المنتقل عن موضعه عن الخروج ، لا يجب عليه الغسل ما لم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 ، وجب إن علم أنه المني المنتقل أو غير المنتقل وإن لم تكن معه الأوصاف ، ولا يجب إن شك إلاّ مع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يجب الغسل على المرأة </w:t>
      </w:r>
    </w:p>
    <w:p>
      <w:pPr>
        <w:pStyle w:val="BookText"/>
        <w:rPr/>
      </w:pPr>
      <w:r>
        <w:rPr>
          <w:rFonts w:ascii="Amiri" w:hAnsi="Amiri" w:eastAsia="Amiri" w:cs="Amiri"/>
          <w:color w:val="111111"/>
          <w:sz w:val="28"/>
          <w:sz w:val="28"/>
          <w:szCs w:val="28"/>
          <w:rtl w:val="true"/>
          <w:lang w:bidi="ar-SA"/>
        </w:rPr>
        <w:t>بإحساسها انفصال المني عن موضعه بالتلذّذ والفتور ما لم يعلم بخروجه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المكلّف منيا في جسده أو ثوبه ، يجب عليه الغسل إذا علم أنه منه بالإجماع ، لما مرّ </w:t>
      </w:r>
      <w:r>
        <w:rPr>
          <w:rStyle w:val="FootnoteAnchor"/>
          <w:rtl w:val="true"/>
        </w:rPr>
        <w:footnoteReference w:id="1355"/>
      </w:r>
      <w:r>
        <w:rPr>
          <w:rFonts w:ascii="Amiri" w:hAnsi="Amiri" w:eastAsia="Amiri" w:cs="Amiri"/>
          <w:color w:val="111111"/>
          <w:sz w:val="28"/>
          <w:sz w:val="28"/>
          <w:szCs w:val="28"/>
          <w:rtl w:val="true"/>
          <w:lang w:bidi="ar-SA"/>
        </w:rPr>
        <w:t xml:space="preserve">من وجوبه بخروجه ، ولموثّقتي سماعة ، المتقدّمتين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إطلاقهما وإن كان وجوبه على واجده في جسده أو ثوبه وإن احتمل كونه من غيره ، لكن تقيّدان بما مرّ ، لرواية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 بثوبه منيا ولم يعلم أنه احتلم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ليغسل ما وجد بثوبه وليتوضّأ </w:t>
      </w:r>
      <w:r>
        <w:rPr>
          <w:rFonts w:eastAsia="Amiri" w:cs="Amiri" w:ascii="Amiri" w:hAnsi="Amiri"/>
          <w:color w:val="111111"/>
          <w:sz w:val="28"/>
          <w:szCs w:val="28"/>
          <w:rtl w:val="true"/>
          <w:lang w:bidi="ar-SA"/>
        </w:rPr>
        <w:t xml:space="preserve">» </w:t>
      </w:r>
      <w:r>
        <w:rPr>
          <w:rStyle w:val="FootnoteAnchor"/>
          <w:rtl w:val="true"/>
        </w:rPr>
        <w:footnoteReference w:id="1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خاصة بما إذا لم يعلم أنّه منيّه بالإجماع ، فتكون أخصّ منهما فتخصّصان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النظر عن خصوصيتها تتعارضان بالتساوي ويرجع إلى الأصل ، ومقتضاه ما ذكرناه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وجعلهما أخصّ منها ، باعتبار تقييدهما بكون الوجدان بعد الانتباه من النوم وإطلاقها من هذه الجهة ، ولازمه تقييدها بذلك ، باطل ، إذ لم تقيّد الموثّقتان إلاّ بالوجدان بعد الانتباه مطلقا ، سواء كان مع فاصلة مدّة أو لا ، والوجدان في الرواية أيضا يكون بعد نوم لا محالة ، بل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يعلم أنه احتلم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ذلك ، وإلاّ علم أنّه لم يحتلم فتتساويان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تقييدهما بذلك دونها ، فتتعارضان بالعموم من وجه ، لما ذكرنا من اختصاصها بغير العالم ، فيرجع إلى الأصل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على الغسل خلاف الأصل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وإثباته بعدم وجوب الوضوء قطعا ،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أريد عدم وجوبه مطلقا فممنوع ، لجواز كونه محدثا بنوم أو غيره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وليتوضّأ إن كان محدثا </w:t>
      </w:r>
    </w:p>
    <w:p>
      <w:pPr>
        <w:pStyle w:val="BookText"/>
        <w:rPr/>
      </w:pPr>
      <w:r>
        <w:rPr>
          <w:rFonts w:ascii="IRNazanin" w:hAnsi="IRNazanin" w:eastAsia="IRNazanin"/>
          <w:color w:val="111111"/>
          <w:sz w:val="28"/>
          <w:sz w:val="28"/>
          <w:szCs w:val="28"/>
          <w:rtl w:val="true"/>
          <w:lang w:bidi="fa-IR"/>
        </w:rPr>
        <w:t>بالحدث الأصغر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أريد عدم القطع بوجوبه ، فالغسل أيضا كذلك ، لجواز أن يكون قد اغتسل للجنابة بعد الانتباه بالمباشرة أو للجمعة أو غيره على التداخل ، فلا بدّ من التقييد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اغتسل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يظهر ضعف القول بوجوب الغسل بالوجدان في الثوب المختص ، في صورة كونه بعد الانتباه مطلقا ، كبعض المتأخّرين </w:t>
      </w:r>
      <w:r>
        <w:rPr>
          <w:rStyle w:val="FootnoteAnchor"/>
          <w:rtl w:val="true"/>
        </w:rPr>
        <w:footnoteReference w:id="1358"/>
      </w:r>
      <w:r>
        <w:rPr>
          <w:rFonts w:ascii="Amiri" w:hAnsi="Amiri" w:eastAsia="Amiri" w:cs="Amiri"/>
          <w:color w:val="111111"/>
          <w:sz w:val="28"/>
          <w:sz w:val="28"/>
          <w:szCs w:val="28"/>
          <w:rtl w:val="true"/>
          <w:lang w:bidi="ar-SA"/>
        </w:rPr>
        <w:t xml:space="preserve">، أو قبل القيام من موضعه ، كالنهاية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ودعوى القطع بكونه منه حينئذ بشهادة الحال مطلقا </w:t>
      </w:r>
      <w:r>
        <w:rPr>
          <w:rStyle w:val="FootnoteAnchor"/>
          <w:rtl w:val="true"/>
        </w:rPr>
        <w:footnoteReference w:id="1360"/>
      </w:r>
      <w:r>
        <w:rPr>
          <w:rFonts w:ascii="Amiri" w:hAnsi="Amiri" w:eastAsia="Amiri" w:cs="Amiri"/>
          <w:color w:val="111111"/>
          <w:sz w:val="28"/>
          <w:sz w:val="28"/>
          <w:szCs w:val="28"/>
          <w:rtl w:val="true"/>
          <w:lang w:bidi="ar-SA"/>
        </w:rPr>
        <w:t>ممنوعة ، وفي الجملة بهذه الصورة غير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يظهر ضعف القول بوجوبه بوجدانه في المختص مطلقا ، كما هو ظاهر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Style w:val="FootnoteAnchor"/>
          <w:rtl w:val="true"/>
        </w:rPr>
        <w:footnoteReference w:id="1361"/>
      </w:r>
      <w:r>
        <w:rPr>
          <w:rFonts w:ascii="Amiri" w:hAnsi="Amiri" w:eastAsia="Amiri" w:cs="Amiri"/>
          <w:color w:val="111111"/>
          <w:sz w:val="28"/>
          <w:sz w:val="28"/>
          <w:szCs w:val="28"/>
          <w:rtl w:val="true"/>
          <w:lang w:bidi="ar-SA"/>
        </w:rPr>
        <w:t xml:space="preserve">، والحلّي </w:t>
      </w:r>
      <w:r>
        <w:rPr>
          <w:rStyle w:val="FootnoteAnchor"/>
          <w:rtl w:val="true"/>
        </w:rPr>
        <w:footnoteReference w:id="1362"/>
      </w:r>
      <w:r>
        <w:rPr>
          <w:rFonts w:ascii="IRNazanin" w:hAnsi="IRNazanin" w:eastAsia="IRNazanin"/>
          <w:color w:val="111111"/>
          <w:sz w:val="28"/>
          <w:sz w:val="28"/>
          <w:szCs w:val="28"/>
          <w:rtl w:val="true"/>
          <w:lang w:bidi="fa-IR"/>
        </w:rPr>
        <w:t xml:space="preserve">، والفاضلان </w:t>
      </w:r>
      <w:r>
        <w:rPr>
          <w:rStyle w:val="FootnoteAnchor"/>
          <w:rtl w:val="true"/>
        </w:rPr>
        <w:footnoteReference w:id="1363"/>
      </w:r>
      <w:r>
        <w:rPr>
          <w:rFonts w:ascii="Amiri" w:hAnsi="Amiri" w:eastAsia="Amiri" w:cs="Amiri"/>
          <w:color w:val="111111"/>
          <w:sz w:val="28"/>
          <w:sz w:val="28"/>
          <w:szCs w:val="28"/>
          <w:rtl w:val="true"/>
          <w:lang w:bidi="ar-SA"/>
        </w:rPr>
        <w:t xml:space="preserve">، والشهيد </w:t>
      </w:r>
      <w:r>
        <w:rPr>
          <w:rStyle w:val="FootnoteAnchor"/>
          <w:rtl w:val="true"/>
        </w:rPr>
        <w:footnoteReference w:id="1364"/>
      </w:r>
      <w:r>
        <w:rPr>
          <w:rFonts w:ascii="Amiri" w:hAnsi="Amiri" w:eastAsia="Amiri" w:cs="Amiri"/>
          <w:color w:val="111111"/>
          <w:sz w:val="28"/>
          <w:sz w:val="28"/>
          <w:szCs w:val="28"/>
          <w:rtl w:val="true"/>
          <w:lang w:bidi="ar-SA"/>
        </w:rPr>
        <w:t xml:space="preserve">، وغيرهم </w:t>
      </w:r>
      <w:r>
        <w:rPr>
          <w:rStyle w:val="FootnoteAnchor"/>
          <w:rtl w:val="true"/>
        </w:rPr>
        <w:footnoteReference w:id="1365"/>
      </w:r>
      <w:r>
        <w:rPr>
          <w:rFonts w:ascii="Amiri" w:hAnsi="Amiri" w:eastAsia="Amiri" w:cs="Amiri"/>
          <w:color w:val="111111"/>
          <w:sz w:val="28"/>
          <w:sz w:val="28"/>
          <w:szCs w:val="28"/>
          <w:rtl w:val="true"/>
          <w:lang w:bidi="ar-SA"/>
        </w:rPr>
        <w:t>، وفي التذكرة الإجماع عليه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وتخصيص الرواية بالثوب المشترك لا دليل عليه ، والإجماع المدّعى في التذكرة غير مسموع ، مع أنّ منهم من فسّر المختص بما لم يحتمل أن يكون ما فيه من غيره ، فيمكن أن يكون ذلك مرادهم ، فيرجع إلى ما ذكرناه </w:t>
      </w:r>
      <w:r>
        <w:rPr>
          <w:rStyle w:val="FootnoteAnchor"/>
          <w:rtl w:val="true"/>
        </w:rPr>
        <w:footnoteReference w:id="1366"/>
      </w:r>
      <w:r>
        <w:rPr>
          <w:rFonts w:ascii="Amiri" w:hAnsi="Amiri" w:eastAsia="Amiri" w:cs="Amiri"/>
          <w:color w:val="111111"/>
          <w:sz w:val="28"/>
          <w:sz w:val="28"/>
          <w:szCs w:val="28"/>
          <w:rtl w:val="true"/>
          <w:lang w:bidi="ar-SA"/>
        </w:rPr>
        <w:t xml:space="preserve">، ولا يكون فرق </w:t>
      </w:r>
    </w:p>
    <w:p>
      <w:pPr>
        <w:pStyle w:val="BookText"/>
        <w:rPr/>
      </w:pPr>
      <w:r>
        <w:rPr>
          <w:rFonts w:ascii="Amiri" w:hAnsi="Amiri" w:eastAsia="Amiri" w:cs="Amiri"/>
          <w:color w:val="111111"/>
          <w:sz w:val="28"/>
          <w:sz w:val="28"/>
          <w:szCs w:val="28"/>
          <w:rtl w:val="true"/>
          <w:lang w:bidi="ar-SA"/>
        </w:rPr>
        <w:t>بين المختص بالمعنى المفهوم منه والمشترك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من العلم بكون المني منه أعمّ من العلم الحاصل بالدليل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ويلزمه أنه لو احتمل كون المني سابقا على غسل رافع معيّن زمانه يجب الغسل أيضا ، لأصالة تأخّر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أصالة الطهارة وعدم وجوب الغسل فلا تعارضان أصل التأخّر ، لكونه مزيلا لهما دون العكس ، كما بيّنا تحقيقه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لم يعلم زمان الغسل واحتمل تأخّره عن آخر زمان احتمال إصابة المني ، يتعارض أصل تأخّره مع ما مرّ ، فيتساقطان ويرجع إلى الأصلين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يلزمه وجوب الغسل على ذي النوبة لو كان الثوب ممّا يتناوبه شريكان إذا أصابه ولم يحتمل وصوله في نوبته من غيره ، وإن احتمل سبقه على النوبة ، وفاقا للكركي </w:t>
      </w:r>
      <w:r>
        <w:rPr>
          <w:rStyle w:val="FootnoteAnchor"/>
          <w:rtl w:val="true"/>
        </w:rPr>
        <w:footnoteReference w:id="1368"/>
      </w:r>
      <w:r>
        <w:rPr>
          <w:rFonts w:ascii="Amiri" w:hAnsi="Amiri" w:eastAsia="Amiri" w:cs="Amiri"/>
          <w:color w:val="111111"/>
          <w:sz w:val="28"/>
          <w:sz w:val="28"/>
          <w:szCs w:val="28"/>
          <w:rtl w:val="true"/>
          <w:lang w:bidi="ar-SA"/>
        </w:rPr>
        <w:t xml:space="preserve">، والدروس ، والروض ، والمسالك </w:t>
      </w:r>
      <w:r>
        <w:rPr>
          <w:rStyle w:val="FootnoteAnchor"/>
          <w:rtl w:val="true"/>
        </w:rPr>
        <w:footnoteReference w:id="1369"/>
      </w:r>
      <w:r>
        <w:rPr>
          <w:rFonts w:ascii="Amiri" w:hAnsi="Amiri" w:eastAsia="Amiri" w:cs="Amiri"/>
          <w:color w:val="111111"/>
          <w:sz w:val="28"/>
          <w:sz w:val="28"/>
          <w:szCs w:val="28"/>
          <w:rtl w:val="true"/>
          <w:lang w:bidi="ar-SA"/>
        </w:rPr>
        <w:t>، للأصل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وخلافا لظاهر جماعة وصريح اخرى </w:t>
      </w:r>
      <w:r>
        <w:rPr>
          <w:rStyle w:val="FootnoteAnchor"/>
          <w:rtl w:val="true"/>
        </w:rPr>
        <w:footnoteReference w:id="1370"/>
      </w:r>
      <w:r>
        <w:rPr>
          <w:rFonts w:ascii="Amiri" w:hAnsi="Amiri" w:eastAsia="Amiri" w:cs="Amiri"/>
          <w:color w:val="111111"/>
          <w:sz w:val="28"/>
          <w:sz w:val="28"/>
          <w:szCs w:val="28"/>
          <w:rtl w:val="true"/>
          <w:lang w:bidi="ar-SA"/>
        </w:rPr>
        <w:t>، لمعارضة الأصلين المتقدّمين ، المندفعين بالأصل المذكور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ويحكم بجنابة من ذكرنا وجوب الغسل عليه من الوجدان في ثوبه وذي النوبة ، من آخر أوقات إمكانه ، على الأشهر الأظهر ، للأصل والاستصحاب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فيعيد ما له إعادة من المشروطات بالطهارة ما تأخّر عنه إلى زمان الوجدان ، أو تحقّق طهارة رافعة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المبسوط حكم بوجوب قضاء كلّ صلاة صلاّها بعد آخر غسل رافع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بالنسبة إلى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الخبث فيبنى على مسألة الجاهل به من إعادته </w:t>
      </w:r>
    </w:p>
    <w:p>
      <w:pPr>
        <w:pStyle w:val="BookText"/>
        <w:rPr/>
      </w:pPr>
      <w:r>
        <w:rPr>
          <w:rFonts w:ascii="Amiri" w:hAnsi="Amiri" w:eastAsia="Amiri" w:cs="Amiri"/>
          <w:color w:val="111111"/>
          <w:sz w:val="28"/>
          <w:sz w:val="28"/>
          <w:szCs w:val="28"/>
          <w:rtl w:val="true"/>
          <w:lang w:bidi="ar-SA"/>
        </w:rPr>
        <w:t>مطلقا ، أو في الوقت ، أو عدمها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المبسوط حكم باستحباب إعادة كلّ صلاة صلاّها من أول نومة نامها في ذلك الثوب ، ووجوبها من آخر نومة نامها فيه ، ثمَّ قوّى عدم وجوب إعادة شي‌ء ممّا خرج وقته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 في المدارك إلى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عن حكم الحدث إلى القول المشهور </w:t>
      </w:r>
      <w:r>
        <w:rPr>
          <w:rStyle w:val="FootnoteAnchor"/>
          <w:rtl w:val="true"/>
        </w:rPr>
        <w:footnoteReference w:id="1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منه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المني في ثوب بين شخصين مجتمعين فيه في زمان واحد ، كفراش أو لحاف ، ولم يعلم خروجه من واحد معيّن منهما ، لا يجب الغسل على أحد منهما ، ويجوز لهما أن يفعلا ما يفعله الطاهر ، وفاقا فيما لا تتوقّف صحته من أحدهما عليها من الآخر توقّف ابتناء أو معيّة ، للأصل ، كالصلاة ودخولهما المسجد وقراءة العزائم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الأصح فيما له أحد التوقّفين ، كائتمام أحدهما بالآخر ، وصيرورتهما عدد الجمعة ، وكذا في ائتمام واحد بهما في صلاتين أو صلاة ، وحمل أحدهما الآخر إلى المسجد ، وفاقا للتذكرة والمنتهى والتحرير ونهاية الإحكام والمدارك </w:t>
      </w:r>
      <w:r>
        <w:rPr>
          <w:rStyle w:val="FootnoteAnchor"/>
          <w:rtl w:val="true"/>
        </w:rPr>
        <w:footnoteReference w:id="1374"/>
      </w:r>
      <w:r>
        <w:rPr>
          <w:rFonts w:ascii="Amiri" w:hAnsi="Amiri" w:eastAsia="Amiri" w:cs="Amiri"/>
          <w:color w:val="111111"/>
          <w:sz w:val="28"/>
          <w:sz w:val="28"/>
          <w:szCs w:val="28"/>
          <w:rtl w:val="true"/>
          <w:lang w:bidi="ar-SA"/>
        </w:rPr>
        <w:t>واللوامع والمعتمد ، بل معظم الثالثة ، كما في الأخيرين ، للأصل ، وعدم مانع سوى العلم بخروج المني من واحد منهما غير معيّن ، وهو غير صالح للمنع ، إذ لم يترتّب بالأخبار حكم عليه سوى وجوب الغسل المنتفي هنا إجماعا ، ولا بالإجماع حكم يفيد في محل النزاع</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الجنابة والمحدثية أمران مترتّبان على خروج المني وقد تعلّق بهما أحكام كثيرة ، ولازمه ثبوتها للجنب والمحدث مطلقا ، معيّنا كان أو غير 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من الجنابة والمحدثية إلاّ حالة شرعية حاصلة بعد خروج المني ، والمراد بالحالة الشرعية الوصف الجعلي من الشارع ، وهو كونه بحيث تتعلّق به أمور شرعية ، وبعد منع تعلّقها بغير المعيّن لا نسلّم كونه جنبا ومحدثا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 الجنابة والمحدثية أمران واقعيان مترتّبان على خروج المني مطلقا ، يعني أنهما حالتان غير كون الشخص مورد الأحكام الشرعية ، ولازمه كون واحد معيّن منهما واقعا غير معيّن عندنا جنبا ومحدثا ، ولكنه لا يضرّ إلاّ فيما علم فيه وجود الواحد لا بعينه من الفردين ، وكونه منشأ للأثر الشرعي من المانعيّة أو السببية أو غيرهما ، كما فيما إذا اشتبه ماء طاهر مع نجس ، فكلّ منهما بخصوصه وإن لم يكن نجسا ، ولكن واحد غير معيّن منهما نجس ، فإذا وقعا معا على ماء قليل فبوقوعهما معا فيه يعلم وقوع الواحد لا بعينه الذي هو معلوم النجاسة فيه ، لعدم خروجه عنهما ، ولأجله ينجس الماء القليل ، لصدق وقوع النجس وهو واحد غير معيّن منهما فيه وإن لم ينجس لخصوصية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 هنا ثلاثة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بخصوصه ، وهذا بخصوصه ، وواحد لا بعينه منهما ، وحال كلّ منهما بخصوصه واقعا غير معلوم ، وظاهرا هو ما يوافق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الواحد لا بعينه فخارج عن الأصل واقعا يقينا ، وظاهرا ، ففي المثال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نجس واقعا فكذا ظاهرا ، لتبعية الظاهر للواقع بعد معلوميته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مورد لم يعلم تحقّق الواحد لا بعينه لا يتحقّق الحكم المخالف للأصل ، كما إذا وقع أحد الماءين في قليل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إذا علم تحقّقه ولكن من غير اجتماع في مورد واحد ، كما إذا وقع أحدهما في قليل وآخر في آخر ، أو علم تحقّقه في مورد واحد ولم يكن مؤثّرا ، وذلك كما في اجتماع الشريكين المذكورين في صلاة الجمعة ، فإنه قد تحقّق فيها هذا بخصوصه الذي ليس جنبا ظاهرا ، وهذا بخصوصه الذي أيضا كذلك ، والواحد الغير المعيّن الذي هو جنب ، ولكن بانضمام الخصوصيّين اللذين ليسا بجنبين قد تمَّ عدد الجمعة فانعقدت ، غاية الأمر تحقّق الواحد الغير المعيّن أيضا ، ووجوده </w:t>
      </w:r>
    </w:p>
    <w:p>
      <w:pPr>
        <w:pStyle w:val="BookText"/>
        <w:rPr/>
      </w:pPr>
      <w:r>
        <w:rPr>
          <w:rFonts w:ascii="Amiri" w:hAnsi="Amiri" w:eastAsia="Amiri" w:cs="Amiri"/>
          <w:color w:val="111111"/>
          <w:sz w:val="28"/>
          <w:sz w:val="28"/>
          <w:szCs w:val="28"/>
          <w:rtl w:val="true"/>
          <w:lang w:bidi="ar-SA"/>
        </w:rPr>
        <w:t>بعد تمام عدد الجمعة بغير الجنب الشرعي ، وهو هذا بخصوصه وهذا بخصوصه ، والثالثة الأخرى لا تؤثّر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سائر أمثلة المقام ، فإنّ صلاة هذا بخصوصه ، الصحيحة مرتبطة من جهة الائتمام بصلاة هذا بخصوصه ، الصحيحة أيضا ، فتكون صحيحة ، غاية الأمر كون الواحد غير معيّن منهما جنبا ، وهو غير مؤثّر في إبطال الخصوصيات ، وليس أمر آخر يؤثّر وجوده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بخلاف الماءين الواقعين في قليل ، فإنّه وإن لم ينجس بوقوع هذا بخصوصه وذلك بخصوصه ، ولكن بوقوعهما وقع واحد لا بعينه الذي هو نجس فيه أيضا ، فيصدق لأجله وقوع النجس </w:t>
      </w:r>
      <w:r>
        <w:rPr>
          <w:rStyle w:val="FootnoteAnchor"/>
          <w:rtl w:val="true"/>
        </w:rPr>
        <w:footnoteReference w:id="1375"/>
      </w:r>
      <w:r>
        <w:rPr>
          <w:rFonts w:ascii="Amiri" w:hAnsi="Amiri" w:eastAsia="Amiri" w:cs="Amiri"/>
          <w:color w:val="111111"/>
          <w:sz w:val="28"/>
          <w:sz w:val="28"/>
          <w:szCs w:val="28"/>
          <w:rtl w:val="true"/>
          <w:lang w:bidi="ar-SA"/>
        </w:rPr>
        <w:t>فيه ، فينجس لذلك لا للخصوصيات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تحقّق الواحد لا بعينه في مورد بتحقّقهما فيه ، وثبتت مانعيّته لأمر لازم في المورد ، أو سببيته لأمر مضرّ فيه ، يكون تحقّقه مضرا ، كما في مثال الماء ، لا في غيره كما في مثال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باجتماع الشخصين يتحقّق الواحد لا بعينه الذي هو جنب ، فكذا تتحقّق باجتماع الصلاتين صلاة لا بعينها باطلة ، فتكون إحداهما لا بعينها باطلة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 صحة كلّ منهما بخصوصها لا يضرّ وجود الغير المعيّنة الباطلة ، مع أنّا نمنع تحقّقها هنا ، لأنّه إنّما هو في الأمور الغير المتوقّفة على جعل الشارع ، أو ما ثبت فيه جعله على الإطلاق ، وأمّا البطلان فليس هو إلاّ مخالفة المأمور به ، فتحقّقه فرع تحقّق الأمر ، وليس هنا أمر إلاّ بكلّ بخصوصه ، وصلاته صحيحة ، وليس هنا أمر آخر ، فلم تتحقّق صلاة باطلة ، ومن ذلك يعلم وجه آخر لما اخترناه في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للمحقّقين </w:t>
      </w:r>
      <w:r>
        <w:rPr>
          <w:rStyle w:val="FootnoteAnchor"/>
          <w:rtl w:val="true"/>
        </w:rPr>
        <w:footnoteReference w:id="1376"/>
      </w:r>
      <w:r>
        <w:rPr>
          <w:rFonts w:ascii="Amiri" w:hAnsi="Amiri" w:eastAsia="Amiri" w:cs="Amiri"/>
          <w:color w:val="111111"/>
          <w:sz w:val="28"/>
          <w:sz w:val="28"/>
          <w:szCs w:val="28"/>
          <w:rtl w:val="true"/>
          <w:lang w:bidi="ar-SA"/>
        </w:rPr>
        <w:t xml:space="preserve">، والشهيدين </w:t>
      </w:r>
      <w:r>
        <w:rPr>
          <w:rStyle w:val="FootnoteAnchor"/>
          <w:rtl w:val="true"/>
        </w:rPr>
        <w:footnoteReference w:id="1377"/>
      </w:r>
      <w:r>
        <w:rPr>
          <w:rFonts w:ascii="Amiri" w:hAnsi="Amiri" w:eastAsia="Amiri" w:cs="Amiri"/>
          <w:color w:val="111111"/>
          <w:sz w:val="28"/>
          <w:sz w:val="28"/>
          <w:szCs w:val="28"/>
          <w:rtl w:val="true"/>
          <w:lang w:bidi="ar-SA"/>
        </w:rPr>
        <w:t>، للقطع بجنابة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ظهر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المبسوط والمعتبر </w:t>
      </w:r>
      <w:r>
        <w:rPr>
          <w:rStyle w:val="FootnoteAnchor"/>
          <w:rtl w:val="true"/>
        </w:rPr>
        <w:footnoteReference w:id="1378"/>
      </w:r>
      <w:r>
        <w:rPr>
          <w:rFonts w:ascii="Amiri" w:hAnsi="Amiri" w:eastAsia="Amiri" w:cs="Amiri"/>
          <w:color w:val="111111"/>
          <w:sz w:val="28"/>
          <w:sz w:val="28"/>
          <w:szCs w:val="28"/>
          <w:rtl w:val="true"/>
          <w:lang w:bidi="ar-SA"/>
        </w:rPr>
        <w:t xml:space="preserve">والإصباح والمنتهى والتذكرة والدروس والنفلية </w:t>
      </w:r>
      <w:r>
        <w:rPr>
          <w:rStyle w:val="FootnoteAnchor"/>
          <w:rtl w:val="true"/>
        </w:rPr>
        <w:footnoteReference w:id="1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الغسل لكلّ من الشريكين ، لفتوى هؤلاء الأجلّة ، والاحتياط ، منضمّا إلى ما في السنن من التسامح في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الذكر في القبل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وإيجابه للغسل مجمع عليه ، والنصوص مصرّحة به ، كصحيحتي محمّد وابن سرحان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يجب الغسل على الرجل والمرأة؟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أدخله فقد وجب الغسل والمهر والرجم </w:t>
      </w:r>
      <w:r>
        <w:rPr>
          <w:rFonts w:eastAsia="Amiri" w:cs="Amiri" w:ascii="Amiri" w:hAnsi="Amiri"/>
          <w:color w:val="111111"/>
          <w:sz w:val="28"/>
          <w:szCs w:val="28"/>
          <w:rtl w:val="true"/>
          <w:lang w:bidi="ar-SA"/>
        </w:rPr>
        <w:t xml:space="preserve">»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أولجه فقد وجب الغسل والجلد والرجم ووجب المهر كلاّ </w:t>
      </w:r>
      <w:r>
        <w:rPr>
          <w:rFonts w:eastAsia="Amiri" w:cs="Amiri" w:ascii="Amiri" w:hAnsi="Amiri"/>
          <w:color w:val="111111"/>
          <w:sz w:val="28"/>
          <w:szCs w:val="28"/>
          <w:rtl w:val="true"/>
          <w:lang w:bidi="ar-SA"/>
        </w:rPr>
        <w:t xml:space="preserve">»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يتوقّف الوجوب على إدخال الجميع ، بل يكفي التقاء الختانين بالإجماع والمستفيضة ، كصحيحة البختري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التقى الختانان وجب المهر والعدّة والغسل </w:t>
      </w:r>
      <w:r>
        <w:rPr>
          <w:rFonts w:eastAsia="Amiri" w:cs="Amiri" w:ascii="Amiri" w:hAnsi="Amiri"/>
          <w:color w:val="111111"/>
          <w:sz w:val="28"/>
          <w:szCs w:val="28"/>
          <w:rtl w:val="true"/>
          <w:lang w:bidi="ar-SA"/>
        </w:rPr>
        <w:t xml:space="preserve">»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 الجارية البكر لا يفضي إليها </w:t>
      </w:r>
    </w:p>
    <w:p>
      <w:pPr>
        <w:pStyle w:val="BookText"/>
        <w:rPr/>
      </w:pPr>
      <w:r>
        <w:rPr>
          <w:rFonts w:ascii="Amiri" w:hAnsi="Amiri" w:eastAsia="Amiri" w:cs="Amiri"/>
          <w:color w:val="111111"/>
          <w:sz w:val="28"/>
          <w:sz w:val="28"/>
          <w:szCs w:val="28"/>
          <w:rtl w:val="true"/>
          <w:lang w:bidi="ar-SA"/>
        </w:rPr>
        <w:t xml:space="preserve">ولم ينزل ، أعليها غسل؟ وإن كانت ليس ببكر ثمَّ أصابها ولم يفض إليها أعليها غسل؟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الختان على الختان قد وجب الغسل </w:t>
      </w:r>
      <w:r>
        <w:rPr>
          <w:rFonts w:eastAsia="Amiri" w:cs="Amiri" w:ascii="Amiri" w:hAnsi="Amiri"/>
          <w:color w:val="111111"/>
          <w:sz w:val="28"/>
          <w:szCs w:val="28"/>
          <w:rtl w:val="true"/>
          <w:lang w:bidi="ar-SA"/>
        </w:rPr>
        <w:t xml:space="preserve">» </w:t>
      </w:r>
      <w:r>
        <w:rPr>
          <w:rStyle w:val="FootnoteAnchor"/>
          <w:rtl w:val="true"/>
        </w:rPr>
        <w:footnoteReference w:id="1383"/>
      </w:r>
      <w:r>
        <w:rPr>
          <w:rFonts w:ascii="Amiri" w:hAnsi="Amiri" w:eastAsia="Amiri" w:cs="Amiri"/>
          <w:color w:val="111111"/>
          <w:sz w:val="28"/>
          <w:sz w:val="28"/>
          <w:szCs w:val="28"/>
          <w:rtl w:val="true"/>
          <w:lang w:bidi="ar-SA"/>
        </w:rPr>
        <w:t xml:space="preserve">وقريبة منها صحيحة الحلبي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زرارة ، الواردة في قضية الأصحاب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أتوجبون عليه الجلد والرجم ولا توجبون عليه صاعا من ماء؟ إذا التقى الختانان فقد وجب الغسل </w:t>
      </w:r>
      <w:r>
        <w:rPr>
          <w:rFonts w:eastAsia="Amiri" w:cs="Amiri" w:ascii="Amiri" w:hAnsi="Amiri"/>
          <w:color w:val="111111"/>
          <w:sz w:val="28"/>
          <w:szCs w:val="28"/>
          <w:rtl w:val="true"/>
          <w:lang w:bidi="ar-SA"/>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ويعلم التقاء الختانين بغيبوبة الحشفة إجماعا ، لصحيحة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يجامع المرأة قريبا من الفرج فلا ينزلان ، متى يجب الغسل؟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التقى الختانان فقد وجب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التقاء الختانين هو غيبوبة الحشفة؟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ينافيه ما في صحيحة ابن يقطين ، المتقدّمة ، لجواز أن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بيانا لمطلق الحكم ، فيلزمه عدم الغسل في المسؤول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غيبوبة الحشفة لا تستلزم الإفضاء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ما في السرائر عن النوادر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عليهما الغسل حين يدخله ، وإذا التقى الختانان فيغسلان فرجهما </w:t>
      </w:r>
      <w:r>
        <w:rPr>
          <w:rFonts w:eastAsia="Amiri" w:cs="Amiri" w:ascii="Amiri" w:hAnsi="Amiri"/>
          <w:color w:val="111111"/>
          <w:sz w:val="28"/>
          <w:szCs w:val="28"/>
          <w:rtl w:val="true"/>
          <w:lang w:bidi="ar-SA"/>
        </w:rPr>
        <w:t xml:space="preserve">» </w:t>
      </w:r>
      <w:r>
        <w:rPr>
          <w:rStyle w:val="FootnoteAnchor"/>
          <w:rtl w:val="true"/>
        </w:rPr>
        <w:footnoteReference w:id="1387"/>
      </w:r>
      <w:r>
        <w:rPr>
          <w:rFonts w:ascii="Amiri" w:hAnsi="Amiri" w:eastAsia="Amiri" w:cs="Amiri"/>
          <w:color w:val="111111"/>
          <w:sz w:val="28"/>
          <w:sz w:val="28"/>
          <w:szCs w:val="28"/>
          <w:rtl w:val="true"/>
          <w:lang w:bidi="ar-SA"/>
        </w:rPr>
        <w:t xml:space="preserve">، لجواز عطف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يدخله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التنافي ، فتخرج عن الحجية بالشذوذ ومخالفة الإجماع</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وبمفهوم تلك الأخبار يقيّد إطلاق الأوليين المقتضي لوجوب الغسل بدخول الأقلّ من ذلك ، حيث إنّ صدق دخول الشي‌ء لا يتوقّف على دخول </w:t>
      </w:r>
    </w:p>
    <w:p>
      <w:pPr>
        <w:pStyle w:val="BookText"/>
        <w:rPr/>
      </w:pPr>
      <w:r>
        <w:rPr>
          <w:rFonts w:ascii="Amiri" w:hAnsi="Amiri" w:eastAsia="Amiri" w:cs="Amiri"/>
          <w:color w:val="111111"/>
          <w:sz w:val="28"/>
          <w:sz w:val="28"/>
          <w:szCs w:val="28"/>
          <w:rtl w:val="true"/>
          <w:lang w:bidi="ar-SA"/>
        </w:rPr>
        <w:t xml:space="preserve">جميعه ، بل يصدق على دخول جزء منه أيضا ،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إصبعي في الجحر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مرجع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للمجموع غير ضائر ، إذ لا يلزم اتّحاد المعنى التركيبي مع الأفرادي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يجب الغسل بدخول الأقلّ من ذلك ولو من مقطوع الحشفة أو المخلوق بلا حشفة ، لصدق عدم التقاء الختانين وعدم غيبوبة الحشفة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خلافا لما احتمل بعضهم </w:t>
      </w:r>
      <w:r>
        <w:rPr>
          <w:rStyle w:val="FootnoteAnchor"/>
          <w:rtl w:val="true"/>
        </w:rPr>
        <w:footnoteReference w:id="1388"/>
      </w:r>
      <w:r>
        <w:rPr>
          <w:rFonts w:ascii="Amiri" w:hAnsi="Amiri" w:eastAsia="Amiri" w:cs="Amiri"/>
          <w:color w:val="111111"/>
          <w:sz w:val="28"/>
          <w:sz w:val="28"/>
          <w:szCs w:val="28"/>
          <w:rtl w:val="true"/>
          <w:lang w:bidi="ar-SA"/>
        </w:rPr>
        <w:t>من الاكتفاء فيهما بالمسمّى ، عملا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حسن لو لا المفاهيم المقيّدة له ، مع أنّ المطلق ينصرف إلى الغالب ، ولكنهما يمنعان عن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مقتضاهما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الغسل عليهما بالإدخال مطلقا ، إلاّ أنّ ظاهر الأصحاب إلحاق قدر الحشفة منهما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ثبت عليه الإجماع ، وإلاّ فالحكم به مشكل جدّا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بالقبل ، الدبر مطلقا ، من الأنثى كان أو الذكر ، بل نقل عليه السيد بل الحلّي </w:t>
      </w:r>
      <w:r>
        <w:rPr>
          <w:rStyle w:val="FootnoteAnchor"/>
          <w:rtl w:val="true"/>
        </w:rPr>
        <w:footnoteReference w:id="1389"/>
      </w:r>
      <w:r>
        <w:rPr>
          <w:rFonts w:ascii="Amiri" w:hAnsi="Amiri" w:eastAsia="Amiri" w:cs="Amiri"/>
          <w:color w:val="111111"/>
          <w:sz w:val="28"/>
          <w:sz w:val="28"/>
          <w:szCs w:val="28"/>
          <w:rtl w:val="true"/>
          <w:lang w:bidi="ar-SA"/>
        </w:rPr>
        <w:t xml:space="preserve">ظاهرا إجماع المسلمين ، بل ادّعى الأول عليه الضرورة من الدين ، مع فحوى صحيحة زرارة ، المتقدّمة </w:t>
      </w:r>
      <w:r>
        <w:rPr>
          <w:rStyle w:val="FootnoteAnchor"/>
          <w:rtl w:val="true"/>
        </w:rPr>
        <w:footnoteReference w:id="1390"/>
      </w:r>
      <w:r>
        <w:rPr>
          <w:rFonts w:ascii="Amiri" w:hAnsi="Amiri" w:eastAsia="Amiri" w:cs="Amiri"/>
          <w:color w:val="111111"/>
          <w:sz w:val="28"/>
          <w:sz w:val="28"/>
          <w:szCs w:val="28"/>
          <w:rtl w:val="true"/>
          <w:lang w:bidi="ar-SA"/>
        </w:rPr>
        <w:t xml:space="preserve">، ومطلقات وجوبه بالإدخال ، وبالتقاء الختانين المفسّر في الصحيحة </w:t>
      </w:r>
      <w:r>
        <w:rPr>
          <w:rStyle w:val="FootnoteAnchor"/>
          <w:rtl w:val="true"/>
        </w:rPr>
        <w:footnoteReference w:id="1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بغيبوبة الحشفة ، المتحقّقة ها هنا ، والمروي عن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أوجب الحدّ أوجب الغسل </w:t>
      </w:r>
      <w:r>
        <w:rPr>
          <w:rFonts w:eastAsia="Amiri" w:cs="Amiri" w:ascii="Amiri" w:hAnsi="Amiri"/>
          <w:color w:val="111111"/>
          <w:sz w:val="28"/>
          <w:szCs w:val="28"/>
          <w:rtl w:val="true"/>
          <w:lang w:bidi="ar-SA"/>
        </w:rPr>
        <w:t xml:space="preserve">»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مضافا في الأوّل ، إلى إيجابه في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لامَسْتُمُ النِّساءَ </w:t>
      </w:r>
      <w:r>
        <w:rPr>
          <w:rFonts w:eastAsia="Amiri" w:cs="Amiri" w:ascii="Amiri" w:hAnsi="Amiri"/>
          <w:color w:val="111111"/>
          <w:sz w:val="28"/>
          <w:szCs w:val="28"/>
          <w:rtl w:val="true"/>
          <w:lang w:bidi="ar-SA"/>
        </w:rPr>
        <w:t xml:space="preserve">) </w:t>
      </w:r>
      <w:r>
        <w:rPr>
          <w:rStyle w:val="FootnoteAnchor"/>
          <w:rtl w:val="true"/>
        </w:rPr>
        <w:footnoteReference w:id="1393"/>
      </w:r>
      <w:r>
        <w:rPr>
          <w:rFonts w:ascii="Amiri" w:hAnsi="Amiri" w:eastAsia="Amiri" w:cs="Amiri"/>
          <w:color w:val="111111"/>
          <w:sz w:val="28"/>
          <w:sz w:val="28"/>
          <w:szCs w:val="28"/>
          <w:rtl w:val="true"/>
          <w:lang w:bidi="ar-SA"/>
        </w:rPr>
        <w:t xml:space="preserve">بمطلق الملامسة الشاملة للمطلوب بنفسها والمفسّرة في صحيحة أبي مريم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يعني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لامستم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المواقعة في الفرج </w:t>
      </w:r>
      <w:r>
        <w:rPr>
          <w:rFonts w:eastAsia="Amiri" w:cs="Amiri" w:ascii="Amiri" w:hAnsi="Amiri"/>
          <w:color w:val="111111"/>
          <w:sz w:val="28"/>
          <w:szCs w:val="28"/>
          <w:rtl w:val="true"/>
          <w:lang w:bidi="ar-SA"/>
        </w:rPr>
        <w:t xml:space="preserve">» </w:t>
      </w:r>
      <w:r>
        <w:rPr>
          <w:rStyle w:val="FootnoteAnchor"/>
          <w:rtl w:val="true"/>
        </w:rPr>
        <w:footnoteReference w:id="1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بالمواقعة في الفرج الشامل للدبر لغة وعرفا ، أو المحتمل شموله له الكافي في المقام ، لعدم تقيد الملامسة المطلقة إلاّ بما علمت تقييدها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أخبار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بالإدخال أو المباشرة </w:t>
      </w:r>
      <w:r>
        <w:rPr>
          <w:rStyle w:val="FootnoteAnchor"/>
          <w:rtl w:val="true"/>
        </w:rPr>
        <w:footnoteReference w:id="1395"/>
      </w:r>
      <w:r>
        <w:rPr>
          <w:rFonts w:ascii="Amiri" w:hAnsi="Amiri" w:eastAsia="Amiri" w:cs="Amiri"/>
          <w:color w:val="111111"/>
          <w:sz w:val="28"/>
          <w:sz w:val="28"/>
          <w:szCs w:val="28"/>
          <w:rtl w:val="true"/>
          <w:lang w:bidi="ar-SA"/>
        </w:rPr>
        <w:t>الشاملين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مرسلة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يأتي أهله من خلفها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أحد المأتيين ، فيه الغسل </w:t>
      </w:r>
      <w:r>
        <w:rPr>
          <w:rFonts w:eastAsia="Amiri" w:cs="Amiri" w:ascii="Amiri" w:hAnsi="Amiri"/>
          <w:color w:val="111111"/>
          <w:sz w:val="28"/>
          <w:szCs w:val="28"/>
          <w:rtl w:val="true"/>
          <w:lang w:bidi="ar-SA"/>
        </w:rPr>
        <w:t xml:space="preserve">»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الثاني ، إلى الإجماع المركّب المحقّق ، والمحكي عن السيّد </w:t>
      </w:r>
      <w:r>
        <w:rPr>
          <w:rStyle w:val="FootnoteAnchor"/>
          <w:rtl w:val="true"/>
        </w:rPr>
        <w:footnoteReference w:id="1397"/>
      </w:r>
      <w:r>
        <w:rPr>
          <w:rFonts w:ascii="Amiri" w:hAnsi="Amiri" w:eastAsia="Amiri" w:cs="Amiri"/>
          <w:color w:val="111111"/>
          <w:sz w:val="28"/>
          <w:sz w:val="28"/>
          <w:szCs w:val="28"/>
          <w:rtl w:val="true"/>
          <w:lang w:bidi="ar-SA"/>
        </w:rPr>
        <w:t xml:space="preserve">، وحسنة الحضرمي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جامع غلاما جاء جنبا يوم القيامة لا ينقيه ماء الدنيا </w:t>
      </w:r>
      <w:r>
        <w:rPr>
          <w:rFonts w:eastAsia="Amiri" w:cs="Amiri" w:ascii="Amiri" w:hAnsi="Amiri"/>
          <w:color w:val="111111"/>
          <w:sz w:val="28"/>
          <w:szCs w:val="28"/>
          <w:rtl w:val="true"/>
          <w:lang w:bidi="ar-SA"/>
        </w:rPr>
        <w:t xml:space="preserve">»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 الأوّل من أدلّتهما </w:t>
      </w:r>
      <w:r>
        <w:rPr>
          <w:rStyle w:val="FootnoteAnchor"/>
          <w:rtl w:val="true"/>
        </w:rPr>
        <w:footnoteReference w:id="1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الحجية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Style w:val="FootnoteAnchor"/>
          <w:rtl w:val="true"/>
        </w:rPr>
        <w:footnoteReference w:id="1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الدلالة ، لأنّه عليه السلام ، لم يرتّب وجوب الغسل على وجوب الحد حتى يتم ، بل إيجابهم الغسل على إيجابهم الحد ، فدلّ كلامه عليه السلام ، بالتنبيه على أنّ إيجابهم الحد علّة لإيجابهم الغسل ، وهو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w:t>
      </w:r>
    </w:p>
    <w:p>
      <w:pPr>
        <w:pStyle w:val="BookText"/>
        <w:rPr/>
      </w:pPr>
      <w:r>
        <w:rPr>
          <w:rFonts w:ascii="Amiri" w:hAnsi="Amiri" w:eastAsia="Amiri" w:cs="Amiri"/>
          <w:color w:val="111111"/>
          <w:sz w:val="28"/>
          <w:sz w:val="28"/>
          <w:szCs w:val="28"/>
          <w:rtl w:val="true"/>
          <w:lang w:bidi="ar-SA"/>
        </w:rPr>
        <w:t>أرباب القياس ، وكانوا به يعملون ، وعليه يعتمدون ، فيلزمهم إيجابهم الغسل بعد إيجابهم الحدّ ، ولا دلالة له على عليّة مطلق وجوبه لوجوبه ، وبذلك يندفع ما استشكل على الرواية من تمسّكه عليه السلام بالقياس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Style w:val="FootnoteAnchor"/>
          <w:rtl w:val="true"/>
        </w:rPr>
        <w:footnoteReference w:id="1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جريانه في الثاني ، للحكم بوجوب المهر والرجم أيضا في أخبار مطلق الإدخال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جعل الإدخال فيه بالنسبة إلى المدخول فيه مطلقا باقيا على حقيقته اللغوية يوجب خروج الأكثر بالتقييد ، بل عدم بقاء غير المأتيين من أفراده الغير المحصورة ، ومثله غير جائز قطعا ، فلا محيص عن جعله مجازا عن إدخال خاص ، ودخول الإدخال في الدبر في معناه المجازي المراد غير معلوم جدّا ، سيما مع انصراف المطلق إلى الشائع ، والوطء في الدبر ، الخالي عن الإنزال من الأفراد النادرة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والقول </w:t>
      </w:r>
      <w:r>
        <w:rPr>
          <w:rStyle w:val="FootnoteAnchor"/>
          <w:rtl w:val="true"/>
        </w:rPr>
        <w:footnoteReference w:id="1402"/>
      </w:r>
      <w:r>
        <w:rPr>
          <w:rFonts w:ascii="Amiri" w:hAnsi="Amiri" w:eastAsia="Amiri" w:cs="Amiri"/>
          <w:color w:val="111111"/>
          <w:sz w:val="28"/>
          <w:sz w:val="28"/>
          <w:szCs w:val="28"/>
          <w:rtl w:val="true"/>
          <w:lang w:bidi="ar-SA"/>
        </w:rPr>
        <w:t xml:space="preserve">بإرادة الغيبوبة في الدبر خاصة منها في الصحيحة </w:t>
      </w:r>
      <w:r>
        <w:rPr>
          <w:rStyle w:val="FootnoteAnchor"/>
          <w:rtl w:val="true"/>
        </w:rPr>
        <w:footnoteReference w:id="1403"/>
      </w:r>
      <w:r>
        <w:rPr>
          <w:rFonts w:ascii="Amiri" w:hAnsi="Amiri" w:eastAsia="Amiri" w:cs="Amiri"/>
          <w:color w:val="111111"/>
          <w:sz w:val="28"/>
          <w:sz w:val="28"/>
          <w:szCs w:val="28"/>
          <w:rtl w:val="true"/>
          <w:lang w:bidi="ar-SA"/>
        </w:rPr>
        <w:t xml:space="preserve">بقرينة صدرها ، حيث إنّه ليس قريب الفرج ما يصلح لها إلاّ الدبر ،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دلالة فيها على تحقّق الالتقاء في المجامعة قريب الفرج ، بل حكم عليه السلام بأنّ الغسل في الالتقاء ، ليعلم السائل أنّه لا غسل فيما سئل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صحة هذا القول إنما هي على اختصاص إطلاق الفرج بالقبل ، مع أنّ هذا القائل يعمّمه ليتمّم بعض أدلّته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 مع أنّه على فرض تسليم الإطلاق يقيّد البتة بأخبار التقاء الختانين الغير المتحقّق هنا ، لانحصاره حقيقة بالوطء في القبل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مطلق غيبوبة الحشفة عليه وتفسيره بها لا يثبت التعميم ، إذ ارتكاب التجوّز في الموضوع والمفسّر ليس بأولى من ارتكاب التجوّز أو التخصيص في </w:t>
      </w:r>
    </w:p>
    <w:p>
      <w:pPr>
        <w:pStyle w:val="BookText"/>
        <w:rPr/>
      </w:pPr>
      <w:r>
        <w:rPr>
          <w:rFonts w:ascii="IRNazanin" w:hAnsi="IRNazanin" w:eastAsia="IRNazanin"/>
          <w:color w:val="111111"/>
          <w:sz w:val="28"/>
          <w:sz w:val="28"/>
          <w:szCs w:val="28"/>
          <w:rtl w:val="true"/>
          <w:lang w:bidi="fa-IR"/>
        </w:rPr>
        <w:t>المحمول والمفسّر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وعدم تحقّق الالتقاء الحقيقي في القبل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لتغاير مدخل الذكر مع موضع الختان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 فلا يمنع من صدق الالتقاء العرفي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مع أنّ إدراج الغيبوبة المفسّرة له في المطلقات يوجب خروج الأكثر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وجه ضعف الرابع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والخامس </w:t>
      </w:r>
      <w:r>
        <w:rPr>
          <w:rStyle w:val="FootnoteAnchor"/>
          <w:rtl w:val="true"/>
        </w:rPr>
        <w:footnoteReference w:id="1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 الرواية وعدم نقلها في شي‌ء من الكتب ، ولعلّه هو نقل فحوى قوله في صحيحة زرارة ، فتوهّم أنه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صحّ ، لم يجز جعله من باب العموم ، لما مرّ من إيجابه خروج الأكثر ، ولو جعل منه أيضا ، لوجب تقييده بما مرّ من أخبار الالتقاء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من دليلي الأوّل </w:t>
      </w:r>
      <w:r>
        <w:rPr>
          <w:rStyle w:val="FootnoteAnchor"/>
          <w:rtl w:val="true"/>
        </w:rPr>
        <w:footnoteReference w:id="1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ملامسة النساء وإن كان مطلقا وكذا الجماع والمباشرة اللذين فسّرت بهما ، ولكن تفسيرها في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بمواقعة الفرج تخصيصها مع تفسيريها ، فالمراد بملامسة النساء هو مواقعة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والفرج وإن كان بحسب اللغة شاملا للدبر ، إلاّ أنه غير ممكن الإرادة هنا ، لاستلزامه خروج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به إمّا معناه المجازي ، فيمكن أن يكون هو القبل خاصة ، أو العرفي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وصدقه على غيره أيضا غير معلوم ، بل صرّح بعض اللغويين بأنه في العرف يطلق على القبل في الأكثر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وجعل الملامسة من قبيل المطلق حتى يدخل فيه ما لم يعلم خروجه يوجب أيضا خروج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 شي‌ء من تلك المعاني على ما يشمل المورد غير معلوم ، مع أنّ المطلق أيضا ينصرف إلى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دلالته على الوجوب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من دليلي الثاني </w:t>
      </w:r>
      <w:r>
        <w:rPr>
          <w:rStyle w:val="FootnoteAnchor"/>
          <w:rtl w:val="true"/>
        </w:rPr>
        <w:footnoteReference w:id="1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ثبوته في القبل أولا ، وعدم ثبوت المحقّق من المركّب ، وعدم حجية المنقول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منهما </w:t>
      </w:r>
      <w:r>
        <w:rPr>
          <w:rStyle w:val="FootnoteAnchor"/>
          <w:rtl w:val="true"/>
        </w:rPr>
        <w:footnoteReference w:id="1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دلالة كونه جنبا يوم القيامة على جنابته في الدنيا ، فمن المحتمل أن يكون ذلك العمل موجبا للجنابة الأخروية التي هي حالة غير الجنابة الدنيوية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نقائه بماء الدنيا فلا يدل على جنابته فيها ، إذ من الجائز أن يكون المراد أنّه تحصل له بهذا العمل خباثة باطنية موجبة للجنابة الأخروية غير مرتفعة بماء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المراد بماء الدنيا جميع المياه الدنيوية ، ويكون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يوم القيامة جنبا وكان بحيث لو غسل يوم القيامة بجميع ماء الدنيا لم يحصل له النقاء</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في الأوّل لطائفة من الطبقة الثالثة ، كالكفاية والمفاتيح والمدارك والبحار </w:t>
      </w:r>
      <w:r>
        <w:rPr>
          <w:rStyle w:val="FootnoteAnchor"/>
          <w:rtl w:val="true"/>
        </w:rPr>
        <w:footnoteReference w:id="1410"/>
      </w:r>
      <w:r>
        <w:rPr>
          <w:rFonts w:ascii="Amiri" w:hAnsi="Amiri" w:eastAsia="Amiri" w:cs="Amiri"/>
          <w:color w:val="111111"/>
          <w:sz w:val="28"/>
          <w:sz w:val="28"/>
          <w:szCs w:val="28"/>
          <w:rtl w:val="true"/>
          <w:lang w:bidi="ar-SA"/>
        </w:rPr>
        <w:t xml:space="preserve">، والفاضل الهندي </w:t>
      </w:r>
      <w:r>
        <w:rPr>
          <w:rStyle w:val="FootnoteAnchor"/>
          <w:rtl w:val="true"/>
        </w:rPr>
        <w:footnoteReference w:id="1411"/>
      </w:r>
      <w:r>
        <w:rPr>
          <w:rFonts w:ascii="Amiri" w:hAnsi="Amiri" w:eastAsia="Amiri" w:cs="Amiri"/>
          <w:color w:val="111111"/>
          <w:sz w:val="28"/>
          <w:sz w:val="28"/>
          <w:szCs w:val="28"/>
          <w:rtl w:val="true"/>
          <w:lang w:bidi="ar-SA"/>
        </w:rPr>
        <w:t xml:space="preserve">والمحقق الخوانساري </w:t>
      </w:r>
      <w:r>
        <w:rPr>
          <w:rStyle w:val="FootnoteAnchor"/>
          <w:rtl w:val="true"/>
        </w:rPr>
        <w:footnoteReference w:id="1412"/>
      </w:r>
      <w:r>
        <w:rPr>
          <w:rFonts w:ascii="IRNazanin" w:hAnsi="IRNazanin" w:eastAsia="IRNazanin"/>
          <w:color w:val="111111"/>
          <w:sz w:val="28"/>
          <w:sz w:val="28"/>
          <w:szCs w:val="28"/>
          <w:rtl w:val="true"/>
          <w:lang w:bidi="fa-IR"/>
        </w:rPr>
        <w:t xml:space="preserve">، والحدائق </w:t>
      </w:r>
      <w:r>
        <w:rPr>
          <w:rStyle w:val="FootnoteAnchor"/>
          <w:rtl w:val="true"/>
        </w:rPr>
        <w:footnoteReference w:id="1413"/>
      </w:r>
      <w:r>
        <w:rPr>
          <w:rFonts w:ascii="Amiri" w:hAnsi="Amiri" w:eastAsia="Amiri" w:cs="Amiri"/>
          <w:color w:val="111111"/>
          <w:sz w:val="28"/>
          <w:sz w:val="28"/>
          <w:szCs w:val="28"/>
          <w:rtl w:val="true"/>
          <w:lang w:bidi="ar-SA"/>
        </w:rPr>
        <w:t xml:space="preserve">، فتردّدوا في وجوب الغسل وعدمه ، وإن كان الأخير إلى الأخير كالأوّلين إلى الأوّل أميل ، </w:t>
      </w:r>
    </w:p>
    <w:p>
      <w:pPr>
        <w:pStyle w:val="BookText"/>
        <w:rPr/>
      </w:pPr>
      <w:r>
        <w:rPr>
          <w:rFonts w:ascii="IRNazanin" w:hAnsi="IRNazanin" w:eastAsia="IRNazanin"/>
          <w:color w:val="111111"/>
          <w:sz w:val="28"/>
          <w:sz w:val="28"/>
          <w:szCs w:val="28"/>
          <w:rtl w:val="true"/>
          <w:lang w:bidi="fa-IR"/>
        </w:rPr>
        <w:t xml:space="preserve">وهو </w:t>
      </w:r>
      <w:r>
        <w:rPr>
          <w:rStyle w:val="FootnoteAnchor"/>
          <w:rtl w:val="true"/>
        </w:rPr>
        <w:footnoteReference w:id="1414"/>
      </w:r>
      <w:r>
        <w:rPr>
          <w:rFonts w:ascii="Amiri" w:hAnsi="Amiri" w:eastAsia="Amiri" w:cs="Amiri"/>
          <w:color w:val="111111"/>
          <w:sz w:val="28"/>
          <w:sz w:val="28"/>
          <w:szCs w:val="28"/>
          <w:rtl w:val="true"/>
          <w:lang w:bidi="ar-SA"/>
        </w:rPr>
        <w:t xml:space="preserve">محكي </w:t>
      </w:r>
      <w:r>
        <w:rPr>
          <w:rStyle w:val="FootnoteAnchor"/>
          <w:rtl w:val="true"/>
        </w:rPr>
        <w:footnoteReference w:id="1415"/>
      </w:r>
      <w:r>
        <w:rPr>
          <w:rFonts w:ascii="Amiri" w:hAnsi="Amiri" w:eastAsia="Amiri" w:cs="Amiri"/>
          <w:color w:val="111111"/>
          <w:sz w:val="28"/>
          <w:sz w:val="28"/>
          <w:szCs w:val="28"/>
          <w:rtl w:val="true"/>
          <w:lang w:bidi="ar-SA"/>
        </w:rPr>
        <w:t xml:space="preserve">عن المبسوط مطلقا كبعضهم </w:t>
      </w:r>
      <w:r>
        <w:rPr>
          <w:rStyle w:val="FootnoteAnchor"/>
          <w:rtl w:val="true"/>
        </w:rPr>
        <w:footnoteReference w:id="1416"/>
      </w:r>
      <w:r>
        <w:rPr>
          <w:rFonts w:ascii="Amiri" w:hAnsi="Amiri" w:eastAsia="Amiri" w:cs="Amiri"/>
          <w:color w:val="111111"/>
          <w:sz w:val="28"/>
          <w:sz w:val="28"/>
          <w:szCs w:val="28"/>
          <w:rtl w:val="true"/>
          <w:lang w:bidi="ar-SA"/>
        </w:rPr>
        <w:t xml:space="preserve">، أو عن موضع منه كآخر </w:t>
      </w:r>
      <w:r>
        <w:rPr>
          <w:rStyle w:val="FootnoteAnchor"/>
          <w:rtl w:val="true"/>
        </w:rPr>
        <w:footnoteReference w:id="1417"/>
      </w:r>
      <w:r>
        <w:rPr>
          <w:rFonts w:ascii="Amiri" w:hAnsi="Amiri" w:eastAsia="Amiri" w:cs="Amiri"/>
          <w:color w:val="111111"/>
          <w:sz w:val="28"/>
          <w:sz w:val="28"/>
          <w:szCs w:val="28"/>
          <w:rtl w:val="true"/>
          <w:lang w:bidi="ar-SA"/>
        </w:rPr>
        <w:t>، لمعارضة ما تمّت دلالته على الوجوب عندهم بما مرّ مع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وللشيخ في الاستبصار والنهاية </w:t>
      </w:r>
      <w:r>
        <w:rPr>
          <w:rStyle w:val="FootnoteAnchor"/>
          <w:rtl w:val="true"/>
        </w:rPr>
        <w:footnoteReference w:id="1418"/>
      </w:r>
      <w:r>
        <w:rPr>
          <w:rFonts w:ascii="Amiri" w:hAnsi="Amiri" w:eastAsia="Amiri" w:cs="Amiri"/>
          <w:color w:val="111111"/>
          <w:sz w:val="28"/>
          <w:sz w:val="28"/>
          <w:szCs w:val="28"/>
          <w:rtl w:val="true"/>
          <w:lang w:bidi="ar-SA"/>
        </w:rPr>
        <w:t xml:space="preserve">، والديلمي </w:t>
      </w:r>
      <w:r>
        <w:rPr>
          <w:rStyle w:val="FootnoteAnchor"/>
          <w:rtl w:val="true"/>
        </w:rPr>
        <w:footnoteReference w:id="1419"/>
      </w:r>
      <w:r>
        <w:rPr>
          <w:rFonts w:ascii="Amiri" w:hAnsi="Amiri" w:eastAsia="Amiri" w:cs="Amiri"/>
          <w:color w:val="111111"/>
          <w:sz w:val="28"/>
          <w:sz w:val="28"/>
          <w:szCs w:val="28"/>
          <w:rtl w:val="true"/>
          <w:lang w:bidi="ar-SA"/>
        </w:rPr>
        <w:t xml:space="preserve">، وبعض متقدّمي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عنه الشيخ في الحائريات </w:t>
      </w:r>
      <w:r>
        <w:rPr>
          <w:rStyle w:val="FootnoteAnchor"/>
          <w:rtl w:val="true"/>
        </w:rPr>
        <w:footnoteReference w:id="1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السيّد </w:t>
      </w:r>
      <w:r>
        <w:rPr>
          <w:rStyle w:val="FootnoteAnchor"/>
          <w:rtl w:val="true"/>
        </w:rPr>
        <w:footnoteReference w:id="1421"/>
      </w:r>
      <w:r>
        <w:rPr>
          <w:rFonts w:ascii="Amiri" w:hAnsi="Amiri" w:eastAsia="Amiri" w:cs="Amiri"/>
          <w:color w:val="111111"/>
          <w:sz w:val="28"/>
          <w:sz w:val="28"/>
          <w:szCs w:val="28"/>
          <w:rtl w:val="true"/>
          <w:lang w:bidi="ar-SA"/>
        </w:rPr>
        <w:t xml:space="preserve">عن بعض الشيعة ، ونسبه في الحدائق </w:t>
      </w:r>
      <w:r>
        <w:rPr>
          <w:rStyle w:val="FootnoteAnchor"/>
          <w:rtl w:val="true"/>
        </w:rPr>
        <w:footnoteReference w:id="1422"/>
      </w:r>
      <w:r>
        <w:rPr>
          <w:rFonts w:ascii="Amiri" w:hAnsi="Amiri" w:eastAsia="Amiri" w:cs="Amiri"/>
          <w:color w:val="111111"/>
          <w:sz w:val="28"/>
          <w:sz w:val="28"/>
          <w:szCs w:val="28"/>
          <w:rtl w:val="true"/>
          <w:lang w:bidi="ar-SA"/>
        </w:rPr>
        <w:t>إلى ظاهر الكليني والصدوق ، فنفوا وجوب الغسل فيه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الأقوى ، للأصل المنضمّ مع ما عرفت من ضعف أدلّة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لو سلّمت دلالتها كلاّ أو بعضا فهي أعم مطلقا من مرفوعة البرقي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أتى الرجل المرأة في دبرها فلم ينزل فلا غسل عليهما ، وإن أنزل فعليه الغسل ولا غسل عليها </w:t>
      </w:r>
      <w:r>
        <w:rPr>
          <w:rFonts w:eastAsia="Amiri" w:cs="Amiri" w:ascii="Amiri" w:hAnsi="Amiri"/>
          <w:color w:val="111111"/>
          <w:sz w:val="28"/>
          <w:szCs w:val="28"/>
          <w:rtl w:val="true"/>
          <w:lang w:bidi="ar-SA"/>
        </w:rPr>
        <w:t xml:space="preserve">»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والخاص مقدم على العام سيما مع موافقة العام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w:t>
      </w:r>
    </w:p>
    <w:p>
      <w:pPr>
        <w:pStyle w:val="BookText"/>
        <w:rPr/>
      </w:pPr>
      <w:r>
        <w:rPr>
          <w:rFonts w:ascii="IRNazanin" w:hAnsi="IRNazanin" w:eastAsia="IRNazanin"/>
          <w:color w:val="111111"/>
          <w:sz w:val="28"/>
          <w:sz w:val="28"/>
          <w:szCs w:val="28"/>
          <w:rtl w:val="true"/>
          <w:lang w:bidi="fa-IR"/>
        </w:rPr>
        <w:t xml:space="preserve">الاستبصار </w:t>
      </w:r>
      <w:r>
        <w:rPr>
          <w:rStyle w:val="FootnoteAnchor"/>
          <w:rtl w:val="true"/>
        </w:rPr>
        <w:footnoteReference w:id="1424"/>
      </w:r>
      <w:r>
        <w:rPr>
          <w:rFonts w:ascii="Amiri" w:hAnsi="Amiri" w:eastAsia="Amiri" w:cs="Amiri"/>
          <w:color w:val="111111"/>
          <w:sz w:val="28"/>
          <w:sz w:val="28"/>
          <w:szCs w:val="28"/>
          <w:rtl w:val="true"/>
          <w:lang w:bidi="ar-SA"/>
        </w:rPr>
        <w:t xml:space="preserve">ويدل عليه كلام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وتأيّده </w:t>
      </w:r>
      <w:r>
        <w:rPr>
          <w:rStyle w:val="FootnoteAnchor"/>
          <w:rtl w:val="true"/>
        </w:rPr>
        <w:footnoteReference w:id="1425"/>
      </w:r>
      <w:r>
        <w:rPr>
          <w:rFonts w:ascii="Amiri" w:hAnsi="Amiri" w:eastAsia="Amiri" w:cs="Amiri"/>
          <w:color w:val="111111"/>
          <w:sz w:val="28"/>
          <w:sz w:val="28"/>
          <w:szCs w:val="28"/>
          <w:rtl w:val="true"/>
          <w:lang w:bidi="ar-SA"/>
        </w:rPr>
        <w:t xml:space="preserve">بصحيحة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 المرأة فيما دون الفرج أعليها غسل إن أنزل هو ولم تنزل هي؟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عليها غسل ، وإن لم ينزل هو فليس عليه غسل </w:t>
      </w:r>
      <w:r>
        <w:rPr>
          <w:rFonts w:eastAsia="Amiri" w:cs="Amiri" w:ascii="Amiri" w:hAnsi="Amiri"/>
          <w:color w:val="111111"/>
          <w:sz w:val="28"/>
          <w:szCs w:val="28"/>
          <w:rtl w:val="true"/>
          <w:lang w:bidi="ar-SA"/>
        </w:rPr>
        <w:t xml:space="preserve">» </w:t>
      </w:r>
      <w:r>
        <w:rPr>
          <w:rStyle w:val="FootnoteAnchor"/>
          <w:rtl w:val="true"/>
        </w:rPr>
        <w:footnoteReference w:id="1426"/>
      </w:r>
      <w:r>
        <w:rPr>
          <w:rFonts w:ascii="Amiri" w:hAnsi="Amiri" w:eastAsia="Amiri" w:cs="Amiri"/>
          <w:color w:val="111111"/>
          <w:sz w:val="28"/>
          <w:sz w:val="28"/>
          <w:szCs w:val="28"/>
          <w:rtl w:val="true"/>
          <w:lang w:bidi="ar-SA"/>
        </w:rPr>
        <w:t xml:space="preserve">، فإنّ الظاهر من الفرج هو القبل ، فيعم ما دونه الدبر أيضا ، بل يشعر به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وبما يأتي من الأخبار النافية للغسل عن المرأة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وعزل هذا الخاص عن مقاومة العام لشذوذه ، حيث إنّه لا يعلم العامل به إلاّ الديلمي ، والشيخ المفتي بخلافه في باقي كتبه ، وأما الصدوق والكليني ، فهما لم يصرّحا بعدم الوجوب وإن أوردا حديثه ، وهو لا يدلّ عليه وإن صرّحا بعدم إيرادهما إلاّ ما يفتيان بصحته ،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الشذوذ لا يحصل بعدم العلم بالعامل ، بل بالعلم بعدم العامل ، فعدم العلم بمخالفة الصدوق والكليني كاف في المقام ، سيما مع أنّ الظاهر موافقتهما لما مرّ ، مع أنّ العامل غير منحصر بهم ، لنقل الشيخ والسيد عن بعض الأصحاب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الخبر الموافق لعمل ثلاثة بل خمسة من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عمل بعض آخر لم نعلمه ، وعدم مخالفة طائفة جمّة من المتأخّرين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شاذا ، عجيب غايته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مضافا إلى أنّ أدلّة الوجوب لو تمّت ، لتعارضت مع مفهوم أخبار الالتقاء المتلقّاة بالقبول عند الجميع بالعموم من وجه ، فلو لا ترجيح المفهوم بمخالفة العامة ، لوجب الرجوع إلى الأصل</w:t>
      </w:r>
      <w:r>
        <w:rPr>
          <w:rFonts w:eastAsia="Amiri" w:cs="Amiri" w:ascii="Amiri" w:hAnsi="Amiri"/>
          <w:color w:val="111111"/>
          <w:sz w:val="28"/>
          <w:szCs w:val="28"/>
          <w:rtl w:val="true"/>
          <w:lang w:bidi="ar-SA"/>
        </w:rPr>
        <w:t xml:space="preserve">. </w:t>
      </w:r>
      <w:bookmarkStart w:id="104" w:name="pg11612_110909"/>
    </w:p>
    <w:p>
      <w:pPr>
        <w:pStyle w:val="BookText"/>
        <w:rPr/>
      </w:pPr>
      <w:bookmarkEnd w:id="104"/>
      <w:r>
        <w:rPr>
          <w:rFonts w:ascii="Amiri" w:hAnsi="Amiri" w:eastAsia="Amiri" w:cs="Amiri"/>
          <w:color w:val="111111"/>
          <w:sz w:val="28"/>
          <w:sz w:val="28"/>
          <w:szCs w:val="28"/>
          <w:rtl w:val="true"/>
          <w:lang w:bidi="ar-SA"/>
        </w:rPr>
        <w:t xml:space="preserve">ودعوى شمول أخبار الالتقاء للمورد ضعيف كما مر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وخلافا لمن سبق بصنفيه </w:t>
      </w:r>
      <w:r>
        <w:rPr>
          <w:rStyle w:val="FootnoteAnchor"/>
          <w:rtl w:val="true"/>
        </w:rPr>
        <w:footnoteReference w:id="1429"/>
      </w:r>
      <w:r>
        <w:rPr>
          <w:rFonts w:ascii="Amiri" w:hAnsi="Amiri" w:eastAsia="Amiri" w:cs="Amiri"/>
          <w:color w:val="111111"/>
          <w:sz w:val="28"/>
          <w:sz w:val="28"/>
          <w:szCs w:val="28"/>
          <w:rtl w:val="true"/>
          <w:lang w:bidi="ar-SA"/>
        </w:rPr>
        <w:t xml:space="preserve">في الثاني </w:t>
      </w:r>
      <w:r>
        <w:rPr>
          <w:rStyle w:val="FootnoteAnchor"/>
          <w:rtl w:val="true"/>
        </w:rPr>
        <w:footnoteReference w:id="1430"/>
      </w:r>
      <w:r>
        <w:rPr>
          <w:rFonts w:ascii="Amiri" w:hAnsi="Amiri" w:eastAsia="Amiri" w:cs="Amiri"/>
          <w:color w:val="111111"/>
          <w:sz w:val="28"/>
          <w:sz w:val="28"/>
          <w:szCs w:val="28"/>
          <w:rtl w:val="true"/>
          <w:lang w:bidi="ar-SA"/>
        </w:rPr>
        <w:t xml:space="preserve">، مضافا إلى المحقّق في النافع والشرائع ، فتردّد </w:t>
      </w:r>
      <w:r>
        <w:rPr>
          <w:rStyle w:val="FootnoteAnchor"/>
          <w:rtl w:val="true"/>
        </w:rPr>
        <w:footnoteReference w:id="1431"/>
      </w:r>
      <w:r>
        <w:rPr>
          <w:rFonts w:ascii="IRNazanin" w:hAnsi="IRNazanin" w:eastAsia="IRNazanin"/>
          <w:color w:val="111111"/>
          <w:sz w:val="28"/>
          <w:sz w:val="28"/>
          <w:szCs w:val="28"/>
          <w:rtl w:val="true"/>
          <w:lang w:bidi="fa-IR"/>
        </w:rPr>
        <w:t xml:space="preserve">، والمعتبر </w:t>
      </w:r>
      <w:r>
        <w:rPr>
          <w:rStyle w:val="FootnoteAnchor"/>
          <w:rtl w:val="true"/>
        </w:rPr>
        <w:footnoteReference w:id="1432"/>
      </w:r>
      <w:r>
        <w:rPr>
          <w:rFonts w:ascii="Amiri" w:hAnsi="Amiri" w:eastAsia="Amiri" w:cs="Amiri"/>
          <w:color w:val="111111"/>
          <w:sz w:val="28"/>
          <w:sz w:val="28"/>
          <w:szCs w:val="28"/>
          <w:rtl w:val="true"/>
          <w:lang w:bidi="ar-SA"/>
        </w:rPr>
        <w:t xml:space="preserve">والأردبيلي </w:t>
      </w:r>
      <w:r>
        <w:rPr>
          <w:rStyle w:val="FootnoteAnchor"/>
          <w:rtl w:val="true"/>
        </w:rPr>
        <w:footnoteReference w:id="1433"/>
      </w:r>
      <w:r>
        <w:rPr>
          <w:rFonts w:ascii="Amiri" w:hAnsi="Amiri" w:eastAsia="Amiri" w:cs="Amiri"/>
          <w:color w:val="111111"/>
          <w:sz w:val="28"/>
          <w:sz w:val="28"/>
          <w:szCs w:val="28"/>
          <w:rtl w:val="true"/>
          <w:lang w:bidi="ar-SA"/>
        </w:rPr>
        <w:t>فنفيا الوجوب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الحق ، لما مرّ من الأصل ، مضافا إلى مفهوم أخبار الالتقاء المعارض مع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بالعموم من وجه ، الموجب للرجوع إلى الأصل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بعد انتفاء الوجوب في الأوّل بالخبر الخاص يثبت هنا أيضا بالإجماع المركّب الذي ادّعوه ، بل لعلّ ثبوته هنا أشدّ وأظهر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مما مرّ عدم وجوب الغسل بوطء البهيمة بدون الإنزال إدخالا واستدخالا ، كما هو الأشهر على ما صرّح به جمع ممّن تأخّر </w:t>
      </w:r>
      <w:r>
        <w:rPr>
          <w:rStyle w:val="FootnoteAnchor"/>
          <w:rtl w:val="true"/>
        </w:rPr>
        <w:footnoteReference w:id="1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لجماعة </w:t>
      </w:r>
      <w:r>
        <w:rPr>
          <w:rStyle w:val="FootnoteAnchor"/>
          <w:rtl w:val="true"/>
        </w:rPr>
        <w:footnoteReference w:id="1435"/>
      </w:r>
      <w:r>
        <w:rPr>
          <w:rFonts w:ascii="Amiri" w:hAnsi="Amiri" w:eastAsia="Amiri" w:cs="Amiri"/>
          <w:color w:val="111111"/>
          <w:sz w:val="28"/>
          <w:sz w:val="28"/>
          <w:szCs w:val="28"/>
          <w:rtl w:val="true"/>
          <w:lang w:bidi="ar-SA"/>
        </w:rPr>
        <w:t>، بل نسبه في اللوامع إلى الشهرة ، فأوجبوا الغسل لبعض ما مرّ مع جوابه</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5524383_73709187"/>
      <w:bookmarkStart w:id="106" w:name="_Toc40"/>
      <w:bookmarkEnd w:id="105"/>
      <w:r>
        <w:rPr>
          <w:rtl w:val="true"/>
        </w:rPr>
        <w:t xml:space="preserve">فروع </w:t>
      </w:r>
      <w:r>
        <w:rPr>
          <w:rtl w:val="true"/>
        </w:rPr>
        <w:t>:</w:t>
      </w:r>
      <w:bookmarkEnd w:id="106"/>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به إن كان امرأة موطوءة في قبلها يجب عليها الغسل وإن لم ينزل إجماعا ، بل ضرورة ، وهو الحجة فيه ، مضافا إلى صحيحة محمّد ، المتقدّمة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يجب إن كان غيرها سواء كان امرأة موطوءة في دبرها أو غلاما كذلك وإن أنزل الفاعل ، للأصل الخالي عن معارضة أكثر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بمعارضة له في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 طائفة منه بالفاعل وإجمال طائفة أخرى ، وهي ما تضمّن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وجب الغسل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في المرأة إلى مرفوعة بعض 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يأتي المرأة في دبرها وهي صائمة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صومها وليس عليها غسل </w:t>
      </w:r>
      <w:r>
        <w:rPr>
          <w:rFonts w:eastAsia="Amiri" w:cs="Amiri" w:ascii="Amiri" w:hAnsi="Amiri"/>
          <w:color w:val="111111"/>
          <w:sz w:val="28"/>
          <w:szCs w:val="28"/>
          <w:rtl w:val="true"/>
          <w:lang w:bidi="ar-SA"/>
        </w:rPr>
        <w:t xml:space="preserve">»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ابن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أتى الرجل المرأة في الدبر وهي صائمة لم ينقض صومها وليس عليها غسل </w:t>
      </w:r>
      <w:r>
        <w:rPr>
          <w:rFonts w:eastAsia="Amiri" w:cs="Amiri" w:ascii="Amiri" w:hAnsi="Amiri"/>
          <w:color w:val="111111"/>
          <w:sz w:val="28"/>
          <w:szCs w:val="28"/>
          <w:rtl w:val="true"/>
          <w:lang w:bidi="ar-SA"/>
        </w:rPr>
        <w:t xml:space="preserve">»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يظهر عدم وجوب الغسل على المرأة لو قلنا بوجوبه على الفاعل أيضا ، ولذا فرّق بينهما بعض المتأخّرين ، فلم يوجب الغسل عليها مع ميله إلى وجوبه عليه </w:t>
      </w:r>
      <w:r>
        <w:rPr>
          <w:rStyle w:val="FootnoteAnchor"/>
          <w:rtl w:val="true"/>
        </w:rPr>
        <w:footnoteReference w:id="1439"/>
      </w:r>
      <w:r>
        <w:rPr>
          <w:rFonts w:ascii="Amiri" w:hAnsi="Amiri" w:eastAsia="Amiri" w:cs="Amiri"/>
          <w:color w:val="111111"/>
          <w:sz w:val="28"/>
          <w:sz w:val="28"/>
          <w:szCs w:val="28"/>
          <w:rtl w:val="true"/>
          <w:lang w:bidi="ar-SA"/>
        </w:rPr>
        <w:t xml:space="preserve">، والفاضل في المنتهى والقواعد ، فتردّد فيها مع قوله بوجوبه عليه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وطء الميت كالحي أو استدخال آلته يوجب الغسل على الحي ، على المعروف منهم ، للاستصحاب وظواهر الالتقاء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بتغيّر الموضوع ، فلا يجري الاستصحاب ، ضعيف ، لعدم تغيّره أصلا ، فإن مسّ ختان فلانة أو المواقعة في فرج فلانة كانت موجبة للغسل ، ولم يتغير شي‌ء منها ، وإن تغيّرت حياتها ولم يعلم تقييد الموضوع بالحياة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تغسيل الميت في شي‌ء من الحالين ، للأصل ، وعدم معلومية إرادة الأغسال من الغسل ، وعدم دليل على وجوب الأغسال فيما تعذّر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النائم كالمستيقظ فاعلا وقابلا ، بالإجماع على الظاهر ، وهو الحجة فيه ، وعموم كثير من الأدلّة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فيها وجوب الغسل بتحقّق الإدخال ، أو الالتقاء ، أو نحوهما ، وتحقّق الوجوب حينئذ في حق النائم لا معنى له ، لعدم تعلّق التكليف به ، والتعلّق بعده يحتاج إلى 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على الإدخال وجوب الغسل غيرا ، وهو لا ينافي تعلّقه بالنائم ، كما يأتي بيانه في الفرع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في وجوب الغسل عليه من العلم بالوقوع ، فمجرّد دعوى الوقاع معه لا يثبت الفعل وسائر أحكامه عليه ولو حصل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تظهر ندرة ترتّب الثمرة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والسكر والإغماء كالنوم ، والإكراه كالطوع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الغسل بإدخال الذكر الملفوف في مثل خرقة أو الداخل في آلة من نحو فضة أو نحاس ، أو إدخاله مجرّدا في فرج كذلك ، أقوال ذكرها والدي العلاّمة في اللوامع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مطلقا ، والعدم كذلك ، والأوّل في الملفوف بالرقيقة والثاني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مع الثاني ، سيّما في الداخل في آلة نحاسية ونحوها ، والاحتياط مع الأوّل ، خصوصا في الملفوف بالخرقة ، سيما الرقيقة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الغسل على الفاعل والقابل بإيلاج الذكر في قبل الخنثى المشكل ، ولا بإيلاج قبله في قبل أو دبر مطلقا ، ولا بإيلاج في دبره على الأقوى ، ويجب عليهما في الأخير على القول الآخر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أولج الذكر في قبل الخنثى والخنثى بالأنثى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الغسل على الخنثى ، لأنّها إمّا ذكر أو أنثى ، دون الذكر والأنثى ، لجواز إيلاج الذكر بالذكر ، أو الأنثى بالأنثى ، فيكونان كواجدي المني في المشترك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قالوه إنّما يصح على القول بكون الخنثى إمّا ذكرا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قلنا بأنها طبيعة ثالثة ، فيحتمل عدم وجوب الغسل عليها أيضا ، كما يحتمل وجوبه </w:t>
      </w:r>
    </w:p>
    <w:p>
      <w:pPr>
        <w:pStyle w:val="BookText"/>
        <w:rPr/>
      </w:pPr>
      <w:r>
        <w:rPr>
          <w:rFonts w:ascii="Amiri" w:hAnsi="Amiri" w:eastAsia="Amiri" w:cs="Amiri"/>
          <w:color w:val="111111"/>
          <w:sz w:val="28"/>
          <w:sz w:val="28"/>
          <w:szCs w:val="28"/>
          <w:rtl w:val="true"/>
          <w:lang w:bidi="ar-SA"/>
        </w:rPr>
        <w:t xml:space="preserve">عليهما أيضا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أولج أحد الخنثيين أو كلّ منهما بالأخرى ، لا يجب الغسل على واحد منهما ، ويحتمل وجوبه عليهما على القول بالطبيعة الثالثة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الغسل على البالغ بوطئه غير البالغ ، أو وطء غير البالغ إيّاه ، لعموم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يجب على غير البالغ بعد بلوغه؟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للأصل الخالي عن معارضة العمومات الموجبة له بالدخول والالتقاء ، لظهور تعلّقها بالمكلّفين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w:t>
      </w:r>
      <w:r>
        <w:rPr>
          <w:rStyle w:val="FootnoteAnchor"/>
          <w:rtl w:val="true"/>
        </w:rPr>
        <w:footnoteReference w:id="1444"/>
      </w:r>
      <w:r>
        <w:rPr>
          <w:rFonts w:ascii="Amiri" w:hAnsi="Amiri" w:eastAsia="Amiri" w:cs="Amiri"/>
          <w:color w:val="111111"/>
          <w:sz w:val="28"/>
          <w:sz w:val="28"/>
          <w:szCs w:val="28"/>
          <w:rtl w:val="true"/>
          <w:lang w:bidi="ar-SA"/>
        </w:rPr>
        <w:t xml:space="preserve">والكركي </w:t>
      </w:r>
      <w:r>
        <w:rPr>
          <w:rStyle w:val="FootnoteAnchor"/>
          <w:rtl w:val="true"/>
        </w:rPr>
        <w:footnoteReference w:id="1445"/>
      </w:r>
      <w:r>
        <w:rPr>
          <w:rFonts w:ascii="Amiri" w:hAnsi="Amiri" w:eastAsia="Amiri" w:cs="Amiri"/>
          <w:color w:val="111111"/>
          <w:sz w:val="28"/>
          <w:sz w:val="28"/>
          <w:szCs w:val="28"/>
          <w:rtl w:val="true"/>
          <w:lang w:bidi="ar-SA"/>
        </w:rPr>
        <w:t xml:space="preserve">ووالدي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w:t>
      </w:r>
      <w:r>
        <w:rPr>
          <w:rStyle w:val="FootnoteAnchor"/>
          <w:rtl w:val="true"/>
        </w:rPr>
        <w:footnoteReference w:id="1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لأنّ العمومات الموجبة وإن لم تتعلّق به لكونها من خطاب الشرع المتوقّف على التكليف ، ولكن لا يتوقّف تعلّق الأحكام الوضعية التي منها سببية الإدخال للجنابة الموجبة للغسل بعد التكليف وشرطية الغسل للصلاة عليه ، فيجب بعد البلوغ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اختصاص العمومات بالمكلّفين لا مناص عن القول باختصاص السببية للجنابة بهم أيضا ، إذ لا دليل على تلك السببية إلاّ تلك العمومات ، فإنّه لا دليل عاما أو مطلقا على كون الإدخال سببا للجنابة ، بل إنّما ينتزع ذلك من وجوب الغسل وسائر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الجنابة إلاّ ذلك ، فبعد اختصاص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إمّا منشأ انتزاع الجنابة أو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بالمكلّفين ، فلا وجه لإثبات الجنابة لغيرهم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اشتراط الصلاة بالغسل ، فإنّه إنّما يفيد لو كان دليل على اشتراطها به </w:t>
      </w:r>
    </w:p>
    <w:p>
      <w:pPr>
        <w:pStyle w:val="BookText"/>
        <w:rPr/>
      </w:pPr>
      <w:r>
        <w:rPr>
          <w:rFonts w:ascii="Amiri" w:hAnsi="Amiri" w:eastAsia="Amiri" w:cs="Amiri"/>
          <w:color w:val="111111"/>
          <w:sz w:val="28"/>
          <w:sz w:val="28"/>
          <w:szCs w:val="28"/>
          <w:rtl w:val="true"/>
          <w:lang w:bidi="ar-SA"/>
        </w:rPr>
        <w:t>لكلّ من أدخل ، وليس ، بل إنّما يدلّ على اشتراطها به للجنب أو المحدث المتوقّف صدقهما على تعلّق الحكم الشرعي الموقوف على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الإجماع على السببية والشرطية فانتفاؤه في محل النزاع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فالصواب الاستدلال على وجوب الغسل عليه بعد البلوغ بتلك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لأجل أنّها تدلّ على سببية الإدخال لوجوب الغسل ، ولتوقّف تأثير السبب على انتفاء المانع تدلّ على سببيته له حين رفع المانع الذي هو عدم البلوغ ، فيصير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الختانان وجب الغسل حين يمكن الوجوب وهو بعد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w:t>
      </w:r>
      <w:r>
        <w:rPr>
          <w:rStyle w:val="FootnoteAnchor"/>
          <w:rtl w:val="true"/>
        </w:rPr>
        <w:footnoteReference w:id="1447"/>
      </w:r>
      <w:r>
        <w:rPr>
          <w:rFonts w:ascii="Amiri" w:hAnsi="Amiri" w:eastAsia="Amiri" w:cs="Amiri"/>
          <w:color w:val="111111"/>
          <w:sz w:val="28"/>
          <w:sz w:val="28"/>
          <w:szCs w:val="28"/>
          <w:rtl w:val="true"/>
          <w:lang w:bidi="ar-SA"/>
        </w:rPr>
        <w:t xml:space="preserve">الظاهر ومقتضى الحقيقة من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التامة التي تتضمّن رفع المانع ، أي ترتّب الوجوب على مجرّد الالتقاء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وتقييد المسبّب الذي هو الوجوب بحال ارتفاع المانع ليس بأولى من تقييد السبب الذي هو الالتقاء ، فليس الحمل على أنه إذا التقى الختانان وجب الغسل حين ارتفاع المانع أولى بالحمل على أنه إذا التقى الختانان حين عدم المانع وجب الغسل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w:t>
      </w:r>
      <w:r>
        <w:rPr>
          <w:rStyle w:val="FootnoteAnchor"/>
          <w:rtl w:val="true"/>
        </w:rPr>
        <w:footnoteReference w:id="1448"/>
      </w:r>
      <w:r>
        <w:rPr>
          <w:rFonts w:ascii="Amiri" w:hAnsi="Amiri" w:eastAsia="Amiri" w:cs="Amiri"/>
          <w:color w:val="111111"/>
          <w:sz w:val="28"/>
          <w:sz w:val="28"/>
          <w:szCs w:val="28"/>
          <w:rtl w:val="true"/>
          <w:lang w:bidi="ar-SA"/>
        </w:rPr>
        <w:t xml:space="preserve">لأجل أنّه لمّا كان الغسل واجبا لغيره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الوجوب مقيّدا بحال وجوب الغير لا محالة ، ويكون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الختانان وجب الغسل بعد تعلّق وجوب الصلاة وإن لم يدخل بعد وقتها ، على ما عرفت في بحث الوضوء ، وتعلّق مثل ذلك الخطاب بغير المكلّف جائز قطعا ، لعدم استلزامه تعلّق حكم شرعي حال عدم البلوغ ، فبعد إطلاقه يجب الحكم بالدخول فيه ، فيجب الغسل عليه بعد البلوغ بمقتضاه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يتمشّى ذلك الاستدلال على القول بانتفاء الوجوب النفسي ، وأمّا </w:t>
      </w:r>
    </w:p>
    <w:p>
      <w:pPr>
        <w:pStyle w:val="BookText"/>
        <w:rPr/>
      </w:pPr>
      <w:r>
        <w:rPr>
          <w:rFonts w:ascii="Amiri" w:hAnsi="Amiri" w:eastAsia="Amiri" w:cs="Amiri"/>
          <w:color w:val="111111"/>
          <w:sz w:val="28"/>
          <w:sz w:val="28"/>
          <w:szCs w:val="28"/>
          <w:rtl w:val="true"/>
          <w:lang w:bidi="ar-SA"/>
        </w:rPr>
        <w:t>على القول به فلا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غسل غير البالغ حين عدم البلوغ ، فهل يجزي عن غسله أم لا؟ الظاهر الثاني ، لأنّ صحته فرع تعلّق الأمر به ولا أمر قبله ، لاختصاص أوامره بموجباته المختصة بما بعد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شك في عدم حرمة دخول المساجد وقراءة العزائم ونحوها على غير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يحرم على الولي تمكينه منه ويجب على الغير منعه؟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للأصل ، فإنّ الثابت سببية الإدخال لحرمة هذه الأمور على المكلّف نفسه ، وأمّا غير ذلك فلا دليل عليه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وطئ الكافر حال كفره أو أمنى ، يجب عليه الغسل بعد إسلامه ، بالإجماع المحقّق والمحكي في كلام غير واحد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على القول بكونه مكلّفا بالفروع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بل عليه اتّفاق فحول أصحابنا وعمدتهم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 بعدمه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شرذمة من متأخّري الأخباريين </w:t>
      </w:r>
      <w:r>
        <w:rPr>
          <w:rStyle w:val="FootnoteAnchor"/>
          <w:rtl w:val="true"/>
        </w:rPr>
        <w:footnoteReference w:id="1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فللعمومات المتقدّمة بالتقريب المذكور في غير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أنّ بناء وجوبه عليه على القول بكونه مكلّفا بالفروع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لبعض الأخباريين ، فلم يوجب عليه الغسل ، لقوله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يجبّ ما قبله </w:t>
      </w:r>
      <w:r>
        <w:rPr>
          <w:rFonts w:eastAsia="Amiri" w:cs="Amiri" w:ascii="Amiri" w:hAnsi="Amiri"/>
          <w:color w:val="111111"/>
          <w:sz w:val="28"/>
          <w:szCs w:val="28"/>
          <w:rtl w:val="true"/>
          <w:lang w:bidi="ar-SA"/>
        </w:rPr>
        <w:t xml:space="preserve">»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ولعدم نقل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أحدا ممّن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يسلم عن حدث الجنابة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بالغسل ، مع كثرتهم وتوفّر الدواعي على نقله</w:t>
      </w:r>
      <w:r>
        <w:rPr>
          <w:rFonts w:eastAsia="Amiri" w:cs="Amiri" w:ascii="Amiri" w:hAnsi="Amiri"/>
          <w:color w:val="111111"/>
          <w:sz w:val="28"/>
          <w:szCs w:val="28"/>
          <w:rtl w:val="true"/>
          <w:lang w:bidi="ar-SA"/>
        </w:rPr>
        <w:t xml:space="preserve">. </w:t>
      </w:r>
      <w:bookmarkStart w:id="107" w:name="pg11612_110915"/>
    </w:p>
    <w:p>
      <w:pPr>
        <w:pStyle w:val="BookText"/>
        <w:rPr/>
      </w:pPr>
      <w:bookmarkEnd w:id="107"/>
      <w:r>
        <w:rPr>
          <w:rFonts w:ascii="Amiri" w:hAnsi="Amiri" w:eastAsia="Amiri" w:cs="Amiri"/>
          <w:color w:val="111111"/>
          <w:sz w:val="28"/>
          <w:sz w:val="28"/>
          <w:szCs w:val="28"/>
          <w:rtl w:val="true"/>
          <w:lang w:bidi="ar-SA"/>
        </w:rPr>
        <w:t xml:space="preserve">والأوّل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بالضعف وعدم الجابر ، مع أنه لا عموم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بكفاية عمومات الغسل للأمر بغسلهم كسائر التكاليف ، على أنه نقل أمر قيس بالغسل حين أسلم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أسيد وسعد لمصعب وأسعد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تصنعون إذا دخلتم هذا الأمر؟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نغتسل ونشهد شهادة الحق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يجزي غسله حال كفره وإن كان واجبا في مذهبه وموافقا في الكيفية له في شرعنا ، لا لعدم صحته ، لعدم تأتّي نية القربة منه ، لمنعه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 الصحة عبارة عن موافقة الأمر ، وهي موقوفة على قصده امتثاله ، وهو في حقّه غير متحقّق ، وإن قصد امتثال أمر آخر ورد في مذهبه</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5524385_73709187"/>
      <w:bookmarkStart w:id="109" w:name="_Toc41"/>
      <w:bookmarkEnd w:id="108"/>
      <w:r>
        <w:rPr>
          <w:rtl w:val="true"/>
        </w:rPr>
        <w:t xml:space="preserve">البحث الثاني </w:t>
      </w:r>
      <w:r>
        <w:rPr>
          <w:rtl w:val="true"/>
        </w:rPr>
        <w:t xml:space="preserve">: </w:t>
      </w:r>
      <w:r>
        <w:rPr>
          <w:rtl w:val="true"/>
        </w:rPr>
        <w:t>في أحكام الجنب</w:t>
      </w:r>
      <w:bookmarkEnd w:id="109"/>
    </w:p>
    <w:p>
      <w:pPr>
        <w:pStyle w:val="BookText"/>
        <w:rPr/>
      </w:pPr>
      <w:r>
        <w:rPr>
          <w:rFonts w:ascii="Amiri" w:hAnsi="Amiri" w:eastAsia="Amiri" w:cs="Amiri"/>
          <w:color w:val="111111"/>
          <w:sz w:val="28"/>
          <w:sz w:val="28"/>
          <w:szCs w:val="28"/>
          <w:rtl w:val="true"/>
          <w:lang w:bidi="ar-SA"/>
        </w:rPr>
        <w:t>وهي كثيرة ، فإنّ من الأمور ما يجب عليه ، وما يستحب ، وما يحرم ، وما يكره ، وما يباح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عند وجوب غاياته الآتية أو استحبابها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مطلقا واجبة كانت أو مندوبة ، بالإجماع والمستفيضة </w:t>
      </w:r>
      <w:r>
        <w:rPr>
          <w:rStyle w:val="FootnoteAnchor"/>
          <w:rtl w:val="true"/>
        </w:rPr>
        <w:footnoteReference w:id="1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الميت ليست صلاة ، ولو كانت فهي مستثناة بالأدلّة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 كما يأتي في محله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إحدى العزائم الأربع بالإجماع المحقّق والمنقول في أحكام الراوندي والمعتبر والمنتهى والتذكرة </w:t>
      </w:r>
      <w:r>
        <w:rPr>
          <w:rStyle w:val="FootnoteAnchor"/>
          <w:rtl w:val="true"/>
        </w:rPr>
        <w:footnoteReference w:id="1455"/>
      </w:r>
      <w:r>
        <w:rPr>
          <w:rFonts w:ascii="Amiri" w:hAnsi="Amiri" w:eastAsia="Amiri" w:cs="Amiri"/>
          <w:color w:val="111111"/>
          <w:sz w:val="28"/>
          <w:sz w:val="28"/>
          <w:szCs w:val="28"/>
          <w:rtl w:val="true"/>
          <w:lang w:bidi="ar-SA"/>
        </w:rPr>
        <w:t xml:space="preserve">واللوامع وغيرها </w:t>
      </w:r>
      <w:r>
        <w:rPr>
          <w:rStyle w:val="FootnoteAnchor"/>
          <w:rtl w:val="true"/>
        </w:rPr>
        <w:footnoteReference w:id="1456"/>
      </w:r>
      <w:r>
        <w:rPr>
          <w:rFonts w:ascii="Amiri" w:hAnsi="Amiri" w:eastAsia="Amiri" w:cs="Amiri"/>
          <w:color w:val="111111"/>
          <w:sz w:val="28"/>
          <w:sz w:val="28"/>
          <w:szCs w:val="28"/>
          <w:rtl w:val="true"/>
          <w:lang w:bidi="ar-SA"/>
        </w:rPr>
        <w:t xml:space="preserve">، وهو الحجة ، مضافا إلى </w:t>
      </w:r>
    </w:p>
    <w:p>
      <w:pPr>
        <w:pStyle w:val="BookText"/>
        <w:rPr/>
      </w:pPr>
      <w:r>
        <w:rPr>
          <w:rFonts w:ascii="Amiri" w:hAnsi="Amiri" w:eastAsia="Amiri" w:cs="Amiri"/>
          <w:color w:val="111111"/>
          <w:sz w:val="28"/>
          <w:sz w:val="28"/>
          <w:szCs w:val="28"/>
          <w:rtl w:val="true"/>
          <w:lang w:bidi="ar-SA"/>
        </w:rPr>
        <w:t>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الجنب والحائض يفتحان المصحف من وراء الثوب ويقرءان من القرآن ما شاءا إلاّ السجدة </w:t>
      </w:r>
      <w:r>
        <w:rPr>
          <w:rFonts w:eastAsia="Amiri" w:cs="Amiri" w:ascii="Amiri" w:hAnsi="Amiri"/>
          <w:color w:val="111111"/>
          <w:sz w:val="28"/>
          <w:szCs w:val="28"/>
          <w:rtl w:val="true"/>
          <w:lang w:bidi="ar-SA"/>
        </w:rPr>
        <w:t xml:space="preserve">»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زرارة ومحمّد ، المروية في العلل بطريق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والجنب يقرءان شيئا؟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ما شاءا إلاّ السجدة ويذكران اللّه على كلّ حال </w:t>
      </w:r>
      <w:r>
        <w:rPr>
          <w:rFonts w:eastAsia="Amiri" w:cs="Amiri" w:ascii="Amiri" w:hAnsi="Amiri"/>
          <w:color w:val="111111"/>
          <w:sz w:val="28"/>
          <w:szCs w:val="28"/>
          <w:rtl w:val="true"/>
          <w:lang w:bidi="ar-SA"/>
        </w:rPr>
        <w:t xml:space="preserve">»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بأس بذكر اللّه وقراءة القرآن وأنت جنب إلاّ العزائم التي يسجد فيها ، وهي ألم تنزيل ، وحم السجدة ، والنجم ، وسورة اقرأ ، ولا تمسّ القرآن إذا كنت جنبا أو على غير وضوء ومسّ الأوراق </w:t>
      </w:r>
      <w:r>
        <w:rPr>
          <w:rFonts w:eastAsia="Amiri" w:cs="Amiri" w:ascii="Amiri" w:hAnsi="Amiri"/>
          <w:color w:val="111111"/>
          <w:sz w:val="28"/>
          <w:szCs w:val="28"/>
          <w:rtl w:val="true"/>
          <w:lang w:bidi="ar-SA"/>
        </w:rPr>
        <w:t xml:space="preserve">»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المعتبر عن جامع البزنطي ، حيث قال بعد حكمه بجواز قراءة الجنب والحائض ما شاءا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سور العزائم الأربع روى ذلك البزنطي في جامعه عن المثنّى ، عن الحسن الصيقل ، عن أبي عبد اللّه عليه السلام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والأوّلان وإن لم يكونا صريحين ، لجواز كون الاستثناء من مجرد الاستحباب ، فلا ينافي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باستلزامه للاستحباب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من العبادات فلا معنى للاستثناء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 لجواز أن يعني به ما عنوا في الزائد عن سبع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قراءة القرآن ليست كسائر العبادات التي يتوقّف جوازها على التوقيف ، وإنّما المتوقّف عليه استحبابها ، فيكون بدونه كقراءة الخطب ونحوها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يحكم فيه بالاستحباب بعد ثبوت الجواز ما ثبت صحته المستلزمة لموافقته للمأمور به ، المستلزمة للثواب عليه كالصلاة في الحمام ، وأمّا ما لم يكن كذلك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صريحين في حرمة قراءة السورة ، لجواز إرادة الآية من السجدة ، فإنّها كالسورة من مجازاتها ، ولا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وشيوع التعبير عن السّور بأشهر ألفاظها وأكثريته غير مفيد في الترجيح ، وإنّما المفيد شيوع أشهر الألفاظ في كونه معبرا به عن السور وأكثريته ، وهو ممنوع ، وبينهما بون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الأخيرين صريحان في الحرمة والسورة ، فالقول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متعيّن ، وضعفهما بعد الشهرة العظيمة والإجماعات المحكية </w:t>
      </w:r>
      <w:r>
        <w:rPr>
          <w:rStyle w:val="FootnoteAnchor"/>
          <w:rtl w:val="true"/>
        </w:rPr>
        <w:footnoteReference w:id="1461"/>
      </w:r>
      <w:r>
        <w:rPr>
          <w:rFonts w:ascii="Amiri" w:hAnsi="Amiri" w:eastAsia="Amiri" w:cs="Amiri"/>
          <w:color w:val="111111"/>
          <w:sz w:val="28"/>
          <w:sz w:val="28"/>
          <w:szCs w:val="28"/>
          <w:rtl w:val="true"/>
          <w:lang w:bidi="ar-SA"/>
        </w:rPr>
        <w:t>غير 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فتخصيص الحرمة بنفس الآية ، كما عن محتمل الانتصار </w:t>
      </w:r>
      <w:r>
        <w:rPr>
          <w:rStyle w:val="FootnoteAnchor"/>
          <w:rtl w:val="true"/>
        </w:rPr>
        <w:footnoteReference w:id="1462"/>
      </w:r>
      <w:r>
        <w:rPr>
          <w:rFonts w:ascii="Amiri" w:hAnsi="Amiri" w:eastAsia="Amiri" w:cs="Amiri"/>
          <w:color w:val="111111"/>
          <w:sz w:val="28"/>
          <w:sz w:val="28"/>
          <w:szCs w:val="28"/>
          <w:rtl w:val="true"/>
          <w:lang w:bidi="ar-SA"/>
        </w:rPr>
        <w:t xml:space="preserve">والإصباح ، والفقيه ، والمقنع ، والهداية ، والغنية </w:t>
      </w:r>
      <w:r>
        <w:rPr>
          <w:rStyle w:val="FootnoteAnchor"/>
          <w:rtl w:val="true"/>
        </w:rPr>
        <w:footnoteReference w:id="1463"/>
      </w:r>
      <w:r>
        <w:rPr>
          <w:rFonts w:ascii="Amiri" w:hAnsi="Amiri" w:eastAsia="Amiri" w:cs="Amiri"/>
          <w:color w:val="111111"/>
          <w:sz w:val="28"/>
          <w:sz w:val="28"/>
          <w:szCs w:val="28"/>
          <w:rtl w:val="true"/>
          <w:lang w:bidi="ar-SA"/>
        </w:rPr>
        <w:t xml:space="preserve">، وجمل الشيخ ومبسوطه ومصباحه </w:t>
      </w:r>
      <w:r>
        <w:rPr>
          <w:rStyle w:val="FootnoteAnchor"/>
          <w:rtl w:val="true"/>
        </w:rPr>
        <w:footnoteReference w:id="1464"/>
      </w:r>
      <w:r>
        <w:rPr>
          <w:rFonts w:ascii="Amiri" w:hAnsi="Amiri" w:eastAsia="Amiri" w:cs="Amiri"/>
          <w:color w:val="111111"/>
          <w:sz w:val="28"/>
          <w:sz w:val="28"/>
          <w:szCs w:val="28"/>
          <w:rtl w:val="true"/>
          <w:lang w:bidi="ar-SA"/>
        </w:rPr>
        <w:t xml:space="preserve">ومختصره والوسيلة </w:t>
      </w:r>
      <w:r>
        <w:rPr>
          <w:rStyle w:val="FootnoteAnchor"/>
          <w:rtl w:val="true"/>
        </w:rPr>
        <w:footnoteReference w:id="1465"/>
      </w:r>
      <w:r>
        <w:rPr>
          <w:rFonts w:ascii="IRNazanin" w:hAnsi="IRNazanin" w:eastAsia="IRNazanin"/>
          <w:color w:val="111111"/>
          <w:sz w:val="28"/>
          <w:sz w:val="28"/>
          <w:szCs w:val="28"/>
          <w:rtl w:val="true"/>
          <w:lang w:bidi="fa-IR"/>
        </w:rPr>
        <w:t xml:space="preserve">والنافع </w:t>
      </w:r>
      <w:r>
        <w:rPr>
          <w:rStyle w:val="FootnoteAnchor"/>
          <w:rtl w:val="true"/>
        </w:rPr>
        <w:footnoteReference w:id="1466"/>
      </w:r>
      <w:r>
        <w:rPr>
          <w:rFonts w:ascii="Amiri" w:hAnsi="Amiri" w:eastAsia="Amiri" w:cs="Amiri"/>
          <w:color w:val="111111"/>
          <w:sz w:val="28"/>
          <w:sz w:val="28"/>
          <w:szCs w:val="28"/>
          <w:rtl w:val="true"/>
          <w:lang w:bidi="ar-SA"/>
        </w:rPr>
        <w:t xml:space="preserve">، مع بعد في الخمسة الأول ، واستوجهه بعض المتأخّرين </w:t>
      </w:r>
      <w:r>
        <w:rPr>
          <w:rStyle w:val="FootnoteAnchor"/>
          <w:rtl w:val="true"/>
        </w:rPr>
        <w:footnoteReference w:id="1467"/>
      </w:r>
      <w:r>
        <w:rPr>
          <w:rFonts w:ascii="Amiri" w:hAnsi="Amiri" w:eastAsia="Amiri" w:cs="Amiri"/>
          <w:color w:val="111111"/>
          <w:sz w:val="28"/>
          <w:sz w:val="28"/>
          <w:szCs w:val="28"/>
          <w:rtl w:val="true"/>
          <w:lang w:bidi="ar-SA"/>
        </w:rPr>
        <w:t xml:space="preserve">وتردّد فيه في الكفاية </w:t>
      </w:r>
      <w:r>
        <w:rPr>
          <w:rStyle w:val="FootnoteAnchor"/>
          <w:rtl w:val="true"/>
        </w:rPr>
        <w:footnoteReference w:id="1468"/>
      </w:r>
      <w:r>
        <w:rPr>
          <w:rFonts w:ascii="Amiri" w:hAnsi="Amiri" w:eastAsia="Amiri" w:cs="Amiri"/>
          <w:color w:val="111111"/>
          <w:sz w:val="28"/>
          <w:sz w:val="28"/>
          <w:szCs w:val="28"/>
          <w:rtl w:val="true"/>
          <w:lang w:bidi="ar-SA"/>
        </w:rPr>
        <w:t>، 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الظاهر منهما اختصاص الحرمة بنفس السورة ، فلو خصّت بها وبآية السجدة المجمع على حرمتها ولم يتعدّ إلى غيرهما ، لكان متجها ، للأصل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والتعدّي إلى سائر أبعاضها مفرّعا له على تحريم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جماعة </w:t>
      </w:r>
      <w:r>
        <w:rPr>
          <w:rStyle w:val="FootnoteAnchor"/>
          <w:rtl w:val="true"/>
        </w:rPr>
        <w:footnoteReference w:id="1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 لعدم صدق قراءة السورة على مطلق البعض ولو كان كلمة ، سيما </w:t>
      </w:r>
    </w:p>
    <w:p>
      <w:pPr>
        <w:pStyle w:val="BookText"/>
        <w:rPr/>
      </w:pPr>
      <w:r>
        <w:rPr>
          <w:rFonts w:ascii="Amiri" w:hAnsi="Amiri" w:eastAsia="Amiri" w:cs="Amiri"/>
          <w:color w:val="111111"/>
          <w:sz w:val="28"/>
          <w:sz w:val="28"/>
          <w:szCs w:val="28"/>
          <w:rtl w:val="true"/>
          <w:lang w:bidi="ar-SA"/>
        </w:rPr>
        <w:t>إذا لم يقصد قراءة غير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يتبادر من قراءة السورة قراءة كلّ بعض ، ويصح السلب عنها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قرأ السورة ولكن قرأ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والاستعمال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للمشتغل بقراءة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السورة الفلانية ، مع أنه لم يقرأ إلاّ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الحقيقة ، مع أنّه إنّما هو إذا ظنّ إرادته إتمام السورة أو لم يعلم إرادة قراءة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بجواز قراءة سائر الأبعاض قويّ جدا ، والإجماع على عدمه سيما مع مخالفة من ذكر بكثرتهم في غير آية السجدة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قصد من قراءته الإتمام ، ارتكب المحرّم ولو عرض مانع منه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كتابة المصحف عند المعظم ، بل عليه الإجماع عن الخلاف والمعتبر والمنتهى والتذكرة والغنية والذكرى </w:t>
      </w:r>
      <w:r>
        <w:rPr>
          <w:rStyle w:val="FootnoteAnchor"/>
          <w:rtl w:val="true"/>
        </w:rPr>
        <w:footnoteReference w:id="1471"/>
      </w:r>
      <w:r>
        <w:rPr>
          <w:rFonts w:ascii="Amiri" w:hAnsi="Amiri" w:eastAsia="Amiri" w:cs="Amiri"/>
          <w:color w:val="111111"/>
          <w:sz w:val="28"/>
          <w:sz w:val="28"/>
          <w:szCs w:val="28"/>
          <w:rtl w:val="true"/>
          <w:lang w:bidi="ar-SA"/>
        </w:rPr>
        <w:t xml:space="preserve">، بل لعلّه المحقّق ، لعدم ثبوت خلاف الإسكافي </w:t>
      </w:r>
      <w:r>
        <w:rPr>
          <w:rStyle w:val="FootnoteAnchor"/>
          <w:rtl w:val="true"/>
        </w:rPr>
        <w:footnoteReference w:id="1472"/>
      </w:r>
      <w:r>
        <w:rPr>
          <w:rFonts w:ascii="IRNazanin" w:hAnsi="IRNazanin" w:eastAsia="IRNazanin"/>
          <w:color w:val="111111"/>
          <w:sz w:val="28"/>
          <w:sz w:val="28"/>
          <w:szCs w:val="28"/>
          <w:rtl w:val="true"/>
          <w:lang w:bidi="fa-IR"/>
        </w:rPr>
        <w:t xml:space="preserve">والمبسوط </w:t>
      </w:r>
      <w:r>
        <w:rPr>
          <w:rStyle w:val="FootnoteAnchor"/>
          <w:rtl w:val="true"/>
        </w:rPr>
        <w:footnoteReference w:id="1473"/>
      </w:r>
      <w:r>
        <w:rPr>
          <w:rFonts w:ascii="Amiri" w:hAnsi="Amiri" w:eastAsia="Amiri" w:cs="Amiri"/>
          <w:color w:val="111111"/>
          <w:sz w:val="28"/>
          <w:sz w:val="28"/>
          <w:szCs w:val="28"/>
          <w:rtl w:val="true"/>
          <w:lang w:bidi="ar-SA"/>
        </w:rPr>
        <w:t>وقولهما بالكراهة كما نسب إليهما ، لأنّ إرادة الحرمة من الكراهة في العرف الأوّل شائعة ، مع أنّ في اللوامع تصريح الثاني في الجنب بالتحريم ، وإنّما قال بالكراهة في الحدث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ثبت خلافهما ففي تحقّق الإجماع غير قادح ، فهو الحجة في المسألة ، مضافا إلى ما مرّ في بحث الوضوء ، مع سائر ما يتعلّق بهذه المسألة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يلحق بها اسم اللّه سبحانه ، ولا أسماء الأنبياء والحجج وفاقا فيهما لمن تقدّم على الشيخين ، كما صرّح به بعض الأجلّة </w:t>
      </w:r>
      <w:r>
        <w:rPr>
          <w:rStyle w:val="FootnoteAnchor"/>
          <w:rtl w:val="true"/>
        </w:rPr>
        <w:footnoteReference w:id="1475"/>
      </w:r>
      <w:r>
        <w:rPr>
          <w:rFonts w:ascii="IRNazanin" w:hAnsi="IRNazanin" w:eastAsia="IRNazanin"/>
          <w:color w:val="111111"/>
          <w:sz w:val="28"/>
          <w:sz w:val="28"/>
          <w:szCs w:val="28"/>
          <w:rtl w:val="true"/>
          <w:lang w:bidi="fa-IR"/>
        </w:rPr>
        <w:t xml:space="preserve">، وبعض من تأخّر </w:t>
      </w:r>
    </w:p>
    <w:p>
      <w:pPr>
        <w:pStyle w:val="BookText"/>
        <w:rPr/>
      </w:pPr>
      <w:r>
        <w:rPr>
          <w:rFonts w:ascii="Amiri" w:hAnsi="Amiri" w:eastAsia="Amiri" w:cs="Amiri"/>
          <w:color w:val="111111"/>
          <w:sz w:val="28"/>
          <w:sz w:val="28"/>
          <w:szCs w:val="28"/>
          <w:rtl w:val="true"/>
          <w:lang w:bidi="ar-SA"/>
        </w:rPr>
        <w:t xml:space="preserve">كالأردبيلي </w:t>
      </w:r>
      <w:r>
        <w:rPr>
          <w:rStyle w:val="FootnoteAnchor"/>
          <w:rtl w:val="true"/>
        </w:rPr>
        <w:footnoteReference w:id="1476"/>
      </w:r>
      <w:r>
        <w:rPr>
          <w:rFonts w:ascii="Amiri" w:hAnsi="Amiri" w:eastAsia="Amiri" w:cs="Amiri"/>
          <w:color w:val="111111"/>
          <w:sz w:val="28"/>
          <w:sz w:val="28"/>
          <w:szCs w:val="28"/>
          <w:rtl w:val="true"/>
          <w:lang w:bidi="ar-SA"/>
        </w:rPr>
        <w:t xml:space="preserve">، وظاهر المدارك والكفاية </w:t>
      </w:r>
      <w:r>
        <w:rPr>
          <w:rStyle w:val="FootnoteAnchor"/>
          <w:rtl w:val="true"/>
        </w:rPr>
        <w:footnoteReference w:id="1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الأخيرين للمعتبر ، والمنتهى ، والتحرير </w:t>
      </w:r>
      <w:r>
        <w:rPr>
          <w:rStyle w:val="FootnoteAnchor"/>
          <w:rtl w:val="true"/>
        </w:rPr>
        <w:footnoteReference w:id="1478"/>
      </w:r>
      <w:r>
        <w:rPr>
          <w:rFonts w:ascii="Amiri" w:hAnsi="Amiri" w:eastAsia="Amiri" w:cs="Amiri"/>
          <w:color w:val="111111"/>
          <w:sz w:val="28"/>
          <w:sz w:val="28"/>
          <w:szCs w:val="28"/>
          <w:rtl w:val="true"/>
          <w:lang w:bidi="ar-SA"/>
        </w:rPr>
        <w:t xml:space="preserve">أيضا ، ومعظم الثالثة </w:t>
      </w:r>
      <w:r>
        <w:rPr>
          <w:rStyle w:val="FootnoteAnchor"/>
          <w:rtl w:val="true"/>
        </w:rPr>
        <w:footnoteReference w:id="147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للأصل المؤيّد بالمروي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 الدراهم وفيها اسم اللّه أو اسم رسوله؟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وربما فعلت ذلك </w:t>
      </w:r>
      <w:r>
        <w:rPr>
          <w:rFonts w:eastAsia="Amiri" w:cs="Amiri" w:ascii="Amiri" w:hAnsi="Amiri"/>
          <w:color w:val="111111"/>
          <w:sz w:val="28"/>
          <w:szCs w:val="28"/>
          <w:rtl w:val="true"/>
          <w:lang w:bidi="ar-SA"/>
        </w:rPr>
        <w:t xml:space="preserve">» </w:t>
      </w:r>
      <w:r>
        <w:rPr>
          <w:rStyle w:val="FootnoteAnchor"/>
          <w:rtl w:val="true"/>
        </w:rPr>
        <w:footnoteReference w:id="1480"/>
      </w:r>
      <w:r>
        <w:rPr>
          <w:rFonts w:ascii="Amiri" w:hAnsi="Amiri" w:eastAsia="Amiri" w:cs="Amiri"/>
          <w:color w:val="111111"/>
          <w:sz w:val="28"/>
          <w:sz w:val="28"/>
          <w:szCs w:val="28"/>
          <w:rtl w:val="true"/>
          <w:lang w:bidi="ar-SA"/>
        </w:rPr>
        <w:t>لترك الاستفصال يعم مس الاسم 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في الأوّل خاصة للكتب الثلاثة المذكورة </w:t>
      </w:r>
      <w:r>
        <w:rPr>
          <w:rStyle w:val="FootnoteAnchor"/>
          <w:rtl w:val="true"/>
        </w:rPr>
        <w:footnoteReference w:id="1481"/>
      </w:r>
      <w:r>
        <w:rPr>
          <w:rFonts w:ascii="Amiri" w:hAnsi="Amiri" w:eastAsia="Amiri" w:cs="Amiri"/>
          <w:color w:val="111111"/>
          <w:sz w:val="28"/>
          <w:sz w:val="28"/>
          <w:szCs w:val="28"/>
          <w:rtl w:val="true"/>
          <w:lang w:bidi="ar-SA"/>
        </w:rPr>
        <w:t xml:space="preserve">، ونهاية الإحكام </w:t>
      </w:r>
      <w:r>
        <w:rPr>
          <w:rStyle w:val="FootnoteAnchor"/>
          <w:rtl w:val="true"/>
        </w:rPr>
        <w:footnoteReference w:id="1482"/>
      </w:r>
      <w:r>
        <w:rPr>
          <w:rFonts w:ascii="Amiri" w:hAnsi="Amiri" w:eastAsia="Amiri" w:cs="Amiri"/>
          <w:color w:val="111111"/>
          <w:sz w:val="28"/>
          <w:sz w:val="28"/>
          <w:szCs w:val="28"/>
          <w:rtl w:val="true"/>
          <w:lang w:bidi="ar-SA"/>
        </w:rPr>
        <w:t>مدّعيا عليه عمل الأصحاب في الثاني ، وانتفاء الخلاف في الرابع</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وفيهما للمقنعة ، وجمل الشيخ ومصباحه </w:t>
      </w:r>
      <w:r>
        <w:rPr>
          <w:rStyle w:val="FootnoteAnchor"/>
          <w:rtl w:val="true"/>
        </w:rPr>
        <w:footnoteReference w:id="1483"/>
      </w:r>
      <w:r>
        <w:rPr>
          <w:rFonts w:ascii="Amiri" w:hAnsi="Amiri" w:eastAsia="Amiri" w:cs="Amiri"/>
          <w:color w:val="111111"/>
          <w:sz w:val="28"/>
          <w:sz w:val="28"/>
          <w:szCs w:val="28"/>
          <w:rtl w:val="true"/>
          <w:lang w:bidi="ar-SA"/>
        </w:rPr>
        <w:t xml:space="preserve">ومختصره ومبسوطه ، والسرائر والمهذب والوسيلة </w:t>
      </w:r>
      <w:r>
        <w:rPr>
          <w:rStyle w:val="FootnoteAnchor"/>
          <w:rtl w:val="true"/>
        </w:rPr>
        <w:footnoteReference w:id="1484"/>
      </w:r>
      <w:r>
        <w:rPr>
          <w:rFonts w:ascii="Amiri" w:hAnsi="Amiri" w:eastAsia="Amiri" w:cs="Amiri"/>
          <w:color w:val="111111"/>
          <w:sz w:val="28"/>
          <w:sz w:val="28"/>
          <w:szCs w:val="28"/>
          <w:rtl w:val="true"/>
          <w:lang w:bidi="ar-SA"/>
        </w:rPr>
        <w:t xml:space="preserve">والإصباح والجامع وأحكام الراوندي والغنية والقواعد والإرشاد والتبصرة </w:t>
      </w:r>
      <w:r>
        <w:rPr>
          <w:rStyle w:val="FootnoteAnchor"/>
          <w:rtl w:val="true"/>
        </w:rPr>
        <w:footnoteReference w:id="1485"/>
      </w:r>
      <w:r>
        <w:rPr>
          <w:rFonts w:ascii="Amiri" w:hAnsi="Amiri" w:eastAsia="Amiri" w:cs="Amiri"/>
          <w:color w:val="111111"/>
          <w:sz w:val="28"/>
          <w:sz w:val="28"/>
          <w:szCs w:val="28"/>
          <w:rtl w:val="true"/>
          <w:lang w:bidi="ar-SA"/>
        </w:rPr>
        <w:t xml:space="preserve">والكركي </w:t>
      </w:r>
      <w:r>
        <w:rPr>
          <w:rStyle w:val="FootnoteAnchor"/>
          <w:rtl w:val="true"/>
        </w:rPr>
        <w:footnoteReference w:id="1486"/>
      </w:r>
      <w:r>
        <w:rPr>
          <w:rFonts w:ascii="Amiri" w:hAnsi="Amiri" w:eastAsia="Amiri" w:cs="Amiri"/>
          <w:color w:val="111111"/>
          <w:sz w:val="28"/>
          <w:sz w:val="28"/>
          <w:szCs w:val="28"/>
          <w:rtl w:val="true"/>
          <w:lang w:bidi="ar-SA"/>
        </w:rPr>
        <w:t xml:space="preserve">، والشهيد </w:t>
      </w:r>
      <w:r>
        <w:rPr>
          <w:rStyle w:val="FootnoteAnchor"/>
          <w:rtl w:val="true"/>
        </w:rPr>
        <w:footnoteReference w:id="1487"/>
      </w:r>
      <w:r>
        <w:rPr>
          <w:rFonts w:ascii="Amiri" w:hAnsi="Amiri" w:eastAsia="Amiri" w:cs="Amiri"/>
          <w:color w:val="111111"/>
          <w:sz w:val="28"/>
          <w:sz w:val="28"/>
          <w:szCs w:val="28"/>
          <w:rtl w:val="true"/>
          <w:lang w:bidi="ar-SA"/>
        </w:rPr>
        <w:t>بل الأكثر كما في شرح القواعد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للمحقّق الثاني </w:t>
      </w:r>
      <w:r>
        <w:rPr>
          <w:rStyle w:val="FootnoteAnchor"/>
          <w:rtl w:val="true"/>
        </w:rPr>
        <w:footnoteReference w:id="1488"/>
      </w:r>
      <w:r>
        <w:rPr>
          <w:rFonts w:ascii="Amiri" w:hAnsi="Amiri" w:eastAsia="Amiri" w:cs="Amiri"/>
          <w:color w:val="111111"/>
          <w:sz w:val="28"/>
          <w:sz w:val="28"/>
          <w:szCs w:val="28"/>
          <w:rtl w:val="true"/>
          <w:lang w:bidi="ar-SA"/>
        </w:rPr>
        <w:t xml:space="preserve">، بل عليه الإجماع كما عن الغنية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لموثّقة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يمس الجنب درهما ولا دينارا عليه اسم اللّه تعالى </w:t>
      </w:r>
      <w:r>
        <w:rPr>
          <w:rFonts w:eastAsia="Amiri" w:cs="Amiri" w:ascii="Amiri" w:hAnsi="Amiri"/>
          <w:color w:val="111111"/>
          <w:sz w:val="28"/>
          <w:szCs w:val="28"/>
          <w:rtl w:val="true"/>
          <w:lang w:bidi="ar-SA"/>
        </w:rPr>
        <w:t xml:space="preserve">» </w:t>
      </w:r>
      <w:r>
        <w:rPr>
          <w:rStyle w:val="FootnoteAnchor"/>
          <w:rtl w:val="true"/>
        </w:rPr>
        <w:footnoteReference w:id="1490"/>
      </w:r>
      <w:r>
        <w:rPr>
          <w:rFonts w:ascii="Amiri" w:hAnsi="Amiri" w:eastAsia="Amiri" w:cs="Amiri"/>
          <w:color w:val="111111"/>
          <w:sz w:val="28"/>
          <w:sz w:val="28"/>
          <w:szCs w:val="28"/>
          <w:rtl w:val="true"/>
          <w:lang w:bidi="ar-SA"/>
        </w:rPr>
        <w:t>في الأوّل ، ونقل الإجماع ، ووجوب تعظيم شعائر اللّه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الدلالة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الدليل على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القول بالتحريم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اختصاصه بالجلالة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الموجز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واحتمال اختصاص الموثّقة ، بجعل الإضافة 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الرحمن ونحوه من الأعلام في سائر اللغات ، لكونه علما وظهور الإضافة في اللامية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سائر أسمائه تعالى ، وإن لم يكن أعلاما ، كما يعطي أحد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Style w:val="FootnoteAnchor"/>
          <w:rtl w:val="true"/>
        </w:rPr>
        <w:footnoteReference w:id="1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المقنعة ، والاقتصاد ، والمصباح </w:t>
      </w:r>
      <w:r>
        <w:rPr>
          <w:rStyle w:val="FootnoteAnchor"/>
          <w:rtl w:val="true"/>
        </w:rPr>
        <w:footnoteReference w:id="1492"/>
      </w:r>
      <w:r>
        <w:rPr>
          <w:rFonts w:ascii="Amiri" w:hAnsi="Amiri" w:eastAsia="Amiri" w:cs="Amiri"/>
          <w:color w:val="111111"/>
          <w:sz w:val="28"/>
          <w:sz w:val="28"/>
          <w:szCs w:val="28"/>
          <w:rtl w:val="true"/>
          <w:lang w:bidi="ar-SA"/>
        </w:rPr>
        <w:t xml:space="preserve">، ومختصره ، والوسيلة ، والغنية ، والجامع </w:t>
      </w:r>
      <w:r>
        <w:rPr>
          <w:rStyle w:val="FootnoteAnchor"/>
          <w:rtl w:val="true"/>
        </w:rPr>
        <w:footnoteReference w:id="1493"/>
      </w:r>
      <w:r>
        <w:rPr>
          <w:rFonts w:ascii="Amiri" w:hAnsi="Amiri" w:eastAsia="Amiri" w:cs="Amiri"/>
          <w:color w:val="111111"/>
          <w:sz w:val="28"/>
          <w:sz w:val="28"/>
          <w:szCs w:val="28"/>
          <w:rtl w:val="true"/>
          <w:lang w:bidi="ar-SA"/>
        </w:rPr>
        <w:t>، لاشتراك الجميع في وجوب التعظيم ،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في تعميم المنع لما جعل جزء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لقصد الواضع اسمه سبحانه ، وتخصيصه بغيره للخروج عن الاسم بالجزئية ، وجهين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اللبث في المساجد مطلقا ، وفاقا لغير شاذ يأتي </w:t>
      </w:r>
      <w:r>
        <w:rPr>
          <w:rStyle w:val="FootnoteAnchor"/>
          <w:rtl w:val="true"/>
        </w:rPr>
        <w:footnoteReference w:id="1494"/>
      </w:r>
      <w:r>
        <w:rPr>
          <w:rFonts w:ascii="Amiri" w:hAnsi="Amiri" w:eastAsia="Amiri" w:cs="Amiri"/>
          <w:color w:val="111111"/>
          <w:sz w:val="28"/>
          <w:sz w:val="28"/>
          <w:szCs w:val="28"/>
          <w:rtl w:val="true"/>
          <w:lang w:bidi="ar-SA"/>
        </w:rPr>
        <w:t xml:space="preserve">، بل للمعظم ، بل عن الخلاف والغنية الإجماع عليه </w:t>
      </w:r>
      <w:r>
        <w:rPr>
          <w:rStyle w:val="FootnoteAnchor"/>
          <w:rtl w:val="true"/>
        </w:rPr>
        <w:footnoteReference w:id="1495"/>
      </w:r>
      <w:r>
        <w:rPr>
          <w:rFonts w:ascii="Amiri" w:hAnsi="Amiri" w:eastAsia="Amiri" w:cs="Amiri"/>
          <w:color w:val="111111"/>
          <w:sz w:val="28"/>
          <w:sz w:val="28"/>
          <w:szCs w:val="28"/>
          <w:rtl w:val="true"/>
          <w:lang w:bidi="ar-SA"/>
        </w:rPr>
        <w:t xml:space="preserve">، بل عن المحقّق حيث نقل الإجماع على </w:t>
      </w:r>
    </w:p>
    <w:p>
      <w:pPr>
        <w:pStyle w:val="BookText"/>
        <w:rPr/>
      </w:pPr>
      <w:r>
        <w:rPr>
          <w:rFonts w:ascii="IRNazanin" w:hAnsi="IRNazanin" w:eastAsia="IRNazanin"/>
          <w:color w:val="111111"/>
          <w:sz w:val="28"/>
          <w:sz w:val="28"/>
          <w:szCs w:val="28"/>
          <w:rtl w:val="true"/>
          <w:lang w:bidi="fa-IR"/>
        </w:rPr>
        <w:t xml:space="preserve">وجوب الغسل </w:t>
      </w:r>
      <w:r>
        <w:rPr>
          <w:rStyle w:val="FootnoteAnchor"/>
          <w:rtl w:val="true"/>
        </w:rPr>
        <w:footnoteReference w:id="1496"/>
      </w:r>
      <w:r>
        <w:rPr>
          <w:rFonts w:ascii="Amiri" w:hAnsi="Amiri" w:eastAsia="Amiri" w:cs="Amiri"/>
          <w:color w:val="111111"/>
          <w:sz w:val="28"/>
          <w:sz w:val="28"/>
          <w:szCs w:val="28"/>
          <w:rtl w:val="true"/>
          <w:lang w:bidi="ar-SA"/>
        </w:rPr>
        <w:t xml:space="preserve">، وفي المنتهى عدم معرفة الخلاف فيه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للإجماع وللآية الكريمة </w:t>
      </w:r>
      <w:r>
        <w:rPr>
          <w:rStyle w:val="FootnoteAnchor"/>
          <w:rtl w:val="true"/>
        </w:rPr>
        <w:footnoteReference w:id="1498"/>
      </w:r>
      <w:r>
        <w:rPr>
          <w:rFonts w:ascii="Amiri" w:hAnsi="Amiri" w:eastAsia="Amiri" w:cs="Amiri"/>
          <w:color w:val="111111"/>
          <w:sz w:val="28"/>
          <w:sz w:val="28"/>
          <w:szCs w:val="28"/>
          <w:rtl w:val="true"/>
          <w:lang w:bidi="ar-SA"/>
        </w:rPr>
        <w:t xml:space="preserve">الناهية المفسّرة بهذا في صحيحة زرارة ومحمّد ، المروية في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والجنب يدخلان المسجد أم لا؟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يدخلان المسجد إلاّ مجتازين ، 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جُنُباً إِلاّ عابِرِي سَبِيلٍ حَتَّى تَغْتَسِلُوا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ويأخذان من المسجد ولا يضعان فيه شيئا </w:t>
      </w:r>
      <w:r>
        <w:rPr>
          <w:rFonts w:eastAsia="Amiri" w:cs="Amiri" w:ascii="Amiri" w:hAnsi="Amiri"/>
          <w:color w:val="111111"/>
          <w:sz w:val="28"/>
          <w:szCs w:val="28"/>
          <w:rtl w:val="true"/>
          <w:lang w:bidi="ar-SA"/>
        </w:rPr>
        <w:t xml:space="preserve">» </w:t>
      </w:r>
      <w:r>
        <w:rPr>
          <w:rStyle w:val="FootnoteAnchor"/>
          <w:rtl w:val="true"/>
        </w:rPr>
        <w:footnoteReference w:id="149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المروي في تفسيري العياشي والقمي عن الباقر والصادق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رواه الطبرسي عن الباقر عليه السلام إنّ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تقربوا مواضع الصلاة من المساجد وأنتم جنب إلاّ مجتازين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يضرّ ضمّ السكارى مع الجنب في إبقاء النهي على حقيقته ، لأنّ النهي فيهم إنما هو عن كونهم حين قرب المسجد سكارى ، بأن لا يشربوا في وقت يؤدّي إلى دخولهم المسجد حال سكرهم ، حيث إنّ السكران لا يصلح لتوجّه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الإجماع على عدم حرمة دخول السكران في المسجد غير ثابت ، ولذا قال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استنباط منع السكران من دخول المسجد عن الآية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وللمروي في الخصال ومجالس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ونهى أن يقعد الرجل في </w:t>
      </w:r>
    </w:p>
    <w:p>
      <w:pPr>
        <w:pStyle w:val="BookText"/>
        <w:rPr/>
      </w:pPr>
      <w:r>
        <w:rPr>
          <w:rFonts w:ascii="IRNazanin" w:hAnsi="IRNazanin" w:eastAsia="IRNazanin"/>
          <w:color w:val="111111"/>
          <w:sz w:val="28"/>
          <w:sz w:val="28"/>
          <w:szCs w:val="28"/>
          <w:rtl w:val="true"/>
          <w:lang w:bidi="fa-IR"/>
        </w:rPr>
        <w:t xml:space="preserve">المسجد وهو جنب </w:t>
      </w:r>
      <w:r>
        <w:rPr>
          <w:rFonts w:eastAsia="IRNazanin" w:cs="IRNazanin"/>
          <w:color w:val="111111"/>
          <w:sz w:val="28"/>
          <w:szCs w:val="28"/>
          <w:rtl w:val="true"/>
          <w:lang w:bidi="fa-IR"/>
        </w:rPr>
        <w:t xml:space="preserve">»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أبي حمزة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الرجل نائما في المسجد الحرام ، أو مسجد الرسول صلی اللّه عليه وآله ، فاحتلم فأصابته جنابة فليتيمّم ، ولا يمرّ في المسجد إلاّ متيمّما حتى يخرج منه ثمَّ يغتسل ، وكذلك الحائض إذا أصابها الحيض تفعل كذلك ، ولا بأس أن يمرّا في سائر المساجد ولا يجلسا فيها </w:t>
      </w:r>
      <w:r>
        <w:rPr>
          <w:rFonts w:eastAsia="IRNazanin" w:cs="IRNazanin"/>
          <w:color w:val="111111"/>
          <w:sz w:val="28"/>
          <w:szCs w:val="28"/>
          <w:rtl w:val="true"/>
          <w:lang w:bidi="fa-IR"/>
        </w:rPr>
        <w:t xml:space="preserve">»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على ما في بعض الكتب الاستدلالية فلا صراحة لها في الوجوب حيث عبّر فيها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يجلسان </w:t>
      </w:r>
      <w:r>
        <w:rPr>
          <w:rFonts w:eastAsia="Amiri" w:cs="Amiri" w:ascii="Amiri" w:hAnsi="Amiri"/>
          <w:color w:val="111111"/>
          <w:sz w:val="28"/>
          <w:szCs w:val="28"/>
          <w:rtl w:val="true"/>
          <w:lang w:bidi="ar-SA"/>
        </w:rPr>
        <w:t xml:space="preserve">»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وتؤيّدها المستفيضة من المعتبرة ، كحسنتي جميل </w:t>
      </w:r>
      <w:r>
        <w:rPr>
          <w:rStyle w:val="FootnoteAnchor"/>
          <w:rtl w:val="true"/>
        </w:rPr>
        <w:footnoteReference w:id="1506"/>
      </w:r>
      <w:r>
        <w:rPr>
          <w:rFonts w:ascii="Amiri" w:hAnsi="Amiri" w:eastAsia="Amiri" w:cs="Amiri"/>
          <w:color w:val="111111"/>
          <w:sz w:val="28"/>
          <w:sz w:val="28"/>
          <w:szCs w:val="28"/>
          <w:rtl w:val="true"/>
          <w:lang w:bidi="ar-SA"/>
        </w:rPr>
        <w:t xml:space="preserve">ومحمّد </w:t>
      </w:r>
      <w:r>
        <w:rPr>
          <w:rStyle w:val="FootnoteAnchor"/>
          <w:rtl w:val="true"/>
        </w:rPr>
        <w:footnoteReference w:id="1507"/>
      </w:r>
      <w:r>
        <w:rPr>
          <w:rFonts w:ascii="Amiri" w:hAnsi="Amiri" w:eastAsia="Amiri" w:cs="Amiri"/>
          <w:color w:val="111111"/>
          <w:sz w:val="28"/>
          <w:sz w:val="28"/>
          <w:szCs w:val="28"/>
          <w:rtl w:val="true"/>
          <w:lang w:bidi="ar-SA"/>
        </w:rPr>
        <w:t xml:space="preserve">، ورواية ابن حمران </w:t>
      </w:r>
      <w:r>
        <w:rPr>
          <w:rStyle w:val="FootnoteAnchor"/>
          <w:rtl w:val="true"/>
        </w:rPr>
        <w:footnoteReference w:id="1508"/>
      </w:r>
      <w:r>
        <w:rPr>
          <w:rFonts w:ascii="Amiri" w:hAnsi="Amiri" w:eastAsia="Amiri" w:cs="Amiri"/>
          <w:color w:val="111111"/>
          <w:sz w:val="28"/>
          <w:sz w:val="28"/>
          <w:szCs w:val="28"/>
          <w:rtl w:val="true"/>
          <w:lang w:bidi="ar-SA"/>
        </w:rPr>
        <w:t>، وغيرها مما بمعناها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استدلّ بها الأكثر ، وإن كان عندي محلّ نظر ، لعدم صراحتها في الوجوب وإن كانت لها محتملة ، كما ذكرنا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الديلمي فكرهه </w:t>
      </w:r>
      <w:r>
        <w:rPr>
          <w:rStyle w:val="FootnoteAnchor"/>
          <w:rtl w:val="true"/>
        </w:rPr>
        <w:footnoteReference w:id="1509"/>
      </w:r>
      <w:r>
        <w:rPr>
          <w:rFonts w:ascii="Amiri" w:hAnsi="Amiri" w:eastAsia="Amiri" w:cs="Amiri"/>
          <w:color w:val="111111"/>
          <w:sz w:val="28"/>
          <w:sz w:val="28"/>
          <w:szCs w:val="28"/>
          <w:rtl w:val="true"/>
          <w:lang w:bidi="ar-SA"/>
        </w:rPr>
        <w:t>، للأصل وصحيحة محمّد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الفقيه ، والمقنع ، فجوّزا نومه فيها </w:t>
      </w:r>
      <w:r>
        <w:rPr>
          <w:rStyle w:val="FootnoteAnchor"/>
          <w:rtl w:val="true"/>
        </w:rPr>
        <w:footnoteReference w:id="1510"/>
      </w:r>
      <w:r>
        <w:rPr>
          <w:rFonts w:ascii="Amiri" w:hAnsi="Amiri" w:eastAsia="Amiri" w:cs="Amiri"/>
          <w:color w:val="111111"/>
          <w:sz w:val="28"/>
          <w:sz w:val="28"/>
          <w:szCs w:val="28"/>
          <w:rtl w:val="true"/>
          <w:lang w:bidi="ar-SA"/>
        </w:rPr>
        <w:t xml:space="preserve">، لصحيحة محمّد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ينام في المسجد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يتوضأ ولا بأس أن ينام في المسجد ويمرّ فيه </w:t>
      </w:r>
      <w:r>
        <w:rPr>
          <w:rFonts w:eastAsia="Amiri" w:cs="Amiri" w:ascii="Amiri" w:hAnsi="Amiri"/>
          <w:color w:val="111111"/>
          <w:sz w:val="28"/>
          <w:szCs w:val="28"/>
          <w:rtl w:val="true"/>
          <w:lang w:bidi="ar-SA"/>
        </w:rPr>
        <w:t xml:space="preserve">»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والأصل مندفع بما مرّ ، والصحيحة بمعزل عن الحجية ، لمخالفتها للآية الكريمة والشهرة العظيمة ، وموافقتها للحنبلية </w:t>
      </w:r>
      <w:r>
        <w:rPr>
          <w:rStyle w:val="FootnoteAnchor"/>
          <w:rtl w:val="true"/>
        </w:rPr>
        <w:footnoteReference w:id="1512"/>
      </w:r>
      <w:r>
        <w:rPr>
          <w:rFonts w:ascii="Amiri" w:hAnsi="Amiri" w:eastAsia="Amiri" w:cs="Amiri"/>
          <w:color w:val="111111"/>
          <w:sz w:val="28"/>
          <w:sz w:val="28"/>
          <w:szCs w:val="28"/>
          <w:rtl w:val="true"/>
          <w:lang w:bidi="ar-SA"/>
        </w:rPr>
        <w:t>كما هي محكية ، مع أنّ إرادة الغسل من التوضّؤ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يحرم الاجتياز فيما عدا المسجدين ، بالإجماع والآية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الجواز الجائز يختص المرور بالدخول من باب والخروج من آخر ، أو يشمل الدخول والخروج من باب واحد من غير انحراف وتردّد ، أو يشمل التردّد والمشي في الجوانب أيضا؟</w:t>
      </w:r>
    </w:p>
    <w:p>
      <w:pPr>
        <w:pStyle w:val="BookText"/>
        <w:rPr/>
      </w:pPr>
      <w:r>
        <w:rPr>
          <w:rFonts w:ascii="Amiri" w:hAnsi="Amiri" w:eastAsia="Amiri" w:cs="Amiri"/>
          <w:color w:val="111111"/>
          <w:sz w:val="28"/>
          <w:sz w:val="28"/>
          <w:szCs w:val="28"/>
          <w:rtl w:val="true"/>
          <w:lang w:bidi="ar-SA"/>
        </w:rPr>
        <w:t xml:space="preserve">الظاهر المتبادر من الآية والروايات المفسّرة لها ، بل صريحها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 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الأكثر ، بل هو الأقوى والأظهر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وتجويز شمولها للأخيرين بعيد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فلا يضرّ ، إذ مجرّد الاحتمال لا يكفي في الخروج عن المستثنى منه ، بل قضية الأصل تقتضي عدم خروج ما لم يقطع بخروجه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حسنة جميل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الجنب يجلس في المساجد؟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ولكن يمرّ فيها كلها إلاّ المسجد الحرام ومسجد الرسول صلی اللّه عليه وآله </w:t>
      </w:r>
      <w:r>
        <w:rPr>
          <w:rFonts w:eastAsia="IRNazanin" w:cs="IRNazanin"/>
          <w:color w:val="111111"/>
          <w:sz w:val="28"/>
          <w:szCs w:val="28"/>
          <w:rtl w:val="true"/>
          <w:lang w:bidi="fa-IR"/>
        </w:rPr>
        <w:t xml:space="preserve">» </w:t>
      </w:r>
      <w:r>
        <w:rPr>
          <w:rStyle w:val="FootnoteAnchor"/>
          <w:rtl w:val="true"/>
        </w:rPr>
        <w:footnoteReference w:id="1514"/>
      </w:r>
      <w:r>
        <w:rPr>
          <w:rFonts w:ascii="IRNazanin" w:hAnsi="IRNazanin" w:eastAsia="IRNazanin"/>
          <w:color w:val="111111"/>
          <w:sz w:val="28"/>
          <w:sz w:val="28"/>
          <w:szCs w:val="28"/>
          <w:rtl w:val="true"/>
          <w:lang w:bidi="fa-IR"/>
        </w:rPr>
        <w:t xml:space="preserve">وخبره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للجنب أن يمشي في المساجد كلها ولا يجلس فيها إلاّ المسجد الحرام ومسجد الرسول صلی اللّه عليه وآله </w:t>
      </w:r>
      <w:r>
        <w:rPr>
          <w:rFonts w:eastAsia="IRNazanin" w:cs="IRNazanin"/>
          <w:color w:val="111111"/>
          <w:sz w:val="28"/>
          <w:szCs w:val="28"/>
          <w:rtl w:val="true"/>
          <w:lang w:bidi="fa-IR"/>
        </w:rPr>
        <w:t xml:space="preserve">» </w:t>
      </w:r>
      <w:r>
        <w:rPr>
          <w:rStyle w:val="FootnoteAnchor"/>
          <w:rtl w:val="true"/>
        </w:rPr>
        <w:footnoteReference w:id="1515"/>
      </w:r>
      <w:r>
        <w:rPr>
          <w:rFonts w:ascii="Amiri" w:hAnsi="Amiri" w:eastAsia="Amiri" w:cs="Amiri"/>
          <w:color w:val="111111"/>
          <w:sz w:val="28"/>
          <w:sz w:val="28"/>
          <w:szCs w:val="28"/>
          <w:rtl w:val="true"/>
          <w:lang w:bidi="ar-SA"/>
        </w:rPr>
        <w:t xml:space="preserve">وإن اقتضيا بإطلاقهما جواز التردّد ، إلاّ أنّ مقتضى تعارضهما مع الآية بالعموم من وجه ، ووجوب تقديم الكتاب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المرور والمشي فيهما على الاحتمال الأوّل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اقتضاء الأولى لذلك ممنوع غايته ، لمنع صدق المرور على غير الأوّل ، </w:t>
      </w:r>
    </w:p>
    <w:p>
      <w:pPr>
        <w:pStyle w:val="BookText"/>
        <w:rPr/>
      </w:pPr>
      <w:r>
        <w:rPr>
          <w:rFonts w:ascii="IRNazanin" w:hAnsi="IRNazanin" w:eastAsia="IRNazanin"/>
          <w:color w:val="111111"/>
          <w:sz w:val="28"/>
          <w:sz w:val="28"/>
          <w:szCs w:val="28"/>
          <w:rtl w:val="true"/>
          <w:lang w:bidi="fa-IR"/>
        </w:rPr>
        <w:t>بل الظاهر منه العبور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يجب عليه في الاجتياز اختيار أقرب الطريقين إذا تعدّد طريق الجواز ، لصدق العبور والاجتياز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في الطريق الواحد العبور منه على أقرب المسافات ، أو يجوز الانحراف بحيث تزيد المسافة؟</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إذا لم يخرج عن صدق العبور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للمنتهى ، فأوجب اختيار الأقرب ، اقتصارا في محل المنع على قدر الضرورة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كونه محل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والبائرة من المساجد كالدائرة ولو لم يبق إلاّ أرضها ما لم تبلغ حد الموات ، لصدق اسم المسجد ، واستصحاب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اضطرّ الجنب إلى اللبث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إمكان خروجه ، أو خوفه على مال محترم بالخروج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تيمّم ولبث ، لعموم البدلية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تلحق بالمساجد الضرائح المقدّسة والمشاهد المشرّفة والمواقف الكريمة ، كمشعر ومنى ، وفاقا للأكثر ، للأصل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وخلافا في الأوّلين للشهيدين </w:t>
      </w:r>
      <w:r>
        <w:rPr>
          <w:rStyle w:val="FootnoteAnchor"/>
          <w:rtl w:val="true"/>
        </w:rPr>
        <w:footnoteReference w:id="1517"/>
      </w:r>
      <w:r>
        <w:rPr>
          <w:rFonts w:ascii="Amiri" w:hAnsi="Amiri" w:eastAsia="Amiri" w:cs="Amiri"/>
          <w:color w:val="111111"/>
          <w:sz w:val="28"/>
          <w:sz w:val="28"/>
          <w:szCs w:val="28"/>
          <w:rtl w:val="true"/>
          <w:lang w:bidi="ar-SA"/>
        </w:rPr>
        <w:t xml:space="preserve">، لاشتمالها على فائدة المسجدية ، وللمروي في بصائر الدرجات وقرب الإسناد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محمّد أما تعلم أنّه لا ينبغي لجنب أن يدخل بيوت الأنبياء </w:t>
      </w:r>
      <w:r>
        <w:rPr>
          <w:rFonts w:eastAsia="Amiri" w:cs="Amiri" w:ascii="Amiri" w:hAnsi="Amiri"/>
          <w:color w:val="111111"/>
          <w:sz w:val="28"/>
          <w:szCs w:val="28"/>
          <w:rtl w:val="true"/>
          <w:lang w:bidi="ar-SA"/>
        </w:rPr>
        <w:t xml:space="preserve">»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إرشاد المفيد </w:t>
      </w:r>
      <w:r>
        <w:rPr>
          <w:rStyle w:val="FootnoteAnchor"/>
          <w:rtl w:val="true"/>
        </w:rPr>
        <w:footnoteReference w:id="1519"/>
      </w:r>
      <w:r>
        <w:rPr>
          <w:rFonts w:ascii="Amiri" w:hAnsi="Amiri" w:eastAsia="Amiri" w:cs="Amiri"/>
          <w:color w:val="111111"/>
          <w:sz w:val="28"/>
          <w:sz w:val="28"/>
          <w:szCs w:val="28"/>
          <w:rtl w:val="true"/>
          <w:lang w:bidi="ar-SA"/>
        </w:rPr>
        <w:t xml:space="preserve">، وكشف الغمة </w:t>
      </w:r>
      <w:r>
        <w:rPr>
          <w:rStyle w:val="FootnoteAnchor"/>
          <w:rtl w:val="true"/>
        </w:rPr>
        <w:footnoteReference w:id="1520"/>
      </w:r>
      <w:r>
        <w:rPr>
          <w:rFonts w:ascii="Amiri" w:hAnsi="Amiri" w:eastAsia="Amiri" w:cs="Amiri"/>
          <w:color w:val="111111"/>
          <w:sz w:val="28"/>
          <w:sz w:val="28"/>
          <w:szCs w:val="28"/>
          <w:rtl w:val="true"/>
          <w:lang w:bidi="ar-SA"/>
        </w:rPr>
        <w:t xml:space="preserve">، ورجال الكشي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 النظر إليه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هكذا تدخل بيوت الأنبياء وأنت جنب؟</w:t>
      </w:r>
      <w:r>
        <w:rPr>
          <w:rFonts w:eastAsia="Amiri" w:cs="Amiri" w:ascii="Amiri" w:hAnsi="Amiri"/>
          <w:color w:val="111111"/>
          <w:sz w:val="28"/>
          <w:szCs w:val="28"/>
          <w:rtl w:val="true"/>
          <w:lang w:bidi="ar-SA"/>
        </w:rPr>
        <w:t xml:space="preserve">! »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الخرائج والجرائح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تستحيي يا أعرابي أن تدخل على إمامك وأنت جنب؟</w:t>
      </w:r>
      <w:r>
        <w:rPr>
          <w:rFonts w:eastAsia="Amiri" w:cs="Amiri" w:ascii="Amiri" w:hAnsi="Amiri"/>
          <w:color w:val="111111"/>
          <w:sz w:val="28"/>
          <w:szCs w:val="28"/>
          <w:rtl w:val="true"/>
          <w:lang w:bidi="ar-SA"/>
        </w:rPr>
        <w:t xml:space="preserve">! »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ولتساويهم حيّا وميّتا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المستفاد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الحكم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عنها بضعفها ، وعدم دلالتها على الحرمة مع أنّ في بيوتهم غالبا من لا يخلو عن جنابة أو حيض أو 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شك في الكراهة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الشي‌ء فيها ، على الأظهر الأشهر ، وعن الغنية الإجماع عليه </w:t>
      </w:r>
      <w:r>
        <w:rPr>
          <w:rStyle w:val="FootnoteAnchor"/>
          <w:rtl w:val="true"/>
        </w:rPr>
        <w:footnoteReference w:id="1523"/>
      </w:r>
      <w:r>
        <w:rPr>
          <w:rFonts w:ascii="IRNazanin" w:hAnsi="IRNazanin" w:eastAsia="IRNazanin"/>
          <w:color w:val="111111"/>
          <w:sz w:val="28"/>
          <w:sz w:val="28"/>
          <w:szCs w:val="28"/>
          <w:rtl w:val="true"/>
          <w:lang w:bidi="fa-IR"/>
        </w:rPr>
        <w:t xml:space="preserve">، بل عن الفاضل ، لنقله الإجماع على وجوب الغسل له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للرضوي المنجبر بالعمل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الجنب والحائض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يأخذا منه ، وليس لهما أن يضعا فيه </w:t>
      </w:r>
      <w:r>
        <w:rPr>
          <w:rFonts w:eastAsia="Amiri" w:cs="Amiri" w:ascii="Amiri" w:hAnsi="Amiri"/>
          <w:color w:val="111111"/>
          <w:sz w:val="28"/>
          <w:szCs w:val="28"/>
          <w:rtl w:val="true"/>
          <w:lang w:bidi="ar-SA"/>
        </w:rPr>
        <w:t xml:space="preserve">» </w:t>
      </w:r>
      <w:r>
        <w:rPr>
          <w:rStyle w:val="FootnoteAnchor"/>
          <w:rtl w:val="true"/>
        </w:rPr>
        <w:footnoteReference w:id="1525"/>
      </w:r>
      <w:r>
        <w:rPr>
          <w:rFonts w:ascii="Amiri" w:hAnsi="Amiri" w:eastAsia="Amiri" w:cs="Amiri"/>
          <w:color w:val="111111"/>
          <w:sz w:val="28"/>
          <w:sz w:val="28"/>
          <w:szCs w:val="28"/>
          <w:rtl w:val="true"/>
          <w:lang w:bidi="ar-SA"/>
        </w:rPr>
        <w:t xml:space="preserve">فإنّ المتبادر من 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وتؤيّده صحيحة العلل ، المتقدّمة </w:t>
      </w:r>
      <w:r>
        <w:rPr>
          <w:rStyle w:val="FootnoteAnchor"/>
          <w:rtl w:val="true"/>
        </w:rPr>
        <w:footnoteReference w:id="1526"/>
      </w:r>
      <w:r>
        <w:rPr>
          <w:rFonts w:ascii="Amiri" w:hAnsi="Amiri" w:eastAsia="Amiri" w:cs="Amiri"/>
          <w:color w:val="111111"/>
          <w:sz w:val="28"/>
          <w:sz w:val="28"/>
          <w:szCs w:val="28"/>
          <w:rtl w:val="true"/>
          <w:lang w:bidi="ar-SA"/>
        </w:rPr>
        <w:t xml:space="preserve">، وصحيحة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والحائض يتناولان من المسجد المتاع يكون فيه؟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 ولكن لا يضعان في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المسجد شيئا </w:t>
      </w:r>
      <w:r>
        <w:rPr>
          <w:rFonts w:eastAsia="Amiri" w:cs="Amiri" w:ascii="Amiri" w:hAnsi="Amiri"/>
          <w:color w:val="111111"/>
          <w:sz w:val="28"/>
          <w:szCs w:val="28"/>
          <w:rtl w:val="true"/>
          <w:lang w:bidi="ar-SA"/>
        </w:rPr>
        <w:t xml:space="preserve">»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الديلمي </w:t>
      </w:r>
      <w:r>
        <w:rPr>
          <w:rStyle w:val="FootnoteAnchor"/>
          <w:rtl w:val="true"/>
        </w:rPr>
        <w:footnoteReference w:id="1528"/>
      </w:r>
      <w:r>
        <w:rPr>
          <w:rFonts w:ascii="IRNazanin" w:hAnsi="IRNazanin" w:eastAsia="IRNazanin"/>
          <w:color w:val="111111"/>
          <w:sz w:val="28"/>
          <w:sz w:val="28"/>
          <w:szCs w:val="28"/>
          <w:rtl w:val="true"/>
          <w:lang w:bidi="fa-IR"/>
        </w:rPr>
        <w:t xml:space="preserve">وموضع من الخلاف </w:t>
      </w:r>
      <w:r>
        <w:rPr>
          <w:rStyle w:val="FootnoteAnchor"/>
          <w:rtl w:val="true"/>
        </w:rPr>
        <w:footnoteReference w:id="1529"/>
      </w:r>
      <w:r>
        <w:rPr>
          <w:rFonts w:ascii="Amiri" w:hAnsi="Amiri" w:eastAsia="Amiri" w:cs="Amiri"/>
          <w:color w:val="111111"/>
          <w:sz w:val="28"/>
          <w:sz w:val="28"/>
          <w:szCs w:val="28"/>
          <w:rtl w:val="true"/>
          <w:lang w:bidi="ar-SA"/>
        </w:rPr>
        <w:t>، فكرهاه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الكراهة على التحريم كما هو الشائع عندهم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ولبعض المتأخّرين </w:t>
      </w:r>
      <w:r>
        <w:rPr>
          <w:rStyle w:val="FootnoteAnchor"/>
          <w:rtl w:val="true"/>
        </w:rPr>
        <w:footnoteReference w:id="1530"/>
      </w:r>
      <w:r>
        <w:rPr>
          <w:rFonts w:ascii="Amiri" w:hAnsi="Amiri" w:eastAsia="Amiri" w:cs="Amiri"/>
          <w:color w:val="111111"/>
          <w:sz w:val="28"/>
          <w:sz w:val="28"/>
          <w:szCs w:val="28"/>
          <w:rtl w:val="true"/>
          <w:lang w:bidi="ar-SA"/>
        </w:rPr>
        <w:t>، فخصّ التحريم بالوضع المستلزم للّبث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لتعارض إطلاق تحريم الوضع وتجويز المشي ، فيرجع في محل الاجتماع إلى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وضعفه ظاهر ، إذ لا تعارض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ومقتضى إطلاق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الوضع فيه ولو من غير دخول ، كما صرّح به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يدلّ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الطرح فيه من الخارج فلا بأس به ، لعدم ثبوت صدق الوضع عليه ، ولو صدق ، فالشهرة الجابرة فيه غير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صريح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الأخذ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والإجماع منعقد عليه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في تفسير القمي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ويضعان فيه الشي‌ء ولا يأخذان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بالهما يضعان فيه الشي‌ء ولا يأخذان منه؟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فإنّهما يقدران على وضع الشي‌ء من غير دخول ولا يقدران على أن يأخذا منه حتى يدخلا </w:t>
      </w:r>
      <w:r>
        <w:rPr>
          <w:rFonts w:eastAsia="Amiri" w:cs="Amiri" w:ascii="Amiri" w:hAnsi="Amiri"/>
          <w:color w:val="111111"/>
          <w:sz w:val="28"/>
          <w:szCs w:val="28"/>
          <w:rtl w:val="true"/>
          <w:lang w:bidi="ar-SA"/>
        </w:rPr>
        <w:t xml:space="preserve">» </w:t>
      </w:r>
      <w:r>
        <w:rPr>
          <w:rStyle w:val="FootnoteAnchor"/>
          <w:rtl w:val="true"/>
        </w:rPr>
        <w:footnoteReference w:id="1531"/>
      </w:r>
      <w:r>
        <w:rPr>
          <w:rFonts w:ascii="Amiri" w:hAnsi="Amiri" w:eastAsia="Amiri" w:cs="Amiri"/>
          <w:color w:val="111111"/>
          <w:sz w:val="28"/>
          <w:sz w:val="28"/>
          <w:szCs w:val="28"/>
          <w:rtl w:val="true"/>
          <w:lang w:bidi="ar-SA"/>
        </w:rPr>
        <w:t>، فلا يصلح للمعارضة ، لضعفه بنفسه ، ولمخالفته العمل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المسجد الحرام ومسجد النبي صلی اللّه عليه وآله ، فإنه يحرم مطلقا ولو اجتيازا ، على الأشهر ، بل عليه الإجماع في المعتبر والمدارك والتذكرة </w:t>
      </w:r>
      <w:r>
        <w:rPr>
          <w:rStyle w:val="FootnoteAnchor"/>
          <w:rtl w:val="true"/>
        </w:rPr>
        <w:footnoteReference w:id="1532"/>
      </w:r>
      <w:r>
        <w:rPr>
          <w:rFonts w:ascii="Amiri" w:hAnsi="Amiri" w:eastAsia="Amiri" w:cs="Amiri"/>
          <w:color w:val="111111"/>
          <w:sz w:val="28"/>
          <w:sz w:val="28"/>
          <w:szCs w:val="28"/>
          <w:rtl w:val="true"/>
          <w:lang w:bidi="ar-SA"/>
        </w:rPr>
        <w:t xml:space="preserve">، وعن ظاهر الغنية </w:t>
      </w:r>
      <w:r>
        <w:rPr>
          <w:rStyle w:val="FootnoteAnchor"/>
          <w:rtl w:val="true"/>
        </w:rPr>
        <w:footnoteReference w:id="1533"/>
      </w:r>
      <w:r>
        <w:rPr>
          <w:rFonts w:ascii="Amiri" w:hAnsi="Amiri" w:eastAsia="Amiri" w:cs="Amiri"/>
          <w:color w:val="111111"/>
          <w:sz w:val="28"/>
          <w:sz w:val="28"/>
          <w:szCs w:val="28"/>
          <w:rtl w:val="true"/>
          <w:lang w:bidi="ar-SA"/>
        </w:rPr>
        <w:t xml:space="preserve">، ونفي الخلاف بين الأصحاب في الحدائق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لمفهوم قوله في صحيحة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بأس أن يمرّا في سائر المساجد </w:t>
      </w:r>
      <w:r>
        <w:rPr>
          <w:rFonts w:eastAsia="Amiri" w:cs="Amiri" w:ascii="Amiri" w:hAnsi="Amiri"/>
          <w:color w:val="111111"/>
          <w:sz w:val="28"/>
          <w:szCs w:val="28"/>
          <w:rtl w:val="true"/>
          <w:lang w:bidi="ar-SA"/>
        </w:rPr>
        <w:t xml:space="preserve">»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وتؤيّده حسنة جميل ، وروايته ، ورواية ابن حمران ، وحسنة محمّد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وللمروي في العيون والمجالس عن رسول اللّه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إنّ هذا المسجد لا يحلّ لجنب إلاّ لمحمّد وآله </w:t>
      </w:r>
      <w:r>
        <w:rPr>
          <w:rFonts w:eastAsia="IRNazanin" w:cs="IRNazanin"/>
          <w:color w:val="111111"/>
          <w:sz w:val="28"/>
          <w:szCs w:val="28"/>
          <w:rtl w:val="true"/>
          <w:lang w:bidi="fa-IR"/>
        </w:rPr>
        <w:t xml:space="preserve">»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يتعرّض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كالصدوقين </w:t>
      </w:r>
      <w:r>
        <w:rPr>
          <w:rStyle w:val="FootnoteAnchor"/>
          <w:rtl w:val="true"/>
        </w:rPr>
        <w:footnoteReference w:id="1538"/>
      </w:r>
      <w:r>
        <w:rPr>
          <w:rFonts w:ascii="Amiri" w:hAnsi="Amiri" w:eastAsia="Amiri" w:cs="Amiri"/>
          <w:color w:val="111111"/>
          <w:sz w:val="28"/>
          <w:sz w:val="28"/>
          <w:szCs w:val="28"/>
          <w:rtl w:val="true"/>
          <w:lang w:bidi="ar-SA"/>
        </w:rPr>
        <w:t xml:space="preserve">والمفيد </w:t>
      </w:r>
      <w:r>
        <w:rPr>
          <w:rStyle w:val="FootnoteAnchor"/>
          <w:rtl w:val="true"/>
        </w:rPr>
        <w:footnoteReference w:id="1539"/>
      </w:r>
      <w:r>
        <w:rPr>
          <w:rFonts w:ascii="Amiri" w:hAnsi="Amiri" w:eastAsia="Amiri" w:cs="Amiri"/>
          <w:color w:val="111111"/>
          <w:sz w:val="28"/>
          <w:sz w:val="28"/>
          <w:szCs w:val="28"/>
          <w:rtl w:val="true"/>
          <w:lang w:bidi="ar-SA"/>
        </w:rPr>
        <w:t xml:space="preserve">والديلمي </w:t>
      </w:r>
      <w:r>
        <w:rPr>
          <w:rStyle w:val="FootnoteAnchor"/>
          <w:rtl w:val="true"/>
        </w:rPr>
        <w:footnoteReference w:id="1540"/>
      </w:r>
      <w:r>
        <w:rPr>
          <w:rFonts w:ascii="Amiri" w:hAnsi="Amiri" w:eastAsia="Amiri" w:cs="Amiri"/>
          <w:color w:val="111111"/>
          <w:sz w:val="28"/>
          <w:sz w:val="28"/>
          <w:szCs w:val="28"/>
          <w:rtl w:val="true"/>
          <w:lang w:bidi="ar-SA"/>
        </w:rPr>
        <w:t xml:space="preserve">والشيخ في الجمل والاقتصاد والمصباح </w:t>
      </w:r>
      <w:r>
        <w:rPr>
          <w:rStyle w:val="FootnoteAnchor"/>
          <w:rtl w:val="true"/>
        </w:rPr>
        <w:footnoteReference w:id="1541"/>
      </w:r>
      <w:r>
        <w:rPr>
          <w:rFonts w:ascii="Amiri" w:hAnsi="Amiri" w:eastAsia="Amiri" w:cs="Amiri"/>
          <w:color w:val="111111"/>
          <w:sz w:val="28"/>
          <w:sz w:val="28"/>
          <w:szCs w:val="28"/>
          <w:rtl w:val="true"/>
          <w:lang w:bidi="ar-SA"/>
        </w:rPr>
        <w:t xml:space="preserve">ومختصره ، والكيدري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 مع إطلاقهم جواز الاجتياز في المساجد ، وكأنّه لقصور ما ذكر عن إثبات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لو لا مفهوم الصحيحة ، ولكنه كاف في إثباتها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احتلم في أحدهما يجب أن يتيمّم ، لدلالة المستفيضة </w:t>
      </w:r>
      <w:r>
        <w:rPr>
          <w:rStyle w:val="FootnoteAnchor"/>
          <w:rtl w:val="true"/>
        </w:rPr>
        <w:footnoteReference w:id="1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 الشاذ </w:t>
      </w:r>
      <w:r>
        <w:rPr>
          <w:rStyle w:val="FootnoteAnchor"/>
          <w:rtl w:val="true"/>
        </w:rPr>
        <w:footnoteReference w:id="1543"/>
      </w:r>
      <w:r>
        <w:rPr>
          <w:rFonts w:ascii="Amiri" w:hAnsi="Amiri" w:eastAsia="Amiri" w:cs="Amiri"/>
          <w:color w:val="111111"/>
          <w:sz w:val="28"/>
          <w:sz w:val="28"/>
          <w:szCs w:val="28"/>
          <w:rtl w:val="true"/>
          <w:lang w:bidi="ar-SA"/>
        </w:rPr>
        <w:t>منّا بالاستحباب 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حكم الاحتلام فيهما الجنابة في اليقظة أو دخول الجنب فيهما سهوا ، أو عمدا لضرورة أم لا ، لعدم تعقّل الفرق كما قيل </w:t>
      </w:r>
      <w:r>
        <w:rPr>
          <w:rStyle w:val="FootnoteAnchor"/>
          <w:rtl w:val="true"/>
        </w:rPr>
        <w:footnoteReference w:id="1544"/>
      </w:r>
      <w:r>
        <w:rPr>
          <w:rFonts w:ascii="Amiri" w:hAnsi="Amiri" w:eastAsia="Amiri" w:cs="Amiri"/>
          <w:color w:val="111111"/>
          <w:sz w:val="28"/>
          <w:sz w:val="28"/>
          <w:szCs w:val="28"/>
          <w:rtl w:val="true"/>
          <w:lang w:bidi="ar-SA"/>
        </w:rPr>
        <w:t>، بل لعموم بدلية التيمم فيجب مع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المكروهة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والشرب على الأظهر الأشهر ، بل عليه الإجماع عن الغنية والتذكرة </w:t>
      </w:r>
      <w:r>
        <w:rPr>
          <w:rStyle w:val="FootnoteAnchor"/>
          <w:rtl w:val="true"/>
        </w:rPr>
        <w:footnoteReference w:id="1545"/>
      </w:r>
      <w:r>
        <w:rPr>
          <w:rFonts w:ascii="Amiri" w:hAnsi="Amiri" w:eastAsia="Amiri" w:cs="Amiri"/>
          <w:color w:val="111111"/>
          <w:sz w:val="28"/>
          <w:sz w:val="28"/>
          <w:szCs w:val="28"/>
          <w:rtl w:val="true"/>
          <w:lang w:bidi="ar-SA"/>
        </w:rPr>
        <w:t xml:space="preserve">وغيرهما </w:t>
      </w:r>
      <w:r>
        <w:rPr>
          <w:rStyle w:val="FootnoteAnchor"/>
          <w:rtl w:val="true"/>
        </w:rPr>
        <w:footnoteReference w:id="1546"/>
      </w:r>
      <w:r>
        <w:rPr>
          <w:rFonts w:ascii="Amiri" w:hAnsi="Amiri" w:eastAsia="Amiri" w:cs="Amiri"/>
          <w:color w:val="111111"/>
          <w:sz w:val="28"/>
          <w:sz w:val="28"/>
          <w:szCs w:val="28"/>
          <w:rtl w:val="true"/>
          <w:lang w:bidi="ar-SA"/>
        </w:rPr>
        <w:t xml:space="preserve">، للمستفيضة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الأكل على الجنابة يورث الفقر </w:t>
      </w:r>
      <w:r>
        <w:rPr>
          <w:rFonts w:eastAsia="Amiri" w:cs="Amiri" w:ascii="Amiri" w:hAnsi="Amiri"/>
          <w:color w:val="111111"/>
          <w:sz w:val="28"/>
          <w:szCs w:val="28"/>
          <w:rtl w:val="true"/>
          <w:lang w:bidi="ar-SA"/>
        </w:rPr>
        <w:t xml:space="preserve">»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رسول اللّه صلی اللّه عليه وآله عن الأكل على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يورث الفقر </w:t>
      </w:r>
      <w:r>
        <w:rPr>
          <w:rFonts w:eastAsia="IRNazanin" w:cs="IRNazanin"/>
          <w:color w:val="111111"/>
          <w:sz w:val="28"/>
          <w:szCs w:val="28"/>
          <w:rtl w:val="true"/>
          <w:lang w:bidi="fa-IR"/>
        </w:rPr>
        <w:t xml:space="preserve">»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ونحوهما المروي في الخصال والمجالس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الرجل جنبا لم يأكل ولم يشرب حتى يتوضّأ </w:t>
      </w:r>
      <w:r>
        <w:rPr>
          <w:rFonts w:eastAsia="Amiri" w:cs="Amiri" w:ascii="Amiri" w:hAnsi="Amiri"/>
          <w:color w:val="111111"/>
          <w:sz w:val="28"/>
          <w:szCs w:val="28"/>
          <w:rtl w:val="true"/>
          <w:lang w:bidi="ar-SA"/>
        </w:rPr>
        <w:t xml:space="preserve">»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يذوق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حتى يغسل يديه ويتمضمض ، فإنه يخاف منه الوضح </w:t>
      </w:r>
      <w:r>
        <w:rPr>
          <w:rFonts w:eastAsia="Amiri" w:cs="Amiri" w:ascii="Amiri" w:hAnsi="Amiri"/>
          <w:color w:val="111111"/>
          <w:sz w:val="28"/>
          <w:szCs w:val="28"/>
          <w:rtl w:val="true"/>
          <w:lang w:bidi="ar-SA"/>
        </w:rPr>
        <w:t xml:space="preserve">»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أردت أن تأكل على جنابتك ، فاغسل يديك وتمضمض واستنشق ثمَّ كل واشرب إلى أن تغتسل ، فإن أكلت أو شربت قبل ذلك أخاف </w:t>
      </w:r>
    </w:p>
    <w:p>
      <w:pPr>
        <w:pStyle w:val="BookText"/>
        <w:rPr/>
      </w:pPr>
      <w:r>
        <w:rPr>
          <w:rFonts w:ascii="Amiri" w:hAnsi="Amiri" w:eastAsia="Amiri" w:cs="Amiri"/>
          <w:color w:val="111111"/>
          <w:sz w:val="28"/>
          <w:sz w:val="28"/>
          <w:szCs w:val="28"/>
          <w:rtl w:val="true"/>
          <w:lang w:bidi="ar-SA"/>
        </w:rPr>
        <w:t xml:space="preserve">عليك البرص ، ولا تعد إلى ذلك </w:t>
      </w:r>
      <w:r>
        <w:rPr>
          <w:rFonts w:eastAsia="Amiri" w:cs="Amiri" w:ascii="Amiri" w:hAnsi="Amiri"/>
          <w:color w:val="111111"/>
          <w:sz w:val="28"/>
          <w:szCs w:val="28"/>
          <w:rtl w:val="true"/>
          <w:lang w:bidi="ar-SA"/>
        </w:rPr>
        <w:t xml:space="preserve">» </w:t>
      </w:r>
      <w:r>
        <w:rPr>
          <w:rStyle w:val="FootnoteAnchor"/>
          <w:rtl w:val="true"/>
        </w:rPr>
        <w:footnoteReference w:id="1552"/>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الفقيه ، فلم يجوّزهما له </w:t>
      </w:r>
      <w:r>
        <w:rPr>
          <w:rStyle w:val="FootnoteAnchor"/>
          <w:rtl w:val="true"/>
        </w:rPr>
        <w:footnoteReference w:id="1553"/>
      </w:r>
      <w:r>
        <w:rPr>
          <w:rFonts w:ascii="Amiri" w:hAnsi="Amiri" w:eastAsia="Amiri" w:cs="Amiri"/>
          <w:color w:val="111111"/>
          <w:sz w:val="28"/>
          <w:sz w:val="28"/>
          <w:szCs w:val="28"/>
          <w:rtl w:val="true"/>
          <w:lang w:bidi="ar-SA"/>
        </w:rPr>
        <w:t>، لظاهر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حمله على التنزيه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لمعارضته مع موثّقة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يأكل ويشرب ويقرأ؟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يأكل ويشرب ويقرأ ويذكر اللّه ما شاء </w:t>
      </w:r>
      <w:r>
        <w:rPr>
          <w:rFonts w:eastAsia="Amiri" w:cs="Amiri" w:ascii="Amiri" w:hAnsi="Amiri"/>
          <w:color w:val="111111"/>
          <w:sz w:val="28"/>
          <w:szCs w:val="28"/>
          <w:rtl w:val="true"/>
          <w:lang w:bidi="ar-SA"/>
        </w:rPr>
        <w:t xml:space="preserve">»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بعد تخصيص النهي بما قبل الإتيان بما اجمع على أنّه مزيل للكراهة تكون أدلّته أخص مطلقا من الموثّقة فتخصّصها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لعدم قول به إلاّ منه ، فيضعف لأجله روايات النهي ، ويقصر عن إثبات الزائد عن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التعليل في عبارته مشعر بإرادته الكراهة أيضا كما قيل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مقتضى المرسلتين وإن كان الكراهة مطلقا ، فلا تزول إلاّ بالغسل وزوال الجنابة ، إلاّ أنّ مقتضى مفهومي الغاية والشرط في البواقي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تقييدهما وزوالها بغير الغسل أيضا إذا أتى بما ذكر فيها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الأمر المزيل لها قبله هل هو الوضوء خاصة؟ كما عن المقنع </w:t>
      </w:r>
      <w:r>
        <w:rPr>
          <w:rStyle w:val="FootnoteAnchor"/>
          <w:rtl w:val="true"/>
        </w:rPr>
        <w:footnoteReference w:id="1556"/>
      </w:r>
      <w:r>
        <w:rPr>
          <w:rFonts w:ascii="Amiri" w:hAnsi="Amiri" w:eastAsia="Amiri" w:cs="Amiri"/>
          <w:color w:val="111111"/>
          <w:sz w:val="28"/>
          <w:sz w:val="28"/>
          <w:szCs w:val="28"/>
          <w:rtl w:val="true"/>
          <w:lang w:bidi="ar-SA"/>
        </w:rPr>
        <w:t xml:space="preserve">، أو هو أو المضمضة والاستنشاق؟ كما عن المنتهى والتحرير ونهاية الإحكام والدروس </w:t>
      </w:r>
      <w:r>
        <w:rPr>
          <w:rStyle w:val="FootnoteAnchor"/>
          <w:rtl w:val="true"/>
        </w:rPr>
        <w:footnoteReference w:id="1557"/>
      </w:r>
      <w:r>
        <w:rPr>
          <w:rFonts w:ascii="IRNazanin" w:hAnsi="IRNazanin" w:eastAsia="IRNazanin"/>
          <w:color w:val="111111"/>
          <w:sz w:val="28"/>
          <w:sz w:val="28"/>
          <w:szCs w:val="28"/>
          <w:rtl w:val="true"/>
          <w:lang w:bidi="fa-IR"/>
        </w:rPr>
        <w:t xml:space="preserve">، أو </w:t>
      </w:r>
    </w:p>
    <w:p>
      <w:pPr>
        <w:pStyle w:val="BookText"/>
        <w:rPr/>
      </w:pPr>
      <w:r>
        <w:rPr>
          <w:rFonts w:ascii="Amiri" w:hAnsi="Amiri" w:eastAsia="Amiri" w:cs="Amiri"/>
          <w:color w:val="111111"/>
          <w:sz w:val="28"/>
          <w:sz w:val="28"/>
          <w:szCs w:val="28"/>
          <w:rtl w:val="true"/>
          <w:lang w:bidi="ar-SA"/>
        </w:rPr>
        <w:t xml:space="preserve">الأخيران فقط؟ كالقواعد </w:t>
      </w:r>
      <w:r>
        <w:rPr>
          <w:rStyle w:val="FootnoteAnchor"/>
          <w:rtl w:val="true"/>
        </w:rPr>
        <w:footnoteReference w:id="1558"/>
      </w:r>
      <w:r>
        <w:rPr>
          <w:rFonts w:ascii="Amiri" w:hAnsi="Amiri" w:eastAsia="Amiri" w:cs="Amiri"/>
          <w:color w:val="111111"/>
          <w:sz w:val="28"/>
          <w:sz w:val="28"/>
          <w:szCs w:val="28"/>
          <w:rtl w:val="true"/>
          <w:lang w:bidi="ar-SA"/>
        </w:rPr>
        <w:t xml:space="preserve">وعن الخمسة </w:t>
      </w:r>
      <w:r>
        <w:rPr>
          <w:rStyle w:val="FootnoteAnchor"/>
          <w:rtl w:val="true"/>
        </w:rPr>
        <w:footnoteReference w:id="1559"/>
      </w:r>
      <w:r>
        <w:rPr>
          <w:rFonts w:ascii="IRNazanin" w:hAnsi="IRNazanin" w:eastAsia="IRNazanin"/>
          <w:color w:val="111111"/>
          <w:sz w:val="28"/>
          <w:sz w:val="28"/>
          <w:szCs w:val="28"/>
          <w:rtl w:val="true"/>
          <w:lang w:bidi="fa-IR"/>
        </w:rPr>
        <w:t xml:space="preserve">وأتباعهم ، بل نسب إلى المشهور </w:t>
      </w:r>
      <w:r>
        <w:rPr>
          <w:rStyle w:val="FootnoteAnchor"/>
          <w:rtl w:val="true"/>
        </w:rPr>
        <w:footnoteReference w:id="1560"/>
      </w:r>
      <w:r>
        <w:rPr>
          <w:rFonts w:ascii="Amiri" w:hAnsi="Amiri" w:eastAsia="Amiri" w:cs="Amiri"/>
          <w:color w:val="111111"/>
          <w:sz w:val="28"/>
          <w:sz w:val="28"/>
          <w:szCs w:val="28"/>
          <w:rtl w:val="true"/>
          <w:lang w:bidi="ar-SA"/>
        </w:rPr>
        <w:t xml:space="preserve">، أو هما مع غسل اليدين؟ كما عن الفقيه والهداية والأمالي </w:t>
      </w:r>
      <w:r>
        <w:rPr>
          <w:rStyle w:val="FootnoteAnchor"/>
          <w:rtl w:val="true"/>
        </w:rPr>
        <w:footnoteReference w:id="1561"/>
      </w:r>
      <w:r>
        <w:rPr>
          <w:rFonts w:ascii="Amiri" w:hAnsi="Amiri" w:eastAsia="Amiri" w:cs="Amiri"/>
          <w:color w:val="111111"/>
          <w:sz w:val="28"/>
          <w:sz w:val="28"/>
          <w:szCs w:val="28"/>
          <w:rtl w:val="true"/>
          <w:lang w:bidi="ar-SA"/>
        </w:rPr>
        <w:t xml:space="preserve">، أو هو مع المضمضة؟ كالمعتبر </w:t>
      </w:r>
      <w:r>
        <w:rPr>
          <w:rStyle w:val="FootnoteAnchor"/>
          <w:rtl w:val="true"/>
        </w:rPr>
        <w:footnoteReference w:id="1562"/>
      </w:r>
      <w:r>
        <w:rPr>
          <w:rFonts w:ascii="Amiri" w:hAnsi="Amiri" w:eastAsia="Amiri" w:cs="Amiri"/>
          <w:color w:val="111111"/>
          <w:sz w:val="28"/>
          <w:sz w:val="28"/>
          <w:szCs w:val="28"/>
          <w:rtl w:val="true"/>
          <w:lang w:bidi="ar-SA"/>
        </w:rPr>
        <w:t xml:space="preserve">، أو هما مع غسل الوجه؟ كالنفلية </w:t>
      </w:r>
      <w:r>
        <w:rPr>
          <w:rStyle w:val="FootnoteAnchor"/>
          <w:rtl w:val="true"/>
        </w:rPr>
        <w:footnoteReference w:id="1563"/>
      </w:r>
      <w:r>
        <w:rPr>
          <w:rFonts w:ascii="Amiri" w:hAnsi="Amiri" w:eastAsia="Amiri" w:cs="Amiri"/>
          <w:color w:val="111111"/>
          <w:sz w:val="28"/>
          <w:sz w:val="28"/>
          <w:szCs w:val="28"/>
          <w:rtl w:val="true"/>
          <w:lang w:bidi="ar-SA"/>
        </w:rPr>
        <w:t xml:space="preserve">، أو هو مع المضمضة ، أو الوضوء ، أو غسل اليدين ، مع أفضلية الأوّلين؟ كالمدارك </w:t>
      </w:r>
      <w:r>
        <w:rPr>
          <w:rStyle w:val="FootnoteAnchor"/>
          <w:rtl w:val="true"/>
        </w:rPr>
        <w:footnoteReference w:id="1564"/>
      </w:r>
      <w:r>
        <w:rPr>
          <w:rFonts w:ascii="Amiri" w:hAnsi="Amiri" w:eastAsia="Amiri" w:cs="Amiri"/>
          <w:color w:val="111111"/>
          <w:sz w:val="28"/>
          <w:sz w:val="28"/>
          <w:szCs w:val="28"/>
          <w:rtl w:val="true"/>
          <w:lang w:bidi="ar-SA"/>
        </w:rPr>
        <w:t>، أو كل مما ذكر تخييرا؟ كأحد المحتملين في اللوامع والمعتمد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أقوال ، منشؤها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الأخبار التي منها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الجنب إذا أراد أن يأكل ويشرب غسل يده وتمضمض وغسل وجهه وأكل وشرب </w:t>
      </w:r>
      <w:r>
        <w:rPr>
          <w:rFonts w:eastAsia="Amiri" w:cs="Amiri" w:ascii="Amiri" w:hAnsi="Amiri"/>
          <w:color w:val="111111"/>
          <w:sz w:val="28"/>
          <w:szCs w:val="28"/>
          <w:rtl w:val="true"/>
          <w:lang w:bidi="ar-SA"/>
        </w:rPr>
        <w:t xml:space="preserve">»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أيأكل الجنب قبل أن يتوضّأ؟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لنكسل </w:t>
      </w:r>
      <w:r>
        <w:rPr>
          <w:rStyle w:val="FootnoteAnchor"/>
          <w:rtl w:val="true"/>
        </w:rPr>
        <w:footnoteReference w:id="1566"/>
      </w:r>
      <w:r>
        <w:rPr>
          <w:rFonts w:ascii="Amiri" w:hAnsi="Amiri" w:eastAsia="Amiri" w:cs="Amiri"/>
          <w:color w:val="111111"/>
          <w:sz w:val="28"/>
          <w:sz w:val="28"/>
          <w:szCs w:val="28"/>
          <w:rtl w:val="true"/>
          <w:lang w:bidi="ar-SA"/>
        </w:rPr>
        <w:t xml:space="preserve">، ولكن ليغسل يده ، والوضوء أفضل </w:t>
      </w:r>
      <w:r>
        <w:rPr>
          <w:rFonts w:eastAsia="Amiri" w:cs="Amiri" w:ascii="Amiri" w:hAnsi="Amiri"/>
          <w:color w:val="111111"/>
          <w:sz w:val="28"/>
          <w:szCs w:val="28"/>
          <w:rtl w:val="true"/>
          <w:lang w:bidi="ar-SA"/>
        </w:rPr>
        <w:t xml:space="preserve">»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اختلاف الأفهام في كيفية تعارضها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دلالة بعضها على عدم انتفاء الكراهة إلاّ بالتوضّؤ ، وآخر على انتفائها بالمضمضة وغسل اليد وعدمه بدونهما ، وثالث بغيرهما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وجه الجمع بينها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وتحقيق المقام بعد بيان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لاستحباب أمر عند ارتكاب آخر ثابت الكراهة على انتفائها بعد فعل ذلك المستحب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عدم كون الصحيحتين من أخبار المقام منافيتين للأخبار المتقدّمة أصلا ، غايتهما استحباب ما ذكر فيهما للجنب عند الأكل والشرب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المصرّح به في الأخبار أنّ كراهة الأكل والشرب للجنب إنما هي 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إيراثه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إيجابه 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والمستفاد من روايتي السكوني والرضوي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الثاني خاصة بفعل ما ذكر فيهما دون الأوّل أيضا ، ولازمه تخفيف الكراهة بفعله ، إذ تخفيف مرجوحية ما فيه جهتا مرجوحية بزوال إحداهما لا انتفائها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تعارض بين الروايتين وصحيحة الحلبي أيضا ، لأنّها تدلّ بمفهوم الغاية على انتفاء مطلق النهي بالتوضّؤ ، وهما تدلاّن على انتفاء خوف البرص بغسل اليد والمضمضة ، أو مع الاستنشاق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يعارض منطوق الرضوي المصرّح ببقاء ذلك الخوف قبل الثلاثة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غسلت يدك وتمضمضت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مفهوم رواية السكوني الدالّ على انتفاء الخوف بالأمرين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معهما الاستنشاق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بالعموم من وجه ، وإذ لا مرجّح فيرجع إلى أصالة بقاء الكراهة وعدم تخفيفها بدون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ظهر أنّ حق القول في المسألة انتفاء الكراهة بالوضوء وتخفيفها بغسل اليدين والمضمضة والاستنشاق</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ظواهر الاقتصاد ، والمصباح </w:t>
      </w:r>
      <w:r>
        <w:rPr>
          <w:rStyle w:val="FootnoteAnchor"/>
          <w:rtl w:val="true"/>
        </w:rPr>
        <w:footnoteReference w:id="1568"/>
      </w:r>
      <w:r>
        <w:rPr>
          <w:rFonts w:ascii="Amiri" w:hAnsi="Amiri" w:eastAsia="Amiri" w:cs="Amiri"/>
          <w:color w:val="111111"/>
          <w:sz w:val="28"/>
          <w:sz w:val="28"/>
          <w:szCs w:val="28"/>
          <w:rtl w:val="true"/>
          <w:lang w:bidi="ar-SA"/>
        </w:rPr>
        <w:t xml:space="preserve">، ومختصره ، والسرائر ، والنهاية </w:t>
      </w:r>
      <w:r>
        <w:rPr>
          <w:rStyle w:val="FootnoteAnchor"/>
          <w:rtl w:val="true"/>
        </w:rPr>
        <w:footnoteReference w:id="1569"/>
      </w:r>
      <w:r>
        <w:rPr>
          <w:rFonts w:ascii="Amiri" w:hAnsi="Amiri" w:eastAsia="Amiri" w:cs="Amiri"/>
          <w:color w:val="111111"/>
          <w:sz w:val="28"/>
          <w:sz w:val="28"/>
          <w:szCs w:val="28"/>
          <w:rtl w:val="true"/>
          <w:lang w:bidi="ar-SA"/>
        </w:rPr>
        <w:t xml:space="preserve">، وفي الشرائع </w:t>
      </w:r>
      <w:r>
        <w:rPr>
          <w:rStyle w:val="FootnoteAnchor"/>
          <w:rtl w:val="true"/>
        </w:rPr>
        <w:footnoteReference w:id="1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تخفيفها بالأخيرين ، من غير تعرّض للانتفاء بالوضوء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لتعليل النهي عن الأكل على الجنابة بإيراثه الفقر ، وما ذكر لا يرفع الجنابة التي هي العلّة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مفهوم الغاية في الصحيحة انتفاء النهي الذي هو المعلول بالوضوء ، وهو كاشف عن عدم عليّة مطلق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كانت العلّة لما كان وجه للخفّة ، لعدم تخفيف الجنابة بالاستنشاق والمضمضة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شك في عدم اعتبار تعدّد الأمور المذكورة بتعدّد الأكل والشرب مع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يعتبر مع التراخي مطلقا ، أو إذا طال الزمان ، أو تخلّل الحدث ، أو لا يعتبر مطلقا؟ أظهرها الأول ، لعموم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القول بالفصل بين ما فيه وبين الوضوء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اعتبار تخلّل الحدث في تعدّد الوضوء خاصة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غير العزائم من القرآن مطلقا ، وفاقا للمحكي عن الخصال والمراسم وابن سعيد </w:t>
      </w:r>
      <w:r>
        <w:rPr>
          <w:rStyle w:val="FootnoteAnchor"/>
          <w:rtl w:val="true"/>
        </w:rPr>
        <w:footnoteReference w:id="1572"/>
      </w:r>
      <w:r>
        <w:rPr>
          <w:rFonts w:ascii="Amiri" w:hAnsi="Amiri" w:eastAsia="Amiri" w:cs="Amiri"/>
          <w:color w:val="111111"/>
          <w:sz w:val="28"/>
          <w:sz w:val="28"/>
          <w:szCs w:val="28"/>
          <w:rtl w:val="true"/>
          <w:lang w:bidi="ar-SA"/>
        </w:rPr>
        <w:t xml:space="preserve">، لرواية الخدري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من كان جنبا في الفراش مع امرأته فلا يقرأ القرآن ، فإني أخشى أن تنزل عليهما نار من السماء فتحرقهما </w:t>
      </w:r>
      <w:r>
        <w:rPr>
          <w:rFonts w:eastAsia="Amiri" w:cs="Amiri" w:ascii="Amiri" w:hAnsi="Amiri"/>
          <w:color w:val="111111"/>
          <w:sz w:val="28"/>
          <w:szCs w:val="28"/>
          <w:rtl w:val="true"/>
          <w:lang w:bidi="ar-SA"/>
        </w:rPr>
        <w:t xml:space="preserve">»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المؤيدة بالمروي في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سبعة لا يقرؤون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والنفساء والحائض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وبروايتي قرب الإسناد والخصال ، المتقدّمتين في الوضوء المستحب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وجعلهما مؤيدتين ، لاحتمال إرادة نفي الإباحة الخاصة أو الاستحباب </w:t>
      </w:r>
    </w:p>
    <w:p>
      <w:pPr>
        <w:pStyle w:val="BookText"/>
        <w:rPr/>
      </w:pPr>
      <w:r>
        <w:rPr>
          <w:rFonts w:ascii="Amiri" w:hAnsi="Amiri" w:eastAsia="Amiri" w:cs="Amiri"/>
          <w:color w:val="111111"/>
          <w:sz w:val="28"/>
          <w:sz w:val="28"/>
          <w:szCs w:val="28"/>
          <w:rtl w:val="true"/>
          <w:lang w:bidi="ar-SA"/>
        </w:rPr>
        <w:t>منهما ، ولا تلزم منه حرمتها حيث إنها عبادة ، لأنّ قراءة القرآن ليست من التوقيفيّات التي لم تتحمل الإباحة والكراهة ،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إبقاء الكراهة على المعنى المصطلح فيما يقول به إنّما هو إذا كانت ممّا ثبتت صحته المستلزمة للثواب والمطلوبيّة ، ولم يثبت ذلك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وتؤيّد المطلوب أيضا الرواية العامية عن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يحجب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يحجزه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قراءة القرآن شي‌ء سوى الجنابة </w:t>
      </w:r>
      <w:r>
        <w:rPr>
          <w:rFonts w:eastAsia="Amiri" w:cs="Amiri" w:ascii="Amiri" w:hAnsi="Amiri"/>
          <w:color w:val="111111"/>
          <w:sz w:val="28"/>
          <w:szCs w:val="28"/>
          <w:rtl w:val="true"/>
          <w:lang w:bidi="ar-SA"/>
        </w:rPr>
        <w:t xml:space="preserve">»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لجماعة ، فخصّوا الكراهة بالزائد على السبع ، إمّا مطلقا ، كالمعتبر والنافع والمنتهى والقواعد </w:t>
      </w:r>
      <w:r>
        <w:rPr>
          <w:rStyle w:val="FootnoteAnchor"/>
          <w:rtl w:val="true"/>
        </w:rPr>
        <w:footnoteReference w:id="1577"/>
      </w:r>
      <w:r>
        <w:rPr>
          <w:rFonts w:ascii="Amiri" w:hAnsi="Amiri" w:eastAsia="Amiri" w:cs="Amiri"/>
          <w:color w:val="111111"/>
          <w:sz w:val="28"/>
          <w:sz w:val="28"/>
          <w:szCs w:val="28"/>
          <w:rtl w:val="true"/>
          <w:lang w:bidi="ar-SA"/>
        </w:rPr>
        <w:t xml:space="preserve">، والكركي </w:t>
      </w:r>
      <w:r>
        <w:rPr>
          <w:rStyle w:val="FootnoteAnchor"/>
          <w:rtl w:val="true"/>
        </w:rPr>
        <w:footnoteReference w:id="1578"/>
      </w:r>
      <w:r>
        <w:rPr>
          <w:rFonts w:ascii="Amiri" w:hAnsi="Amiri" w:eastAsia="Amiri" w:cs="Amiri"/>
          <w:color w:val="111111"/>
          <w:sz w:val="28"/>
          <w:sz w:val="28"/>
          <w:szCs w:val="28"/>
          <w:rtl w:val="true"/>
          <w:lang w:bidi="ar-SA"/>
        </w:rPr>
        <w:t xml:space="preserve">، وغيرهم </w:t>
      </w:r>
      <w:r>
        <w:rPr>
          <w:rStyle w:val="FootnoteAnchor"/>
          <w:rtl w:val="true"/>
        </w:rPr>
        <w:footnoteReference w:id="1579"/>
      </w:r>
      <w:r>
        <w:rPr>
          <w:rFonts w:ascii="Amiri" w:hAnsi="Amiri" w:eastAsia="Amiri" w:cs="Amiri"/>
          <w:color w:val="111111"/>
          <w:sz w:val="28"/>
          <w:sz w:val="28"/>
          <w:szCs w:val="28"/>
          <w:rtl w:val="true"/>
          <w:lang w:bidi="ar-SA"/>
        </w:rPr>
        <w:t xml:space="preserve">، لمضمرة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هل يقرأ القرآن؟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بينه وبين سبع آيات </w:t>
      </w:r>
      <w:r>
        <w:rPr>
          <w:rFonts w:eastAsia="Amiri" w:cs="Amiri" w:ascii="Amiri" w:hAnsi="Amiri"/>
          <w:color w:val="111111"/>
          <w:sz w:val="28"/>
          <w:szCs w:val="28"/>
          <w:rtl w:val="true"/>
          <w:lang w:bidi="ar-SA"/>
        </w:rPr>
        <w:t xml:space="preserve">»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مع اشتدادها في الزائد على السبعين ، كما في الشرائع والكفاية </w:t>
      </w:r>
      <w:r>
        <w:rPr>
          <w:rStyle w:val="FootnoteAnchor"/>
          <w:rtl w:val="true"/>
        </w:rPr>
        <w:footnoteReference w:id="1581"/>
      </w:r>
      <w:r>
        <w:rPr>
          <w:rFonts w:ascii="Amiri" w:hAnsi="Amiri" w:eastAsia="Amiri" w:cs="Amiri"/>
          <w:color w:val="111111"/>
          <w:sz w:val="28"/>
          <w:sz w:val="28"/>
          <w:szCs w:val="28"/>
          <w:rtl w:val="true"/>
          <w:lang w:bidi="ar-SA"/>
        </w:rPr>
        <w:t xml:space="preserve">واللوامع والمعتمد ، وغيرها ، لمضمرته الأخرى ، وفيها بدل سبع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آية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دلّتا على جواز قراءة ما نقص عن السبع</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ولكونها عبادة لا يكون الجواز فيه إلاّ مع المطلوبية المنافية للكراهة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المستفاد من مفهوم الوصف عدم قراءة الجنب للزائد المحمول على الكراهة ، لضعف القول بالتحريم كما يأتي ، فلا يكون الناقص مكروها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استلزام الجواز هنا للمطلوبية ، بل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كون مطلق قراءة القرآن عبادة ، وإنّما هو فيما سلّمنا الثواب عليه وهو في المقام ممنوع ،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استلزمها ، لكانت الكراهة فيه أيضا بمعنى لا ينافيها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وبعدم حجية مفهوم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حملهما على شدة الكراهة ممكن ، كما ارتكبوه في خبر السبعين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ولأخرى </w:t>
      </w:r>
      <w:r>
        <w:rPr>
          <w:rStyle w:val="FootnoteAnchor"/>
          <w:rtl w:val="true"/>
        </w:rPr>
        <w:footnoteReference w:id="1583"/>
      </w:r>
      <w:r>
        <w:rPr>
          <w:rFonts w:ascii="Amiri" w:hAnsi="Amiri" w:eastAsia="Amiri" w:cs="Amiri"/>
          <w:color w:val="111111"/>
          <w:sz w:val="28"/>
          <w:sz w:val="28"/>
          <w:szCs w:val="28"/>
          <w:rtl w:val="true"/>
          <w:lang w:bidi="ar-SA"/>
        </w:rPr>
        <w:t xml:space="preserve">، فنفوها مطلقا ، كما في المدارك والبحار وعن جمل الشيخ </w:t>
      </w:r>
      <w:r>
        <w:rPr>
          <w:rStyle w:val="FootnoteAnchor"/>
          <w:rtl w:val="true"/>
        </w:rPr>
        <w:footnoteReference w:id="1584"/>
      </w:r>
      <w:r>
        <w:rPr>
          <w:rFonts w:ascii="Amiri" w:hAnsi="Amiri" w:eastAsia="Amiri" w:cs="Amiri"/>
          <w:color w:val="111111"/>
          <w:sz w:val="28"/>
          <w:sz w:val="28"/>
          <w:szCs w:val="28"/>
          <w:rtl w:val="true"/>
          <w:lang w:bidi="ar-SA"/>
        </w:rPr>
        <w:t xml:space="preserve">، للأصل ، وعموم قوله 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فَاقْرَؤُا ما تَيَسَّرَ </w:t>
      </w:r>
      <w:r>
        <w:rPr>
          <w:rFonts w:eastAsia="Amiri" w:cs="Amiri" w:ascii="Amiri" w:hAnsi="Amiri"/>
          <w:color w:val="111111"/>
          <w:sz w:val="28"/>
          <w:szCs w:val="28"/>
          <w:rtl w:val="true"/>
          <w:lang w:bidi="ar-SA"/>
        </w:rPr>
        <w:t xml:space="preserve">) </w:t>
      </w:r>
      <w:r>
        <w:rPr>
          <w:rStyle w:val="FootnoteAnchor"/>
          <w:rtl w:val="true"/>
        </w:rPr>
        <w:footnoteReference w:id="1585"/>
      </w:r>
      <w:r>
        <w:rPr>
          <w:rFonts w:ascii="Amiri" w:hAnsi="Amiri" w:eastAsia="Amiri" w:cs="Amiri"/>
          <w:color w:val="111111"/>
          <w:sz w:val="28"/>
          <w:sz w:val="28"/>
          <w:szCs w:val="28"/>
          <w:rtl w:val="true"/>
          <w:lang w:bidi="ar-SA"/>
        </w:rPr>
        <w:t xml:space="preserve">والأخبار المصرّحة بأنه يقرأ القرآن ، أو ما شاء منه ، أو بنفي البأس عن قراءته ، كصحيحتي الفضيل </w:t>
      </w:r>
      <w:r>
        <w:rPr>
          <w:rStyle w:val="FootnoteAnchor"/>
          <w:rtl w:val="true"/>
        </w:rPr>
        <w:footnoteReference w:id="1586"/>
      </w:r>
      <w:r>
        <w:rPr>
          <w:rFonts w:ascii="Amiri" w:hAnsi="Amiri" w:eastAsia="Amiri" w:cs="Amiri"/>
          <w:color w:val="111111"/>
          <w:sz w:val="28"/>
          <w:sz w:val="28"/>
          <w:szCs w:val="28"/>
          <w:rtl w:val="true"/>
          <w:lang w:bidi="ar-SA"/>
        </w:rPr>
        <w:t xml:space="preserve">والحلبي </w:t>
      </w:r>
      <w:r>
        <w:rPr>
          <w:rStyle w:val="FootnoteAnchor"/>
          <w:rtl w:val="true"/>
        </w:rPr>
        <w:footnoteReference w:id="1587"/>
      </w:r>
      <w:r>
        <w:rPr>
          <w:rFonts w:ascii="Amiri" w:hAnsi="Amiri" w:eastAsia="Amiri" w:cs="Amiri"/>
          <w:color w:val="111111"/>
          <w:sz w:val="28"/>
          <w:sz w:val="28"/>
          <w:szCs w:val="28"/>
          <w:rtl w:val="true"/>
          <w:lang w:bidi="ar-SA"/>
        </w:rPr>
        <w:t xml:space="preserve">، وموثّقة ابن بكير </w:t>
      </w:r>
      <w:r>
        <w:rPr>
          <w:rStyle w:val="FootnoteAnchor"/>
          <w:rtl w:val="true"/>
        </w:rPr>
        <w:footnoteReference w:id="1588"/>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بما مرّ 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به مخصوص ، مع أنّه لثبوت حرمة قراءة العزائم على الجنب يكون في الآية تقييد قطعا ، وهو كما يمكن أن يكون في المقروء بتقييده بغير العزائم يمكن أن يكون في القارئ بتخصيصه بالمتطهّر ، وحينئذ لا ينافي ما مرّ مطلقا ، وإذ لم يتعيّن أحد الاحتمالين يحصل فيه الإجمال المنافي للاستدلال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يعلم أنه لا يمكن الحكم بكون الآية أعم من وجه ممّا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والثالث غير مناف للكراهة ، إذ لا يثبت منه إلاّ الجواز المتحقّق معها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ولثالثة </w:t>
      </w:r>
      <w:r>
        <w:rPr>
          <w:rStyle w:val="FootnoteAnchor"/>
          <w:rtl w:val="true"/>
        </w:rPr>
        <w:footnoteReference w:id="1589"/>
      </w:r>
      <w:r>
        <w:rPr>
          <w:rFonts w:ascii="Amiri" w:hAnsi="Amiri" w:eastAsia="Amiri" w:cs="Amiri"/>
          <w:color w:val="111111"/>
          <w:sz w:val="28"/>
          <w:sz w:val="28"/>
          <w:szCs w:val="28"/>
          <w:rtl w:val="true"/>
          <w:lang w:bidi="ar-SA"/>
        </w:rPr>
        <w:t xml:space="preserve">، فحرّموها إمّا مطلقا ، كالديلمي في أحد قوليه </w:t>
      </w:r>
      <w:r>
        <w:rPr>
          <w:rStyle w:val="FootnoteAnchor"/>
          <w:rtl w:val="true"/>
        </w:rPr>
        <w:footnoteReference w:id="1590"/>
      </w:r>
      <w:r>
        <w:rPr>
          <w:rFonts w:ascii="Amiri" w:hAnsi="Amiri" w:eastAsia="Amiri" w:cs="Amiri"/>
          <w:color w:val="111111"/>
          <w:sz w:val="28"/>
          <w:sz w:val="28"/>
          <w:szCs w:val="28"/>
          <w:rtl w:val="true"/>
          <w:lang w:bidi="ar-SA"/>
        </w:rPr>
        <w:t xml:space="preserve">، لروايتي الخصال والخدري ، المتقدّمتين </w:t>
      </w:r>
      <w:r>
        <w:rPr>
          <w:rStyle w:val="FootnoteAnchor"/>
          <w:rtl w:val="true"/>
        </w:rPr>
        <w:footnoteReference w:id="1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الزائد على السبع ، كما عن القاضي </w:t>
      </w:r>
      <w:r>
        <w:rPr>
          <w:rStyle w:val="FootnoteAnchor"/>
          <w:rtl w:val="true"/>
        </w:rPr>
        <w:footnoteReference w:id="1592"/>
      </w:r>
      <w:r>
        <w:rPr>
          <w:rFonts w:ascii="Amiri" w:hAnsi="Amiri" w:eastAsia="Amiri" w:cs="Amiri"/>
          <w:color w:val="111111"/>
          <w:sz w:val="28"/>
          <w:sz w:val="28"/>
          <w:szCs w:val="28"/>
          <w:rtl w:val="true"/>
          <w:lang w:bidi="ar-SA"/>
        </w:rPr>
        <w:t xml:space="preserve">، وظاهر المقنعة والنهاية </w:t>
      </w:r>
      <w:r>
        <w:rPr>
          <w:rStyle w:val="FootnoteAnchor"/>
          <w:rtl w:val="true"/>
        </w:rPr>
        <w:footnoteReference w:id="1593"/>
      </w:r>
      <w:r>
        <w:rPr>
          <w:rFonts w:ascii="Amiri" w:hAnsi="Amiri" w:eastAsia="Amiri" w:cs="Amiri"/>
          <w:color w:val="111111"/>
          <w:sz w:val="28"/>
          <w:sz w:val="28"/>
          <w:szCs w:val="28"/>
          <w:rtl w:val="true"/>
          <w:lang w:bidi="ar-SA"/>
        </w:rPr>
        <w:t xml:space="preserve">، وبعض الأصحاب كما في المختلف </w:t>
      </w:r>
      <w:r>
        <w:rPr>
          <w:rStyle w:val="FootnoteAnchor"/>
          <w:rtl w:val="true"/>
        </w:rPr>
        <w:footnoteReference w:id="1594"/>
      </w:r>
      <w:r>
        <w:rPr>
          <w:rFonts w:ascii="Amiri" w:hAnsi="Amiri" w:eastAsia="Amiri" w:cs="Amiri"/>
          <w:color w:val="111111"/>
          <w:sz w:val="28"/>
          <w:sz w:val="28"/>
          <w:szCs w:val="28"/>
          <w:rtl w:val="true"/>
          <w:lang w:bidi="ar-SA"/>
        </w:rPr>
        <w:t xml:space="preserve">، ومحتمل التهذيبين </w:t>
      </w:r>
      <w:r>
        <w:rPr>
          <w:rStyle w:val="FootnoteAnchor"/>
          <w:rtl w:val="true"/>
        </w:rPr>
        <w:footnoteReference w:id="1595"/>
      </w:r>
      <w:r>
        <w:rPr>
          <w:rFonts w:ascii="Amiri" w:hAnsi="Amiri" w:eastAsia="Amiri" w:cs="Amiri"/>
          <w:color w:val="111111"/>
          <w:sz w:val="28"/>
          <w:sz w:val="28"/>
          <w:szCs w:val="28"/>
          <w:rtl w:val="true"/>
          <w:lang w:bidi="ar-SA"/>
        </w:rPr>
        <w:t>، للمضمرة الأولى ، وبها تخصّص الروايتان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السبعين ، كما نقله في المنتهى عن بعض الأصحاب </w:t>
      </w:r>
      <w:r>
        <w:rPr>
          <w:rStyle w:val="FootnoteAnchor"/>
          <w:rtl w:val="true"/>
        </w:rPr>
        <w:footnoteReference w:id="1596"/>
      </w:r>
      <w:r>
        <w:rPr>
          <w:rFonts w:ascii="Amiri" w:hAnsi="Amiri" w:eastAsia="Amiri" w:cs="Amiri"/>
          <w:color w:val="111111"/>
          <w:sz w:val="28"/>
          <w:sz w:val="28"/>
          <w:szCs w:val="28"/>
          <w:rtl w:val="true"/>
          <w:lang w:bidi="ar-SA"/>
        </w:rPr>
        <w:t>، للمضمرة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بقصور الروايتين عن إثبات حرمتها من حيث الدلالة ، لخلوّهما عن الدالّ عليها ، وعدم انتهاضهما له لو دلّتا ، لمعارضتهما مع الأخبار المجوّزة الراجحة عليهما بالأكثرية عددا ، والأصحيّة سندا ، والأوضحية دلالة ، وبالموافقة للمشهور ونقل الإجماع على الجواز ، كما عن الانتصار والخلاف والغنية وأحكام الراوندي والمعتبر </w:t>
      </w:r>
      <w:r>
        <w:rPr>
          <w:rStyle w:val="FootnoteAnchor"/>
          <w:rtl w:val="true"/>
        </w:rPr>
        <w:footnoteReference w:id="1597"/>
      </w:r>
      <w:r>
        <w:rPr>
          <w:rFonts w:ascii="Amiri" w:hAnsi="Amiri" w:eastAsia="Amiri" w:cs="Amiri"/>
          <w:color w:val="111111"/>
          <w:sz w:val="28"/>
          <w:sz w:val="28"/>
          <w:szCs w:val="28"/>
          <w:rtl w:val="true"/>
          <w:lang w:bidi="ar-SA"/>
        </w:rPr>
        <w:t xml:space="preserve">، ولعموم الكتاب ، والمخالفة للعامة </w:t>
      </w:r>
      <w:r>
        <w:rPr>
          <w:rStyle w:val="FootnoteAnchor"/>
          <w:rtl w:val="true"/>
        </w:rPr>
        <w:footnoteReference w:id="1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المرجع أصالة عدم الحرمة لو لا الترجيح</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ما مرّ ، مضافا إلى أنّ دلالتهما بمفهوم الوصف الذي ليس بحجة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وتوهّم أخصيتهما عن المجوّزات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لاختصاصهما بالسبع أو السبعين فتقدّمان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جدا ، لاختصاصها بما عدا العزائم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الكراهة بين القراءة من ظهر القلب أو من المصحف ، 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فرق فيها في السبع أو السبعين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بالاختصاص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الآي الطويلة والقصيرة ، ولا بين السبع أو السبعين المجتمعة في القرآن أو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الظاهر المتبادر منها المتوالية والمتغايرة ، فبحكم الأصل لا كراهة في المتراخية والواحدة المتكررة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المصحف ، لفتوى الجماعة ، كما في اللوامع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بل يدلّ عليه أيضا نهي الجنب عن تعليقه في رواية إبراهيم بن عبد الحميد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تعليقه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ما عدا الكتابة في المصحف ، لروايتي المجمع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للجنب والحائض والمحدث مس المصحف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والأخرى عن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الأحداث والجنابات </w:t>
      </w:r>
      <w:r>
        <w:rPr>
          <w:rFonts w:eastAsia="Amiri" w:cs="Amiri" w:ascii="Amiri" w:hAnsi="Amiri"/>
          <w:color w:val="111111"/>
          <w:sz w:val="28"/>
          <w:szCs w:val="28"/>
          <w:rtl w:val="true"/>
          <w:lang w:bidi="ar-SA"/>
        </w:rPr>
        <w:t xml:space="preserve">»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عبد الحميد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المصحف لا تمسّه على غير طهر ولا جنبا </w:t>
      </w:r>
      <w:r>
        <w:rPr>
          <w:rFonts w:eastAsia="Amiri" w:cs="Amiri" w:ascii="Amiri" w:hAnsi="Amiri"/>
          <w:color w:val="111111"/>
          <w:sz w:val="28"/>
          <w:szCs w:val="28"/>
          <w:rtl w:val="true"/>
          <w:lang w:bidi="ar-SA"/>
        </w:rPr>
        <w:t xml:space="preserve">»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وشمولها للخط المحرّم مسّه بدلالة خارجية لا يضرّ في المطلوب ، بعد صدق مسّ المصحف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وضعفها مانع عن إثبات التحريم بها في غير موضع الانجبار الذي هو مسّ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الثانيتين غير دالّتين عليه ، كالآية وسائر ما بمضمونهما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دلّ حديث على التحريم ، فتأويله أو طرحه متعيّن ، لمعارضته مع الرضوي المنجبر بالأصل والشهرة التي كادت أن تكون إجماعا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تمس القرآن إذا كنت جنبا أو على غير وضوء ، ومسّ الأوراق </w:t>
      </w:r>
      <w:r>
        <w:rPr>
          <w:rFonts w:eastAsia="Amiri" w:cs="Amiri" w:ascii="Amiri" w:hAnsi="Amiri"/>
          <w:color w:val="111111"/>
          <w:sz w:val="28"/>
          <w:szCs w:val="28"/>
          <w:rtl w:val="true"/>
          <w:lang w:bidi="ar-SA"/>
        </w:rPr>
        <w:t xml:space="preserve">»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السيد </w:t>
      </w:r>
      <w:r>
        <w:rPr>
          <w:rStyle w:val="FootnoteAnchor"/>
          <w:rtl w:val="true"/>
        </w:rPr>
        <w:footnoteReference w:id="1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 بالإجماع ، كما في المعتبر والمنتهى ، وعن الغنية وظاهر التذكرة </w:t>
      </w:r>
      <w:r>
        <w:rPr>
          <w:rStyle w:val="FootnoteAnchor"/>
          <w:rtl w:val="true"/>
        </w:rPr>
        <w:footnoteReference w:id="1604"/>
      </w:r>
      <w:r>
        <w:rPr>
          <w:rFonts w:ascii="Amiri" w:hAnsi="Amiri" w:eastAsia="Amiri" w:cs="Amiri"/>
          <w:color w:val="111111"/>
          <w:sz w:val="28"/>
          <w:sz w:val="28"/>
          <w:szCs w:val="28"/>
          <w:rtl w:val="true"/>
          <w:lang w:bidi="ar-SA"/>
        </w:rPr>
        <w:t xml:space="preserve">، فهو فيه الحجة ، مضافا إلى المعتبرة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أينبغي له أن ينام وهو جنب؟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ذلك حتى يتوضّأ </w:t>
      </w:r>
      <w:r>
        <w:rPr>
          <w:rFonts w:eastAsia="Amiri" w:cs="Amiri" w:ascii="Amiri" w:hAnsi="Amiri"/>
          <w:color w:val="111111"/>
          <w:sz w:val="28"/>
          <w:szCs w:val="28"/>
          <w:rtl w:val="true"/>
          <w:lang w:bidi="ar-SA"/>
        </w:rPr>
        <w:t xml:space="preserve">»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ومفهوم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بأس أن تنام على جنابتك بعد أن تتوضّأ وضوء الصلاة </w:t>
      </w:r>
      <w:r>
        <w:rPr>
          <w:rFonts w:eastAsia="Amiri" w:cs="Amiri" w:ascii="Amiri" w:hAnsi="Amiri"/>
          <w:color w:val="111111"/>
          <w:sz w:val="28"/>
          <w:szCs w:val="28"/>
          <w:rtl w:val="true"/>
          <w:lang w:bidi="ar-SA"/>
        </w:rPr>
        <w:t xml:space="preserve">»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ينام المسلم وهو جنب ولا ينام إلاّ على طهور ، فإن لم يجد الماء فليتيمّم بالصعيد </w:t>
      </w:r>
      <w:r>
        <w:rPr>
          <w:rFonts w:eastAsia="Amiri" w:cs="Amiri" w:ascii="Amiri" w:hAnsi="Amiri"/>
          <w:color w:val="111111"/>
          <w:sz w:val="28"/>
          <w:szCs w:val="28"/>
          <w:rtl w:val="true"/>
          <w:lang w:bidi="ar-SA"/>
        </w:rPr>
        <w:t xml:space="preserve">»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يواقع أهله أينام على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يتوفّى الأنفس عند منامها ، ولا يدري ما يطرقه من البليّة ، إذا فرغ فليغتسل </w:t>
      </w:r>
      <w:r>
        <w:rPr>
          <w:rFonts w:eastAsia="Amiri" w:cs="Amiri" w:ascii="Amiri" w:hAnsi="Amiri"/>
          <w:color w:val="111111"/>
          <w:sz w:val="28"/>
          <w:szCs w:val="28"/>
          <w:rtl w:val="true"/>
          <w:lang w:bidi="ar-SA"/>
        </w:rPr>
        <w:t xml:space="preserve">»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يجنب ثمَّ يريد النوم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أحبّ أن يتوضّأ فليفعل ، والغسل أفضل من ذلك ، فإن نام فلم يتوضّأ ولم يغتسل ، فليس عليه </w:t>
      </w:r>
    </w:p>
    <w:p>
      <w:pPr>
        <w:pStyle w:val="BookText"/>
        <w:rPr/>
      </w:pP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دلالة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مقتضاهما استحباب الغسل للجنب قبل النوم ، فيكره ضدّه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 بناء على ما أثبتناه </w:t>
      </w:r>
      <w:r>
        <w:rPr>
          <w:rStyle w:val="FootnoteAnchor"/>
          <w:rtl w:val="true"/>
        </w:rPr>
        <w:footnoteReference w:id="1610"/>
      </w:r>
      <w:r>
        <w:rPr>
          <w:rFonts w:ascii="Amiri" w:hAnsi="Amiri" w:eastAsia="Amiri" w:cs="Amiri"/>
          <w:color w:val="111111"/>
          <w:sz w:val="28"/>
          <w:sz w:val="28"/>
          <w:szCs w:val="28"/>
          <w:rtl w:val="true"/>
          <w:lang w:bidi="ar-SA"/>
        </w:rPr>
        <w:t>من كون الأمر الاستحبابي نهيا تنزيهيا عن ضدّه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وبالأخيرة وبصحيحة الأعرج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ينام الرجل وهو جنب وتنام المرأة وهي جنب </w:t>
      </w:r>
      <w:r>
        <w:rPr>
          <w:rFonts w:eastAsia="Amiri" w:cs="Amiri" w:ascii="Amiri" w:hAnsi="Amiri"/>
          <w:color w:val="111111"/>
          <w:sz w:val="28"/>
          <w:szCs w:val="28"/>
          <w:rtl w:val="true"/>
          <w:lang w:bidi="ar-SA"/>
        </w:rPr>
        <w:t xml:space="preserve">» </w:t>
      </w:r>
      <w:r>
        <w:rPr>
          <w:rStyle w:val="FootnoteAnchor"/>
          <w:rtl w:val="true"/>
        </w:rPr>
        <w:footnoteReference w:id="1611"/>
      </w:r>
      <w:r>
        <w:rPr>
          <w:rFonts w:ascii="Amiri" w:hAnsi="Amiri" w:eastAsia="Amiri" w:cs="Amiri"/>
          <w:color w:val="111111"/>
          <w:sz w:val="28"/>
          <w:sz w:val="28"/>
          <w:szCs w:val="28"/>
          <w:rtl w:val="true"/>
          <w:lang w:bidi="ar-SA"/>
        </w:rPr>
        <w:t>يضعّف انتهاض ما كان ظاهره التحريم لإثباته ، مع أنّه للإجماع 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مقتضى الأولى مؤيّدا بالثانية ، كظاهر الأكثر ، بل عليه الإجماع في اللوامع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الكراهة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فإطلاق الكراهية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الاقتصاد </w:t>
      </w:r>
      <w:r>
        <w:rPr>
          <w:rStyle w:val="FootnoteAnchor"/>
          <w:rtl w:val="true"/>
        </w:rPr>
        <w:footnoteReference w:id="1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عن 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قيل من تخفيفها به </w:t>
      </w:r>
      <w:r>
        <w:rPr>
          <w:rStyle w:val="FootnoteAnchor"/>
          <w:rtl w:val="true"/>
        </w:rPr>
        <w:footnoteReference w:id="1613"/>
      </w:r>
      <w:r>
        <w:rPr>
          <w:rFonts w:ascii="Amiri" w:hAnsi="Amiri" w:eastAsia="Amiri" w:cs="Amiri"/>
          <w:color w:val="111111"/>
          <w:sz w:val="28"/>
          <w:sz w:val="28"/>
          <w:szCs w:val="28"/>
          <w:rtl w:val="true"/>
          <w:lang w:bidi="ar-SA"/>
        </w:rPr>
        <w:t xml:space="preserve">، وحكي عن ظاهر النهاية والسرائر </w:t>
      </w:r>
      <w:r>
        <w:rPr>
          <w:rStyle w:val="FootnoteAnchor"/>
          <w:rtl w:val="true"/>
        </w:rPr>
        <w:footnoteReference w:id="1614"/>
      </w:r>
      <w:r>
        <w:rPr>
          <w:rFonts w:ascii="Amiri" w:hAnsi="Amiri" w:eastAsia="Amiri" w:cs="Amiri"/>
          <w:color w:val="111111"/>
          <w:sz w:val="28"/>
          <w:sz w:val="28"/>
          <w:szCs w:val="28"/>
          <w:rtl w:val="true"/>
          <w:lang w:bidi="ar-SA"/>
        </w:rPr>
        <w:t>، فإنّ مفهوم الغاية صريح في انتهاء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مقتضى أحبّيّة الغسل من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مقتضى التعليل بما علّل في الصحيحة بقاءها إلى الاغتسال أصلا ، بل مقتضاهما استحباب الغسل ، وهو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بالزوال بالمضمضة والاستنشاق ، لعدم دليل عليه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تزول الكراهة بإرادة العود إلى الجماع كما في البحار </w:t>
      </w:r>
      <w:r>
        <w:rPr>
          <w:rStyle w:val="FootnoteAnchor"/>
          <w:rtl w:val="true"/>
        </w:rPr>
        <w:footnoteReference w:id="1615"/>
      </w:r>
      <w:r>
        <w:rPr>
          <w:rFonts w:ascii="IRNazanin" w:hAnsi="IRNazanin" w:eastAsia="IRNazanin"/>
          <w:color w:val="111111"/>
          <w:sz w:val="28"/>
          <w:sz w:val="28"/>
          <w:szCs w:val="28"/>
          <w:rtl w:val="true"/>
          <w:lang w:bidi="fa-IR"/>
        </w:rPr>
        <w:t xml:space="preserve">، للأصل ، وعدم </w:t>
      </w:r>
    </w:p>
    <w:p>
      <w:pPr>
        <w:pStyle w:val="BookText"/>
        <w:rPr/>
      </w:pPr>
      <w:r>
        <w:rPr>
          <w:rFonts w:ascii="Amiri" w:hAnsi="Amiri" w:eastAsia="Amiri" w:cs="Amiri"/>
          <w:color w:val="111111"/>
          <w:sz w:val="28"/>
          <w:sz w:val="28"/>
          <w:szCs w:val="28"/>
          <w:rtl w:val="true"/>
          <w:lang w:bidi="ar-SA"/>
        </w:rPr>
        <w:t xml:space="preserve">دلالة مستنده ، وهي مرسلة الفقيه المذكورة بعد صحيحة الحلبي ،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أنام على ذلك ، وذلك إني أريد أن أعود </w:t>
      </w:r>
      <w:r>
        <w:rPr>
          <w:rFonts w:eastAsia="Amiri" w:cs="Amiri" w:ascii="Amiri" w:hAnsi="Amiri"/>
          <w:color w:val="111111"/>
          <w:sz w:val="28"/>
          <w:szCs w:val="28"/>
          <w:rtl w:val="true"/>
          <w:lang w:bidi="ar-SA"/>
        </w:rPr>
        <w:t xml:space="preserve">»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لما قيل من أنّ المراد العود إلى الانتباه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أعلم أن لا أموت </w:t>
      </w:r>
      <w:r>
        <w:rPr>
          <w:rStyle w:val="FootnoteAnchor"/>
          <w:rtl w:val="true"/>
        </w:rPr>
        <w:footnoteReference w:id="1617"/>
      </w:r>
      <w:r>
        <w:rPr>
          <w:rFonts w:ascii="Amiri" w:hAnsi="Amiri" w:eastAsia="Amiri" w:cs="Amiri"/>
          <w:color w:val="111111"/>
          <w:sz w:val="28"/>
          <w:sz w:val="28"/>
          <w:szCs w:val="28"/>
          <w:rtl w:val="true"/>
          <w:lang w:bidi="ar-SA"/>
        </w:rPr>
        <w:t>، لبعده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لأنه يمكن أن يكون المشار إليه في ذلك الوضوء ، والتعليل لترك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يقوم التيمّم مقام الوضوء عند عدم الماء في إزالة الكراهة؟ الظاهر العدم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العلل </w:t>
      </w:r>
      <w:r>
        <w:rPr>
          <w:rFonts w:eastAsia="Amiri" w:cs="Amiri" w:ascii="Amiri" w:hAnsi="Amiri"/>
          <w:color w:val="111111"/>
          <w:sz w:val="28"/>
          <w:szCs w:val="28"/>
          <w:rtl w:val="true"/>
          <w:lang w:bidi="ar-SA"/>
        </w:rPr>
        <w:t xml:space="preserve">) </w:t>
      </w:r>
      <w:r>
        <w:rPr>
          <w:rStyle w:val="FootnoteAnchor"/>
          <w:rtl w:val="true"/>
        </w:rPr>
        <w:footnoteReference w:id="1618"/>
      </w:r>
      <w:r>
        <w:rPr>
          <w:rFonts w:ascii="Amiri" w:hAnsi="Amiri" w:eastAsia="Amiri" w:cs="Amiri"/>
          <w:color w:val="111111"/>
          <w:sz w:val="28"/>
          <w:sz w:val="28"/>
          <w:szCs w:val="28"/>
          <w:rtl w:val="true"/>
          <w:lang w:bidi="ar-SA"/>
        </w:rPr>
        <w:t>بدليته عنه عنده في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بل هو مقتضى عموم بدليته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ويتخيّر حينئذ في نية البدلية عن أحد الطهورين ، ولعلّ عن الغسل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الخضاب ، وهو ما يتلوّن به اللحية والأطراف من حناء وغيره ، كما قيل </w:t>
      </w:r>
      <w:r>
        <w:rPr>
          <w:rStyle w:val="FootnoteAnchor"/>
          <w:rtl w:val="true"/>
        </w:rPr>
        <w:footnoteReference w:id="1619"/>
      </w:r>
      <w:r>
        <w:rPr>
          <w:rFonts w:ascii="Amiri" w:hAnsi="Amiri" w:eastAsia="Amiri" w:cs="Amiri"/>
          <w:color w:val="111111"/>
          <w:sz w:val="28"/>
          <w:sz w:val="28"/>
          <w:szCs w:val="28"/>
          <w:rtl w:val="true"/>
          <w:lang w:bidi="ar-SA"/>
        </w:rPr>
        <w:t xml:space="preserve">، والأولى بحكم التبادر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وكراهته هي الأظهر الأشهر بل من غير خلاف ظهر ، ونسبته إلى الصدوق في الفقيه غير جيّد ، لنفيه البأس عنه </w:t>
      </w:r>
      <w:r>
        <w:rPr>
          <w:rStyle w:val="FootnoteAnchor"/>
          <w:rtl w:val="true"/>
        </w:rPr>
        <w:footnoteReference w:id="1621"/>
      </w:r>
      <w:r>
        <w:rPr>
          <w:rFonts w:ascii="Amiri" w:hAnsi="Amiri" w:eastAsia="Amiri" w:cs="Amiri"/>
          <w:color w:val="111111"/>
          <w:sz w:val="28"/>
          <w:sz w:val="28"/>
          <w:szCs w:val="28"/>
          <w:rtl w:val="true"/>
          <w:lang w:bidi="ar-SA"/>
        </w:rPr>
        <w:t xml:space="preserve">، وهو لا ينافي الكراهة على الأصح ، بل عن الغنية الإجماع عليه </w:t>
      </w:r>
      <w:r>
        <w:rPr>
          <w:rStyle w:val="FootnoteAnchor"/>
          <w:rtl w:val="true"/>
        </w:rPr>
        <w:footnoteReference w:id="1622"/>
      </w:r>
      <w:r>
        <w:rPr>
          <w:rFonts w:ascii="Amiri" w:hAnsi="Amiri" w:eastAsia="Amiri" w:cs="Amiri"/>
          <w:color w:val="111111"/>
          <w:sz w:val="28"/>
          <w:sz w:val="28"/>
          <w:szCs w:val="28"/>
          <w:rtl w:val="true"/>
          <w:lang w:bidi="ar-SA"/>
        </w:rPr>
        <w:t xml:space="preserve">، فهو حجّة المسألة ، مضافا إلى المستفيضة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كرواية ابن جذاعة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تختضب الحائض ولا الجنب ، ولا تجنب وعليها </w:t>
      </w:r>
    </w:p>
    <w:p>
      <w:pPr>
        <w:pStyle w:val="BookText"/>
        <w:rPr/>
      </w:pPr>
      <w:r>
        <w:rPr>
          <w:rFonts w:ascii="Amiri" w:hAnsi="Amiri" w:eastAsia="Amiri" w:cs="Amiri"/>
          <w:color w:val="111111"/>
          <w:sz w:val="28"/>
          <w:sz w:val="28"/>
          <w:szCs w:val="28"/>
          <w:rtl w:val="true"/>
          <w:lang w:bidi="ar-SA"/>
        </w:rPr>
        <w:t xml:space="preserve">خضاب ، ولا يجنب هو وعليه خضاب ، ولا يختضب وهو جنب </w:t>
      </w:r>
      <w:r>
        <w:rPr>
          <w:rFonts w:eastAsia="Amiri" w:cs="Amiri" w:ascii="Amiri" w:hAnsi="Amiri"/>
          <w:color w:val="111111"/>
          <w:sz w:val="28"/>
          <w:szCs w:val="28"/>
          <w:rtl w:val="true"/>
          <w:lang w:bidi="ar-SA"/>
        </w:rPr>
        <w:t xml:space="preserve">»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يختضب أو يجنب وهو مختضب؟ فكتب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أحبّ له </w:t>
      </w:r>
      <w:r>
        <w:rPr>
          <w:rFonts w:eastAsia="Amiri" w:cs="Amiri" w:ascii="Amiri" w:hAnsi="Amiri"/>
          <w:color w:val="111111"/>
          <w:sz w:val="28"/>
          <w:szCs w:val="28"/>
          <w:rtl w:val="true"/>
          <w:lang w:bidi="ar-SA"/>
        </w:rPr>
        <w:t xml:space="preserve">»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وروايتي مسمع </w:t>
      </w:r>
      <w:r>
        <w:rPr>
          <w:rStyle w:val="FootnoteAnchor"/>
          <w:rtl w:val="true"/>
        </w:rPr>
        <w:footnoteReference w:id="1625"/>
      </w:r>
      <w:r>
        <w:rPr>
          <w:rFonts w:ascii="Amiri" w:hAnsi="Amiri" w:eastAsia="Amiri" w:cs="Amiri"/>
          <w:color w:val="111111"/>
          <w:sz w:val="28"/>
          <w:sz w:val="28"/>
          <w:szCs w:val="28"/>
          <w:rtl w:val="true"/>
          <w:lang w:bidi="ar-SA"/>
        </w:rPr>
        <w:t xml:space="preserve">وأبي سعيد </w:t>
      </w:r>
      <w:r>
        <w:rPr>
          <w:rStyle w:val="FootnoteAnchor"/>
          <w:rtl w:val="true"/>
        </w:rPr>
        <w:footnoteReference w:id="1626"/>
      </w:r>
      <w:r>
        <w:rPr>
          <w:rFonts w:ascii="Amiri" w:hAnsi="Amiri" w:eastAsia="Amiri" w:cs="Amiri"/>
          <w:color w:val="111111"/>
          <w:sz w:val="28"/>
          <w:sz w:val="28"/>
          <w:szCs w:val="28"/>
          <w:rtl w:val="true"/>
          <w:lang w:bidi="ar-SA"/>
        </w:rPr>
        <w:t xml:space="preserve">والمروي في مكارم الأخلاق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أن يختضب الرجل وهو 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اختضب وهو جنب أو أجنب في خضابه لم يؤمن عليه أن يصيبه الشيطان بسوء ، فإنّ الشيطان يحضرهما عند ذلك </w:t>
      </w:r>
      <w:r>
        <w:rPr>
          <w:rFonts w:eastAsia="Amiri" w:cs="Amiri" w:ascii="Amiri" w:hAnsi="Amiri"/>
          <w:color w:val="111111"/>
          <w:sz w:val="28"/>
          <w:szCs w:val="28"/>
          <w:rtl w:val="true"/>
          <w:lang w:bidi="ar-SA"/>
        </w:rPr>
        <w:t xml:space="preserve">»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يحرم إجماعا محقّقا ومنقولا ، للأصل ، وخلوّ ما مرّ جميعا من الدالّ عليه ، مضافا إلى المستفيضة المجوّزة له ، كحسنة الحلبي </w:t>
      </w:r>
      <w:r>
        <w:rPr>
          <w:rStyle w:val="FootnoteAnchor"/>
          <w:rtl w:val="true"/>
        </w:rPr>
        <w:footnoteReference w:id="1628"/>
      </w:r>
      <w:r>
        <w:rPr>
          <w:rFonts w:ascii="Amiri" w:hAnsi="Amiri" w:eastAsia="Amiri" w:cs="Amiri"/>
          <w:color w:val="111111"/>
          <w:sz w:val="28"/>
          <w:sz w:val="28"/>
          <w:szCs w:val="28"/>
          <w:rtl w:val="true"/>
          <w:lang w:bidi="ar-SA"/>
        </w:rPr>
        <w:t xml:space="preserve">وروايات السكوني </w:t>
      </w:r>
      <w:r>
        <w:rPr>
          <w:rStyle w:val="FootnoteAnchor"/>
          <w:rtl w:val="true"/>
        </w:rPr>
        <w:footnoteReference w:id="1629"/>
      </w:r>
      <w:r>
        <w:rPr>
          <w:rFonts w:ascii="Amiri" w:hAnsi="Amiri" w:eastAsia="Amiri" w:cs="Amiri"/>
          <w:color w:val="111111"/>
          <w:sz w:val="28"/>
          <w:sz w:val="28"/>
          <w:szCs w:val="28"/>
          <w:rtl w:val="true"/>
          <w:lang w:bidi="ar-SA"/>
        </w:rPr>
        <w:t xml:space="preserve">وأبي جميلة </w:t>
      </w:r>
      <w:r>
        <w:rPr>
          <w:rStyle w:val="FootnoteAnchor"/>
          <w:rtl w:val="true"/>
        </w:rPr>
        <w:footnoteReference w:id="1630"/>
      </w:r>
      <w:r>
        <w:rPr>
          <w:rFonts w:ascii="Amiri" w:hAnsi="Amiri" w:eastAsia="Amiri" w:cs="Amiri"/>
          <w:color w:val="111111"/>
          <w:sz w:val="28"/>
          <w:sz w:val="28"/>
          <w:szCs w:val="28"/>
          <w:rtl w:val="true"/>
          <w:lang w:bidi="ar-SA"/>
        </w:rPr>
        <w:t xml:space="preserve">وعلي </w:t>
      </w:r>
      <w:r>
        <w:rPr>
          <w:rStyle w:val="FootnoteAnchor"/>
          <w:rtl w:val="true"/>
        </w:rPr>
        <w:footnoteReference w:id="1631"/>
      </w:r>
      <w:r>
        <w:rPr>
          <w:rFonts w:ascii="Amiri" w:hAnsi="Amiri" w:eastAsia="Amiri" w:cs="Amiri"/>
          <w:color w:val="111111"/>
          <w:sz w:val="28"/>
          <w:sz w:val="28"/>
          <w:szCs w:val="28"/>
          <w:rtl w:val="true"/>
          <w:lang w:bidi="ar-SA"/>
        </w:rPr>
        <w:t xml:space="preserve">وموثّقة سماعة </w:t>
      </w:r>
      <w:r>
        <w:rPr>
          <w:rStyle w:val="FootnoteAnchor"/>
          <w:rtl w:val="true"/>
        </w:rPr>
        <w:footnoteReference w:id="1632"/>
      </w:r>
      <w:r>
        <w:rPr>
          <w:rFonts w:ascii="Amiri" w:hAnsi="Amiri" w:eastAsia="Amiri" w:cs="Amiri"/>
          <w:color w:val="111111"/>
          <w:sz w:val="28"/>
          <w:sz w:val="28"/>
          <w:szCs w:val="28"/>
          <w:rtl w:val="true"/>
          <w:lang w:bidi="ar-SA"/>
        </w:rPr>
        <w:t xml:space="preserve">مع إشعار رواية ابن يونس ، والعلّة المذكورة في </w:t>
      </w:r>
      <w:bookmarkStart w:id="110" w:name="pg11612_110941"/>
    </w:p>
    <w:p>
      <w:pPr>
        <w:pStyle w:val="BookText"/>
        <w:rPr/>
      </w:pPr>
      <w:bookmarkEnd w:id="110"/>
      <w:r>
        <w:rPr>
          <w:rFonts w:ascii="Amiri" w:hAnsi="Amiri" w:eastAsia="Amiri" w:cs="Amiri"/>
          <w:color w:val="111111"/>
          <w:sz w:val="28"/>
          <w:sz w:val="28"/>
          <w:szCs w:val="28"/>
          <w:rtl w:val="true"/>
          <w:lang w:bidi="ar-SA"/>
        </w:rPr>
        <w:t>رواية المكارم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الأدهان ، لصحيحة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يدهن ثمَّ يغتسل؟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إذا كانت الجنابة من الاحتلام ، للمروي في مجالس الصدوق والخصال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وكره أن يغشى الرجل المرأة وقد احتلم حتى يغتسل من احتلامه الذي رأى ، فإن فعل وخرج الولد مجنونا فلا يلومنّ إلاّ نفسه </w:t>
      </w:r>
      <w:r>
        <w:rPr>
          <w:rFonts w:eastAsia="Amiri" w:cs="Amiri" w:ascii="Amiri" w:hAnsi="Amiri"/>
          <w:color w:val="111111"/>
          <w:sz w:val="28"/>
          <w:szCs w:val="28"/>
          <w:rtl w:val="true"/>
          <w:lang w:bidi="ar-SA"/>
        </w:rPr>
        <w:t xml:space="preserve">»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المباحة </w:t>
      </w:r>
      <w:r>
        <w:rPr>
          <w:rStyle w:val="FootnoteAnchor"/>
          <w:rtl w:val="true"/>
        </w:rPr>
        <w:footnoteReference w:id="1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عدا ما ذكر ، للأصل السالم عن المعارض</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5524387_73709187"/>
      <w:bookmarkStart w:id="112" w:name="_Toc42"/>
      <w:bookmarkEnd w:id="111"/>
      <w:r>
        <w:rPr>
          <w:rtl w:val="true"/>
        </w:rPr>
        <w:t xml:space="preserve">البحث الثالث </w:t>
      </w:r>
      <w:r>
        <w:rPr>
          <w:rtl w:val="true"/>
        </w:rPr>
        <w:t xml:space="preserve">: </w:t>
      </w:r>
      <w:r>
        <w:rPr>
          <w:rtl w:val="true"/>
        </w:rPr>
        <w:t>في غايات غسل الجنابة</w:t>
      </w:r>
      <w:bookmarkEnd w:id="112"/>
    </w:p>
    <w:p>
      <w:pPr>
        <w:pStyle w:val="BookText"/>
        <w:rPr/>
      </w:pPr>
      <w:r>
        <w:rPr>
          <w:rFonts w:ascii="Amiri" w:hAnsi="Amiri" w:eastAsia="Amiri" w:cs="Amiri"/>
          <w:color w:val="111111"/>
          <w:sz w:val="28"/>
          <w:sz w:val="28"/>
          <w:szCs w:val="28"/>
          <w:rtl w:val="true"/>
          <w:lang w:bidi="ar-SA"/>
        </w:rPr>
        <w:t>أي ما يغسل له ، وهو بين ما يجب الغسل له وما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للصلاة الواجبة بأنواعها شرعا وشرطا ، بالضرورة ، والكتاب ، والسنّة المتواترة التي منها ما دلّ على إعادة الصلاة بترك غسل الجنابة أو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أجنب في شهر رمضان فنسي أن يغتسل حتى خرج الشهر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أن يقضي الصلاة والصيام </w:t>
      </w:r>
      <w:r>
        <w:rPr>
          <w:rFonts w:eastAsia="Amiri" w:cs="Amiri" w:ascii="Amiri" w:hAnsi="Amiri"/>
          <w:color w:val="111111"/>
          <w:sz w:val="28"/>
          <w:szCs w:val="28"/>
          <w:rtl w:val="true"/>
          <w:lang w:bidi="ar-SA"/>
        </w:rPr>
        <w:t xml:space="preserve">»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الصيقل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تيمّم وقام يصلي ، فمرّ به نهر وقد صلّى ركعة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فليغتسل وليستقبل الصلاة </w:t>
      </w:r>
      <w:r>
        <w:rPr>
          <w:rFonts w:eastAsia="Amiri" w:cs="Amiri" w:ascii="Amiri" w:hAnsi="Amiri"/>
          <w:color w:val="111111"/>
          <w:sz w:val="28"/>
          <w:szCs w:val="28"/>
          <w:rtl w:val="true"/>
          <w:lang w:bidi="ar-SA"/>
        </w:rPr>
        <w:t xml:space="preserve">»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ترك بعض ذراعه أو بعض جسده في غسل الجنابة حتى دخل في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رآه وبه بلّة مسح عليه وأعاد الصلاة </w:t>
      </w:r>
      <w:r>
        <w:rPr>
          <w:rFonts w:eastAsia="Amiri" w:cs="Amiri" w:ascii="Amiri" w:hAnsi="Amiri"/>
          <w:color w:val="111111"/>
          <w:sz w:val="28"/>
          <w:szCs w:val="28"/>
          <w:rtl w:val="true"/>
          <w:lang w:bidi="ar-SA"/>
        </w:rPr>
        <w:t xml:space="preserve">» </w:t>
      </w:r>
      <w:r>
        <w:rPr>
          <w:rStyle w:val="FootnoteAnchor"/>
          <w:rtl w:val="true"/>
        </w:rPr>
        <w:footnoteReference w:id="1638"/>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بها أجزاؤها المنسية والمرغمتان </w:t>
      </w:r>
      <w:r>
        <w:rPr>
          <w:rStyle w:val="FootnoteAnchor"/>
          <w:rtl w:val="true"/>
        </w:rPr>
        <w:footnoteReference w:id="1639"/>
      </w:r>
      <w:r>
        <w:rPr>
          <w:rFonts w:ascii="Amiri" w:hAnsi="Amiri" w:eastAsia="Amiri" w:cs="Amiri"/>
          <w:color w:val="111111"/>
          <w:sz w:val="28"/>
          <w:sz w:val="28"/>
          <w:szCs w:val="28"/>
          <w:rtl w:val="true"/>
          <w:lang w:bidi="ar-SA"/>
        </w:rPr>
        <w:t>وسجود 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وجوبه لصلاة الميت ، للمعارض ، أو انتفاء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ولواجب الطواف بالإجماع والمستفيضة دون مندوبه وإن وجب للازمه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ولصوم رمضان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الكلّ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وللواجب من مسّ المصحف ، وقراءة العزائم ، ودخول المسجدين على القول بحرمته على الجنب ، واللبث في كلّ مسجد ، ووضع شي‌ء فيه ، لتحريمها على الجنب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وللنذر وشبهه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للتحمّل عن الغير </w:t>
      </w:r>
      <w:r>
        <w:rPr>
          <w:rStyle w:val="FootnoteAnchor"/>
          <w:rtl w:val="true"/>
        </w:rPr>
        <w:footnoteReference w:id="1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وعرفت ما فيه في بحث الوضوء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وجوبه بالغير ، فلا يجب لنفسه ، وفاقا للحلّي </w:t>
      </w:r>
      <w:r>
        <w:rPr>
          <w:rStyle w:val="FootnoteAnchor"/>
          <w:rtl w:val="true"/>
        </w:rPr>
        <w:footnoteReference w:id="1643"/>
      </w:r>
      <w:r>
        <w:rPr>
          <w:rFonts w:ascii="Amiri" w:hAnsi="Amiri" w:eastAsia="Amiri" w:cs="Amiri"/>
          <w:color w:val="111111"/>
          <w:sz w:val="28"/>
          <w:sz w:val="28"/>
          <w:szCs w:val="28"/>
          <w:rtl w:val="true"/>
          <w:lang w:bidi="ar-SA"/>
        </w:rPr>
        <w:t xml:space="preserve">، والمحقّق </w:t>
      </w:r>
      <w:r>
        <w:rPr>
          <w:rStyle w:val="FootnoteAnchor"/>
          <w:rtl w:val="true"/>
        </w:rPr>
        <w:footnoteReference w:id="1644"/>
      </w:r>
      <w:r>
        <w:rPr>
          <w:rFonts w:ascii="Amiri" w:hAnsi="Amiri" w:eastAsia="Amiri" w:cs="Amiri"/>
          <w:color w:val="111111"/>
          <w:sz w:val="28"/>
          <w:sz w:val="28"/>
          <w:szCs w:val="28"/>
          <w:rtl w:val="true"/>
          <w:lang w:bidi="ar-SA"/>
        </w:rPr>
        <w:t xml:space="preserve">، والكركي </w:t>
      </w:r>
      <w:r>
        <w:rPr>
          <w:rStyle w:val="FootnoteAnchor"/>
          <w:rtl w:val="true"/>
        </w:rPr>
        <w:footnoteReference w:id="1645"/>
      </w:r>
      <w:r>
        <w:rPr>
          <w:rFonts w:ascii="Amiri" w:hAnsi="Amiri" w:eastAsia="Amiri" w:cs="Amiri"/>
          <w:color w:val="111111"/>
          <w:sz w:val="28"/>
          <w:sz w:val="28"/>
          <w:szCs w:val="28"/>
          <w:rtl w:val="true"/>
          <w:lang w:bidi="ar-SA"/>
        </w:rPr>
        <w:t xml:space="preserve">، والشهيدين </w:t>
      </w:r>
      <w:r>
        <w:rPr>
          <w:rStyle w:val="FootnoteAnchor"/>
          <w:rtl w:val="true"/>
        </w:rPr>
        <w:footnoteReference w:id="1646"/>
      </w:r>
      <w:r>
        <w:rPr>
          <w:rFonts w:ascii="Amiri" w:hAnsi="Amiri" w:eastAsia="Amiri" w:cs="Amiri"/>
          <w:color w:val="111111"/>
          <w:sz w:val="28"/>
          <w:sz w:val="28"/>
          <w:szCs w:val="28"/>
          <w:rtl w:val="true"/>
          <w:lang w:bidi="ar-SA"/>
        </w:rPr>
        <w:t xml:space="preserve">، بل أكثر المتأخّرين كما في اللوامع ، بل هو المشهور مطلقا كما في الحدائق </w:t>
      </w:r>
      <w:r>
        <w:rPr>
          <w:rStyle w:val="FootnoteAnchor"/>
          <w:rtl w:val="true"/>
        </w:rPr>
        <w:footnoteReference w:id="1647"/>
      </w:r>
      <w:r>
        <w:rPr>
          <w:rFonts w:ascii="Amiri" w:hAnsi="Amiri" w:eastAsia="Amiri" w:cs="Amiri"/>
          <w:color w:val="111111"/>
          <w:sz w:val="28"/>
          <w:sz w:val="28"/>
          <w:szCs w:val="28"/>
          <w:rtl w:val="true"/>
          <w:lang w:bidi="ar-SA"/>
        </w:rPr>
        <w:t xml:space="preserve">والمعتمد ، للأصل ، حيث إنّ الكلّ قائلون </w:t>
      </w:r>
    </w:p>
    <w:p>
      <w:pPr>
        <w:pStyle w:val="BookText"/>
        <w:rPr/>
      </w:pPr>
      <w:r>
        <w:rPr>
          <w:rFonts w:ascii="Amiri" w:hAnsi="Amiri" w:eastAsia="Amiri" w:cs="Amiri"/>
          <w:color w:val="111111"/>
          <w:sz w:val="28"/>
          <w:sz w:val="28"/>
          <w:szCs w:val="28"/>
          <w:rtl w:val="true"/>
          <w:lang w:bidi="ar-SA"/>
        </w:rPr>
        <w:t xml:space="preserve">بالغيري ، وتؤيّده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 المتقدّمة في مسألة وجوب الوضوء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والاستدلال بالآية </w:t>
      </w:r>
      <w:r>
        <w:rPr>
          <w:rStyle w:val="FootnoteAnchor"/>
          <w:rtl w:val="true"/>
        </w:rPr>
        <w:footnoteReference w:id="1649"/>
      </w:r>
      <w:r>
        <w:rPr>
          <w:rFonts w:ascii="Amiri" w:hAnsi="Amiri" w:eastAsia="Amiri" w:cs="Amiri"/>
          <w:color w:val="111111"/>
          <w:sz w:val="28"/>
          <w:sz w:val="28"/>
          <w:szCs w:val="28"/>
          <w:rtl w:val="true"/>
          <w:lang w:bidi="ar-SA"/>
        </w:rPr>
        <w:t xml:space="preserve">، وبأخبار الجنب إذا فجأها الحيض قبل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كحسنة الكاهلي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يجامعها الرجل فتحيض وهي في المغتسل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جاء ما يفسد الصلاة فلا تغتسل </w:t>
      </w:r>
      <w:r>
        <w:rPr>
          <w:rFonts w:eastAsia="Amiri" w:cs="Amiri" w:ascii="Amiri" w:hAnsi="Amiri"/>
          <w:color w:val="111111"/>
          <w:sz w:val="28"/>
          <w:szCs w:val="28"/>
          <w:rtl w:val="true"/>
          <w:lang w:bidi="ar-SA"/>
        </w:rPr>
        <w:t xml:space="preserve">» </w:t>
      </w:r>
      <w:r>
        <w:rPr>
          <w:rStyle w:val="FootnoteAnchor"/>
          <w:rtl w:val="true"/>
        </w:rPr>
        <w:footnoteReference w:id="1650"/>
      </w:r>
      <w:r>
        <w:rPr>
          <w:rFonts w:ascii="IRNazanin" w:hAnsi="IRNazanin" w:eastAsia="IRNazanin"/>
          <w:color w:val="111111"/>
          <w:sz w:val="28"/>
          <w:sz w:val="28"/>
          <w:szCs w:val="28"/>
          <w:rtl w:val="true"/>
          <w:lang w:bidi="fa-IR"/>
        </w:rPr>
        <w:t xml:space="preserve">وبمضمونها موثّقات حجّاج </w:t>
      </w:r>
      <w:r>
        <w:rPr>
          <w:rStyle w:val="FootnoteAnchor"/>
          <w:rtl w:val="true"/>
        </w:rPr>
        <w:footnoteReference w:id="1651"/>
      </w:r>
      <w:r>
        <w:rPr>
          <w:rFonts w:ascii="Amiri" w:hAnsi="Amiri" w:eastAsia="Amiri" w:cs="Amiri"/>
          <w:color w:val="111111"/>
          <w:sz w:val="28"/>
          <w:sz w:val="28"/>
          <w:szCs w:val="28"/>
          <w:rtl w:val="true"/>
          <w:lang w:bidi="ar-SA"/>
        </w:rPr>
        <w:t xml:space="preserve">وزرارة </w:t>
      </w:r>
      <w:r>
        <w:rPr>
          <w:rStyle w:val="FootnoteAnchor"/>
          <w:rtl w:val="true"/>
        </w:rPr>
        <w:footnoteReference w:id="1652"/>
      </w:r>
      <w:r>
        <w:rPr>
          <w:rFonts w:ascii="Amiri" w:hAnsi="Amiri" w:eastAsia="Amiri" w:cs="Amiri"/>
          <w:color w:val="111111"/>
          <w:sz w:val="28"/>
          <w:sz w:val="28"/>
          <w:szCs w:val="28"/>
          <w:rtl w:val="true"/>
          <w:lang w:bidi="ar-SA"/>
        </w:rPr>
        <w:t xml:space="preserve">وأبي بصير </w:t>
      </w:r>
      <w:r>
        <w:rPr>
          <w:rStyle w:val="FootnoteAnchor"/>
          <w:rtl w:val="true"/>
        </w:rPr>
        <w:footnoteReference w:id="1653"/>
      </w:r>
      <w:r>
        <w:rPr>
          <w:rFonts w:ascii="IRNazanin" w:hAnsi="IRNazanin" w:eastAsia="IRNazanin"/>
          <w:color w:val="111111"/>
          <w:sz w:val="28"/>
          <w:sz w:val="28"/>
          <w:szCs w:val="28"/>
          <w:rtl w:val="true"/>
          <w:lang w:bidi="fa-IR"/>
        </w:rPr>
        <w:t xml:space="preserve">وابن سنان </w:t>
      </w:r>
      <w:r>
        <w:rPr>
          <w:rStyle w:val="FootnoteAnchor"/>
          <w:rtl w:val="true"/>
        </w:rPr>
        <w:footnoteReference w:id="1654"/>
      </w:r>
      <w:r>
        <w:rPr>
          <w:rFonts w:ascii="Amiri" w:hAnsi="Amiri" w:eastAsia="Amiri" w:cs="Amiri"/>
          <w:color w:val="111111"/>
          <w:sz w:val="28"/>
          <w:sz w:val="28"/>
          <w:szCs w:val="28"/>
          <w:rtl w:val="true"/>
          <w:lang w:bidi="ar-SA"/>
        </w:rPr>
        <w:t xml:space="preserve">، حيث إنّها ظاهرة في أنّ نفي الغسل بمجي‌ء ما يفسد الصلاة لأجل أنها الغرض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فلتوقّف الاستدلال على عطف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معلوم ، لجواز العطف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ذكروا في إثبات الأول غير صالح للتعيين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النهي عن الاغتسال فيها إمّا للجواز ، لوروده بعد الأمر ، كما قيل ، أو للمرجوحية من الحرمة أو الكراهة ، كما هو الظاهر منهم ومقتضى النهي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كما يمكن أن يكون تجويز التأخير لانحصار وجوبه في الغيري وعدم وجوب الغير حينئذ ، يمكن أن يكون لأجل اشتراط تضيق وجوبه المانع عن </w:t>
      </w:r>
    </w:p>
    <w:p>
      <w:pPr>
        <w:pStyle w:val="BookText"/>
        <w:rPr/>
      </w:pPr>
      <w:r>
        <w:rPr>
          <w:rFonts w:ascii="Amiri" w:hAnsi="Amiri" w:eastAsia="Amiri" w:cs="Amiri"/>
          <w:color w:val="111111"/>
          <w:sz w:val="28"/>
          <w:sz w:val="28"/>
          <w:szCs w:val="28"/>
          <w:rtl w:val="true"/>
          <w:lang w:bidi="ar-SA"/>
        </w:rPr>
        <w:t>جواز تأخيره ، بتضيق وقت ذلك الغير ، كما هو المتّفق عليه بين أرباب القولين ، فإذا لم يجب ذلك الغير لا يكون مضيّقا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اللوامع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لا يمكن أن يكون النهي لوجوبه الغيري ولأنّ الغير هو الغرض منه ، لأنّه غير صالح للنهي ، ولذا أفتى القائلون بالغيري بجوازه قبل وجوب الغير بل باستحبابه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مشروعيته له لا يستلزم كونه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يكون النهي لأمر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يسببه </w:t>
      </w:r>
      <w:r>
        <w:rPr>
          <w:rFonts w:eastAsia="Amiri" w:cs="Amiri" w:ascii="Amiri" w:hAnsi="Amiri"/>
          <w:color w:val="111111"/>
          <w:sz w:val="28"/>
          <w:szCs w:val="28"/>
          <w:rtl w:val="true"/>
          <w:lang w:bidi="ar-SA"/>
        </w:rPr>
        <w:t xml:space="preserve">) </w:t>
      </w:r>
      <w:r>
        <w:rPr>
          <w:rStyle w:val="FootnoteAnchor"/>
          <w:rtl w:val="true"/>
        </w:rPr>
        <w:footnoteReference w:id="1655"/>
      </w:r>
      <w:r>
        <w:rPr>
          <w:rFonts w:ascii="Amiri" w:hAnsi="Amiri" w:eastAsia="Amiri" w:cs="Amiri"/>
          <w:color w:val="111111"/>
          <w:sz w:val="28"/>
          <w:sz w:val="28"/>
          <w:szCs w:val="28"/>
          <w:rtl w:val="true"/>
          <w:lang w:bidi="ar-SA"/>
        </w:rPr>
        <w:t>مجي‌ء مفسد الصلاة ، فيمكن أن يكون المراد أنّ سبب مشروعية الغسل رفع الحدث به وحدوث الحالة المبيحة ، فإذا جاء مفسد الصلاة لا يحصلان ، فلا يشرع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يعبّر عن الحدث ومانع الاستباحة بمفسد الصلاة ، لأنّ العامة لا يفهمون منهما غالبا إلاّ ذلك ، بل في رواية سعيد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ترى الدم وهي جنب أتغتسل من الجنابة أم غسل للجنابة والحيض؟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أتاها ما هو أعم من ذلك </w:t>
      </w:r>
      <w:r>
        <w:rPr>
          <w:rFonts w:eastAsia="Amiri" w:cs="Amiri" w:ascii="Amiri" w:hAnsi="Amiri"/>
          <w:color w:val="111111"/>
          <w:sz w:val="28"/>
          <w:szCs w:val="28"/>
          <w:rtl w:val="true"/>
          <w:lang w:bidi="ar-SA"/>
        </w:rPr>
        <w:t xml:space="preserve">» </w:t>
      </w:r>
      <w:r>
        <w:rPr>
          <w:rStyle w:val="FootnoteAnchor"/>
          <w:rtl w:val="true"/>
        </w:rPr>
        <w:footnoteReference w:id="1656"/>
      </w:r>
      <w:r>
        <w:rPr>
          <w:rFonts w:ascii="IRNazanin" w:hAnsi="IRNazanin" w:eastAsia="IRNazanin"/>
          <w:color w:val="111111"/>
          <w:sz w:val="28"/>
          <w:sz w:val="28"/>
          <w:szCs w:val="28"/>
          <w:rtl w:val="true"/>
          <w:lang w:bidi="fa-IR"/>
        </w:rPr>
        <w:t>إشعار به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وخلافا للمحكي عن ابن شهرآشوب </w:t>
      </w:r>
      <w:r>
        <w:rPr>
          <w:rStyle w:val="FootnoteAnchor"/>
          <w:rtl w:val="true"/>
        </w:rPr>
        <w:footnoteReference w:id="1657"/>
      </w:r>
      <w:r>
        <w:rPr>
          <w:rFonts w:ascii="Amiri" w:hAnsi="Amiri" w:eastAsia="Amiri" w:cs="Amiri"/>
          <w:color w:val="111111"/>
          <w:sz w:val="28"/>
          <w:sz w:val="28"/>
          <w:szCs w:val="28"/>
          <w:rtl w:val="true"/>
          <w:lang w:bidi="ar-SA"/>
        </w:rPr>
        <w:t xml:space="preserve">وابن حمزة </w:t>
      </w:r>
      <w:r>
        <w:rPr>
          <w:rStyle w:val="FootnoteAnchor"/>
          <w:rtl w:val="true"/>
        </w:rPr>
        <w:footnoteReference w:id="1658"/>
      </w:r>
      <w:r>
        <w:rPr>
          <w:rFonts w:ascii="Amiri" w:hAnsi="Amiri" w:eastAsia="Amiri" w:cs="Amiri"/>
          <w:color w:val="111111"/>
          <w:sz w:val="28"/>
          <w:sz w:val="28"/>
          <w:szCs w:val="28"/>
          <w:rtl w:val="true"/>
          <w:lang w:bidi="ar-SA"/>
        </w:rPr>
        <w:t xml:space="preserve">، والمنتهى والتحرير ، والمختلف </w:t>
      </w:r>
      <w:r>
        <w:rPr>
          <w:rStyle w:val="FootnoteAnchor"/>
          <w:rtl w:val="true"/>
        </w:rPr>
        <w:footnoteReference w:id="1659"/>
      </w:r>
      <w:r>
        <w:rPr>
          <w:rFonts w:ascii="Amiri" w:hAnsi="Amiri" w:eastAsia="Amiri" w:cs="Amiri"/>
          <w:color w:val="111111"/>
          <w:sz w:val="28"/>
          <w:sz w:val="28"/>
          <w:szCs w:val="28"/>
          <w:rtl w:val="true"/>
          <w:lang w:bidi="ar-SA"/>
        </w:rPr>
        <w:t xml:space="preserve">، والمدنيات للفاضل ، ووالده </w:t>
      </w:r>
      <w:r>
        <w:rPr>
          <w:rStyle w:val="FootnoteAnchor"/>
          <w:rtl w:val="true"/>
        </w:rPr>
        <w:footnoteReference w:id="1660"/>
      </w:r>
      <w:r>
        <w:rPr>
          <w:rFonts w:ascii="Amiri" w:hAnsi="Amiri" w:eastAsia="Amiri" w:cs="Amiri"/>
          <w:color w:val="111111"/>
          <w:sz w:val="28"/>
          <w:sz w:val="28"/>
          <w:szCs w:val="28"/>
          <w:rtl w:val="true"/>
          <w:lang w:bidi="ar-SA"/>
        </w:rPr>
        <w:t xml:space="preserve">، والراوندي </w:t>
      </w:r>
      <w:r>
        <w:rPr>
          <w:rStyle w:val="FootnoteAnchor"/>
          <w:rtl w:val="true"/>
        </w:rPr>
        <w:footnoteReference w:id="1661"/>
      </w:r>
      <w:r>
        <w:rPr>
          <w:rFonts w:ascii="Amiri" w:hAnsi="Amiri" w:eastAsia="Amiri" w:cs="Amiri"/>
          <w:color w:val="111111"/>
          <w:sz w:val="28"/>
          <w:sz w:val="28"/>
          <w:szCs w:val="28"/>
          <w:rtl w:val="true"/>
          <w:lang w:bidi="ar-SA"/>
        </w:rPr>
        <w:t xml:space="preserve">، وجماعة من المتأخّرين كالأردبيلي </w:t>
      </w:r>
      <w:r>
        <w:rPr>
          <w:rStyle w:val="FootnoteAnchor"/>
          <w:rtl w:val="true"/>
        </w:rPr>
        <w:footnoteReference w:id="1662"/>
      </w:r>
      <w:r>
        <w:rPr>
          <w:rFonts w:ascii="Amiri" w:hAnsi="Amiri" w:eastAsia="Amiri" w:cs="Amiri"/>
          <w:color w:val="111111"/>
          <w:sz w:val="28"/>
          <w:sz w:val="28"/>
          <w:szCs w:val="28"/>
          <w:rtl w:val="true"/>
          <w:lang w:bidi="ar-SA"/>
        </w:rPr>
        <w:t xml:space="preserve">، والمدارك </w:t>
      </w:r>
      <w:r>
        <w:rPr>
          <w:rStyle w:val="FootnoteAnchor"/>
          <w:rtl w:val="true"/>
        </w:rPr>
        <w:footnoteReference w:id="1663"/>
      </w:r>
      <w:r>
        <w:rPr>
          <w:rFonts w:ascii="Amiri" w:hAnsi="Amiri" w:eastAsia="Amiri" w:cs="Amiri"/>
          <w:color w:val="111111"/>
          <w:sz w:val="28"/>
          <w:sz w:val="28"/>
          <w:szCs w:val="28"/>
          <w:rtl w:val="true"/>
          <w:lang w:bidi="ar-SA"/>
        </w:rPr>
        <w:t xml:space="preserve">، والذخيرة ، والكفاية </w:t>
      </w:r>
      <w:r>
        <w:rPr>
          <w:rStyle w:val="FootnoteAnchor"/>
          <w:rtl w:val="true"/>
        </w:rPr>
        <w:footnoteReference w:id="1664"/>
      </w:r>
      <w:r>
        <w:rPr>
          <w:rFonts w:ascii="IRNazanin" w:hAnsi="IRNazanin" w:eastAsia="IRNazanin"/>
          <w:color w:val="111111"/>
          <w:sz w:val="28"/>
          <w:sz w:val="28"/>
          <w:szCs w:val="28"/>
          <w:rtl w:val="true"/>
          <w:lang w:bidi="fa-IR"/>
        </w:rPr>
        <w:t xml:space="preserve">، وعزاه الأول </w:t>
      </w:r>
      <w:r>
        <w:rPr>
          <w:rStyle w:val="FootnoteAnchor"/>
          <w:rtl w:val="true"/>
        </w:rPr>
        <w:footnoteReference w:id="1665"/>
      </w:r>
      <w:r>
        <w:rPr>
          <w:rFonts w:ascii="Amiri" w:hAnsi="Amiri" w:eastAsia="Amiri" w:cs="Amiri"/>
          <w:color w:val="111111"/>
          <w:sz w:val="28"/>
          <w:sz w:val="28"/>
          <w:szCs w:val="28"/>
          <w:rtl w:val="true"/>
          <w:lang w:bidi="ar-SA"/>
        </w:rPr>
        <w:t xml:space="preserve">إلى السيد </w:t>
      </w:r>
      <w:r>
        <w:rPr>
          <w:rStyle w:val="FootnoteAnchor"/>
          <w:rtl w:val="true"/>
        </w:rPr>
        <w:footnoteReference w:id="166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وأنكره الحلّي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لمعلّقات وجوب الغسل على الجنابة أو الدخول أو الإنزال أو التقاء الختانين من دون اشتراط شي‌ء آخر ، من الآية والروايات ، فيكون واجبا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وموجبات تغسيل من مات جنبا غسل الجنابة </w:t>
      </w:r>
      <w:r>
        <w:rPr>
          <w:rStyle w:val="FootnoteAnchor"/>
          <w:rtl w:val="true"/>
        </w:rPr>
        <w:footnoteReference w:id="1668"/>
      </w:r>
      <w:r>
        <w:rPr>
          <w:rFonts w:ascii="Amiri" w:hAnsi="Amiri" w:eastAsia="Amiri" w:cs="Amiri"/>
          <w:color w:val="111111"/>
          <w:sz w:val="28"/>
          <w:sz w:val="28"/>
          <w:szCs w:val="28"/>
          <w:rtl w:val="true"/>
          <w:lang w:bidi="ar-SA"/>
        </w:rPr>
        <w:t>، من غير تقييدها بوجوب غايته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عبد الرحمن ، المتقدّمة في نوم الجنب </w:t>
      </w:r>
      <w:r>
        <w:rPr>
          <w:rStyle w:val="FootnoteAnchor"/>
          <w:rtl w:val="true"/>
        </w:rPr>
        <w:footnoteReference w:id="1669"/>
      </w:r>
      <w:r>
        <w:rPr>
          <w:rFonts w:ascii="Amiri" w:hAnsi="Amiri" w:eastAsia="Amiri" w:cs="Amiri"/>
          <w:color w:val="111111"/>
          <w:sz w:val="28"/>
          <w:sz w:val="28"/>
          <w:szCs w:val="28"/>
          <w:rtl w:val="true"/>
          <w:lang w:bidi="ar-SA"/>
        </w:rPr>
        <w:t>، أمر فيها بالغسل خوفا من الموت في المنام قبله ، ولو لا وجوبه بنفسه ، لم يأمر به ولم يتصوّر خوف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مرّ في الوضوء </w:t>
      </w:r>
      <w:r>
        <w:rPr>
          <w:rStyle w:val="FootnoteAnchor"/>
          <w:rtl w:val="true"/>
        </w:rPr>
        <w:footnoteReference w:id="1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عرفت كون الآية محتملة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وجوب التغسيل وإنّما هو 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 فلا يثبت وجوب الغسل حال الحياة نفسيا ، لجواز أن يكون لوجوب التغسيل علّة أخرى غير استدراك الواجب الفائت ، بل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فيه ليس للوجوب ، باعتراف المستدلّ أيضا ، فإنّه لا يقول بالتضييق بإرادة النوم ، والندب ملتزم عند القائل بالغيري ، والخوف إنّما هو من ملاقاة اللّه سبحانه جنبا ، ولا شك أنّه مما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فيستحب للمندوب من الصلاة والطواف والمس ولبث المساجد ودخول المسجدين وقراءة العزائم ، ووجهه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وللنوم ، لصحيحة عبد الرحمن وموثّقة سماعة ، المتقدّمتين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ولتلاوة القرآن ودخول المساجد والكون على الطهارة والتأهّب للفريضة</w:t>
      </w:r>
      <w:r>
        <w:rPr>
          <w:rFonts w:eastAsia="Amiri" w:cs="Amiri" w:ascii="Amiri" w:hAnsi="Amiri"/>
          <w:color w:val="111111"/>
          <w:sz w:val="28"/>
          <w:szCs w:val="28"/>
          <w:rtl w:val="true"/>
          <w:lang w:bidi="ar-SA"/>
        </w:rPr>
        <w:t xml:space="preserve">. </w:t>
      </w:r>
      <w:bookmarkStart w:id="113" w:name="pg11612_110946"/>
    </w:p>
    <w:p>
      <w:pPr>
        <w:pStyle w:val="BookText"/>
        <w:rPr/>
      </w:pPr>
      <w:bookmarkEnd w:id="113"/>
      <w:r>
        <w:rPr>
          <w:rFonts w:ascii="Amiri" w:hAnsi="Amiri" w:eastAsia="Amiri" w:cs="Amiri"/>
          <w:color w:val="111111"/>
          <w:sz w:val="28"/>
          <w:sz w:val="28"/>
          <w:szCs w:val="28"/>
          <w:rtl w:val="true"/>
          <w:lang w:bidi="ar-SA"/>
        </w:rPr>
        <w:t>ويظهر وجه الجميع ممّا ذكر في استحباب الوضوء لها</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5524389_73709187"/>
      <w:bookmarkStart w:id="115" w:name="_Toc43"/>
      <w:bookmarkEnd w:id="114"/>
      <w:r>
        <w:rPr>
          <w:rtl w:val="true"/>
        </w:rPr>
        <w:t xml:space="preserve">البحث الرابع </w:t>
      </w:r>
      <w:r>
        <w:rPr>
          <w:rtl w:val="true"/>
        </w:rPr>
        <w:t xml:space="preserve">: </w:t>
      </w:r>
      <w:r>
        <w:rPr>
          <w:rtl w:val="true"/>
        </w:rPr>
        <w:t>في واجباته</w:t>
      </w:r>
      <w:bookmarkEnd w:id="115"/>
    </w:p>
    <w:p>
      <w:pPr>
        <w:pStyle w:val="Heading6"/>
        <w:numPr>
          <w:ilvl w:val="5"/>
          <w:numId w:val="1"/>
        </w:numPr>
        <w:rPr/>
      </w:pPr>
      <w:bookmarkStart w:id="116" w:name="__RefHeading___Toc5524391_73709187"/>
      <w:bookmarkStart w:id="117" w:name="_Toc44"/>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مقارنة لأول أفعاله الواجبة ، أو المستحبة ، أو مقدماته ، مستدامة حكما إلى الفراغ ، على ما تقدّم تحقيقها ، وما يتعلّق بها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في غسل الجنابة قصد كونه للجنابة ، أم يكفي قصد الغسل وإن لم يلتفت إلى أنه غسل جنابة؟</w:t>
      </w:r>
    </w:p>
    <w:p>
      <w:pPr>
        <w:pStyle w:val="BookText"/>
        <w:rPr/>
      </w:pPr>
      <w:r>
        <w:rPr>
          <w:rFonts w:ascii="Amiri" w:hAnsi="Amiri" w:eastAsia="Amiri" w:cs="Amiri"/>
          <w:color w:val="111111"/>
          <w:sz w:val="28"/>
          <w:sz w:val="28"/>
          <w:szCs w:val="28"/>
          <w:rtl w:val="true"/>
          <w:lang w:bidi="ar-SA"/>
        </w:rPr>
        <w:t xml:space="preserve">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للأصل ، وعدم دليل على وجوب ذلك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وتعدّد الأغسال المستقرة في الذمة وجوبا أو استحبابا وعدم التميّز إلاّ بالقصد لا يفيد ، لما مرّ في بحث الوضوء من عدم وجوب قصد المميّز إلاّ مع اشتمال المأمور به على جزء لا يتحقّق إلاّ بالقصد ، فيجب قصده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صرّحت الأخبار بأنّ غسل الجنابة واجب ، ووردت الأوامر المتعدّدة بغسل الجنابة ، فيكون المأمور به هو الإتيان بغسل الجنابة لا مطلق الغسل ، فتكون الجنابة قيدا للمأمور به ، وتحقّق الغسل المقيّد بهذا القيد إنّما هو بالقصد ، فيجب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المعنى أنّ الغسل للجنابة واجب ، بأن يكون القيد بيانا للسبب لا جزءا للمأمور به ، مع أنّه إنّما يفيد للقصد على القول بعدم ثبوت التداخل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وجوب قصد المميّز في شي‌ء من الأغسال الواجبة والمستحبة أيضا ، لجريان الكلام فيها بعينه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على أحد عشرة أغسال ، وأراد عدم التداخل ، فغسل عشر مرات ، يصحّ ويبرأ عن الجميع وإن لم يعيّن في كلّ واحد أنه أيّ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غسل خمسا برئ 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تعيّنه غير ضائر ، كما مرّ في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وفرّق في المعتبر بين الأغسال المندوبة والواجبة </w:t>
      </w:r>
      <w:r>
        <w:rPr>
          <w:rStyle w:val="FootnoteAnchor"/>
          <w:rtl w:val="true"/>
        </w:rPr>
        <w:footnoteReference w:id="1672"/>
      </w:r>
      <w:r>
        <w:rPr>
          <w:rFonts w:ascii="Amiri" w:hAnsi="Amiri" w:eastAsia="Amiri" w:cs="Amiri"/>
          <w:color w:val="111111"/>
          <w:sz w:val="28"/>
          <w:sz w:val="28"/>
          <w:szCs w:val="28"/>
          <w:rtl w:val="true"/>
          <w:lang w:bidi="ar-SA"/>
        </w:rPr>
        <w:t>، فقال باشتراط نية السبب في الأولى دون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البشرة بما يسمّى غسلا ولو كان كالدهن ، كما مرّ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استيعاب جميع البشرة بالغسل ، فلو أهمل جزءا منها لم يجزئ إجماعا ، وهو الحجة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الأصل ، والاستصحاب ، والمستفيضة من الأخبار الآمرة بغسل الجسد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زرارة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تغسل جسدك من لدن قرنك إلى قدميك ، ليس بعده ولا قبله وضوء ، وكلّ شي‌ء أمسسته الماء فقد أنقيته </w:t>
      </w:r>
      <w:r>
        <w:rPr>
          <w:rFonts w:eastAsia="Amiri" w:cs="Amiri" w:ascii="Amiri" w:hAnsi="Amiri"/>
          <w:color w:val="111111"/>
          <w:sz w:val="28"/>
          <w:szCs w:val="28"/>
          <w:rtl w:val="true"/>
          <w:lang w:bidi="ar-SA"/>
        </w:rPr>
        <w:t xml:space="preserve">»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يفيض الماء على جسده كلّه </w:t>
      </w:r>
      <w:r>
        <w:rPr>
          <w:rFonts w:eastAsia="Amiri" w:cs="Amiri" w:ascii="Amiri" w:hAnsi="Amiri"/>
          <w:color w:val="111111"/>
          <w:sz w:val="28"/>
          <w:szCs w:val="28"/>
          <w:rtl w:val="true"/>
          <w:lang w:bidi="ar-SA"/>
        </w:rPr>
        <w:t xml:space="preserve">»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الجنابة خارجة من كلّ جسده ، فلذلك وجب عليه تطهير جسده كلّه </w:t>
      </w:r>
      <w:r>
        <w:rPr>
          <w:rFonts w:eastAsia="Amiri" w:cs="Amiri" w:ascii="Amiri" w:hAnsi="Amiri"/>
          <w:color w:val="111111"/>
          <w:sz w:val="28"/>
          <w:szCs w:val="28"/>
          <w:rtl w:val="true"/>
          <w:lang w:bidi="ar-SA"/>
        </w:rPr>
        <w:t xml:space="preserve">»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والدالّة على وجوب غسل كلّ جزء الشامل بإطلاقه أو عمومه لليسير والكثير ، كمفهوم 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به الجرح فيتخوّف الماء إن أصابه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يغسله إن خشي على نفسه </w:t>
      </w:r>
      <w:r>
        <w:rPr>
          <w:rFonts w:eastAsia="Amiri" w:cs="Amiri" w:ascii="Amiri" w:hAnsi="Amiri"/>
          <w:color w:val="111111"/>
          <w:sz w:val="28"/>
          <w:szCs w:val="28"/>
          <w:rtl w:val="true"/>
          <w:lang w:bidi="ar-SA"/>
        </w:rPr>
        <w:t xml:space="preserve">»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والاختصاص بموضع الجرح غير ضائر ، لعدم الفاصل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زرارة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ترك بعض ذراعه أو بعض جسده من غسل الجنابة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ثمَّ كانت به بلّة وهو في صلاته مسح بها عليه ، </w:t>
      </w:r>
    </w:p>
    <w:p>
      <w:pPr>
        <w:pStyle w:val="BookText"/>
        <w:rPr/>
      </w:pPr>
      <w:r>
        <w:rPr>
          <w:rFonts w:ascii="Amiri" w:hAnsi="Amiri" w:eastAsia="Amiri" w:cs="Amiri"/>
          <w:color w:val="111111"/>
          <w:sz w:val="28"/>
          <w:sz w:val="28"/>
          <w:szCs w:val="28"/>
          <w:rtl w:val="true"/>
          <w:lang w:bidi="ar-SA"/>
        </w:rPr>
        <w:t xml:space="preserve">وان كان استيقن رجع وأعاد عليه الماء ما لم يصب بلة </w:t>
      </w:r>
      <w:r>
        <w:rPr>
          <w:rFonts w:eastAsia="Amiri" w:cs="Amiri" w:ascii="Amiri" w:hAnsi="Amiri"/>
          <w:color w:val="111111"/>
          <w:sz w:val="28"/>
          <w:szCs w:val="28"/>
          <w:rtl w:val="true"/>
          <w:lang w:bidi="ar-SA"/>
        </w:rPr>
        <w:t xml:space="preserve">»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على عدم طهارة ما لم يصبه الماء وعدم إجزائه ، كمفهوم صحيحة محمّد وحسنة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جرى عليه الماء فقد طهر </w:t>
      </w:r>
      <w:r>
        <w:rPr>
          <w:rFonts w:eastAsia="Amiri" w:cs="Amiri" w:ascii="Amiri" w:hAnsi="Amiri"/>
          <w:color w:val="111111"/>
          <w:sz w:val="28"/>
          <w:szCs w:val="28"/>
          <w:rtl w:val="true"/>
          <w:lang w:bidi="ar-SA"/>
        </w:rPr>
        <w:t xml:space="preserve">»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جرى عليه الماء فقد أجزأه </w:t>
      </w:r>
      <w:r>
        <w:rPr>
          <w:rFonts w:eastAsia="Amiri" w:cs="Amiri" w:ascii="Amiri" w:hAnsi="Amiri"/>
          <w:color w:val="111111"/>
          <w:sz w:val="28"/>
          <w:szCs w:val="28"/>
          <w:rtl w:val="true"/>
          <w:lang w:bidi="ar-SA"/>
        </w:rPr>
        <w:t xml:space="preserve">»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وبالقسمين الأخيرين يظهر ضعف قول من احتمل عدم البطلان بخروج الجزء اليسير ، تمسّكا بصدق غسل تمام الجسد معه </w:t>
      </w:r>
      <w:r>
        <w:rPr>
          <w:rStyle w:val="FootnoteAnchor"/>
          <w:rtl w:val="true"/>
        </w:rPr>
        <w:footnoteReference w:id="1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ممنوع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يتفرّع 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إيصال الماء إلى تحت الشعر بتخليله مطلقا ، كثيفا كان أو خفيفا ، وإلى تحت كلّ مانع يرفعه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الأول أيضا 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المحقّق ، المصرّح به في كلام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المدارك واللوامع والمعتمد ، وعن الفاضل </w:t>
      </w:r>
      <w:r>
        <w:rPr>
          <w:rStyle w:val="FootnoteAnchor"/>
          <w:rtl w:val="true"/>
        </w:rPr>
        <w:footnoteReference w:id="1681"/>
      </w:r>
      <w:r>
        <w:rPr>
          <w:rFonts w:ascii="Amiri" w:hAnsi="Amiri" w:eastAsia="Amiri" w:cs="Amiri"/>
          <w:color w:val="111111"/>
          <w:sz w:val="28"/>
          <w:sz w:val="28"/>
          <w:szCs w:val="28"/>
          <w:rtl w:val="true"/>
          <w:lang w:bidi="ar-SA"/>
        </w:rPr>
        <w:t xml:space="preserve">وأمالي الصدوق </w:t>
      </w:r>
      <w:r>
        <w:rPr>
          <w:rStyle w:val="FootnoteAnchor"/>
          <w:rtl w:val="true"/>
        </w:rPr>
        <w:footnoteReference w:id="1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المقبول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تحت كلّ شعرة جنابة ، فبلّوا الشعر وانقوا البشرة </w:t>
      </w:r>
      <w:r>
        <w:rPr>
          <w:rFonts w:eastAsia="Amiri" w:cs="Amiri" w:ascii="Amiri" w:hAnsi="Amiri"/>
          <w:color w:val="111111"/>
          <w:sz w:val="28"/>
          <w:szCs w:val="28"/>
          <w:rtl w:val="true"/>
          <w:lang w:bidi="ar-SA"/>
        </w:rPr>
        <w:t xml:space="preserve">»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والرضوي المنجبر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وميّز الشعر بأناملك عند غسل الجنابة ، فإنّه يروى عن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تحت كلّ شعرة جنابة ، فبلّغ الماء تحته في أصول الشعر كلّها ، وخلّل أذنيك بإصبعيك ، وانظر أن لا تبقى شعرة من رأسك ولحيتك</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إلاّ ويدخل تحتها الماء </w:t>
      </w:r>
      <w:r>
        <w:rPr>
          <w:rFonts w:eastAsia="Amiri" w:cs="Amiri" w:ascii="Amiri" w:hAnsi="Amiri"/>
          <w:color w:val="111111"/>
          <w:sz w:val="28"/>
          <w:szCs w:val="28"/>
          <w:rtl w:val="true"/>
          <w:lang w:bidi="ar-SA"/>
        </w:rPr>
        <w:t xml:space="preserve">»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وبهذه الأدلّة تخصّص بالوضوء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ما كان تحت الشعر؟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أحاط به الشعر فليس على العباد أن يغسلوه ولا يبحثوا عنه ، ولكن يجري عليه الماء </w:t>
      </w:r>
      <w:r>
        <w:rPr>
          <w:rFonts w:eastAsia="Amiri" w:cs="Amiri" w:ascii="Amiri" w:hAnsi="Amiri"/>
          <w:color w:val="111111"/>
          <w:sz w:val="28"/>
          <w:szCs w:val="28"/>
          <w:rtl w:val="true"/>
          <w:lang w:bidi="ar-SA"/>
        </w:rPr>
        <w:t xml:space="preserve">»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ويخصّص بغير ذلك ما نفى غسل البواطن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منافاة في كفاية ثلاث غرفات للرأس ، ولا في 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الحائض ما بلغ بلل الماء من شعرها أجزأها </w:t>
      </w:r>
      <w:r>
        <w:rPr>
          <w:rFonts w:eastAsia="Amiri" w:cs="Amiri" w:ascii="Amiri" w:hAnsi="Amiri"/>
          <w:color w:val="111111"/>
          <w:sz w:val="28"/>
          <w:szCs w:val="28"/>
          <w:rtl w:val="true"/>
          <w:lang w:bidi="ar-SA"/>
        </w:rPr>
        <w:t xml:space="preserve">» </w:t>
      </w:r>
      <w:r>
        <w:rPr>
          <w:rStyle w:val="FootnoteAnchor"/>
          <w:rtl w:val="true"/>
        </w:rPr>
        <w:footnoteReference w:id="1686"/>
      </w:r>
      <w:r>
        <w:rPr>
          <w:rFonts w:ascii="Amiri" w:hAnsi="Amiri" w:eastAsia="Amiri" w:cs="Amiri"/>
          <w:color w:val="111111"/>
          <w:sz w:val="28"/>
          <w:sz w:val="28"/>
          <w:szCs w:val="28"/>
          <w:rtl w:val="true"/>
          <w:lang w:bidi="ar-SA"/>
        </w:rPr>
        <w:t>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فلوصول الثلاث إلى البشرة لو كشف شعر الرأس واللحية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فلإمكان أن يكون المراد بالموصول البشرة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البشرة التي بلغ عليها بلل الماء من الشعر أجزأها ، ولا يحتاج إلى إجراء الماء عليها معها ، ولا إلى التخليل ، بل لا يحصل له معنى تام غير ذلك ،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فاحتمال عفو ما تحت الشعور الكثيفة والاكتفاء بالظاهر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المحقّق الأردبيلي </w:t>
      </w:r>
      <w:r>
        <w:rPr>
          <w:rStyle w:val="FootnoteAnchor"/>
          <w:rtl w:val="true"/>
        </w:rPr>
        <w:footnoteReference w:id="1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Style w:val="FootnoteAnchor"/>
          <w:rtl w:val="true"/>
        </w:rPr>
        <w:footnoteReference w:id="1688"/>
      </w:r>
      <w:r>
        <w:rPr>
          <w:rFonts w:ascii="Amiri" w:hAnsi="Amiri" w:eastAsia="Amiri" w:cs="Amiri"/>
          <w:color w:val="111111"/>
          <w:sz w:val="28"/>
          <w:sz w:val="28"/>
          <w:szCs w:val="28"/>
          <w:rtl w:val="true"/>
          <w:lang w:bidi="ar-SA"/>
        </w:rPr>
        <w:t xml:space="preserve">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بحث الوضوء ، من صحيحة علي ، وحسنة ابن أبي العلاء </w:t>
      </w:r>
      <w:r>
        <w:rPr>
          <w:rStyle w:val="FootnoteAnchor"/>
          <w:rtl w:val="true"/>
        </w:rPr>
        <w:footnoteReference w:id="1689"/>
      </w:r>
      <w:r>
        <w:rPr>
          <w:rFonts w:ascii="Amiri" w:hAnsi="Amiri" w:eastAsia="Amiri" w:cs="Amiri"/>
          <w:color w:val="111111"/>
          <w:sz w:val="28"/>
          <w:sz w:val="28"/>
          <w:szCs w:val="28"/>
          <w:rtl w:val="true"/>
          <w:lang w:bidi="ar-SA"/>
        </w:rPr>
        <w:t xml:space="preserve">، مضافا إلى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عليك خاتم فحوّله عند الغسل ، وإن كان عليك دملج وعلمت أنّ الماء لا يدخل تحته فانزعه </w:t>
      </w:r>
      <w:r>
        <w:rPr>
          <w:rFonts w:eastAsia="Amiri" w:cs="Amiri" w:ascii="Amiri" w:hAnsi="Amiri"/>
          <w:color w:val="111111"/>
          <w:sz w:val="28"/>
          <w:szCs w:val="28"/>
          <w:rtl w:val="true"/>
          <w:lang w:bidi="ar-SA"/>
        </w:rPr>
        <w:t xml:space="preserve">»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مخالفة ذيل حسنة ابن أبي العلاء ، فاسد ، لاختصاصها بالوضوء ، </w:t>
      </w:r>
      <w:bookmarkStart w:id="118" w:name="pg11612_110950"/>
    </w:p>
    <w:p>
      <w:pPr>
        <w:pStyle w:val="BookText"/>
        <w:rPr/>
      </w:pPr>
      <w:bookmarkEnd w:id="118"/>
      <w:r>
        <w:rPr>
          <w:rFonts w:ascii="Amiri" w:hAnsi="Amiri" w:eastAsia="Amiri" w:cs="Amiri"/>
          <w:color w:val="111111"/>
          <w:sz w:val="28"/>
          <w:sz w:val="28"/>
          <w:szCs w:val="28"/>
          <w:rtl w:val="true"/>
          <w:lang w:bidi="ar-SA"/>
        </w:rPr>
        <w:t>وقد مرّ دفعها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ربما تشعر بالمخالفة 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الحائض تغتسل وعلى جسدها الزعفران لم يذهب به الماء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السكوني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 نساء النبي إذا اغتسلن من الجنابة يبقين صفرة الطيب على أجسادهن ، وذلك أنّ النبيّ صلی اللّه عليه وآله ، أمرهنّ أن يصببن الماء صبّا على أجسادهن </w:t>
      </w:r>
      <w:r>
        <w:rPr>
          <w:rFonts w:eastAsia="IRNazanin" w:cs="IRNazanin"/>
          <w:color w:val="111111"/>
          <w:sz w:val="28"/>
          <w:szCs w:val="28"/>
          <w:rtl w:val="true"/>
          <w:lang w:bidi="fa-IR"/>
        </w:rPr>
        <w:t xml:space="preserve">»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يجنب فيصيب جسده ورأسه الخلوق ، والطيب ، والشي‌ء اللكد مثل علك الروم والطراز وما أشبهه ، فيغتسل ، فإذا فرغ وجد شيئا قد بقي في جسده من أثر الخلوق والطيب وغيره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ولكنها غير ناهضة للمعارضة ، لشذوذها ، ومخالفتها لعمل الأصحاب ، المخرجة إيّاها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عدم إذهاب الماء بالزعفران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عدم وصول الماء تحته ، وبقاء الصفرة 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بقاء العين المانعة من وصول الماء ، ولذا لا تجب إزالتهما في التطهير من النجاسات ، فهنا أولى</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5524393_73709187"/>
      <w:bookmarkStart w:id="120" w:name="_Toc45"/>
      <w:bookmarkEnd w:id="119"/>
      <w:r>
        <w:rPr>
          <w:rtl w:val="true"/>
        </w:rPr>
        <w:t xml:space="preserve">فروع </w:t>
      </w:r>
      <w:r>
        <w:rPr>
          <w:rtl w:val="true"/>
        </w:rPr>
        <w:t>:</w:t>
      </w:r>
      <w:bookmarkEnd w:id="12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الأصحاب على ما صرّح به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غسل الشعر ، بل في المعتبر </w:t>
      </w:r>
      <w:r>
        <w:rPr>
          <w:rStyle w:val="FootnoteAnchor"/>
          <w:rtl w:val="true"/>
        </w:rPr>
        <w:footnoteReference w:id="1694"/>
      </w:r>
      <w:r>
        <w:rPr>
          <w:rFonts w:ascii="Amiri" w:hAnsi="Amiri" w:eastAsia="Amiri" w:cs="Amiri"/>
          <w:color w:val="111111"/>
          <w:sz w:val="28"/>
          <w:sz w:val="28"/>
          <w:szCs w:val="28"/>
          <w:rtl w:val="true"/>
          <w:lang w:bidi="ar-SA"/>
        </w:rPr>
        <w:t xml:space="preserve">، وشرح القواعد للكركي </w:t>
      </w:r>
      <w:r>
        <w:rPr>
          <w:rStyle w:val="FootnoteAnchor"/>
          <w:rtl w:val="true"/>
        </w:rPr>
        <w:footnoteReference w:id="1695"/>
      </w:r>
      <w:r>
        <w:rPr>
          <w:rFonts w:ascii="Amiri" w:hAnsi="Amiri" w:eastAsia="Amiri" w:cs="Amiri"/>
          <w:color w:val="111111"/>
          <w:sz w:val="28"/>
          <w:sz w:val="28"/>
          <w:szCs w:val="28"/>
          <w:rtl w:val="true"/>
          <w:lang w:bidi="ar-SA"/>
        </w:rPr>
        <w:t xml:space="preserve">، واللوامع ، والمعتمد ، وعن الذكرى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الإجماع عليه ، وهو الحجة فيه ، مضافا إلى الأصل المؤيّد بخلوّ الأخبار البيانية عنه ، مع خروجه عن مسمّى الجسد قطعا ، وبالصحيح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المرأة شعرها إذا اغتسلت من الجنابة </w:t>
      </w:r>
      <w:r>
        <w:rPr>
          <w:rFonts w:eastAsia="Amiri" w:cs="Amiri" w:ascii="Amiri" w:hAnsi="Amiri"/>
          <w:color w:val="111111"/>
          <w:sz w:val="28"/>
          <w:szCs w:val="28"/>
          <w:rtl w:val="true"/>
          <w:lang w:bidi="ar-SA"/>
        </w:rPr>
        <w:t xml:space="preserve">» </w:t>
      </w:r>
      <w:r>
        <w:rPr>
          <w:rStyle w:val="FootnoteAnchor"/>
          <w:rtl w:val="true"/>
        </w:rPr>
        <w:footnoteReference w:id="1697"/>
      </w:r>
      <w:r>
        <w:rPr>
          <w:rFonts w:ascii="Amiri" w:hAnsi="Amiri" w:eastAsia="Amiri" w:cs="Amiri"/>
          <w:color w:val="111111"/>
          <w:sz w:val="28"/>
          <w:sz w:val="28"/>
          <w:szCs w:val="28"/>
          <w:rtl w:val="true"/>
          <w:lang w:bidi="ar-SA"/>
        </w:rPr>
        <w:t>الشامل لما لا يبلغ إليه الماء مع عدم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نسب إلى المقنعة </w:t>
      </w:r>
      <w:r>
        <w:rPr>
          <w:rStyle w:val="FootnoteAnchor"/>
          <w:rtl w:val="true"/>
        </w:rPr>
        <w:footnoteReference w:id="1698"/>
      </w:r>
      <w:r>
        <w:rPr>
          <w:rFonts w:ascii="Amiri" w:hAnsi="Amiri" w:eastAsia="Amiri" w:cs="Amiri"/>
          <w:color w:val="111111"/>
          <w:sz w:val="28"/>
          <w:sz w:val="28"/>
          <w:szCs w:val="28"/>
          <w:rtl w:val="true"/>
          <w:lang w:bidi="ar-SA"/>
        </w:rPr>
        <w:t>الخلاف في ذلك وإيجاب غسل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الميل إليه عن جماعة من متأخّري المتأخّرين </w:t>
      </w:r>
      <w:r>
        <w:rPr>
          <w:rStyle w:val="FootnoteAnchor"/>
          <w:rtl w:val="true"/>
        </w:rPr>
        <w:footnoteReference w:id="1699"/>
      </w:r>
      <w:r>
        <w:rPr>
          <w:rFonts w:ascii="Amiri" w:hAnsi="Amiri" w:eastAsia="Amiri" w:cs="Amiri"/>
          <w:color w:val="111111"/>
          <w:sz w:val="28"/>
          <w:sz w:val="28"/>
          <w:szCs w:val="28"/>
          <w:rtl w:val="true"/>
          <w:lang w:bidi="ar-SA"/>
        </w:rPr>
        <w:t>، للنبوي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محمّد ، المتقدّمة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ترك شعرة من الجنابة متعمدا فهو في النار </w:t>
      </w:r>
      <w:r>
        <w:rPr>
          <w:rFonts w:eastAsia="Amiri" w:cs="Amiri" w:ascii="Amiri" w:hAnsi="Amiri"/>
          <w:color w:val="111111"/>
          <w:sz w:val="28"/>
          <w:szCs w:val="28"/>
          <w:rtl w:val="true"/>
          <w:lang w:bidi="ar-SA"/>
        </w:rPr>
        <w:t xml:space="preserve">»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تغتسل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امتشطت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بقرامل ولم تنقض شعرها ، كم يجزيها من الماء؟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الذي يشرب شعرها </w:t>
      </w:r>
      <w:r>
        <w:rPr>
          <w:rFonts w:eastAsia="Amiri" w:cs="Amiri" w:ascii="Amiri" w:hAnsi="Amiri"/>
          <w:color w:val="111111"/>
          <w:sz w:val="28"/>
          <w:szCs w:val="28"/>
          <w:rtl w:val="true"/>
          <w:lang w:bidi="ar-SA"/>
        </w:rPr>
        <w:t xml:space="preserve">» </w:t>
      </w:r>
      <w:r>
        <w:rPr>
          <w:rStyle w:val="FootnoteAnchor"/>
          <w:rtl w:val="true"/>
        </w:rPr>
        <w:footnoteReference w:id="170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ولدخوله في مصداق الرأس والجانب الأيمن والأيسر الواردة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بالضعف الخالي عن الانجبار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أفاد ذلك ، لدلّ على عدم لزوم بلوغ الماء جسدها ، وكفاية بلوغه الشعر ، وهم لا يقولون به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فلإجمال ما يترك في الشعر ، فكما يمكن 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شعرة ولم يغسلها ، يمكن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شعرة ولم يخللها ولم يغسل ما </w:t>
      </w:r>
    </w:p>
    <w:p>
      <w:pPr>
        <w:pStyle w:val="BookText"/>
        <w:rPr/>
      </w:pPr>
      <w:r>
        <w:rPr>
          <w:rFonts w:ascii="IRNazanin" w:hAnsi="IRNazanin" w:eastAsia="IRNazanin"/>
          <w:color w:val="111111"/>
          <w:sz w:val="28"/>
          <w:sz w:val="28"/>
          <w:szCs w:val="28"/>
          <w:rtl w:val="true"/>
          <w:lang w:bidi="fa-IR"/>
        </w:rPr>
        <w:t>تحتها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أنه يمكن أن تكون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 فيكون المراد مقدار شعرة ، بل لا يبعد دعوى ظهور هذا المعنى من ذلك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مثل القدر المذكور فيه حين عدم نقض الشعر ممّا لا بدّ منه في تروية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 </w:t>
      </w:r>
      <w:r>
        <w:rPr>
          <w:rFonts w:eastAsia="Amiri" w:cs="Amiri" w:ascii="Amiri" w:hAnsi="Amiri"/>
          <w:color w:val="111111"/>
          <w:sz w:val="28"/>
          <w:szCs w:val="28"/>
          <w:rtl w:val="true"/>
          <w:lang w:bidi="ar-SA"/>
        </w:rPr>
        <w:t xml:space="preserve">] </w:t>
      </w:r>
      <w:r>
        <w:rPr>
          <w:rStyle w:val="FootnoteAnchor"/>
          <w:rtl w:val="true"/>
        </w:rPr>
        <w:footnoteReference w:id="1703"/>
      </w:r>
      <w:r>
        <w:rPr>
          <w:rFonts w:ascii="Amiri" w:hAnsi="Amiri" w:eastAsia="Amiri" w:cs="Amiri"/>
          <w:color w:val="111111"/>
          <w:sz w:val="28"/>
          <w:sz w:val="28"/>
          <w:szCs w:val="28"/>
          <w:rtl w:val="true"/>
          <w:lang w:bidi="ar-SA"/>
        </w:rPr>
        <w:t>في الرأس والجانبين ، فلو سلّم إنّما يفيد مع عموم فيها ، وليس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ذكر من عدم وجوب غسل الشعر ، إنّما هو إذا لم يتوقّف غسل البشرة عليه ، وإلاّ فيجب لوجوب ما لا يتم الواجب إلاّ به ، فيجب غسل الحاجبين والأهداب لذلك ، بل الاحتياط أن يغسل جميع الشعور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غسل الظفر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المتجاوز منه عن حدّ الإصبع وما تحته من الجلدة ما مرّ في بحث الوضوء ، إلاّ أنّه لمّا انحصر الدليل فيه في المورد بالإجماع الغير المعلوم تأتّيه إلى المتجاوز أيضا يتأتّى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من الجسد محلّ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غسل العضو الزائد والسلعة وأمثالها ، لصدق الجسد على الأوّل بل الثاني ، مع تضمّن الثاني بعض الجسد الغير المتيقّن غسله إلاّ بغسل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غسل الظواهر دون البواطن بالإجماع والمستفيضة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كخبر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عليك أن تغسل ما ظهر </w:t>
      </w:r>
      <w:r>
        <w:rPr>
          <w:rFonts w:eastAsia="Amiri" w:cs="Amiri" w:ascii="Amiri" w:hAnsi="Amiri"/>
          <w:color w:val="111111"/>
          <w:sz w:val="28"/>
          <w:szCs w:val="28"/>
          <w:rtl w:val="true"/>
          <w:lang w:bidi="ar-SA"/>
        </w:rPr>
        <w:t xml:space="preserve">»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يتمضمض؟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إنّما يجنب الظاهر </w:t>
      </w:r>
      <w:r>
        <w:rPr>
          <w:rFonts w:eastAsia="Amiri" w:cs="Amiri" w:ascii="Amiri" w:hAnsi="Amiri"/>
          <w:color w:val="111111"/>
          <w:sz w:val="28"/>
          <w:szCs w:val="28"/>
          <w:rtl w:val="true"/>
          <w:lang w:bidi="ar-SA"/>
        </w:rPr>
        <w:t xml:space="preserve">»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ومثلها المروي في العلل ، وزاد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يجنب الباطن ، والفم من الباطن </w:t>
      </w:r>
      <w:r>
        <w:rPr>
          <w:rFonts w:eastAsia="Amiri" w:cs="Amiri" w:ascii="Amiri" w:hAnsi="Amiri"/>
          <w:color w:val="111111"/>
          <w:sz w:val="28"/>
          <w:szCs w:val="28"/>
          <w:rtl w:val="true"/>
          <w:lang w:bidi="ar-SA"/>
        </w:rPr>
        <w:t xml:space="preserve">»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غسل الجنابة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شئت أن تمضمض وتستنشق فافعل وليس بواجب ، لأن الغسل على ما ظهر لا على ما بطن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الحضرمي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عليك مضمضة واستنشاق لأنهما من الجوف </w:t>
      </w:r>
      <w:r>
        <w:rPr>
          <w:rFonts w:eastAsia="Amiri" w:cs="Amiri" w:ascii="Amiri" w:hAnsi="Amiri"/>
          <w:color w:val="111111"/>
          <w:sz w:val="28"/>
          <w:szCs w:val="28"/>
          <w:rtl w:val="true"/>
          <w:lang w:bidi="ar-SA"/>
        </w:rPr>
        <w:t xml:space="preserve">»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معاطف الآذان والآباط ، وعكن البطون في السمان ، وما تحت الثدي من النسوان ، إجماعا ، مع شهادة العرف في الكلّ ، وخصوص الرضوي المتقدّم </w:t>
      </w:r>
      <w:r>
        <w:rPr>
          <w:rStyle w:val="FootnoteAnchor"/>
          <w:rtl w:val="true"/>
        </w:rPr>
        <w:footnoteReference w:id="1708"/>
      </w:r>
      <w:r>
        <w:rPr>
          <w:rFonts w:ascii="Amiri" w:hAnsi="Amiri" w:eastAsia="Amiri" w:cs="Amiri"/>
          <w:color w:val="111111"/>
          <w:sz w:val="28"/>
          <w:sz w:val="28"/>
          <w:szCs w:val="28"/>
          <w:rtl w:val="true"/>
          <w:lang w:bidi="ar-SA"/>
        </w:rPr>
        <w:t>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السرّة ، ومواضع الكيّ ، وما يبدو من الشق ومن الفرج ، وأمّا ما يبدو منه عند الجلوس لقضاء الحاجة فالظاهر كونه من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ما ظهر من الباطن بالقطع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الفم والأنف والعين والصماخ والفرج بالإجماع والعرف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والثقب التي في الاذن والأنف للحلقة إن كانت بحيث لا يرى باطنها فمن البواطن ، وإلاّ فمن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وشقوق الجراحات المحشوة بالدواء ، والثقب المحشوة بالنيل للزينة من الباطن ظاهرا إن استقرّ فيها الحشو بحيث لا يمكن إخراجه أو يعسر ، وإن أمكن ، فالظاهر وجوب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إجماعا ، لما في الوضوء مع تفصيل ما يتعلّق بالمقام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الماء وإطلاقه وطهارته ، وإباحة المكان الذي يتبعه الهواء </w:t>
      </w:r>
    </w:p>
    <w:p>
      <w:pPr>
        <w:pStyle w:val="BookText"/>
        <w:rPr/>
      </w:pPr>
      <w:r>
        <w:rPr>
          <w:rFonts w:ascii="Amiri" w:hAnsi="Amiri" w:eastAsia="Amiri" w:cs="Amiri"/>
          <w:color w:val="111111"/>
          <w:sz w:val="28"/>
          <w:sz w:val="28"/>
          <w:szCs w:val="28"/>
          <w:rtl w:val="true"/>
          <w:lang w:bidi="ar-SA"/>
        </w:rPr>
        <w:t>الواقع فيه الغسل ، كما مرّ في الوضوء ، ويأتي في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 بتقديم الرأس على سائر الجسد ، بالإجماع المحكي عن الخلاف والانتصار والغنية والسرائر والتذكرة وغيرها </w:t>
      </w:r>
      <w:r>
        <w:rPr>
          <w:rStyle w:val="FootnoteAnchor"/>
          <w:rtl w:val="true"/>
        </w:rPr>
        <w:footnoteReference w:id="1709"/>
      </w:r>
      <w:r>
        <w:rPr>
          <w:rFonts w:ascii="Amiri" w:hAnsi="Amiri" w:eastAsia="Amiri" w:cs="Amiri"/>
          <w:color w:val="111111"/>
          <w:sz w:val="28"/>
          <w:sz w:val="28"/>
          <w:szCs w:val="28"/>
          <w:rtl w:val="true"/>
          <w:lang w:bidi="ar-SA"/>
        </w:rPr>
        <w:t xml:space="preserve">، بل المحقّق حتى عن الصدوقين </w:t>
      </w:r>
      <w:r>
        <w:rPr>
          <w:rStyle w:val="FootnoteAnchor"/>
          <w:rtl w:val="true"/>
        </w:rPr>
        <w:footnoteReference w:id="1710"/>
      </w:r>
      <w:r>
        <w:rPr>
          <w:rFonts w:ascii="Amiri" w:hAnsi="Amiri" w:eastAsia="Amiri" w:cs="Amiri"/>
          <w:color w:val="111111"/>
          <w:sz w:val="28"/>
          <w:sz w:val="28"/>
          <w:szCs w:val="28"/>
          <w:rtl w:val="true"/>
          <w:lang w:bidi="ar-SA"/>
        </w:rPr>
        <w:t>، لتصريحهما بوجوب إعادة الغسل لو بدأ بغير الرأس ، فنسبة الخلاف هنا إليهما 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فالمخالف فيه منحصر بالإسكافي </w:t>
      </w:r>
      <w:r>
        <w:rPr>
          <w:rStyle w:val="FootnoteAnchor"/>
          <w:rtl w:val="true"/>
        </w:rPr>
        <w:footnoteReference w:id="1711"/>
      </w:r>
      <w:r>
        <w:rPr>
          <w:rFonts w:ascii="Amiri" w:hAnsi="Amiri" w:eastAsia="Amiri" w:cs="Amiri"/>
          <w:color w:val="111111"/>
          <w:sz w:val="28"/>
          <w:sz w:val="28"/>
          <w:szCs w:val="28"/>
          <w:rtl w:val="true"/>
          <w:lang w:bidi="ar-SA"/>
        </w:rPr>
        <w:t xml:space="preserve">، وهو في الإجماع غير قادح ، مع أنه أيضا لم يصرّح بالنفي ، بل قيل بإشعار كلامه بالثبوت </w:t>
      </w:r>
      <w:r>
        <w:rPr>
          <w:rStyle w:val="FootnoteAnchor"/>
          <w:rtl w:val="true"/>
        </w:rPr>
        <w:footnoteReference w:id="1712"/>
      </w:r>
      <w:r>
        <w:rPr>
          <w:rFonts w:ascii="Amiri" w:hAnsi="Amiri" w:eastAsia="Amiri" w:cs="Amiri"/>
          <w:color w:val="111111"/>
          <w:sz w:val="28"/>
          <w:sz w:val="28"/>
          <w:szCs w:val="28"/>
          <w:rtl w:val="true"/>
          <w:lang w:bidi="ar-SA"/>
        </w:rPr>
        <w:t xml:space="preserve">، فيكون إجماعا من الكلّ ، فهو الحجة فيه ، مع صحيحة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الوضوء يجف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جف الأول قبل أن أغسل الذي يليه؟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جف أو لم يجف اغسل 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غسل الجنابة؟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بتلك المنزلة ، ابدأ بالرأس ثمَّ أفض على سائر جسدك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بعض يوم؟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اغتسل من جنابة فلم يغسل رأسه ، ثمَّ بدا له أن يغسل رأسه ، لم يجد بدّا من إعادة الغسل </w:t>
      </w:r>
      <w:r>
        <w:rPr>
          <w:rFonts w:eastAsia="Amiri" w:cs="Amiri" w:ascii="Amiri" w:hAnsi="Amiri"/>
          <w:color w:val="111111"/>
          <w:sz w:val="28"/>
          <w:szCs w:val="28"/>
          <w:rtl w:val="true"/>
          <w:lang w:bidi="ar-SA"/>
        </w:rPr>
        <w:t xml:space="preserve">»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المنجبر ضعفه بما 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بدأت بغسل جسدك قبل الرأس ، فأعد الغسل على جسدك بعد غسل الرأس </w:t>
      </w:r>
      <w:r>
        <w:rPr>
          <w:rFonts w:eastAsia="Amiri" w:cs="Amiri" w:ascii="Amiri" w:hAnsi="Amiri"/>
          <w:color w:val="111111"/>
          <w:sz w:val="28"/>
          <w:szCs w:val="28"/>
          <w:rtl w:val="true"/>
          <w:lang w:bidi="ar-SA"/>
        </w:rPr>
        <w:t xml:space="preserve">»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المؤيدة بأخبار أخر قاصرة عن إفادة الوجوب ، إمّا لاشتمالها على لفظ الخبر ، </w:t>
      </w:r>
    </w:p>
    <w:p>
      <w:pPr>
        <w:pStyle w:val="BookText"/>
        <w:rPr/>
      </w:pPr>
      <w:r>
        <w:rPr>
          <w:rFonts w:ascii="Amiri" w:hAnsi="Amiri" w:eastAsia="Amiri" w:cs="Amiri"/>
          <w:color w:val="111111"/>
          <w:sz w:val="28"/>
          <w:sz w:val="28"/>
          <w:szCs w:val="28"/>
          <w:rtl w:val="true"/>
          <w:lang w:bidi="ar-SA"/>
        </w:rPr>
        <w:t xml:space="preserve">كصحيحة محمّد </w:t>
      </w:r>
      <w:r>
        <w:rPr>
          <w:rStyle w:val="FootnoteAnchor"/>
          <w:rtl w:val="true"/>
        </w:rPr>
        <w:footnoteReference w:id="1716"/>
      </w:r>
      <w:r>
        <w:rPr>
          <w:rFonts w:ascii="Amiri" w:hAnsi="Amiri" w:eastAsia="Amiri" w:cs="Amiri"/>
          <w:color w:val="111111"/>
          <w:sz w:val="28"/>
          <w:sz w:val="28"/>
          <w:szCs w:val="28"/>
          <w:rtl w:val="true"/>
          <w:lang w:bidi="ar-SA"/>
        </w:rPr>
        <w:t xml:space="preserve">وما يحذو حذوها ، أو على الترتيب الفعلي ، كالحسن </w:t>
      </w:r>
      <w:r>
        <w:rPr>
          <w:rStyle w:val="FootnoteAnchor"/>
          <w:rtl w:val="true"/>
        </w:rPr>
        <w:footnoteReference w:id="1717"/>
      </w:r>
      <w:r>
        <w:rPr>
          <w:rFonts w:ascii="Amiri" w:hAnsi="Amiri" w:eastAsia="Amiri" w:cs="Amiri"/>
          <w:color w:val="111111"/>
          <w:sz w:val="28"/>
          <w:sz w:val="28"/>
          <w:szCs w:val="28"/>
          <w:rtl w:val="true"/>
          <w:lang w:bidi="ar-SA"/>
        </w:rPr>
        <w:t xml:space="preserve">، أو على ما يمنع من حمل ما وضع للوجوب على حقيقته ، كموثّقة سماعة ، فإنّ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ليصب على رأسه ثلاث مرات مل‌ء كفّيه </w:t>
      </w:r>
      <w:r>
        <w:rPr>
          <w:rFonts w:eastAsia="Amiri" w:cs="Amiri" w:ascii="Amiri" w:hAnsi="Amiri"/>
          <w:color w:val="111111"/>
          <w:sz w:val="28"/>
          <w:szCs w:val="28"/>
          <w:rtl w:val="true"/>
          <w:lang w:bidi="ar-SA"/>
        </w:rPr>
        <w:t xml:space="preserve">» </w:t>
      </w:r>
      <w:r>
        <w:rPr>
          <w:rStyle w:val="FootnoteAnchor"/>
          <w:rtl w:val="true"/>
        </w:rPr>
        <w:footnoteReference w:id="1718"/>
      </w:r>
      <w:r>
        <w:rPr>
          <w:rFonts w:ascii="Amiri" w:hAnsi="Amiri" w:eastAsia="Amiri" w:cs="Amiri"/>
          <w:color w:val="111111"/>
          <w:sz w:val="28"/>
          <w:sz w:val="28"/>
          <w:szCs w:val="28"/>
          <w:rtl w:val="true"/>
          <w:lang w:bidi="ar-SA"/>
        </w:rPr>
        <w:t>فإنّ التقييد بالثلاث مانع عن حمل الأمر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بما ذكر يدفع الأصل وتقيّد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هشام </w:t>
      </w:r>
      <w:r>
        <w:rPr>
          <w:rStyle w:val="FootnoteAnchor"/>
          <w:rtl w:val="true"/>
        </w:rPr>
        <w:footnoteReference w:id="1719"/>
      </w:r>
      <w:r>
        <w:rPr>
          <w:rFonts w:ascii="Amiri" w:hAnsi="Amiri" w:eastAsia="Amiri" w:cs="Amiri"/>
          <w:color w:val="111111"/>
          <w:sz w:val="28"/>
          <w:sz w:val="28"/>
          <w:szCs w:val="28"/>
          <w:rtl w:val="true"/>
          <w:lang w:bidi="ar-SA"/>
        </w:rPr>
        <w:t xml:space="preserve">، المتضمّنة لأمر الصادق عليه السلام ، الجارية بغسل جسدها قبل الرأس في واقعة ، فمعارضة مع صحيحة محمّد </w:t>
      </w:r>
      <w:r>
        <w:rPr>
          <w:rStyle w:val="FootnoteAnchor"/>
          <w:rtl w:val="true"/>
        </w:rPr>
        <w:footnoteReference w:id="1720"/>
      </w:r>
      <w:r>
        <w:rPr>
          <w:rFonts w:ascii="Amiri" w:hAnsi="Amiri" w:eastAsia="Amiri" w:cs="Amiri"/>
          <w:color w:val="111111"/>
          <w:sz w:val="28"/>
          <w:sz w:val="28"/>
          <w:szCs w:val="28"/>
          <w:rtl w:val="true"/>
          <w:lang w:bidi="ar-SA"/>
        </w:rPr>
        <w:t>، المتضمنة للعكس في تلك الواقعة بعينها ، الراجحة على الأولى بشذوذها المخرج إيّاها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الأخيرة دليل آخر مستقلّ على ما نحن فيه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والمناقشة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دلالتها على وجوب تقديم جميع أجزاء الرأس ، مردودة بعدم القول بالفصل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يدخل العنق في الرأس ، فيجب تقديمه على باقي الأعضاء ، ويجوز تقديمه على المنابت والوجه ، أو لا ، فيغسل مع الباقي ، ويقدّم جميع أجزاء المنابت والوجه عليه؟</w:t>
      </w:r>
    </w:p>
    <w:p>
      <w:pPr>
        <w:pStyle w:val="BookText"/>
        <w:rPr/>
      </w:pPr>
      <w:r>
        <w:rPr>
          <w:rFonts w:ascii="Amiri" w:hAnsi="Amiri" w:eastAsia="Amiri" w:cs="Amiri"/>
          <w:color w:val="111111"/>
          <w:sz w:val="28"/>
          <w:sz w:val="28"/>
          <w:szCs w:val="28"/>
          <w:rtl w:val="true"/>
          <w:lang w:bidi="ar-SA"/>
        </w:rPr>
        <w:t xml:space="preserve">المحكي عن صريح المقنعة ، والتحرير </w:t>
      </w:r>
      <w:r>
        <w:rPr>
          <w:rStyle w:val="FootnoteAnchor"/>
          <w:rtl w:val="true"/>
        </w:rPr>
        <w:footnoteReference w:id="1721"/>
      </w:r>
      <w:r>
        <w:rPr>
          <w:rFonts w:ascii="Amiri" w:hAnsi="Amiri" w:eastAsia="Amiri" w:cs="Amiri"/>
          <w:color w:val="111111"/>
          <w:sz w:val="28"/>
          <w:sz w:val="28"/>
          <w:szCs w:val="28"/>
          <w:rtl w:val="true"/>
          <w:lang w:bidi="ar-SA"/>
        </w:rPr>
        <w:t xml:space="preserve">، وكتب الشهيد </w:t>
      </w:r>
      <w:r>
        <w:rPr>
          <w:rStyle w:val="FootnoteAnchor"/>
          <w:rtl w:val="true"/>
        </w:rPr>
        <w:footnoteReference w:id="1722"/>
      </w:r>
      <w:r>
        <w:rPr>
          <w:rFonts w:ascii="Amiri" w:hAnsi="Amiri" w:eastAsia="Amiri" w:cs="Amiri"/>
          <w:color w:val="111111"/>
          <w:sz w:val="28"/>
          <w:sz w:val="28"/>
          <w:szCs w:val="28"/>
          <w:rtl w:val="true"/>
          <w:lang w:bidi="ar-SA"/>
        </w:rPr>
        <w:t xml:space="preserve">، ناقلا عن الجماعة ، وظاهر أبي الصلاح </w:t>
      </w:r>
      <w:r>
        <w:rPr>
          <w:rStyle w:val="FootnoteAnchor"/>
          <w:rtl w:val="true"/>
        </w:rPr>
        <w:footnoteReference w:id="1723"/>
      </w:r>
      <w:r>
        <w:rPr>
          <w:rFonts w:ascii="Amiri" w:hAnsi="Amiri" w:eastAsia="Amiri" w:cs="Amiri"/>
          <w:color w:val="111111"/>
          <w:sz w:val="28"/>
          <w:sz w:val="28"/>
          <w:szCs w:val="28"/>
          <w:rtl w:val="true"/>
          <w:lang w:bidi="ar-SA"/>
        </w:rPr>
        <w:t xml:space="preserve">، والغنية ، والمهذب </w:t>
      </w:r>
      <w:r>
        <w:rPr>
          <w:rStyle w:val="FootnoteAnchor"/>
          <w:rtl w:val="true"/>
        </w:rPr>
        <w:footnoteReference w:id="1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احتمل خلافه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ونفى عنه بعض مشايخنا خلافا يعرف </w:t>
      </w:r>
      <w:r>
        <w:rPr>
          <w:rStyle w:val="FootnoteAnchor"/>
          <w:rtl w:val="true"/>
        </w:rPr>
        <w:footnoteReference w:id="1725"/>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كالإجماع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واستند فيه إلى مقابلة الرأس مع المنكب والكتف في مضمرة زرارة </w:t>
      </w:r>
      <w:r>
        <w:rPr>
          <w:rStyle w:val="FootnoteAnchor"/>
          <w:rtl w:val="true"/>
        </w:rPr>
        <w:footnoteReference w:id="1727"/>
      </w:r>
      <w:r>
        <w:rPr>
          <w:rFonts w:ascii="Amiri" w:hAnsi="Amiri" w:eastAsia="Amiri" w:cs="Amiri"/>
          <w:color w:val="111111"/>
          <w:sz w:val="28"/>
          <w:sz w:val="28"/>
          <w:szCs w:val="28"/>
          <w:rtl w:val="true"/>
          <w:lang w:bidi="ar-SA"/>
        </w:rPr>
        <w:t xml:space="preserve">وموثّقة سماعة </w:t>
      </w:r>
      <w:r>
        <w:rPr>
          <w:rStyle w:val="FootnoteAnchor"/>
          <w:rtl w:val="true"/>
        </w:rPr>
        <w:footnoteReference w:id="1728"/>
      </w:r>
      <w:r>
        <w:rPr>
          <w:rFonts w:ascii="Amiri" w:hAnsi="Amiri" w:eastAsia="Amiri" w:cs="Amiri"/>
          <w:color w:val="111111"/>
          <w:sz w:val="28"/>
          <w:sz w:val="28"/>
          <w:szCs w:val="28"/>
          <w:rtl w:val="true"/>
          <w:lang w:bidi="ar-SA"/>
        </w:rPr>
        <w:t>، فإنّه لو لا دخول العنق في الرأس ، لكان إمّا مهملا ، أو داخلا في المنكب ، وهما باطلان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ويخدشه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بطلان دخوله في معنى المنكب ، فهو كذلك ، بل هو كذلك في الرأس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دخوله في حكمه ، فأراد من غسل المنكب غسله مع العنق مجازا ، فلا نسلّم بطلانه ، كالرّجلين واليدين والعورة والبطن ، فإنّ شيئا منها لا يدخل في المنكب قطعا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استشكل فيه جماعة من المتأخّرين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صاحبا الذخيرة </w:t>
      </w:r>
      <w:r>
        <w:rPr>
          <w:rStyle w:val="FootnoteAnchor"/>
          <w:rtl w:val="true"/>
        </w:rPr>
        <w:footnoteReference w:id="1729"/>
      </w:r>
      <w:r>
        <w:rPr>
          <w:rFonts w:ascii="Amiri" w:hAnsi="Amiri" w:eastAsia="Amiri" w:cs="Amiri"/>
          <w:color w:val="111111"/>
          <w:sz w:val="28"/>
          <w:sz w:val="28"/>
          <w:szCs w:val="28"/>
          <w:rtl w:val="true"/>
          <w:lang w:bidi="ar-SA"/>
        </w:rPr>
        <w:t xml:space="preserve">ورياض </w:t>
      </w:r>
    </w:p>
    <w:p>
      <w:pPr>
        <w:pStyle w:val="BookText"/>
        <w:rPr/>
      </w:pPr>
      <w:r>
        <w:rPr>
          <w:rFonts w:ascii="IRNazanin" w:hAnsi="IRNazanin" w:eastAsia="IRNazanin"/>
          <w:color w:val="111111"/>
          <w:sz w:val="28"/>
          <w:sz w:val="28"/>
          <w:szCs w:val="28"/>
          <w:rtl w:val="true"/>
          <w:lang w:bidi="fa-IR"/>
        </w:rPr>
        <w:t xml:space="preserve">المسائل </w:t>
      </w:r>
      <w:r>
        <w:rPr>
          <w:rStyle w:val="FootnoteAnchor"/>
          <w:rtl w:val="true"/>
        </w:rPr>
        <w:footnoteReference w:id="1730"/>
      </w:r>
      <w:r>
        <w:rPr>
          <w:rFonts w:ascii="Amiri" w:hAnsi="Amiri" w:eastAsia="Amiri" w:cs="Amiri"/>
          <w:color w:val="111111"/>
          <w:sz w:val="28"/>
          <w:sz w:val="28"/>
          <w:szCs w:val="28"/>
          <w:rtl w:val="true"/>
          <w:lang w:bidi="ar-SA"/>
        </w:rPr>
        <w:t xml:space="preserve">، بل عن الإشارة غسل كلّ من الجانبين إلى رأس العنق </w:t>
      </w:r>
      <w:r>
        <w:rPr>
          <w:rStyle w:val="FootnoteAnchor"/>
          <w:rtl w:val="true"/>
        </w:rPr>
        <w:footnoteReference w:id="1731"/>
      </w:r>
      <w:r>
        <w:rPr>
          <w:rFonts w:ascii="Amiri" w:hAnsi="Amiri" w:eastAsia="Amiri" w:cs="Amiri"/>
          <w:color w:val="111111"/>
          <w:sz w:val="28"/>
          <w:sz w:val="28"/>
          <w:szCs w:val="28"/>
          <w:rtl w:val="true"/>
          <w:lang w:bidi="ar-SA"/>
        </w:rPr>
        <w:t>، وهو ظاهر في غسله مع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جيّد ، لإطلاق بعض الأخبار في غسل باقي الجسد بعد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والأجود أن يحتاط بضمّه إلى الرأس ثمَّ غسله مع الجانبين ، نصفه مع الميامن ونصفه مع المياسر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وجوب الترتيب بين باقي الجسد ، فتقدّم الميامن كلّها على المياسر ، أو عدمه فيتخيّر وإن استحب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لاستحباب التيامن في الطهور ، والتفصّي 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 بل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للأكثر ، بل عليه الإجماع البسيط عن جميع من مرّ في الرأس وغيره ، والمركّب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رتب الرأس والوضوء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الفاضل </w:t>
      </w:r>
      <w:r>
        <w:rPr>
          <w:rStyle w:val="FootnoteAnchor"/>
          <w:rtl w:val="true"/>
        </w:rPr>
        <w:footnoteReference w:id="1732"/>
      </w:r>
      <w:r>
        <w:rPr>
          <w:rFonts w:ascii="Amiri" w:hAnsi="Amiri" w:eastAsia="Amiri" w:cs="Amiri"/>
          <w:color w:val="111111"/>
          <w:sz w:val="28"/>
          <w:sz w:val="28"/>
          <w:szCs w:val="28"/>
          <w:rtl w:val="true"/>
          <w:lang w:bidi="ar-SA"/>
        </w:rPr>
        <w:t xml:space="preserve">والشهيدين </w:t>
      </w:r>
      <w:r>
        <w:rPr>
          <w:rStyle w:val="FootnoteAnchor"/>
          <w:rtl w:val="true"/>
        </w:rPr>
        <w:footnoteReference w:id="1733"/>
      </w:r>
      <w:r>
        <w:rPr>
          <w:rFonts w:ascii="Amiri" w:hAnsi="Amiri" w:eastAsia="Amiri" w:cs="Amiri"/>
          <w:color w:val="111111"/>
          <w:sz w:val="28"/>
          <w:sz w:val="28"/>
          <w:szCs w:val="28"/>
          <w:rtl w:val="true"/>
          <w:lang w:bidi="ar-SA"/>
        </w:rPr>
        <w:t xml:space="preserve">، للإجماعين المنقولين ، واستدعاء الشغل اليقيني للبراءة اليقينية ، والترتيب الذكري في جملة من الأخبار </w:t>
      </w:r>
      <w:r>
        <w:rPr>
          <w:rStyle w:val="FootnoteAnchor"/>
          <w:rtl w:val="true"/>
        </w:rPr>
        <w:footnoteReference w:id="1734"/>
      </w:r>
      <w:r>
        <w:rPr>
          <w:rFonts w:ascii="Amiri" w:hAnsi="Amiri" w:eastAsia="Amiri" w:cs="Amiri"/>
          <w:color w:val="111111"/>
          <w:sz w:val="28"/>
          <w:sz w:val="28"/>
          <w:szCs w:val="28"/>
          <w:rtl w:val="true"/>
          <w:lang w:bidi="ar-SA"/>
        </w:rPr>
        <w:t xml:space="preserve">، سيما مع إفادة الواو للترتيب عند الفرّاء ، خصوصا مع عطف اليمين على الرأس بها أيضا في بعض المعتبرة المفيدة فيه للترتيب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لا الترتيب لكفى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جسدك </w:t>
      </w:r>
      <w:r>
        <w:rPr>
          <w:rFonts w:eastAsia="Amiri" w:cs="Amiri" w:ascii="Amiri" w:hAnsi="Amiri"/>
          <w:color w:val="111111"/>
          <w:sz w:val="28"/>
          <w:szCs w:val="28"/>
          <w:rtl w:val="true"/>
          <w:lang w:bidi="ar-SA"/>
        </w:rPr>
        <w:t xml:space="preserve">)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اغتسل النبي بدأ بميامنه وفضل الأيمن على الأيسر </w:t>
      </w:r>
      <w:r>
        <w:rPr>
          <w:rFonts w:eastAsia="Amiri" w:cs="Amiri" w:ascii="Amiri" w:hAnsi="Amiri"/>
          <w:color w:val="111111"/>
          <w:sz w:val="28"/>
          <w:szCs w:val="28"/>
          <w:rtl w:val="true"/>
          <w:lang w:bidi="ar-SA"/>
        </w:rPr>
        <w:t xml:space="preserve">»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ولزوم تقديم الأيمن في غسل الميت بالإجماع والنصوص </w:t>
      </w:r>
      <w:r>
        <w:rPr>
          <w:rStyle w:val="FootnoteAnchor"/>
          <w:rtl w:val="true"/>
        </w:rPr>
        <w:footnoteReference w:id="1737"/>
      </w:r>
      <w:r>
        <w:rPr>
          <w:rFonts w:ascii="Amiri" w:hAnsi="Amiri" w:eastAsia="Amiri" w:cs="Amiri"/>
          <w:color w:val="111111"/>
          <w:sz w:val="28"/>
          <w:sz w:val="28"/>
          <w:szCs w:val="28"/>
          <w:rtl w:val="true"/>
          <w:lang w:bidi="ar-SA"/>
        </w:rPr>
        <w:t xml:space="preserve">، مع ما ورد في بعض الأخبار أنّ غسل الميت مثل غسل الجنابة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في المستفيضة المروية في العلل والعيون وغيرهما من الكتب المعتبرة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تغسيل الميّت لأجل خروج النطفة ، فلذلك غسّل غسل الجنابة </w:t>
      </w:r>
      <w:r>
        <w:rPr>
          <w:rFonts w:eastAsia="Amiri" w:cs="Amiri" w:ascii="Amiri" w:hAnsi="Amiri"/>
          <w:color w:val="111111"/>
          <w:sz w:val="28"/>
          <w:szCs w:val="28"/>
          <w:rtl w:val="true"/>
          <w:lang w:bidi="ar-SA"/>
        </w:rPr>
        <w:t xml:space="preserve">» </w:t>
      </w:r>
      <w:r>
        <w:rPr>
          <w:rStyle w:val="FootnoteAnchor"/>
          <w:rtl w:val="true"/>
        </w:rPr>
        <w:footnoteReference w:id="1739"/>
      </w:r>
      <w:r>
        <w:rPr>
          <w:rFonts w:ascii="Amiri" w:hAnsi="Amiri" w:eastAsia="Amiri" w:cs="Amiri"/>
          <w:color w:val="111111"/>
          <w:sz w:val="28"/>
          <w:sz w:val="28"/>
          <w:szCs w:val="28"/>
          <w:rtl w:val="true"/>
          <w:lang w:bidi="ar-SA"/>
        </w:rPr>
        <w:t xml:space="preserve">ومقتضاها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عينه ، فيتّحدان في جميع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حجية الإجماع المنقول جدّا ، سيما مع وجود المخالف في الأول ، والفاصل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 البراءة اليقينية بمطلق الغسل ، للإطلاقات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استلزامه الترتيب الفعلي ، سيما مع تصريح الجمهور بعدم إفادة الواو له ، والعطف على الرأس بالواو لا يوجب إرادة الترتيب منها ، إذ لعلّه أراد بيان وجوب مطلق غسله ، واستفيد الترتيب فيه من مواضع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الدلالة ، وقد فضّل الصدر والظهر في بعض الأخبار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دلالة التشبيه على المماثلة في جميع الأحكام ، فلعلّها في أصل الوجوب ، أو مع بعض أحكام أخر ، سيما مع اختلافهما في أحكام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عموم المماثلة إنّما كان مفيدا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الجنابة كغسل الميت ، وأمّا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يفيد إلاّ ثبوت جميع أحكام غسل الجنابة لغسل الميت ، غاية الأمر أنّه يتخلّف في بعض الأحكام التي منها عدم وجوب الترتيب بدليل آخر ، مع أنّ عدم وجوبه لا يعدّ من أحكامه ، فإنّه قضية الأصل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مقتضاه عدم ترك شي‌ء ممّا يجب في غسل الجنابة لا عدم </w:t>
      </w:r>
    </w:p>
    <w:p>
      <w:pPr>
        <w:pStyle w:val="BookText"/>
        <w:rPr/>
      </w:pPr>
      <w:r>
        <w:rPr>
          <w:rFonts w:ascii="Amiri" w:hAnsi="Amiri" w:eastAsia="Amiri" w:cs="Amiri"/>
          <w:color w:val="111111"/>
          <w:sz w:val="28"/>
          <w:sz w:val="28"/>
          <w:szCs w:val="28"/>
          <w:rtl w:val="true"/>
          <w:lang w:bidi="ar-SA"/>
        </w:rPr>
        <w:t>الزيادة عليه ، ولذا يغسّل الميت ثلاثة أغسال ، ويجب في بعضها الخليط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تغسيل الميت غسل الجنابة لا ينافي أن يجب فيه أمر زائد على ما يجب فيه ، فإنّ مع الترتيب أيضا يتحقّق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ولضعف تلك الوجوه ، مضافا إلى الأصل والإطلاقات المنضمّة مع ترك الاستفصال في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ترك بعض ذراعه أو بعض جسده في غسل الجنابة ،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استيقن رجع وأعاد الماء عليه ما لم يصب 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رآه وبه بلّة مسح عليه وأعاد الصلاة </w:t>
      </w:r>
      <w:r>
        <w:rPr>
          <w:rFonts w:eastAsia="Amiri" w:cs="Amiri" w:ascii="Amiri" w:hAnsi="Amiri"/>
          <w:color w:val="111111"/>
          <w:sz w:val="28"/>
          <w:szCs w:val="28"/>
          <w:rtl w:val="true"/>
          <w:lang w:bidi="ar-SA"/>
        </w:rPr>
        <w:t xml:space="preserve">» </w:t>
      </w:r>
      <w:r>
        <w:rPr>
          <w:rStyle w:val="FootnoteAnchor"/>
          <w:rtl w:val="true"/>
        </w:rPr>
        <w:footnoteReference w:id="1740"/>
      </w:r>
      <w:r>
        <w:rPr>
          <w:rFonts w:ascii="Amiri" w:hAnsi="Amiri" w:eastAsia="Amiri" w:cs="Amiri"/>
          <w:color w:val="111111"/>
          <w:sz w:val="28"/>
          <w:sz w:val="28"/>
          <w:szCs w:val="28"/>
          <w:rtl w:val="true"/>
          <w:lang w:bidi="ar-SA"/>
        </w:rPr>
        <w:t xml:space="preserve">الحديث ، المؤيّدة بالرضوي حيث قال بعد ذكر كيفية الغسل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تصبّ على رأسك ثلاث أكف ، وعلى جانبك الأيمن مثل ذلك ، وعلى جانبك الأيسر مثل ذلك ، وعلى صدرك ثلاث أكف ، وعلى الظهر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 على الصدر من حدّ مدّ العنق ، ثمَّ تمسح سائر بدنك بيديك </w:t>
      </w:r>
      <w:r>
        <w:rPr>
          <w:rFonts w:eastAsia="Amiri" w:cs="Amiri" w:ascii="Amiri" w:hAnsi="Amiri"/>
          <w:color w:val="111111"/>
          <w:sz w:val="28"/>
          <w:szCs w:val="28"/>
          <w:rtl w:val="true"/>
          <w:lang w:bidi="ar-SA"/>
        </w:rPr>
        <w:t xml:space="preserve">» </w:t>
      </w:r>
      <w:r>
        <w:rPr>
          <w:rStyle w:val="FootnoteAnchor"/>
          <w:rtl w:val="true"/>
        </w:rPr>
        <w:footnoteReference w:id="1741"/>
      </w:r>
      <w:r>
        <w:rPr>
          <w:rFonts w:ascii="Amiri" w:hAnsi="Amiri" w:eastAsia="Amiri" w:cs="Amiri"/>
          <w:color w:val="111111"/>
          <w:sz w:val="28"/>
          <w:sz w:val="28"/>
          <w:szCs w:val="28"/>
          <w:rtl w:val="true"/>
          <w:lang w:bidi="ar-SA"/>
        </w:rPr>
        <w:t xml:space="preserve">بل بصحيحة حريز ، المتقدّمة </w:t>
      </w:r>
      <w:r>
        <w:rPr>
          <w:rStyle w:val="FootnoteAnchor"/>
          <w:rtl w:val="true"/>
        </w:rPr>
        <w:footnoteReference w:id="1742"/>
      </w:r>
      <w:r>
        <w:rPr>
          <w:rFonts w:ascii="Amiri" w:hAnsi="Amiri" w:eastAsia="Amiri" w:cs="Amiri"/>
          <w:color w:val="111111"/>
          <w:sz w:val="28"/>
          <w:sz w:val="28"/>
          <w:szCs w:val="28"/>
          <w:rtl w:val="true"/>
          <w:lang w:bidi="ar-SA"/>
        </w:rPr>
        <w:t>المصرّحة بوجوب البدأة بالرأس قبل سائر الجسد وعدم التعرض للسائر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 </w:t>
      </w:r>
      <w:r>
        <w:rPr>
          <w:rStyle w:val="FootnoteAnchor"/>
          <w:rtl w:val="true"/>
        </w:rPr>
        <w:footnoteReference w:id="1743"/>
      </w:r>
      <w:r>
        <w:rPr>
          <w:rFonts w:ascii="Amiri" w:hAnsi="Amiri" w:eastAsia="Amiri" w:cs="Amiri"/>
          <w:color w:val="111111"/>
          <w:sz w:val="28"/>
          <w:sz w:val="28"/>
          <w:szCs w:val="28"/>
          <w:rtl w:val="true"/>
          <w:lang w:bidi="ar-SA"/>
        </w:rPr>
        <w:t xml:space="preserve">جماعة من المتأخّرين ، كشيخنا البهائي </w:t>
      </w:r>
      <w:r>
        <w:rPr>
          <w:rStyle w:val="FootnoteAnchor"/>
          <w:rtl w:val="true"/>
        </w:rPr>
        <w:footnoteReference w:id="1744"/>
      </w:r>
      <w:r>
        <w:rPr>
          <w:rFonts w:ascii="Amiri" w:hAnsi="Amiri" w:eastAsia="Amiri" w:cs="Amiri"/>
          <w:color w:val="111111"/>
          <w:sz w:val="28"/>
          <w:sz w:val="28"/>
          <w:szCs w:val="28"/>
          <w:rtl w:val="true"/>
          <w:lang w:bidi="ar-SA"/>
        </w:rPr>
        <w:t xml:space="preserve">، والمجلسي </w:t>
      </w:r>
      <w:r>
        <w:rPr>
          <w:rStyle w:val="FootnoteAnchor"/>
          <w:rtl w:val="true"/>
        </w:rPr>
        <w:footnoteReference w:id="1745"/>
      </w:r>
      <w:r>
        <w:rPr>
          <w:rFonts w:ascii="Amiri" w:hAnsi="Amiri" w:eastAsia="Amiri" w:cs="Amiri"/>
          <w:color w:val="111111"/>
          <w:sz w:val="28"/>
          <w:sz w:val="28"/>
          <w:szCs w:val="28"/>
          <w:rtl w:val="true"/>
          <w:lang w:bidi="ar-SA"/>
        </w:rPr>
        <w:t xml:space="preserve">، وصاحبي المدارك والذخيرة والوافي </w:t>
      </w:r>
      <w:r>
        <w:rPr>
          <w:rStyle w:val="FootnoteAnchor"/>
          <w:rtl w:val="true"/>
        </w:rPr>
        <w:footnoteReference w:id="1746"/>
      </w:r>
      <w:r>
        <w:rPr>
          <w:rFonts w:ascii="Amiri" w:hAnsi="Amiri" w:eastAsia="Amiri" w:cs="Amiri"/>
          <w:color w:val="111111"/>
          <w:sz w:val="28"/>
          <w:sz w:val="28"/>
          <w:szCs w:val="28"/>
          <w:rtl w:val="true"/>
          <w:lang w:bidi="ar-SA"/>
        </w:rPr>
        <w:t xml:space="preserve">، وغيرهم إلى الثاني ، وفاقا للمحكي عن ظاهر طائفة من القدماء ، كالصدوقين </w:t>
      </w:r>
      <w:r>
        <w:rPr>
          <w:rStyle w:val="FootnoteAnchor"/>
          <w:rtl w:val="true"/>
        </w:rPr>
        <w:footnoteReference w:id="1747"/>
      </w:r>
      <w:r>
        <w:rPr>
          <w:rFonts w:ascii="Amiri" w:hAnsi="Amiri" w:eastAsia="Amiri" w:cs="Amiri"/>
          <w:color w:val="111111"/>
          <w:sz w:val="28"/>
          <w:sz w:val="28"/>
          <w:szCs w:val="28"/>
          <w:rtl w:val="true"/>
          <w:lang w:bidi="ar-SA"/>
        </w:rPr>
        <w:t xml:space="preserve">، والقديمين </w:t>
      </w:r>
      <w:r>
        <w:rPr>
          <w:rStyle w:val="FootnoteAnchor"/>
          <w:rtl w:val="true"/>
        </w:rPr>
        <w:footnoteReference w:id="1748"/>
      </w:r>
      <w:r>
        <w:rPr>
          <w:rFonts w:ascii="Amiri" w:hAnsi="Amiri" w:eastAsia="Amiri" w:cs="Amiri"/>
          <w:color w:val="111111"/>
          <w:sz w:val="28"/>
          <w:sz w:val="28"/>
          <w:szCs w:val="28"/>
          <w:rtl w:val="true"/>
          <w:lang w:bidi="ar-SA"/>
        </w:rPr>
        <w:t xml:space="preserve">، وصاحب الإشارة </w:t>
      </w:r>
      <w:r>
        <w:rPr>
          <w:rStyle w:val="FootnoteAnchor"/>
          <w:rtl w:val="true"/>
        </w:rPr>
        <w:footnoteReference w:id="1749"/>
      </w:r>
      <w:r>
        <w:rPr>
          <w:rFonts w:ascii="Amiri" w:hAnsi="Amiri" w:eastAsia="Amiri" w:cs="Amiri"/>
          <w:color w:val="111111"/>
          <w:sz w:val="28"/>
          <w:sz w:val="28"/>
          <w:szCs w:val="28"/>
          <w:rtl w:val="true"/>
          <w:lang w:bidi="ar-SA"/>
        </w:rPr>
        <w:t xml:space="preserve">، وهو قويّ </w:t>
      </w:r>
    </w:p>
    <w:p>
      <w:pPr>
        <w:pStyle w:val="BookText"/>
        <w:rPr/>
      </w:pPr>
      <w:r>
        <w:rPr>
          <w:rFonts w:ascii="Amiri" w:hAnsi="Amiri" w:eastAsia="Amiri" w:cs="Amiri"/>
          <w:color w:val="111111"/>
          <w:sz w:val="28"/>
          <w:sz w:val="28"/>
          <w:szCs w:val="28"/>
          <w:rtl w:val="true"/>
          <w:lang w:bidi="ar-SA"/>
        </w:rPr>
        <w:t>جدّا ، وأمر الاحتياط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مسائل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عبارات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الابتداء بالأعلى في شي‌ء من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 للأصل ، والصحيحة المصرّحة باكتفاء الإمام بغسل ما بقي في ظهره بعد الإتمام من اللمعة </w:t>
      </w:r>
      <w:r>
        <w:rPr>
          <w:rStyle w:val="FootnoteAnchor"/>
          <w:rtl w:val="true"/>
        </w:rPr>
        <w:footnoteReference w:id="1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فيها تصريح أو ظهور في النسيان أو الغفلة المنافيين للعصمة ، إذ لعل الراوي ظنّ فراغه عن الغسل وإن لم يفرغ عليه السلام بعد ، وإن طالت المدّة ، لعدم اشتراط الموالاة 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في حسنة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صبّ على رأسه ثلاث أكف ، ثمَّ صبّ على منكبه الأيمن مرتين ، وعلى منكبه الأيسر مرتين </w:t>
      </w:r>
      <w:r>
        <w:rPr>
          <w:rFonts w:eastAsia="Amiri" w:cs="Amiri" w:ascii="Amiri" w:hAnsi="Amiri"/>
          <w:color w:val="111111"/>
          <w:sz w:val="28"/>
          <w:szCs w:val="28"/>
          <w:rtl w:val="true"/>
          <w:lang w:bidi="ar-SA"/>
        </w:rPr>
        <w:t xml:space="preserve">» </w:t>
      </w:r>
      <w:r>
        <w:rPr>
          <w:rStyle w:val="FootnoteAnchor"/>
          <w:rtl w:val="true"/>
        </w:rPr>
        <w:footnoteReference w:id="1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تغسل جسدك من لدن قرنك إلى قدميك </w:t>
      </w:r>
      <w:r>
        <w:rPr>
          <w:rFonts w:eastAsia="Amiri" w:cs="Amiri" w:ascii="Amiri" w:hAnsi="Amiri"/>
          <w:color w:val="111111"/>
          <w:sz w:val="28"/>
          <w:szCs w:val="28"/>
          <w:rtl w:val="true"/>
          <w:lang w:bidi="ar-SA"/>
        </w:rPr>
        <w:t xml:space="preserve">» </w:t>
      </w:r>
      <w:r>
        <w:rPr>
          <w:rStyle w:val="FootnoteAnchor"/>
          <w:rtl w:val="true"/>
        </w:rPr>
        <w:footnoteReference w:id="1752"/>
      </w:r>
      <w:r>
        <w:rPr>
          <w:rFonts w:ascii="Amiri" w:hAnsi="Amiri" w:eastAsia="Amiri" w:cs="Amiri"/>
          <w:color w:val="111111"/>
          <w:sz w:val="28"/>
          <w:sz w:val="28"/>
          <w:szCs w:val="28"/>
          <w:rtl w:val="true"/>
          <w:lang w:bidi="ar-SA"/>
        </w:rPr>
        <w:t>فلا يفيد الوجوب ، لكونه إخبارا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التقييد في الأولى بالمرّتين يمنع عن الحمل على الوجوب لو أفاده أيضا ، واحتمال إرادة تحديد المغسول في الثانية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السرّة والعورتين على القول بعدم الترتيب بين الجانبين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بالترتيب فيجب غسل كلّ نصف منهما مع الجانب الذي يليه مع زيادة شي‌ء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الاكتفاء بغسلهما مع أحد الجانبين ، لعدم الفصل المحسوس ، وامتناع إيجاب غسلهما مرتين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شمول الإجماعات المنقولة التي هي عمدة أدلّة ذلك القول لمثل ما نحن فيه غير معلوم ، ولذا اكتفى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أحد ناقلي الإجماع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بالغسل مع أحد الجانبين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 بالترتيب الواجب نسيانا أو جهلا يعيد على ما يحصله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واللمعة المغفلة تغسل مع الجانبين إن كانت في الرأس ، ومع الأيسر إن كانت في الأيمن على القول بالترتيب بينهما ، ووحدها على القول الآخر ، وكذا إن كانت في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الغسل بالارتماس و </w:t>
      </w:r>
      <w:r>
        <w:rPr>
          <w:rStyle w:val="FootnoteAnchor"/>
          <w:rtl w:val="true"/>
        </w:rPr>
        <w:footnoteReference w:id="1754"/>
      </w:r>
      <w:r>
        <w:rPr>
          <w:rFonts w:ascii="Amiri" w:hAnsi="Amiri" w:eastAsia="Amiri" w:cs="Amiri"/>
          <w:color w:val="111111"/>
          <w:sz w:val="28"/>
          <w:sz w:val="28"/>
          <w:szCs w:val="28"/>
          <w:rtl w:val="true"/>
          <w:lang w:bidi="ar-SA"/>
        </w:rPr>
        <w:t xml:space="preserve">الانغماس في الماء إجماعا ، للنصوص المستفيضة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الترتيب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أنّ رجلا ارتمس في الماء ارتماسة واحدة ، أجزأه ذلك وإن لم يدلك جسده </w:t>
      </w:r>
      <w:r>
        <w:rPr>
          <w:rFonts w:eastAsia="Amiri" w:cs="Amiri" w:ascii="Amiri" w:hAnsi="Amiri"/>
          <w:color w:val="111111"/>
          <w:sz w:val="28"/>
          <w:szCs w:val="28"/>
          <w:rtl w:val="true"/>
          <w:lang w:bidi="ar-SA"/>
        </w:rPr>
        <w:t xml:space="preserve">»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ارتمس الجنب في الماء ارتماسة واحدة ، أجزأه ذلك من غسله </w:t>
      </w:r>
      <w:r>
        <w:rPr>
          <w:rFonts w:eastAsia="Amiri" w:cs="Amiri" w:ascii="Amiri" w:hAnsi="Amiri"/>
          <w:color w:val="111111"/>
          <w:sz w:val="28"/>
          <w:szCs w:val="28"/>
          <w:rtl w:val="true"/>
          <w:lang w:bidi="ar-SA"/>
        </w:rPr>
        <w:t xml:space="preserve">»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صحيحته ، إلاّ أنّ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ارتمس </w:t>
      </w:r>
      <w:r>
        <w:rPr>
          <w:rFonts w:eastAsia="Amiri" w:cs="Amiri" w:ascii="Amiri" w:hAnsi="Amiri"/>
          <w:color w:val="111111"/>
          <w:sz w:val="28"/>
          <w:szCs w:val="28"/>
          <w:rtl w:val="true"/>
          <w:lang w:bidi="ar-SA"/>
        </w:rPr>
        <w:t xml:space="preserve">» </w:t>
      </w:r>
      <w:r>
        <w:rPr>
          <w:rStyle w:val="FootnoteAnchor"/>
          <w:rtl w:val="true"/>
        </w:rPr>
        <w:footnoteReference w:id="1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صريح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وحدة الارتماس عرفا في صحّة الغسل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المراد منها توالي غمس الأعضاء في الماء بحيث يتّحد الرمس ، وكذا زمان رمس الجميع عرفا كما هو المشهور؟ أو المراد منها عدم التفرقة بين الأعضاء في الغمس وحده ، بأن يغمس عضوا ثمَّ يخرجه ويغمس آخر مبنيا على سقوط التعدّد والترتيب ، حتى لو غمس رجله في الماء بعد ما نوى فصبر ساعة ، ثمَّ غمس عضوا </w:t>
      </w:r>
    </w:p>
    <w:p>
      <w:pPr>
        <w:pStyle w:val="BookText"/>
        <w:rPr/>
      </w:pPr>
      <w:r>
        <w:rPr>
          <w:rFonts w:ascii="Amiri" w:hAnsi="Amiri" w:eastAsia="Amiri" w:cs="Amiri"/>
          <w:color w:val="111111"/>
          <w:sz w:val="28"/>
          <w:sz w:val="28"/>
          <w:szCs w:val="28"/>
          <w:rtl w:val="true"/>
          <w:lang w:bidi="ar-SA"/>
        </w:rPr>
        <w:t xml:space="preserve">آخر ، وهكذا إلى أن يغطّى كلّه بالماء صحّ ، كما حكي عن بعض المحققين </w:t>
      </w:r>
      <w:r>
        <w:rPr>
          <w:rStyle w:val="FootnoteAnchor"/>
          <w:rtl w:val="true"/>
        </w:rPr>
        <w:footnoteReference w:id="1758"/>
      </w:r>
      <w:r>
        <w:rPr>
          <w:rFonts w:ascii="Amiri" w:hAnsi="Amiri" w:eastAsia="Amiri" w:cs="Amiri"/>
          <w:color w:val="111111"/>
          <w:sz w:val="28"/>
          <w:sz w:val="28"/>
          <w:szCs w:val="28"/>
          <w:rtl w:val="true"/>
          <w:lang w:bidi="ar-SA"/>
        </w:rPr>
        <w:t xml:space="preserve">، ومال إليه بعض المعاصرين </w:t>
      </w:r>
      <w:r>
        <w:rPr>
          <w:rStyle w:val="FootnoteAnchor"/>
          <w:rtl w:val="true"/>
        </w:rPr>
        <w:footnoteReference w:id="175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الحقّ هو الأوّل ، لأنّه الظاهر المتبادر من وحدة ارتماس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على الثاني يلغو قيد الوحدة ، إذ غمس كلّ عضو ليس غمس الجنب ، فلا يحصل غمسه حينئذ ، ويكفي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ارتمس 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قيد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قطع النظر عن ذلك ، فلا شك في قيام الاحتمالين ، فيجب الإتيان بالأول ، عملا بمقتضى الشغل اليقيني ، واستصحابا للجنابة وأحكامها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الظاهر كفاية الارتماسة الواحدة عرفا ، بأن لا يتخلّل بين غمس الأعضاء سكون محسوس وإن لم يكن في آن واحد حقيقة أو عرفا ، بل كان بحركة متّصلة بطيئة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ينافيها التخليل المتوقّف إيصال الماء إلى جميع البشرة عليه لو لم يؤخّره ، بل لا ينافي الدفعة العرفية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مقارنة النية لابتداء الشروع في الارتماس للغسل ، فلا يصح ما عن الألفية من صحة الغسل مع التأنّي لو قارنت النية الانغماس التام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اشتراط الوحدة بالمعنى الأول يستلزم اشتراطها بالمعنى الثاني ، إذ انتفاء الثاني يوجب انتفاء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فرّق الأعضاء في الرمس في الارتماسي ، لم يكن غسله صحيحا ، لانتفاء الوحدة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يصح ذلك في الترتيبي بأن يغمس رأسه أوّلا في الماء ثمَّ الأيمن ثمَّ </w:t>
      </w:r>
    </w:p>
    <w:p>
      <w:pPr>
        <w:pStyle w:val="BookText"/>
        <w:rPr/>
      </w:pPr>
      <w:r>
        <w:rPr>
          <w:rFonts w:ascii="Amiri" w:hAnsi="Amiri" w:eastAsia="Amiri" w:cs="Amiri"/>
          <w:color w:val="111111"/>
          <w:sz w:val="28"/>
          <w:sz w:val="28"/>
          <w:szCs w:val="28"/>
          <w:rtl w:val="true"/>
          <w:lang w:bidi="ar-SA"/>
        </w:rPr>
        <w:t>الأيسر ، أو يصبّ على رأسه ثمَّ غمس الجانبين ، أم لا ، بل يشترط في الترتيبي خروج العضو من الماء وصبّه عليه؟</w:t>
      </w:r>
    </w:p>
    <w:p>
      <w:pPr>
        <w:pStyle w:val="BookText"/>
        <w:rPr/>
      </w:pPr>
      <w:r>
        <w:rPr>
          <w:rFonts w:ascii="Amiri" w:hAnsi="Amiri" w:eastAsia="Amiri" w:cs="Amiri"/>
          <w:color w:val="111111"/>
          <w:sz w:val="28"/>
          <w:sz w:val="28"/>
          <w:szCs w:val="28"/>
          <w:rtl w:val="true"/>
          <w:lang w:bidi="ar-SA"/>
        </w:rPr>
        <w:t xml:space="preserve">المذكور في كلام أكثر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الغسل الترتيبي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الصبّ أو ما بمعناه من الإفاضة أو الوضع على العضو ، ككلام الإسكافي </w:t>
      </w:r>
      <w:r>
        <w:rPr>
          <w:rStyle w:val="FootnoteAnchor"/>
          <w:rtl w:val="true"/>
        </w:rPr>
        <w:footnoteReference w:id="1761"/>
      </w:r>
      <w:r>
        <w:rPr>
          <w:rFonts w:ascii="Amiri" w:hAnsi="Amiri" w:eastAsia="Amiri" w:cs="Amiri"/>
          <w:color w:val="111111"/>
          <w:sz w:val="28"/>
          <w:sz w:val="28"/>
          <w:szCs w:val="28"/>
          <w:rtl w:val="true"/>
          <w:lang w:bidi="ar-SA"/>
        </w:rPr>
        <w:t xml:space="preserve">، والنهاية والمقنعة للشيخين ، والهداية للصدوق ، والوسيلة والمراسم وغيرها </w:t>
      </w:r>
      <w:r>
        <w:rPr>
          <w:rStyle w:val="FootnoteAnchor"/>
          <w:rtl w:val="true"/>
        </w:rPr>
        <w:footnoteReference w:id="1762"/>
      </w:r>
      <w:r>
        <w:rPr>
          <w:rFonts w:ascii="Amiri" w:hAnsi="Amiri" w:eastAsia="Amiri" w:cs="Amiri"/>
          <w:color w:val="111111"/>
          <w:sz w:val="28"/>
          <w:sz w:val="28"/>
          <w:szCs w:val="28"/>
          <w:rtl w:val="true"/>
          <w:lang w:bidi="ar-SA"/>
        </w:rPr>
        <w:t xml:space="preserve">، بل في مجالس الصدوق في وصف دين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الغسل من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يضع على رأسه ثلاث أكف من الماء ، ويميّز الشعر بأنامله حتى يبلغ الماء أصول الشعر كلّه ، ثمَّ يتناول الإناء بيده ويصبّه على رأسه وبدنه </w:t>
      </w:r>
      <w:r>
        <w:rPr>
          <w:rStyle w:val="FootnoteAnchor"/>
          <w:rtl w:val="true"/>
        </w:rPr>
        <w:footnoteReference w:id="1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الأدلّة وجوب الصب واعتباره ، إذ جميع أخبار الترتيب ، الواردة في بيان مهيّة الغسل مصرّحة بالصبّ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بذلك بعض أجلّة المتأخّرين في شرحه على القواعد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الترتيب منحصرة في الصب </w:t>
      </w:r>
      <w:r>
        <w:rPr>
          <w:rStyle w:val="FootnoteAnchor"/>
          <w:rtl w:val="true"/>
        </w:rPr>
        <w:footnoteReference w:id="1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انحصارها به لا وجه للتعدّي ، بل منها ما هو صريح في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حكم بن حكيم في غسل الجنابة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أفض على رأسك وجسدك </w:t>
      </w:r>
      <w:r>
        <w:rPr>
          <w:rFonts w:eastAsia="Amiri" w:cs="Amiri" w:ascii="Amiri" w:hAnsi="Amiri"/>
          <w:color w:val="111111"/>
          <w:sz w:val="28"/>
          <w:szCs w:val="28"/>
          <w:rtl w:val="true"/>
          <w:lang w:bidi="ar-SA"/>
        </w:rPr>
        <w:t xml:space="preserve">»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حريز ،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أفض على سائر جسدك </w:t>
      </w:r>
      <w:r>
        <w:rPr>
          <w:rFonts w:eastAsia="Amiri" w:cs="Amiri" w:ascii="Amiri" w:hAnsi="Amiri"/>
          <w:color w:val="111111"/>
          <w:sz w:val="28"/>
          <w:szCs w:val="28"/>
          <w:rtl w:val="true"/>
          <w:lang w:bidi="ar-SA"/>
        </w:rPr>
        <w:t xml:space="preserve">»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 على رأسك ثلاث </w:t>
      </w:r>
    </w:p>
    <w:p>
      <w:pPr>
        <w:pStyle w:val="BookText"/>
        <w:rPr/>
      </w:pPr>
      <w:r>
        <w:rPr>
          <w:rFonts w:ascii="Amiri" w:hAnsi="Amiri" w:eastAsia="Amiri" w:cs="Amiri"/>
          <w:color w:val="111111"/>
          <w:sz w:val="28"/>
          <w:sz w:val="28"/>
          <w:szCs w:val="28"/>
          <w:rtl w:val="true"/>
          <w:lang w:bidi="ar-SA"/>
        </w:rPr>
        <w:t xml:space="preserve">أكف ، وعن يمينك وعن يسارك </w:t>
      </w:r>
      <w:r>
        <w:rPr>
          <w:rFonts w:eastAsia="Amiri" w:cs="Amiri" w:ascii="Amiri" w:hAnsi="Amiri"/>
          <w:color w:val="111111"/>
          <w:sz w:val="28"/>
          <w:szCs w:val="28"/>
          <w:rtl w:val="true"/>
          <w:lang w:bidi="ar-SA"/>
        </w:rPr>
        <w:t xml:space="preserve">»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الوصف بالواحدة في حسنة الحلبي وصحيحته المتقدّمتين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فلا ينبغي الريب في اعتبار الصبّ في الترتيبي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لصريح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اللوامع ، فقال بصحة الترتيبي برمس الأعضاء ترتيبا ، وبه يفتي جمع ممّن عاصرناهم وبعض من مشايخنا </w:t>
      </w:r>
      <w:r>
        <w:rPr>
          <w:rStyle w:val="FootnoteAnchor"/>
          <w:rtl w:val="true"/>
        </w:rPr>
        <w:footnoteReference w:id="1769"/>
      </w:r>
      <w:r>
        <w:rPr>
          <w:rFonts w:ascii="Amiri" w:hAnsi="Amiri" w:eastAsia="Amiri" w:cs="Amiri"/>
          <w:color w:val="111111"/>
          <w:sz w:val="28"/>
          <w:sz w:val="28"/>
          <w:szCs w:val="28"/>
          <w:rtl w:val="true"/>
          <w:lang w:bidi="ar-SA"/>
        </w:rPr>
        <w:t>، تمسّكا ببعض إطلاقات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غريب غايته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ظهوره في الصب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بالنسبة إلى أخبار الترتيب ، فكما يقيّد بالترتيب لأخباره فيجب تقييده بالصب أيضا ، لتضمّن أخبار الترتيب له ، مع أنّ الغسل مطلق بالنسبة إلى نفس الصب أيضا ، فتقييده به لازم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بالصب الغسل ، من غرائب الدعاوي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والتمسّك بإطلاق قول الفقهاء بوجوب غسل الرأس والجسد من غير تقييد بالصبّ أو الإفاضة ،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الإطلاق إنّما هو في كلام جماعة من اللاحقين ، وأمّا القدماء فكلام كلّهم أو 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بالصب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فأيّ حجة في إطلاق بعض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مع تصريح الصدوق بأنّ من دين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وشيوعه في زمن الحج بحيث يحدس بأنّهم لا يغسلون ترتيبا إلاّ بالصب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المعتبر صدق أنّه ارتمس أو اغتمس في الماء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 فيه وغاص وكتم ، كما فسّرهما اللغويّون بها </w:t>
      </w:r>
      <w:r>
        <w:rPr>
          <w:rStyle w:val="FootnoteAnchor"/>
          <w:rtl w:val="true"/>
        </w:rPr>
        <w:footnoteReference w:id="1770"/>
      </w:r>
      <w:r>
        <w:rPr>
          <w:rFonts w:ascii="Amiri" w:hAnsi="Amiri" w:eastAsia="Amiri" w:cs="Amiri"/>
          <w:color w:val="111111"/>
          <w:sz w:val="28"/>
          <w:sz w:val="28"/>
          <w:szCs w:val="28"/>
          <w:rtl w:val="true"/>
          <w:lang w:bidi="ar-SA"/>
        </w:rPr>
        <w:t xml:space="preserve">، بحيث صدق ذلك في العرف ، لأنّه المرجع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معرفة المعاني في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أنّه لا يتوقّف على إلقاء نفسه في الماء بعد خروج جميع بدنه منه ، كما قاله بعض المتأخّرين </w:t>
      </w:r>
      <w:r>
        <w:rPr>
          <w:rStyle w:val="FootnoteAnchor"/>
          <w:rtl w:val="true"/>
        </w:rPr>
        <w:footnoteReference w:id="1771"/>
      </w:r>
      <w:r>
        <w:rPr>
          <w:rFonts w:ascii="Amiri" w:hAnsi="Amiri" w:eastAsia="Amiri" w:cs="Amiri"/>
          <w:color w:val="111111"/>
          <w:sz w:val="28"/>
          <w:sz w:val="28"/>
          <w:szCs w:val="28"/>
          <w:rtl w:val="true"/>
          <w:lang w:bidi="ar-SA"/>
        </w:rPr>
        <w:t xml:space="preserve">، بل لو كان نصف جسده بل أزيد داخلا فيه وغاص في الماء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ارتمس ومقل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ورد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الذباب في طعامكم فامقلوه ، فإنّ في أحد جناحيه شفاء وفي الآخر سمّا ، يقدّم الذي فيه السم </w:t>
      </w:r>
      <w:r>
        <w:rPr>
          <w:rFonts w:eastAsia="Amiri" w:cs="Amiri" w:ascii="Amiri" w:hAnsi="Amiri"/>
          <w:color w:val="111111"/>
          <w:sz w:val="28"/>
          <w:szCs w:val="28"/>
          <w:rtl w:val="true"/>
          <w:lang w:bidi="ar-SA"/>
        </w:rPr>
        <w:t xml:space="preserve">» </w:t>
      </w:r>
      <w:r>
        <w:rPr>
          <w:rStyle w:val="FootnoteAnchor"/>
          <w:rtl w:val="true"/>
        </w:rPr>
        <w:footnoteReference w:id="1772"/>
      </w:r>
      <w:r>
        <w:rPr>
          <w:rFonts w:ascii="Amiri" w:hAnsi="Amiri" w:eastAsia="Amiri" w:cs="Amiri"/>
          <w:color w:val="111111"/>
          <w:sz w:val="28"/>
          <w:sz w:val="28"/>
          <w:szCs w:val="28"/>
          <w:rtl w:val="true"/>
          <w:lang w:bidi="ar-SA"/>
        </w:rPr>
        <w:t>فأمر بمقل الذباب مع تحقّق المقل بالنسبة إلى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الوحدة ، لأنّ المراد وحدة ارتماس الشخص في إدخال ما يتوقّف صدق الارتماس عليه في الماء ، ولا شك أنّ مثل هذا الشخص ارتمس عرفا ارتماسة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الظاهر اعتبار خروج الرأس والرقبة ، بل الأحوط خروج بعض آخر أيضا ، حتى يصدق عرفا أنّه ارتمس بعد ما لم يكن كذلك ، فإنّه هو الظاهر المتبادر من الحديث ، فلا يحكم بصحة غسل من كان منغمسا في الماء ، فنوى وخرج ، أو تحرّك إلى جانب آخر ، وإن ادّعى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صحة الغسل وإن لم يخرج شي‌ء من الأعضاء</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يجب على من كان بعضه في الماء أن يحرّك قدمه حتى يصل الماء المتجدّد حال الارتماسة الواحدة تحت قدميه ، لا لتوقّف صدق الارتماسة الواحدة عليه ، بل لوجوب إيصال ماء الغسل إلى كلّ جزء من بدنه بالإجماع والنصوص ، فلا يفيد وصول الماء قبل ذلك الارتماس إلى جزء ، وهو الظاهر ، ولا بعد تمام الارتماس الواحد ، لأنّه ليس ماء الغسل ، بل هو منحصر بماء الارتماسة ، ولذا يحكم بوجوب كون التخليل فيما يحتاج إليه في تلك الحالة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ولذا لو أغفل موضعا في الارتماسي حتى انقضت الارتماسة الواحدة ، يستأنف الغسل عند الفاضل في المنتهى ، ووالده </w:t>
      </w:r>
      <w:r>
        <w:rPr>
          <w:rStyle w:val="FootnoteAnchor"/>
          <w:rtl w:val="true"/>
        </w:rPr>
        <w:footnoteReference w:id="1773"/>
      </w:r>
      <w:r>
        <w:rPr>
          <w:rFonts w:ascii="Amiri" w:hAnsi="Amiri" w:eastAsia="Amiri" w:cs="Amiri"/>
          <w:color w:val="111111"/>
          <w:sz w:val="28"/>
          <w:sz w:val="28"/>
          <w:szCs w:val="28"/>
          <w:rtl w:val="true"/>
          <w:lang w:bidi="ar-SA"/>
        </w:rPr>
        <w:t xml:space="preserve">، والدروس ، والبيان </w:t>
      </w:r>
      <w:r>
        <w:rPr>
          <w:rStyle w:val="FootnoteAnchor"/>
          <w:rtl w:val="true"/>
        </w:rPr>
        <w:footnoteReference w:id="1774"/>
      </w:r>
      <w:r>
        <w:rPr>
          <w:rFonts w:ascii="Amiri" w:hAnsi="Amiri" w:eastAsia="Amiri" w:cs="Amiri"/>
          <w:color w:val="111111"/>
          <w:sz w:val="28"/>
          <w:sz w:val="28"/>
          <w:szCs w:val="28"/>
          <w:rtl w:val="true"/>
          <w:lang w:bidi="ar-SA"/>
        </w:rPr>
        <w:t xml:space="preserve">، وإن خالف فيه في القواعد </w:t>
      </w:r>
      <w:r>
        <w:rPr>
          <w:rStyle w:val="FootnoteAnchor"/>
          <w:rtl w:val="true"/>
        </w:rPr>
        <w:footnoteReference w:id="1775"/>
      </w:r>
      <w:r>
        <w:rPr>
          <w:rFonts w:ascii="Amiri" w:hAnsi="Amiri" w:eastAsia="Amiri" w:cs="Amiri"/>
          <w:color w:val="111111"/>
          <w:sz w:val="28"/>
          <w:sz w:val="28"/>
          <w:szCs w:val="28"/>
          <w:rtl w:val="true"/>
          <w:lang w:bidi="ar-SA"/>
        </w:rPr>
        <w:t>، فيكتفي بغسل اللمعة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 لترك الاستفصال المفيد للعموم في صحيحة زرارة ، المتقدّمة </w:t>
      </w:r>
      <w:r>
        <w:rPr>
          <w:rStyle w:val="FootnoteAnchor"/>
          <w:rtl w:val="true"/>
        </w:rPr>
        <w:footnoteReference w:id="1776"/>
      </w:r>
      <w:r>
        <w:rPr>
          <w:rFonts w:ascii="Amiri" w:hAnsi="Amiri" w:eastAsia="Amiri" w:cs="Amiri"/>
          <w:color w:val="111111"/>
          <w:sz w:val="28"/>
          <w:sz w:val="28"/>
          <w:szCs w:val="28"/>
          <w:rtl w:val="true"/>
          <w:lang w:bidi="ar-SA"/>
        </w:rPr>
        <w:t>المتضمّنة لحكم من ترك بعض ذراعه أو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قولان آخران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يكتفي بغسلها وما بعدها ، وكأنّه مبني على ترتب الارتماس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يستأنف مع طول الزمان ، ويغسلها مع قصره ، ولعلّ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الدفعة العرفية مع طوله ، وصدقها مع قصره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دليل عليه ، بل عدم معنى محصّل له ، بل بطلان المبني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صدق الدفعة وعدم كفايتها مطلقا ، بل لا بدّ من غسل الجميع بالارتماسة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وجوب وصول الماء إلى جميع الأعضاء حال دخول الجميع في الماء ، فلو خرجت رجله من الماء غمرت في الوحل قبل دخول رأسه أو بالعكس ، أجزأ على إشكال في الأخير ، لصدق غسل الجميع بالارتماسة الواحدة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الغسل تحت المطر بلا خلاف يعرف ، لصحيحة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يجنب هل يجزيه من غسل الجنابة أن يقوم في المطر حتى يغسل رأسه وجسده ، وهو يقدر على ما سوى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يغسله اغتساله بالماء ، </w:t>
      </w:r>
    </w:p>
    <w:p>
      <w:pPr>
        <w:pStyle w:val="BookText"/>
        <w:rPr/>
      </w:pPr>
      <w:r>
        <w:rPr>
          <w:rFonts w:ascii="Amiri" w:hAnsi="Amiri" w:eastAsia="Amiri" w:cs="Amiri"/>
          <w:color w:val="111111"/>
          <w:sz w:val="28"/>
          <w:sz w:val="28"/>
          <w:szCs w:val="28"/>
          <w:rtl w:val="true"/>
          <w:lang w:bidi="ar-SA"/>
        </w:rPr>
        <w:t xml:space="preserve">أجزأه ذلك </w:t>
      </w:r>
      <w:r>
        <w:rPr>
          <w:rFonts w:eastAsia="Amiri" w:cs="Amiri" w:ascii="Amiri" w:hAnsi="Amiri"/>
          <w:color w:val="111111"/>
          <w:sz w:val="28"/>
          <w:szCs w:val="28"/>
          <w:rtl w:val="true"/>
          <w:lang w:bidi="ar-SA"/>
        </w:rPr>
        <w:t xml:space="preserve">»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أصابته جنابة فقام في المطر حتى سال على جسده ، أيجزيه ذلك من الغسل؟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يجب فيه الترتيب كما عن الحلّي </w:t>
      </w:r>
      <w:r>
        <w:rPr>
          <w:rStyle w:val="FootnoteAnchor"/>
          <w:rtl w:val="true"/>
        </w:rPr>
        <w:footnoteReference w:id="1779"/>
      </w:r>
      <w:r>
        <w:rPr>
          <w:rFonts w:ascii="IRNazanin" w:hAnsi="IRNazanin" w:eastAsia="IRNazanin"/>
          <w:color w:val="111111"/>
          <w:sz w:val="28"/>
          <w:sz w:val="28"/>
          <w:szCs w:val="28"/>
          <w:rtl w:val="true"/>
          <w:lang w:bidi="fa-IR"/>
        </w:rPr>
        <w:t xml:space="preserve">والمعتبر </w:t>
      </w:r>
      <w:r>
        <w:rPr>
          <w:rStyle w:val="FootnoteAnchor"/>
          <w:rtl w:val="true"/>
        </w:rPr>
        <w:footnoteReference w:id="1780"/>
      </w:r>
      <w:r>
        <w:rPr>
          <w:rFonts w:ascii="Amiri" w:hAnsi="Amiri" w:eastAsia="Amiri" w:cs="Amiri"/>
          <w:color w:val="111111"/>
          <w:sz w:val="28"/>
          <w:sz w:val="28"/>
          <w:szCs w:val="28"/>
          <w:rtl w:val="true"/>
          <w:lang w:bidi="ar-SA"/>
        </w:rPr>
        <w:t xml:space="preserve">؟ أو لا ، بل يجري مجرى الارتماس أيضا مع غزارة المطر ، كما عن المقنعة </w:t>
      </w:r>
      <w:r>
        <w:rPr>
          <w:rStyle w:val="FootnoteAnchor"/>
          <w:rtl w:val="true"/>
        </w:rPr>
        <w:footnoteReference w:id="1781"/>
      </w:r>
      <w:r>
        <w:rPr>
          <w:rFonts w:ascii="IRNazanin" w:hAnsi="IRNazanin" w:eastAsia="IRNazanin"/>
          <w:color w:val="111111"/>
          <w:sz w:val="28"/>
          <w:sz w:val="28"/>
          <w:szCs w:val="28"/>
          <w:rtl w:val="true"/>
          <w:lang w:bidi="fa-IR"/>
        </w:rPr>
        <w:t xml:space="preserve">والإصباح وظاهر الاقتصاد والمبسوط </w:t>
      </w:r>
      <w:r>
        <w:rPr>
          <w:rStyle w:val="FootnoteAnchor"/>
          <w:rtl w:val="true"/>
        </w:rPr>
        <w:footnoteReference w:id="1782"/>
      </w:r>
      <w:r>
        <w:rPr>
          <w:rFonts w:ascii="Amiri" w:hAnsi="Amiri" w:eastAsia="Amiri" w:cs="Amiri"/>
          <w:color w:val="111111"/>
          <w:sz w:val="28"/>
          <w:sz w:val="28"/>
          <w:szCs w:val="28"/>
          <w:rtl w:val="true"/>
          <w:lang w:bidi="ar-SA"/>
        </w:rPr>
        <w:t xml:space="preserve">وجملة من كتب الفاضل </w:t>
      </w:r>
      <w:r>
        <w:rPr>
          <w:rStyle w:val="FootnoteAnchor"/>
          <w:rtl w:val="true"/>
        </w:rPr>
        <w:footnoteReference w:id="1783"/>
      </w:r>
      <w:r>
        <w:rPr>
          <w:rFonts w:ascii="Amiri" w:hAnsi="Amiri" w:eastAsia="Amiri" w:cs="Amiri"/>
          <w:color w:val="111111"/>
          <w:sz w:val="28"/>
          <w:sz w:val="28"/>
          <w:szCs w:val="28"/>
          <w:rtl w:val="true"/>
          <w:lang w:bidi="ar-SA"/>
        </w:rPr>
        <w:t xml:space="preserve">، واختاره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إلى الأكثر؟</w:t>
      </w:r>
    </w:p>
    <w:p>
      <w:pPr>
        <w:pStyle w:val="BookText"/>
        <w:rPr/>
      </w:pPr>
      <w:r>
        <w:rPr>
          <w:rFonts w:ascii="Amiri" w:hAnsi="Amiri" w:eastAsia="Amiri" w:cs="Amiri"/>
          <w:color w:val="111111"/>
          <w:sz w:val="28"/>
          <w:sz w:val="28"/>
          <w:szCs w:val="28"/>
          <w:rtl w:val="true"/>
          <w:lang w:bidi="ar-SA"/>
        </w:rPr>
        <w:t xml:space="preserve">الظاهر الثاني ، لإطلاق الروايتين ، الخالي عن التقييد ، لما عرفت من عدم دلالة غير حسنة زرارة والرضوي </w:t>
      </w:r>
      <w:r>
        <w:rPr>
          <w:rStyle w:val="FootnoteAnchor"/>
          <w:rtl w:val="true"/>
        </w:rPr>
        <w:footnoteReference w:id="1784"/>
      </w:r>
      <w:r>
        <w:rPr>
          <w:rFonts w:ascii="Amiri" w:hAnsi="Amiri" w:eastAsia="Amiri" w:cs="Amiri"/>
          <w:color w:val="111111"/>
          <w:sz w:val="28"/>
          <w:sz w:val="28"/>
          <w:szCs w:val="28"/>
          <w:rtl w:val="true"/>
          <w:lang w:bidi="ar-SA"/>
        </w:rPr>
        <w:t>على الوجوب ، مع أنّه يتضمّن مثل الصب والإفاضة الذي هو فعل المكلّف ، فلا يشمل المورد</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هما ، فالرضوي لضعفه الخالي عن الجابر في المقام غير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والحسنة لدلالتها على ترك الرأس إلى أن يفرغ من الغسل ، بل على تأخير إرادة غسل الرأس 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مفيدة ، لجواز أن يكون لا بدّية إعادة الغسل في المورد الذي يحكمون فيه بعدم الترتيب لأجل ذلك التأخير ، حيث إنّ كلّ من يقول بعدم وجوب الترتيب هنا يجريه مجرى الارتماس في لزوم غسل جميع البدن دفعة عرفية متواليا من غير تراخ ، ولذا قيدوا المطر بالغزير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فيبقى إطلاق الروايتين خاليا عمّا يوجب تقييده في محلّ النزاع وإن قيّد بالترتيب في صورة عدم غزارة المطر بالإجماع بل الرضوي المنجبر ، وبالدفعة العرفية مع غزارته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على فرض دلالة الخبرين يتعارضان مع روايتي المطر بالعموم من وجه ، والمرجع إلى إطلاقات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أخبار الارتماس فغير جارية هنا قطعا ، لعدم تحقّق الارتماس فيه وإن كثرت الغزارة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منافاة الروايتين للترتيب ، فلا يخرج عن مقتضى أدلّته ، بل دلالة الصحيحة على ثبوته ، إذ لا يمكن أن يكون المراد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اغتساله بالماء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المماثلة في الجريان ، لتضمّن السؤال للغسل المستلزم إيّاه ، فيكون في الكيفية التي منها الترتيب والارتماس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غير ممكن في المورد ، فيكون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عدم نهوض أخبار الترتيب في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في الصحيحة إنّما يصح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w:t>
      </w:r>
      <w:r>
        <w:rPr>
          <w:rStyle w:val="FootnoteAnchor"/>
          <w:rtl w:val="true"/>
        </w:rPr>
        <w:footnoteReference w:id="1785"/>
      </w:r>
      <w:r>
        <w:rPr>
          <w:rFonts w:ascii="Amiri" w:hAnsi="Amiri" w:eastAsia="Amiri" w:cs="Amiri"/>
          <w:color w:val="111111"/>
          <w:sz w:val="28"/>
          <w:sz w:val="28"/>
          <w:szCs w:val="28"/>
          <w:rtl w:val="true"/>
          <w:lang w:bidi="ar-SA"/>
        </w:rPr>
        <w:t xml:space="preserve">اغتساله بالماء ، وإنّما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المستند إلى المطر ، ولا معنى لاستناد الترتيب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تكون المماثلة في شمول جميع أجزاء البدن والوصول إليه من أصول الشعور ونحوها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إلحاق الميزاب وشبهه بالمطر في انتفاء الترتيب مع الغزارة المستلزمة للدفعة العرفية بحسبها ، لا للقياس بالمطر ، بل لعدم شمول أدلّة الترتيب ، كما مرّ</w:t>
      </w:r>
      <w:r>
        <w:rPr>
          <w:rFonts w:eastAsia="Amiri" w:cs="Amiri" w:ascii="Amiri" w:hAnsi="Amiri"/>
          <w:color w:val="111111"/>
          <w:sz w:val="28"/>
          <w:szCs w:val="28"/>
          <w:rtl w:val="true"/>
          <w:lang w:bidi="ar-SA"/>
        </w:rPr>
        <w:t xml:space="preserve">. </w:t>
      </w:r>
      <w:bookmarkStart w:id="121" w:name="pg11612_110969"/>
    </w:p>
    <w:p>
      <w:pPr>
        <w:pStyle w:val="Heading5"/>
        <w:numPr>
          <w:ilvl w:val="4"/>
          <w:numId w:val="1"/>
        </w:numPr>
        <w:rPr/>
      </w:pPr>
      <w:bookmarkStart w:id="122" w:name="__RefHeading___Toc5524395_73709187"/>
      <w:bookmarkStart w:id="123" w:name="_Toc46"/>
      <w:bookmarkEnd w:id="121"/>
      <w:bookmarkEnd w:id="122"/>
      <w:r>
        <w:rPr>
          <w:rtl w:val="true"/>
        </w:rPr>
        <w:t xml:space="preserve">البحث الخامس </w:t>
      </w:r>
      <w:r>
        <w:rPr>
          <w:rtl w:val="true"/>
        </w:rPr>
        <w:t xml:space="preserve">: </w:t>
      </w:r>
      <w:r>
        <w:rPr>
          <w:rtl w:val="true"/>
        </w:rPr>
        <w:t>في آداب غسل الجنابة وسننه</w:t>
      </w:r>
      <w:bookmarkEnd w:id="123"/>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إمرار اليد على ما جرى عليه الماء من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للرضوي المتقدّم في مسألة ترتيب الجانبين </w:t>
      </w:r>
      <w:r>
        <w:rPr>
          <w:rStyle w:val="FootnoteAnchor"/>
          <w:rtl w:val="true"/>
        </w:rPr>
        <w:footnoteReference w:id="1786"/>
      </w:r>
      <w:r>
        <w:rPr>
          <w:rFonts w:ascii="Amiri" w:hAnsi="Amiri" w:eastAsia="Amiri" w:cs="Amiri"/>
          <w:color w:val="111111"/>
          <w:sz w:val="28"/>
          <w:sz w:val="28"/>
          <w:szCs w:val="28"/>
          <w:rtl w:val="true"/>
          <w:lang w:bidi="ar-SA"/>
        </w:rPr>
        <w:t xml:space="preserve">، كما قيل </w:t>
      </w:r>
      <w:r>
        <w:rPr>
          <w:rStyle w:val="FootnoteAnchor"/>
          <w:rtl w:val="true"/>
        </w:rPr>
        <w:footnoteReference w:id="1787"/>
      </w:r>
      <w:r>
        <w:rPr>
          <w:rFonts w:ascii="Amiri" w:hAnsi="Amiri" w:eastAsia="Amiri" w:cs="Amiri"/>
          <w:color w:val="111111"/>
          <w:sz w:val="28"/>
          <w:sz w:val="28"/>
          <w:szCs w:val="28"/>
          <w:rtl w:val="true"/>
          <w:lang w:bidi="ar-SA"/>
        </w:rPr>
        <w:t>، لأنّ المسح المذكور فيه إنّما هو لإيصال الماء المصبوب على الصدر إلى البدن ، ولذا قيّده بالسائر ، وهو غير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للاستظهار ، لأنّ مع يقين الوصول لا استظهار ، ومع عدمه إلاّ بإمرار اليد يجب ، ولا يكفي الظن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الاستدلال به في الجملة فيما اكتفى فيه بظن الأصل كأصالة عدم الحائل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للإجماع المنقول عن الخلاف والتذكرة وظاهر المعتبر والمنتهى </w:t>
      </w:r>
      <w:r>
        <w:rPr>
          <w:rStyle w:val="FootnoteAnchor"/>
          <w:rtl w:val="true"/>
        </w:rPr>
        <w:footnoteReference w:id="1788"/>
      </w:r>
      <w:r>
        <w:rPr>
          <w:rFonts w:ascii="Amiri" w:hAnsi="Amiri" w:eastAsia="Amiri" w:cs="Amiri"/>
          <w:color w:val="111111"/>
          <w:sz w:val="28"/>
          <w:sz w:val="28"/>
          <w:szCs w:val="28"/>
          <w:rtl w:val="true"/>
          <w:lang w:bidi="ar-SA"/>
        </w:rPr>
        <w:t xml:space="preserve">، وصحيحة زرارة المتقدّمة في صدر مسألة الارتماس </w:t>
      </w:r>
      <w:r>
        <w:rPr>
          <w:rStyle w:val="FootnoteAnchor"/>
          <w:rtl w:val="true"/>
        </w:rPr>
        <w:footnoteReference w:id="1789"/>
      </w:r>
      <w:r>
        <w:rPr>
          <w:rFonts w:ascii="Amiri" w:hAnsi="Amiri" w:eastAsia="Amiri" w:cs="Amiri"/>
          <w:color w:val="111111"/>
          <w:sz w:val="28"/>
          <w:sz w:val="28"/>
          <w:szCs w:val="28"/>
          <w:rtl w:val="true"/>
          <w:lang w:bidi="ar-SA"/>
        </w:rPr>
        <w:t xml:space="preserve">، حيث دلّت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الوصلية على أولوية الدلك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هي في الارتماسي ، لإيجابه انتفاء الدفعة المعتبرة فيه ، بل عدم إمكان ذلك الجمع تحت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في الترتيبي ، ويكون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 ذلك وإن أوجب انتفاء الدلك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اختصاص الاستحباب هنا بالترتيبي ، وقد صرّح به بعض مشايخنا أيضا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 لفتوى جمع من الأصحاب </w:t>
      </w:r>
      <w:r>
        <w:rPr>
          <w:rStyle w:val="FootnoteAnchor"/>
          <w:rtl w:val="true"/>
        </w:rPr>
        <w:footnoteReference w:id="1790"/>
      </w:r>
      <w:r>
        <w:rPr>
          <w:rFonts w:ascii="Amiri" w:hAnsi="Amiri" w:eastAsia="Amiri" w:cs="Amiri"/>
          <w:color w:val="111111"/>
          <w:sz w:val="28"/>
          <w:sz w:val="28"/>
          <w:szCs w:val="28"/>
          <w:rtl w:val="true"/>
          <w:lang w:bidi="ar-SA"/>
        </w:rPr>
        <w:t xml:space="preserve">، وعموم آيات المسارعة </w:t>
      </w:r>
    </w:p>
    <w:p>
      <w:pPr>
        <w:pStyle w:val="BookText"/>
        <w:rPr/>
      </w:pPr>
      <w:r>
        <w:rPr>
          <w:rFonts w:ascii="IRNazanin" w:hAnsi="IRNazanin" w:eastAsia="IRNazanin"/>
          <w:color w:val="111111"/>
          <w:sz w:val="28"/>
          <w:sz w:val="28"/>
          <w:szCs w:val="28"/>
          <w:rtl w:val="true"/>
          <w:lang w:bidi="fa-IR"/>
        </w:rPr>
        <w:t xml:space="preserve">والاستباق </w:t>
      </w:r>
      <w:r>
        <w:rPr>
          <w:rStyle w:val="FootnoteAnchor"/>
          <w:rtl w:val="true"/>
        </w:rPr>
        <w:footnoteReference w:id="1791"/>
      </w:r>
      <w:r>
        <w:rPr>
          <w:rFonts w:ascii="Amiri" w:hAnsi="Amiri" w:eastAsia="Amiri" w:cs="Amiri"/>
          <w:color w:val="111111"/>
          <w:sz w:val="28"/>
          <w:sz w:val="28"/>
          <w:szCs w:val="28"/>
          <w:rtl w:val="true"/>
          <w:lang w:bidi="ar-SA"/>
        </w:rPr>
        <w:t>، وكراهة الكون على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تجب إجماعا كما في ظاهر المدارك والبحار </w:t>
      </w:r>
      <w:r>
        <w:rPr>
          <w:rStyle w:val="FootnoteAnchor"/>
          <w:rtl w:val="true"/>
        </w:rPr>
        <w:footnoteReference w:id="1792"/>
      </w:r>
      <w:r>
        <w:rPr>
          <w:rFonts w:ascii="Amiri" w:hAnsi="Amiri" w:eastAsia="Amiri" w:cs="Amiri"/>
          <w:color w:val="111111"/>
          <w:sz w:val="28"/>
          <w:sz w:val="28"/>
          <w:szCs w:val="28"/>
          <w:rtl w:val="true"/>
          <w:lang w:bidi="ar-SA"/>
        </w:rPr>
        <w:t xml:space="preserve">ويشعر به كلام التهذيب </w:t>
      </w:r>
      <w:r>
        <w:rPr>
          <w:rStyle w:val="FootnoteAnchor"/>
          <w:rtl w:val="true"/>
        </w:rPr>
        <w:footnoteReference w:id="1793"/>
      </w:r>
      <w:r>
        <w:rPr>
          <w:rFonts w:ascii="Amiri" w:hAnsi="Amiri" w:eastAsia="Amiri" w:cs="Amiri"/>
          <w:color w:val="111111"/>
          <w:sz w:val="28"/>
          <w:sz w:val="28"/>
          <w:szCs w:val="28"/>
          <w:rtl w:val="true"/>
          <w:lang w:bidi="ar-SA"/>
        </w:rPr>
        <w:t xml:space="preserve">أيضا ، وبلا خلاف كما في صريح الحدائق </w:t>
      </w:r>
      <w:r>
        <w:rPr>
          <w:rStyle w:val="FootnoteAnchor"/>
          <w:rtl w:val="true"/>
        </w:rPr>
        <w:footnoteReference w:id="1794"/>
      </w:r>
      <w:r>
        <w:rPr>
          <w:rFonts w:ascii="Amiri" w:hAnsi="Amiri" w:eastAsia="Amiri" w:cs="Amiri"/>
          <w:color w:val="111111"/>
          <w:sz w:val="28"/>
          <w:sz w:val="28"/>
          <w:szCs w:val="28"/>
          <w:rtl w:val="true"/>
          <w:lang w:bidi="ar-SA"/>
        </w:rPr>
        <w:t xml:space="preserve">، للأصل ، وصدق الامتثال ، وصحيحتي هشام </w:t>
      </w:r>
      <w:r>
        <w:rPr>
          <w:rStyle w:val="FootnoteAnchor"/>
          <w:rtl w:val="true"/>
        </w:rPr>
        <w:footnoteReference w:id="1795"/>
      </w:r>
      <w:r>
        <w:rPr>
          <w:rFonts w:ascii="Amiri" w:hAnsi="Amiri" w:eastAsia="Amiri" w:cs="Amiri"/>
          <w:color w:val="111111"/>
          <w:sz w:val="28"/>
          <w:sz w:val="28"/>
          <w:szCs w:val="28"/>
          <w:rtl w:val="true"/>
          <w:lang w:bidi="ar-SA"/>
        </w:rPr>
        <w:t xml:space="preserve">ومحمّد </w:t>
      </w:r>
      <w:r>
        <w:rPr>
          <w:rStyle w:val="FootnoteAnchor"/>
          <w:rtl w:val="true"/>
        </w:rPr>
        <w:footnoteReference w:id="1796"/>
      </w:r>
      <w:r>
        <w:rPr>
          <w:rFonts w:ascii="Amiri" w:hAnsi="Amiri" w:eastAsia="Amiri" w:cs="Amiri"/>
          <w:color w:val="111111"/>
          <w:sz w:val="28"/>
          <w:sz w:val="28"/>
          <w:szCs w:val="28"/>
          <w:rtl w:val="true"/>
          <w:lang w:bidi="ar-SA"/>
        </w:rPr>
        <w:t>في قضية أم إسماعيل ، والجارية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اليماني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لم ير بأسا أن يغسل الرجل رأسه غدوة ويغسل سائر جسده عند الصلاة </w:t>
      </w:r>
      <w:r>
        <w:rPr>
          <w:rFonts w:eastAsia="Amiri" w:cs="Amiri" w:ascii="Amiri" w:hAnsi="Amiri"/>
          <w:color w:val="111111"/>
          <w:sz w:val="28"/>
          <w:szCs w:val="28"/>
          <w:rtl w:val="true"/>
          <w:lang w:bidi="ar-SA"/>
        </w:rPr>
        <w:t xml:space="preserve">»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بأس بتبعيض الغسل بغسل يديك وفرجك ورأسك ، وتؤخّر غسل جسدك إلى وقت الصلاة </w:t>
      </w:r>
      <w:r>
        <w:rPr>
          <w:rFonts w:eastAsia="Amiri" w:cs="Amiri" w:ascii="Amiri" w:hAnsi="Amiri"/>
          <w:color w:val="111111"/>
          <w:sz w:val="28"/>
          <w:szCs w:val="28"/>
          <w:rtl w:val="true"/>
          <w:lang w:bidi="ar-SA"/>
        </w:rPr>
        <w:t xml:space="preserve">»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حريز ، المتقدّمة في ترتيب الرأس </w:t>
      </w:r>
      <w:r>
        <w:rPr>
          <w:rStyle w:val="FootnoteAnchor"/>
          <w:rtl w:val="true"/>
        </w:rPr>
        <w:footnoteReference w:id="1799"/>
      </w:r>
      <w:r>
        <w:rPr>
          <w:rFonts w:ascii="Amiri" w:hAnsi="Amiri" w:eastAsia="Amiri" w:cs="Amiri"/>
          <w:color w:val="111111"/>
          <w:sz w:val="28"/>
          <w:sz w:val="28"/>
          <w:szCs w:val="28"/>
          <w:rtl w:val="true"/>
          <w:lang w:bidi="ar-SA"/>
        </w:rPr>
        <w:t>، وهي تدلّ على نفي وجوب الموالاة بمعنييها المتقدّمين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يستفاد ذلك من سائر الأخبار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وجوبها على خائف فجأة الحدث الأكبر قول ، استنادا إلى حرمة إبطال العمل ، وكذا الخائف فجأة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بإبطاله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 وهو ضعيف</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أمام الغسل إن أمكن ، للاتّفاق على رجحانه ، وللمحافظة </w:t>
      </w:r>
    </w:p>
    <w:p>
      <w:pPr>
        <w:pStyle w:val="BookText"/>
        <w:rPr/>
      </w:pPr>
      <w:r>
        <w:rPr>
          <w:rFonts w:ascii="Amiri" w:hAnsi="Amiri" w:eastAsia="Amiri" w:cs="Amiri"/>
          <w:color w:val="111111"/>
          <w:sz w:val="28"/>
          <w:sz w:val="28"/>
          <w:szCs w:val="28"/>
          <w:rtl w:val="true"/>
          <w:lang w:bidi="ar-SA"/>
        </w:rPr>
        <w:t xml:space="preserve">على الغسل من طريان مزيله ، وللنصوص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صحيحة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وتبول إن قدرت على البول ، ثمَّ تدخل يدك في الإناء ثمَّ اغسل ما أصابك منه </w:t>
      </w:r>
      <w:r>
        <w:rPr>
          <w:rFonts w:eastAsia="Amiri" w:cs="Amiri" w:ascii="Amiri" w:hAnsi="Amiri"/>
          <w:color w:val="111111"/>
          <w:sz w:val="28"/>
          <w:szCs w:val="28"/>
          <w:rtl w:val="true"/>
          <w:lang w:bidi="ar-SA"/>
        </w:rPr>
        <w:t xml:space="preserve">» </w:t>
      </w:r>
      <w:r>
        <w:rPr>
          <w:rStyle w:val="FootnoteAnchor"/>
          <w:rtl w:val="true"/>
        </w:rPr>
        <w:footnoteReference w:id="180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ومضمرة ابن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اغتسل قبل أن يبول ،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الغسل بعد البول إلاّ أن يكون ناسيا ، فلا يعيدنّ الغسل </w:t>
      </w:r>
      <w:r>
        <w:rPr>
          <w:rFonts w:eastAsia="Amiri" w:cs="Amiri" w:ascii="Amiri" w:hAnsi="Amiri"/>
          <w:color w:val="111111"/>
          <w:sz w:val="28"/>
          <w:szCs w:val="28"/>
          <w:rtl w:val="true"/>
          <w:lang w:bidi="ar-SA"/>
        </w:rPr>
        <w:t xml:space="preserve">»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أردت الغسل من الجنابة فاجتهد أن تبول حتى تخرج فضلة المني التي في إحليلك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جهدت ولم تقدر على البول فلا شي‌ء عليك ، وتنظف موضع الأذى منك </w:t>
      </w:r>
      <w:r>
        <w:rPr>
          <w:rFonts w:eastAsia="Amiri" w:cs="Amiri" w:ascii="Amiri" w:hAnsi="Amiri"/>
          <w:color w:val="111111"/>
          <w:sz w:val="28"/>
          <w:szCs w:val="28"/>
          <w:rtl w:val="true"/>
          <w:lang w:bidi="ar-SA"/>
        </w:rPr>
        <w:t xml:space="preserve">»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والتمسّك بالنبوي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ترك البول على أثر الجنابة ، أو شك تردّد بقية الماء في بدنه ، فيورثه الداء الذي لا دواء له </w:t>
      </w:r>
      <w:r>
        <w:rPr>
          <w:rFonts w:eastAsia="Amiri" w:cs="Amiri" w:ascii="Amiri" w:hAnsi="Amiri"/>
          <w:color w:val="111111"/>
          <w:sz w:val="28"/>
          <w:szCs w:val="28"/>
          <w:rtl w:val="true"/>
          <w:lang w:bidi="ar-SA"/>
        </w:rPr>
        <w:t xml:space="preserve">» </w:t>
      </w:r>
      <w:r>
        <w:rPr>
          <w:rStyle w:val="FootnoteAnchor"/>
          <w:rtl w:val="true"/>
        </w:rPr>
        <w:footnoteReference w:id="1803"/>
      </w:r>
      <w:r>
        <w:rPr>
          <w:rFonts w:ascii="Amiri" w:hAnsi="Amiri" w:eastAsia="Amiri" w:cs="Amiri"/>
          <w:color w:val="111111"/>
          <w:sz w:val="28"/>
          <w:sz w:val="28"/>
          <w:szCs w:val="28"/>
          <w:rtl w:val="true"/>
          <w:lang w:bidi="ar-SA"/>
        </w:rPr>
        <w:t>غير جيّد ، لأنّه يدلّ على رجحانه بعد الجنابة لا قبل الغسل ، فيحصل امتثاله بالبول بعد الغسل إذا اغتسل بعد الجنابة بلا مهلة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تلك الأخبار كلاّ أو بعضا وإن كان الوجوب ، إلاّ أنّ جماعة من علمائنا الأعلام كالسيد والحلّي </w:t>
      </w:r>
      <w:r>
        <w:rPr>
          <w:rStyle w:val="FootnoteAnchor"/>
          <w:rtl w:val="true"/>
        </w:rPr>
        <w:footnoteReference w:id="1804"/>
      </w:r>
      <w:r>
        <w:rPr>
          <w:rFonts w:ascii="Amiri" w:hAnsi="Amiri" w:eastAsia="Amiri" w:cs="Amiri"/>
          <w:color w:val="111111"/>
          <w:sz w:val="28"/>
          <w:sz w:val="28"/>
          <w:szCs w:val="28"/>
          <w:rtl w:val="true"/>
          <w:lang w:bidi="ar-SA"/>
        </w:rPr>
        <w:t xml:space="preserve">والفاضلين </w:t>
      </w:r>
      <w:r>
        <w:rPr>
          <w:rStyle w:val="FootnoteAnchor"/>
          <w:rtl w:val="true"/>
        </w:rPr>
        <w:footnoteReference w:id="1805"/>
      </w:r>
      <w:r>
        <w:rPr>
          <w:rFonts w:ascii="Amiri" w:hAnsi="Amiri" w:eastAsia="Amiri" w:cs="Amiri"/>
          <w:color w:val="111111"/>
          <w:sz w:val="28"/>
          <w:sz w:val="28"/>
          <w:szCs w:val="28"/>
          <w:rtl w:val="true"/>
          <w:lang w:bidi="ar-SA"/>
        </w:rPr>
        <w:t xml:space="preserve">، والشهيدين </w:t>
      </w:r>
      <w:r>
        <w:rPr>
          <w:rStyle w:val="FootnoteAnchor"/>
          <w:rtl w:val="true"/>
        </w:rPr>
        <w:footnoteReference w:id="1806"/>
      </w:r>
      <w:r>
        <w:rPr>
          <w:rFonts w:ascii="Amiri" w:hAnsi="Amiri" w:eastAsia="Amiri" w:cs="Amiri"/>
          <w:color w:val="111111"/>
          <w:sz w:val="28"/>
          <w:sz w:val="28"/>
          <w:szCs w:val="28"/>
          <w:rtl w:val="true"/>
          <w:lang w:bidi="ar-SA"/>
        </w:rPr>
        <w:t xml:space="preserve">وجلّ من تأخّر </w:t>
      </w:r>
      <w:r>
        <w:rPr>
          <w:rStyle w:val="FootnoteAnchor"/>
          <w:rtl w:val="true"/>
        </w:rPr>
        <w:footnoteReference w:id="1807"/>
      </w:r>
    </w:p>
    <w:p>
      <w:pPr>
        <w:pStyle w:val="BookText"/>
        <w:rPr/>
      </w:pPr>
      <w:r>
        <w:rPr>
          <w:rFonts w:ascii="Amiri" w:hAnsi="Amiri" w:eastAsia="Amiri" w:cs="Amiri"/>
          <w:color w:val="111111"/>
          <w:sz w:val="28"/>
          <w:sz w:val="28"/>
          <w:szCs w:val="28"/>
          <w:rtl w:val="true"/>
          <w:lang w:bidi="ar-SA"/>
        </w:rPr>
        <w:t>عنهم لم يقولوا به ، لضعف الأولى دلالة ، لمكان الجملة الخبرية الغير الدالّة على الوجوب ، سيما مع ورودها في سياق الأوامر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والثانيتين سندا ، مع ما في أولاهما من العلّة باعتبار التفرقة بين النسيان وعدمه في إعادة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مقتضى حقيقتها انحصار الغسل بما بعد البول ، وأنّ قبله ليس غسلا أو ليس صحيحا ، وليس كذلك قطعا ، فيكون مجازا ، وهو يمكن أن يكون الغسل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لأعيان القدماء وتابعيهم ، كالصدوقين في المقنع والهداية </w:t>
      </w:r>
      <w:r>
        <w:rPr>
          <w:rStyle w:val="FootnoteAnchor"/>
          <w:rtl w:val="true"/>
        </w:rPr>
        <w:footnoteReference w:id="1808"/>
      </w:r>
      <w:r>
        <w:rPr>
          <w:rFonts w:ascii="Amiri" w:hAnsi="Amiri" w:eastAsia="Amiri" w:cs="Amiri"/>
          <w:color w:val="111111"/>
          <w:sz w:val="28"/>
          <w:sz w:val="28"/>
          <w:szCs w:val="28"/>
          <w:rtl w:val="true"/>
          <w:lang w:bidi="ar-SA"/>
        </w:rPr>
        <w:t xml:space="preserve">، والشيخين في المقنعة والمبسوط والاستبصار والجمل والعقود والمصباح </w:t>
      </w:r>
      <w:r>
        <w:rPr>
          <w:rStyle w:val="FootnoteAnchor"/>
          <w:rtl w:val="true"/>
        </w:rPr>
        <w:footnoteReference w:id="1809"/>
      </w:r>
      <w:r>
        <w:rPr>
          <w:rFonts w:ascii="Amiri" w:hAnsi="Amiri" w:eastAsia="Amiri" w:cs="Amiri"/>
          <w:color w:val="111111"/>
          <w:sz w:val="28"/>
          <w:sz w:val="28"/>
          <w:szCs w:val="28"/>
          <w:rtl w:val="true"/>
          <w:lang w:bidi="ar-SA"/>
        </w:rPr>
        <w:t xml:space="preserve">ومختصره ، والجعفي والكيدري </w:t>
      </w:r>
      <w:r>
        <w:rPr>
          <w:rStyle w:val="FootnoteAnchor"/>
          <w:rtl w:val="true"/>
        </w:rPr>
        <w:footnoteReference w:id="1810"/>
      </w:r>
      <w:r>
        <w:rPr>
          <w:rFonts w:ascii="Amiri" w:hAnsi="Amiri" w:eastAsia="Amiri" w:cs="Amiri"/>
          <w:color w:val="111111"/>
          <w:sz w:val="28"/>
          <w:sz w:val="28"/>
          <w:szCs w:val="28"/>
          <w:rtl w:val="true"/>
          <w:lang w:bidi="ar-SA"/>
        </w:rPr>
        <w:t xml:space="preserve">، والحلبي والقاضي والديلمي </w:t>
      </w:r>
      <w:r>
        <w:rPr>
          <w:rStyle w:val="FootnoteAnchor"/>
          <w:rtl w:val="true"/>
        </w:rPr>
        <w:footnoteReference w:id="1811"/>
      </w:r>
      <w:r>
        <w:rPr>
          <w:rFonts w:ascii="Amiri" w:hAnsi="Amiri" w:eastAsia="Amiri" w:cs="Amiri"/>
          <w:color w:val="111111"/>
          <w:sz w:val="28"/>
          <w:sz w:val="28"/>
          <w:szCs w:val="28"/>
          <w:rtl w:val="true"/>
          <w:lang w:bidi="ar-SA"/>
        </w:rPr>
        <w:t xml:space="preserve">وابني حمزة وزهرة </w:t>
      </w:r>
      <w:r>
        <w:rPr>
          <w:rStyle w:val="FootnoteAnchor"/>
          <w:rtl w:val="true"/>
        </w:rPr>
        <w:footnoteReference w:id="1812"/>
      </w:r>
      <w:r>
        <w:rPr>
          <w:rFonts w:ascii="Amiri" w:hAnsi="Amiri" w:eastAsia="Amiri" w:cs="Amiri"/>
          <w:color w:val="111111"/>
          <w:sz w:val="28"/>
          <w:sz w:val="28"/>
          <w:szCs w:val="28"/>
          <w:rtl w:val="true"/>
          <w:lang w:bidi="ar-SA"/>
        </w:rPr>
        <w:t xml:space="preserve">وصاحبي الإصباح والجامع </w:t>
      </w:r>
      <w:r>
        <w:rPr>
          <w:rStyle w:val="FootnoteAnchor"/>
          <w:rtl w:val="true"/>
        </w:rPr>
        <w:footnoteReference w:id="1813"/>
      </w:r>
      <w:r>
        <w:rPr>
          <w:rFonts w:ascii="Amiri" w:hAnsi="Amiri" w:eastAsia="Amiri" w:cs="Amiri"/>
          <w:color w:val="111111"/>
          <w:sz w:val="28"/>
          <w:sz w:val="28"/>
          <w:szCs w:val="28"/>
          <w:rtl w:val="true"/>
          <w:lang w:bidi="ar-SA"/>
        </w:rPr>
        <w:t>، فقالوا بوجوبه ، واختاره بعض مشايخنا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واحتاط بالقول به بعض آخر منهم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ونفى عنه البأس في الذكرى ، ونسبه إلى معظم الأصحاب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الغنية دعوى الإجماع عليه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بالوجوب التخييري بينه وبين الاستبراء بالاجتهاد ، وعزي ذلك إلى </w:t>
      </w:r>
    </w:p>
    <w:p>
      <w:pPr>
        <w:pStyle w:val="BookText"/>
        <w:rPr/>
      </w:pPr>
      <w:r>
        <w:rPr>
          <w:rFonts w:ascii="Amiri" w:hAnsi="Amiri" w:eastAsia="Amiri" w:cs="Amiri"/>
          <w:color w:val="111111"/>
          <w:sz w:val="28"/>
          <w:sz w:val="28"/>
          <w:szCs w:val="28"/>
          <w:rtl w:val="true"/>
          <w:lang w:bidi="ar-SA"/>
        </w:rPr>
        <w:t xml:space="preserve">الشيخ وابني حمزة وزهرة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واستدلّوا بما مرّ ، مع الاعتراض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قويّ جدّا ، للرضوي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ويجاب عن ضعفه بانجباره بما مرّ من الشهرة القديمة والمحكية في الذكرى ، والإجماع المحكيّ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كلام الموجبين على الوجوب الشرطي بعيد غايته ، سيما كلام من ذكر بلفظ الأمر ، وهو أكثرهم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واستدلال بعضهم </w:t>
      </w:r>
      <w:r>
        <w:rPr>
          <w:rStyle w:val="FootnoteAnchor"/>
          <w:rtl w:val="true"/>
        </w:rPr>
        <w:footnoteReference w:id="1818"/>
      </w:r>
      <w:r>
        <w:rPr>
          <w:rFonts w:ascii="Amiri" w:hAnsi="Amiri" w:eastAsia="Amiri" w:cs="Amiri"/>
          <w:color w:val="111111"/>
          <w:sz w:val="28"/>
          <w:sz w:val="28"/>
          <w:szCs w:val="28"/>
          <w:rtl w:val="true"/>
          <w:lang w:bidi="ar-SA"/>
        </w:rPr>
        <w:t xml:space="preserve">بأخبار إعادة الغسل مع الإخلال به ، وخروج شي‌ء من الذكر ، لا يدلّ على إرادته الشرطي ، إذ لعلّه أراد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w:t>
      </w:r>
      <w:r>
        <w:rPr>
          <w:rFonts w:eastAsia="Amiri" w:cs="Amiri" w:ascii="Amiri" w:hAnsi="Amiri"/>
          <w:color w:val="111111"/>
          <w:sz w:val="28"/>
          <w:szCs w:val="28"/>
          <w:rtl w:val="true"/>
          <w:lang w:bidi="ar-SA"/>
        </w:rPr>
        <w:t xml:space="preserve">) </w:t>
      </w:r>
      <w:r>
        <w:rPr>
          <w:rStyle w:val="FootnoteAnchor"/>
          <w:rtl w:val="true"/>
        </w:rPr>
        <w:footnoteReference w:id="1819"/>
      </w:r>
      <w:r>
        <w:rPr>
          <w:rFonts w:ascii="Amiri" w:hAnsi="Amiri" w:eastAsia="Amiri" w:cs="Amiri"/>
          <w:color w:val="111111"/>
          <w:sz w:val="28"/>
          <w:sz w:val="28"/>
          <w:szCs w:val="28"/>
          <w:rtl w:val="true"/>
          <w:lang w:bidi="ar-SA"/>
        </w:rPr>
        <w:t xml:space="preserve">محافظة الغسل عن مزيله ، كما احتجّ به في الذكرى </w:t>
      </w:r>
      <w:r>
        <w:rPr>
          <w:rStyle w:val="FootnoteAnchor"/>
          <w:rtl w:val="true"/>
        </w:rPr>
        <w:footnoteReference w:id="1820"/>
      </w:r>
      <w:r>
        <w:rPr>
          <w:rFonts w:ascii="Amiri" w:hAnsi="Amiri" w:eastAsia="Amiri" w:cs="Amiri"/>
          <w:color w:val="111111"/>
          <w:sz w:val="28"/>
          <w:sz w:val="28"/>
          <w:szCs w:val="28"/>
          <w:rtl w:val="true"/>
          <w:lang w:bidi="ar-SA"/>
        </w:rPr>
        <w:t>، وإن كان في تماميته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وتضعيف القول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بأخبار الإعادة حيث إنّهم لم ينكروا على السائلين تركهم البول ، وبخلوّ أكثر أخبار بيان الغسل عنه مع التعرّض للآداب المستحبة ، وبعدم شيوعه مع أنّه لو كان لشاع واشتهر </w:t>
      </w:r>
      <w:r>
        <w:rPr>
          <w:rStyle w:val="FootnoteAnchor"/>
          <w:rtl w:val="true"/>
        </w:rPr>
        <w:footnoteReference w:id="1821"/>
      </w:r>
      <w:r>
        <w:rPr>
          <w:rFonts w:ascii="Amiri" w:hAnsi="Amiri" w:eastAsia="Amiri" w:cs="Amiri"/>
          <w:color w:val="111111"/>
          <w:sz w:val="28"/>
          <w:sz w:val="28"/>
          <w:szCs w:val="28"/>
          <w:rtl w:val="true"/>
          <w:lang w:bidi="ar-SA"/>
        </w:rPr>
        <w:t>، ضعيف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أكثر أخبار الإعادة </w:t>
      </w:r>
      <w:r>
        <w:rPr>
          <w:rStyle w:val="FootnoteAnchor"/>
          <w:rtl w:val="true"/>
        </w:rPr>
        <w:footnoteReference w:id="1822"/>
      </w:r>
      <w:r>
        <w:rPr>
          <w:rFonts w:ascii="Amiri" w:hAnsi="Amiri" w:eastAsia="Amiri" w:cs="Amiri"/>
          <w:color w:val="111111"/>
          <w:sz w:val="28"/>
          <w:sz w:val="28"/>
          <w:szCs w:val="28"/>
          <w:rtl w:val="true"/>
          <w:lang w:bidi="ar-SA"/>
        </w:rPr>
        <w:t>متضمّنة لفرض الترك ، إمّا من الراوي أو المروي عنه ، وليس فيها ترك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عدم الإنكار حين السؤال عن الحكم لا يدلّ على عدمه مطلقا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الظاهر أنّ القائل بوجوبه لا يجعله من الغسل جزءا ولا شرطا ، بل هو واجب برأسه قبل الغسل ، فلا يضرّ خلوّ أخبار </w:t>
      </w:r>
    </w:p>
    <w:p>
      <w:pPr>
        <w:pStyle w:val="BookText"/>
        <w:rPr/>
      </w:pPr>
      <w:r>
        <w:rPr>
          <w:rFonts w:ascii="Amiri" w:hAnsi="Amiri" w:eastAsia="Amiri" w:cs="Amiri"/>
          <w:color w:val="111111"/>
          <w:sz w:val="28"/>
          <w:sz w:val="28"/>
          <w:szCs w:val="28"/>
          <w:rtl w:val="true"/>
          <w:lang w:bidi="ar-SA"/>
        </w:rPr>
        <w:t>بيان الغسل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التعليل المذكور في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مطابقا لصريح جملة من الأصحاب منهم الفاضل </w:t>
      </w:r>
      <w:r>
        <w:rPr>
          <w:rStyle w:val="FootnoteAnchor"/>
          <w:rtl w:val="true"/>
        </w:rPr>
        <w:footnoteReference w:id="1823"/>
      </w:r>
      <w:r>
        <w:rPr>
          <w:rFonts w:ascii="Amiri" w:hAnsi="Amiri" w:eastAsia="Amiri" w:cs="Amiri"/>
          <w:color w:val="111111"/>
          <w:sz w:val="28"/>
          <w:sz w:val="28"/>
          <w:szCs w:val="28"/>
          <w:rtl w:val="true"/>
          <w:lang w:bidi="ar-SA"/>
        </w:rPr>
        <w:t xml:space="preserve">والشهيدان </w:t>
      </w:r>
      <w:r>
        <w:rPr>
          <w:rStyle w:val="FootnoteAnchor"/>
          <w:rtl w:val="true"/>
        </w:rPr>
        <w:footnoteReference w:id="1824"/>
      </w:r>
      <w:r>
        <w:rPr>
          <w:rFonts w:ascii="Amiri" w:hAnsi="Amiri" w:eastAsia="Amiri" w:cs="Amiri"/>
          <w:color w:val="111111"/>
          <w:sz w:val="28"/>
          <w:sz w:val="28"/>
          <w:szCs w:val="28"/>
          <w:rtl w:val="true"/>
          <w:lang w:bidi="ar-SA"/>
        </w:rPr>
        <w:t xml:space="preserve">والمحقق الثاني </w:t>
      </w:r>
      <w:r>
        <w:rPr>
          <w:rStyle w:val="FootnoteAnchor"/>
          <w:rtl w:val="true"/>
        </w:rPr>
        <w:footnoteReference w:id="1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بالمنزل ، إذ بدونه لا تتحقّق فضلة للمني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إطلاق الصحيحة والمضمرة </w:t>
      </w:r>
      <w:r>
        <w:rPr>
          <w:rStyle w:val="FootnoteAnchor"/>
          <w:rtl w:val="true"/>
        </w:rPr>
        <w:footnoteReference w:id="1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يفيد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إطلاق في الصحيحة ، لظهورها في المنزل أيضا ، لمكان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واغسل ما أصابك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إلاّ عليه ، وإن احتمل الاستحباب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مقتضى كون الخطاب في الصحيحة إلى الراوي الذي هو الرجل ، واختصاص السؤال به مع تذكير الضمائر التي بعد الجواب في المضمرة ، وذكر الإحليل وتذكير الخطاب في الرضوي ، مع أنّه كتب الكتاب للمأمون وخطاباته إليه كما يظهر منه ، مضافا إلى الأصل وانتفاء الإجماع على الشركة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 بالرجل ، وفاقا لأكثر من ذكر ، وخلافا للمقنعة والنهاية </w:t>
      </w:r>
      <w:r>
        <w:rPr>
          <w:rStyle w:val="FootnoteAnchor"/>
          <w:rtl w:val="true"/>
        </w:rPr>
        <w:footnoteReference w:id="1827"/>
      </w:r>
      <w:r>
        <w:rPr>
          <w:rFonts w:ascii="Amiri" w:hAnsi="Amiri" w:eastAsia="Amiri" w:cs="Amiri"/>
          <w:color w:val="111111"/>
          <w:sz w:val="28"/>
          <w:sz w:val="28"/>
          <w:szCs w:val="28"/>
          <w:rtl w:val="true"/>
          <w:lang w:bidi="ar-SA"/>
        </w:rPr>
        <w:t>فعمّماه ، ولا وجه له سيما مع ظهور اختصاص الحكمة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الاستبراء باليد إن لم يتيسّر البول ، تبعا للمحكي عن المشهور بين المتأخّرين </w:t>
      </w:r>
      <w:r>
        <w:rPr>
          <w:rStyle w:val="FootnoteAnchor"/>
          <w:rtl w:val="true"/>
        </w:rPr>
        <w:footnoteReference w:id="1828"/>
      </w:r>
      <w:r>
        <w:rPr>
          <w:rFonts w:ascii="Amiri" w:hAnsi="Amiri" w:eastAsia="Amiri" w:cs="Amiri"/>
          <w:color w:val="111111"/>
          <w:sz w:val="28"/>
          <w:sz w:val="28"/>
          <w:szCs w:val="28"/>
          <w:rtl w:val="true"/>
          <w:lang w:bidi="ar-SA"/>
        </w:rPr>
        <w:t xml:space="preserve">، وحذرا عن مخالفة من أوجبه حينئذ ، كما عن الشيخين </w:t>
      </w:r>
      <w:r>
        <w:rPr>
          <w:rStyle w:val="FootnoteAnchor"/>
          <w:rtl w:val="true"/>
        </w:rPr>
        <w:footnoteReference w:id="1829"/>
      </w:r>
      <w:r>
        <w:rPr>
          <w:rFonts w:ascii="Amiri" w:hAnsi="Amiri" w:eastAsia="Amiri" w:cs="Amiri"/>
          <w:color w:val="111111"/>
          <w:sz w:val="28"/>
          <w:sz w:val="28"/>
          <w:szCs w:val="28"/>
          <w:rtl w:val="true"/>
          <w:lang w:bidi="ar-SA"/>
        </w:rPr>
        <w:t xml:space="preserve">والقاضي </w:t>
      </w:r>
      <w:r>
        <w:rPr>
          <w:rStyle w:val="FootnoteAnchor"/>
          <w:rtl w:val="true"/>
        </w:rPr>
        <w:footnoteReference w:id="1830"/>
      </w:r>
    </w:p>
    <w:p>
      <w:pPr>
        <w:pStyle w:val="BookText"/>
        <w:rPr/>
      </w:pPr>
      <w:r>
        <w:rPr>
          <w:rFonts w:ascii="Amiri" w:hAnsi="Amiri" w:eastAsia="Amiri" w:cs="Amiri"/>
          <w:color w:val="111111"/>
          <w:sz w:val="28"/>
          <w:sz w:val="28"/>
          <w:szCs w:val="28"/>
          <w:rtl w:val="true"/>
          <w:lang w:bidi="ar-SA"/>
        </w:rPr>
        <w:t xml:space="preserve">وابني حمزة وزهرة </w:t>
      </w:r>
      <w:r>
        <w:rPr>
          <w:rStyle w:val="FootnoteAnchor"/>
          <w:rtl w:val="true"/>
        </w:rPr>
        <w:footnoteReference w:id="1831"/>
      </w:r>
      <w:r>
        <w:rPr>
          <w:rFonts w:ascii="Amiri" w:hAnsi="Amiri" w:eastAsia="Amiri" w:cs="Amiri"/>
          <w:color w:val="111111"/>
          <w:sz w:val="28"/>
          <w:sz w:val="28"/>
          <w:szCs w:val="28"/>
          <w:rtl w:val="true"/>
          <w:lang w:bidi="ar-SA"/>
        </w:rPr>
        <w:t>، وهما كافيان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وجوبه حينئذ فلا دليل عليه ، كما لا دليل على استحبابه أو وجوبه بعد البول للغسل ، لأجل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من ندبه أو أوجبه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 بأنّه لأجل الغسل ، فإنّه مستحب أو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البول مطلقا أيضا ، كما مرّ في بحث الاستنجاء مع كيفية 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اليدين إجماعا فتوى ونصّا ، إلى الزندين مشهورا ، للمستفيضة المصرّحة بغسل الكفين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وأفضل منه دون المرفق ، لموثّقة سماعة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والأكمل إلى المرفق ، لصحيحتي البزنطي </w:t>
      </w:r>
      <w:r>
        <w:rPr>
          <w:rStyle w:val="FootnoteAnchor"/>
          <w:rtl w:val="true"/>
        </w:rPr>
        <w:footnoteReference w:id="1834"/>
      </w:r>
      <w:r>
        <w:rPr>
          <w:rFonts w:ascii="Amiri" w:hAnsi="Amiri" w:eastAsia="Amiri" w:cs="Amiri"/>
          <w:color w:val="111111"/>
          <w:sz w:val="28"/>
          <w:sz w:val="28"/>
          <w:szCs w:val="28"/>
          <w:rtl w:val="true"/>
          <w:lang w:bidi="ar-SA"/>
        </w:rPr>
        <w:t xml:space="preserve">، ويعقوب بن يقطين </w:t>
      </w:r>
      <w:r>
        <w:rPr>
          <w:rStyle w:val="FootnoteAnchor"/>
          <w:rtl w:val="true"/>
        </w:rPr>
        <w:footnoteReference w:id="1835"/>
      </w:r>
      <w:r>
        <w:rPr>
          <w:rFonts w:ascii="Amiri" w:hAnsi="Amiri" w:eastAsia="Amiri" w:cs="Amiri"/>
          <w:color w:val="111111"/>
          <w:sz w:val="28"/>
          <w:sz w:val="28"/>
          <w:szCs w:val="28"/>
          <w:rtl w:val="true"/>
          <w:lang w:bidi="ar-SA"/>
        </w:rPr>
        <w:t xml:space="preserve">، والمروي في قرب الإسناد للحميري </w:t>
      </w:r>
      <w:r>
        <w:rPr>
          <w:rStyle w:val="FootnoteAnchor"/>
          <w:rtl w:val="true"/>
        </w:rPr>
        <w:footnoteReference w:id="1836"/>
      </w:r>
      <w:r>
        <w:rPr>
          <w:rFonts w:ascii="Amiri" w:hAnsi="Amiri" w:eastAsia="Amiri" w:cs="Amiri"/>
          <w:color w:val="111111"/>
          <w:sz w:val="28"/>
          <w:sz w:val="28"/>
          <w:szCs w:val="28"/>
          <w:rtl w:val="true"/>
          <w:lang w:bidi="ar-SA"/>
        </w:rPr>
        <w:t xml:space="preserve">، وفي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أراد أحدكم الغسل فليبدأ بذراعيه فليغسلهما </w:t>
      </w:r>
      <w:r>
        <w:rPr>
          <w:rFonts w:eastAsia="Amiri" w:cs="Amiri" w:ascii="Amiri" w:hAnsi="Amiri"/>
          <w:color w:val="111111"/>
          <w:sz w:val="28"/>
          <w:szCs w:val="28"/>
          <w:rtl w:val="true"/>
          <w:lang w:bidi="ar-SA"/>
        </w:rPr>
        <w:t xml:space="preserve">»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رواية يونس في غسل الميت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يده ثلاث مرات ، كما يغتسل الإنسان من الجنابة إلى نصف الذراع </w:t>
      </w:r>
      <w:r>
        <w:rPr>
          <w:rFonts w:eastAsia="Amiri" w:cs="Amiri" w:ascii="Amiri" w:hAnsi="Amiri"/>
          <w:color w:val="111111"/>
          <w:sz w:val="28"/>
          <w:szCs w:val="28"/>
          <w:rtl w:val="true"/>
          <w:lang w:bidi="ar-SA"/>
        </w:rPr>
        <w:t xml:space="preserve">» </w:t>
      </w:r>
      <w:r>
        <w:rPr>
          <w:rStyle w:val="FootnoteAnchor"/>
          <w:rtl w:val="true"/>
        </w:rPr>
        <w:footnoteReference w:id="1838"/>
      </w:r>
      <w:r>
        <w:rPr>
          <w:rFonts w:ascii="Amiri" w:hAnsi="Amiri" w:eastAsia="Amiri" w:cs="Amiri"/>
          <w:color w:val="111111"/>
          <w:sz w:val="28"/>
          <w:sz w:val="28"/>
          <w:szCs w:val="28"/>
          <w:rtl w:val="true"/>
          <w:lang w:bidi="ar-SA"/>
        </w:rPr>
        <w:t>فلا تدلّ على استحباب ذلك التحديد في غسل الجنابة أيضا ، لجواز كون التشبيه في الغسل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مقدّما على المضمضة والاستنشاق ، لصحيحة زرارة </w:t>
      </w:r>
      <w:r>
        <w:rPr>
          <w:rStyle w:val="FootnoteAnchor"/>
          <w:rtl w:val="true"/>
        </w:rPr>
        <w:footnoteReference w:id="1839"/>
      </w:r>
      <w:r>
        <w:rPr>
          <w:rFonts w:ascii="Amiri" w:hAnsi="Amiri" w:eastAsia="Amiri" w:cs="Amiri"/>
          <w:color w:val="111111"/>
          <w:sz w:val="28"/>
          <w:sz w:val="28"/>
          <w:szCs w:val="28"/>
          <w:rtl w:val="true"/>
          <w:lang w:bidi="ar-SA"/>
        </w:rPr>
        <w:t xml:space="preserve">وموثّقة أبي </w:t>
      </w:r>
    </w:p>
    <w:p>
      <w:pPr>
        <w:pStyle w:val="BookText"/>
        <w:rPr/>
      </w:pPr>
      <w:r>
        <w:rPr>
          <w:rFonts w:ascii="Amiri" w:hAnsi="Amiri" w:eastAsia="Amiri" w:cs="Amiri"/>
          <w:color w:val="111111"/>
          <w:sz w:val="28"/>
          <w:sz w:val="28"/>
          <w:szCs w:val="28"/>
          <w:rtl w:val="true"/>
          <w:lang w:bidi="ar-SA"/>
        </w:rPr>
        <w:t xml:space="preserve">بصير </w:t>
      </w:r>
      <w:r>
        <w:rPr>
          <w:rStyle w:val="FootnoteAnchor"/>
          <w:rtl w:val="true"/>
        </w:rPr>
        <w:footnoteReference w:id="1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غسل الفرج أيضا كما يستفاد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ثلاثا بالإجماع ، لصحيحة الحلبي ومرسلة الفقيه المتقدّمتين في غسل اليدين للوضوء </w:t>
      </w:r>
      <w:r>
        <w:rPr>
          <w:rStyle w:val="FootnoteAnchor"/>
          <w:rtl w:val="true"/>
        </w:rPr>
        <w:footnoteReference w:id="1841"/>
      </w:r>
      <w:r>
        <w:rPr>
          <w:rFonts w:ascii="Amiri" w:hAnsi="Amiri" w:eastAsia="Amiri" w:cs="Amiri"/>
          <w:color w:val="111111"/>
          <w:sz w:val="28"/>
          <w:sz w:val="28"/>
          <w:szCs w:val="28"/>
          <w:rtl w:val="true"/>
          <w:lang w:bidi="ar-SA"/>
        </w:rPr>
        <w:t xml:space="preserve">، 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وتغسل يديك إلى المفصل ثلاثا </w:t>
      </w:r>
      <w:r>
        <w:rPr>
          <w:rFonts w:eastAsia="Amiri" w:cs="Amiri" w:ascii="Amiri" w:hAnsi="Amiri"/>
          <w:color w:val="111111"/>
          <w:sz w:val="28"/>
          <w:szCs w:val="28"/>
          <w:rtl w:val="true"/>
          <w:lang w:bidi="ar-SA"/>
        </w:rPr>
        <w:t xml:space="preserve">»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وبها تقيّد الروايات المطلقة ، كما هو مقتضى القواعد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في ذلك ، الغسل من الإناء الواسع الذي يدخل فيه اليد ، والضيّق الذي يصب منه الماء ، لإطلاق صحيحتي محمّد </w:t>
      </w:r>
      <w:r>
        <w:rPr>
          <w:rStyle w:val="FootnoteAnchor"/>
          <w:rtl w:val="true"/>
        </w:rPr>
        <w:footnoteReference w:id="1843"/>
      </w:r>
      <w:r>
        <w:rPr>
          <w:rFonts w:ascii="Amiri" w:hAnsi="Amiri" w:eastAsia="Amiri" w:cs="Amiri"/>
          <w:color w:val="111111"/>
          <w:sz w:val="28"/>
          <w:sz w:val="28"/>
          <w:szCs w:val="28"/>
          <w:rtl w:val="true"/>
          <w:lang w:bidi="ar-SA"/>
        </w:rPr>
        <w:t xml:space="preserve">وزرارة </w:t>
      </w:r>
      <w:r>
        <w:rPr>
          <w:rStyle w:val="FootnoteAnchor"/>
          <w:rtl w:val="true"/>
        </w:rPr>
        <w:footnoteReference w:id="1844"/>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الاستبصار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الجنابة 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845"/>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سواء فيه الغسل الترتيبي والارتماسي ، لإطلاق رواية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إذا أجنبت؟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كفك وفرجك ، وتوضّأ وضوء الصلاة ثمَّ اغتسل </w:t>
      </w:r>
      <w:r>
        <w:rPr>
          <w:rFonts w:eastAsia="Amiri" w:cs="Amiri" w:ascii="Amiri" w:hAnsi="Amiri"/>
          <w:color w:val="111111"/>
          <w:sz w:val="28"/>
          <w:szCs w:val="28"/>
          <w:rtl w:val="true"/>
          <w:lang w:bidi="ar-SA"/>
        </w:rPr>
        <w:t xml:space="preserve">»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والتخصيص بالأول للتصريح بإدخال اليد في بعض الأخبار بعد إطلاق بعض آخر ، لا وجه له ، وجعله من باب حمل المطلق على المقيد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المضمضة والاستنشاق ، إجماعا كما في المدارك </w:t>
      </w:r>
      <w:r>
        <w:rPr>
          <w:rStyle w:val="FootnoteAnchor"/>
          <w:rtl w:val="true"/>
        </w:rPr>
        <w:footnoteReference w:id="1847"/>
      </w:r>
      <w:r>
        <w:rPr>
          <w:rFonts w:ascii="Amiri" w:hAnsi="Amiri" w:eastAsia="Amiri" w:cs="Amiri"/>
          <w:color w:val="111111"/>
          <w:sz w:val="28"/>
          <w:sz w:val="28"/>
          <w:szCs w:val="28"/>
          <w:rtl w:val="true"/>
          <w:lang w:bidi="ar-SA"/>
        </w:rPr>
        <w:t xml:space="preserve">، للنصوص ، بعد تطهير الفرج ، كما في صحيحة زرارة </w:t>
      </w:r>
      <w:r>
        <w:rPr>
          <w:rStyle w:val="FootnoteAnchor"/>
          <w:rtl w:val="true"/>
        </w:rPr>
        <w:footnoteReference w:id="1848"/>
      </w:r>
      <w:r>
        <w:rPr>
          <w:rFonts w:ascii="Amiri" w:hAnsi="Amiri" w:eastAsia="Amiri" w:cs="Amiri"/>
          <w:color w:val="111111"/>
          <w:sz w:val="28"/>
          <w:sz w:val="28"/>
          <w:szCs w:val="28"/>
          <w:rtl w:val="true"/>
          <w:lang w:bidi="ar-SA"/>
        </w:rPr>
        <w:t xml:space="preserve">وموثّقة أبي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ثلاثا في كلّ منهما ، كما عن المقنعة والنهاية والسرائر والوسيلة والمهذّب </w:t>
      </w:r>
    </w:p>
    <w:p>
      <w:pPr>
        <w:pStyle w:val="BookText"/>
        <w:rPr/>
      </w:pPr>
      <w:r>
        <w:rPr>
          <w:rFonts w:ascii="Amiri" w:hAnsi="Amiri" w:eastAsia="Amiri" w:cs="Amiri"/>
          <w:color w:val="111111"/>
          <w:sz w:val="28"/>
          <w:sz w:val="28"/>
          <w:szCs w:val="28"/>
          <w:rtl w:val="true"/>
          <w:lang w:bidi="ar-SA"/>
        </w:rPr>
        <w:t xml:space="preserve">والإصباح والتذكرة والتحرير والذكرى والبيان </w:t>
      </w:r>
      <w:r>
        <w:rPr>
          <w:rStyle w:val="FootnoteAnchor"/>
          <w:rtl w:val="true"/>
        </w:rPr>
        <w:footnoteReference w:id="1849"/>
      </w:r>
      <w:r>
        <w:rPr>
          <w:rFonts w:ascii="Amiri" w:hAnsi="Amiri" w:eastAsia="Amiri" w:cs="Amiri"/>
          <w:color w:val="111111"/>
          <w:sz w:val="28"/>
          <w:sz w:val="28"/>
          <w:szCs w:val="28"/>
          <w:rtl w:val="true"/>
          <w:lang w:bidi="ar-SA"/>
        </w:rPr>
        <w:t xml:space="preserve">، لفتوى هؤلاء ، مضافا إلى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يتمضمض ويستنشق ثلاثا ، 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يجزيه ، والأفضل الثلاث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مقدّما الثلاث الأولى على الثانية ، للشهرة المحكية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جاز عكسه أيضا على ما مرّ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بصاع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تسعة أرطال بالعراقي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والنصوص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يجب إجماعا منّا ، لاستفاضة أخبارنا بإجزاء مثل الدهن ، وبطهارة ما جرى عليه الماء من الجسد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ظاهره الوجوب محمول على الاستحباب ، جمعا ، أو وارد مورد التقية ، لأنّ الوجوب مذهب أبي حنيفة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والمستفاد من ظواهر عبارات أصحابنا الأخيار ، وصريح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استحباب الغسل بالزائد من الصاع ، وهو 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الفاضلين صرّحا باستحبابه أيضا وادّعيا الوفاق عليه </w:t>
      </w:r>
      <w:r>
        <w:rPr>
          <w:rStyle w:val="FootnoteAnchor"/>
          <w:rtl w:val="true"/>
        </w:rPr>
        <w:footnoteReference w:id="1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يقتضي ثبوته ، للتسامح في المقام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تنافيه 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وسيأتي قوم يستقلون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على خلاف سنتي </w:t>
      </w:r>
      <w:r>
        <w:rPr>
          <w:rFonts w:eastAsia="Amiri" w:cs="Amiri" w:ascii="Amiri" w:hAnsi="Amiri"/>
          <w:color w:val="111111"/>
          <w:sz w:val="28"/>
          <w:szCs w:val="28"/>
          <w:rtl w:val="true"/>
          <w:lang w:bidi="ar-SA"/>
        </w:rPr>
        <w:t xml:space="preserve">» </w:t>
      </w:r>
      <w:r>
        <w:rPr>
          <w:rStyle w:val="FootnoteAnchor"/>
          <w:rtl w:val="true"/>
        </w:rPr>
        <w:footnoteReference w:id="1854"/>
      </w:r>
      <w:r>
        <w:rPr>
          <w:rFonts w:ascii="Amiri" w:hAnsi="Amiri" w:eastAsia="Amiri" w:cs="Amiri"/>
          <w:color w:val="111111"/>
          <w:sz w:val="28"/>
          <w:sz w:val="28"/>
          <w:szCs w:val="28"/>
          <w:rtl w:val="true"/>
          <w:lang w:bidi="ar-SA"/>
        </w:rPr>
        <w:t xml:space="preserve">إذ استحباب الزائد لا ينافي كراهة استقلال الصاع ، بل </w:t>
      </w:r>
    </w:p>
    <w:p>
      <w:pPr>
        <w:pStyle w:val="BookText"/>
        <w:rPr/>
      </w:pPr>
      <w:r>
        <w:rPr>
          <w:rFonts w:ascii="IRNazanin" w:hAnsi="IRNazanin" w:eastAsia="IRNazanin"/>
          <w:color w:val="111111"/>
          <w:sz w:val="28"/>
          <w:sz w:val="28"/>
          <w:szCs w:val="28"/>
          <w:rtl w:val="true"/>
          <w:lang w:bidi="fa-IR"/>
        </w:rPr>
        <w:t>حرمته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صريح صحيحة الفضلاء </w:t>
      </w:r>
      <w:r>
        <w:rPr>
          <w:rStyle w:val="FootnoteAnchor"/>
          <w:rtl w:val="true"/>
        </w:rPr>
        <w:footnoteReference w:id="1855"/>
      </w:r>
      <w:r>
        <w:rPr>
          <w:rFonts w:ascii="Amiri" w:hAnsi="Amiri" w:eastAsia="Amiri" w:cs="Amiri"/>
          <w:color w:val="111111"/>
          <w:sz w:val="28"/>
          <w:sz w:val="28"/>
          <w:szCs w:val="28"/>
          <w:rtl w:val="true"/>
          <w:lang w:bidi="ar-SA"/>
        </w:rPr>
        <w:t xml:space="preserve">وظاهر غيرها من الصحاح </w:t>
      </w:r>
      <w:r>
        <w:rPr>
          <w:rStyle w:val="FootnoteAnchor"/>
          <w:rtl w:val="true"/>
        </w:rPr>
        <w:footnoteReference w:id="1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الاستحباب بالصاع بحالة الانفراد ، وكفاية الأقلّ مع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والدي رحمه اللّه به ولا بأس به ،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دخول ماء غسل اليد والمضمضة والاستنشاق وتطهير الفرج في الصاع وجهان ، والدخول 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المبالغة في إيصال الماء والاستظهار فيه ، لما في حسنة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يبالغن في الغسل </w:t>
      </w:r>
      <w:r>
        <w:rPr>
          <w:rFonts w:eastAsia="Amiri" w:cs="Amiri" w:ascii="Amiri" w:hAnsi="Amiri"/>
          <w:color w:val="111111"/>
          <w:sz w:val="28"/>
          <w:szCs w:val="28"/>
          <w:rtl w:val="true"/>
          <w:lang w:bidi="ar-SA"/>
        </w:rPr>
        <w:t xml:space="preserve">» </w:t>
      </w:r>
      <w:r>
        <w:rPr>
          <w:rStyle w:val="FootnoteAnchor"/>
          <w:rtl w:val="true"/>
        </w:rPr>
        <w:footnoteReference w:id="1857"/>
      </w: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يبالغن في الماء </w:t>
      </w:r>
      <w:r>
        <w:rPr>
          <w:rFonts w:eastAsia="Amiri" w:cs="Amiri" w:ascii="Amiri" w:hAnsi="Amiri"/>
          <w:color w:val="111111"/>
          <w:sz w:val="28"/>
          <w:szCs w:val="28"/>
          <w:rtl w:val="true"/>
          <w:lang w:bidi="ar-SA"/>
        </w:rPr>
        <w:t xml:space="preserve">» </w:t>
      </w:r>
      <w:r>
        <w:rPr>
          <w:rStyle w:val="FootnoteAnchor"/>
          <w:rtl w:val="true"/>
        </w:rPr>
        <w:footnoteReference w:id="1858"/>
      </w: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والاستظهار فيه إذا أمكن </w:t>
      </w:r>
      <w:r>
        <w:rPr>
          <w:rFonts w:eastAsia="Amiri" w:cs="Amiri" w:ascii="Amiri" w:hAnsi="Amiri"/>
          <w:color w:val="111111"/>
          <w:sz w:val="28"/>
          <w:szCs w:val="28"/>
          <w:rtl w:val="true"/>
          <w:lang w:bidi="ar-SA"/>
        </w:rPr>
        <w:t xml:space="preserve">»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التثليث في غسل كلّ عضو في الترتيبي ، لفتوى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والاستدلال بأخبار ثلاث أكف </w:t>
      </w:r>
      <w:r>
        <w:rPr>
          <w:rStyle w:val="FootnoteAnchor"/>
          <w:rtl w:val="true"/>
        </w:rPr>
        <w:footnoteReference w:id="1860"/>
      </w:r>
      <w:r>
        <w:rPr>
          <w:rFonts w:ascii="Amiri" w:hAnsi="Amiri" w:eastAsia="Amiri" w:cs="Amiri"/>
          <w:color w:val="111111"/>
          <w:sz w:val="28"/>
          <w:sz w:val="28"/>
          <w:szCs w:val="28"/>
          <w:rtl w:val="true"/>
          <w:lang w:bidi="ar-SA"/>
        </w:rPr>
        <w:t xml:space="preserve">ليس بسديد ، لإمكان إرادة الصب بثلاث أكف من غير تثليث في الغسل ، أو إرادة هذا المقدار كما يستفاد من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تصب على رأسك ثلاث أكف ، وعلى جانبك الأيمن مثل ذلك ، وعلى جانبك الأيسر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الصب بالإناء جاز الاكتفاء بهذا المقدار </w:t>
      </w:r>
      <w:r>
        <w:rPr>
          <w:rFonts w:eastAsia="Amiri" w:cs="Amiri" w:ascii="Amiri" w:hAnsi="Amiri"/>
          <w:color w:val="111111"/>
          <w:sz w:val="28"/>
          <w:szCs w:val="28"/>
          <w:rtl w:val="true"/>
          <w:lang w:bidi="ar-SA"/>
        </w:rPr>
        <w:t xml:space="preserve">»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والإسكافي </w:t>
      </w:r>
      <w:r>
        <w:rPr>
          <w:rStyle w:val="FootnoteAnchor"/>
          <w:rtl w:val="true"/>
        </w:rPr>
        <w:footnoteReference w:id="1862"/>
      </w:r>
      <w:r>
        <w:rPr>
          <w:rFonts w:ascii="Amiri" w:hAnsi="Amiri" w:eastAsia="Amiri" w:cs="Amiri"/>
          <w:color w:val="111111"/>
          <w:sz w:val="28"/>
          <w:sz w:val="28"/>
          <w:szCs w:val="28"/>
          <w:rtl w:val="true"/>
          <w:lang w:bidi="ar-SA"/>
        </w:rPr>
        <w:t xml:space="preserve">استحبّ للمرتمس ثلاث غوصات يخلّل شعره ويمسح جسده </w:t>
      </w:r>
      <w:bookmarkStart w:id="124" w:name="pg11612_110979"/>
    </w:p>
    <w:p>
      <w:pPr>
        <w:pStyle w:val="BookText"/>
        <w:rPr/>
      </w:pPr>
      <w:bookmarkEnd w:id="124"/>
      <w:r>
        <w:rPr>
          <w:rFonts w:ascii="Amiri" w:hAnsi="Amiri" w:eastAsia="Amiri" w:cs="Amiri"/>
          <w:color w:val="111111"/>
          <w:sz w:val="28"/>
          <w:sz w:val="28"/>
          <w:szCs w:val="28"/>
          <w:rtl w:val="true"/>
          <w:lang w:bidi="ar-SA"/>
        </w:rPr>
        <w:t>في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ونفى عنه الشهيد البأس </w:t>
      </w:r>
      <w:r>
        <w:rPr>
          <w:rStyle w:val="FootnoteAnchor"/>
          <w:rtl w:val="true"/>
        </w:rPr>
        <w:footnoteReference w:id="1863"/>
      </w:r>
      <w:r>
        <w:rPr>
          <w:rFonts w:ascii="Amiri" w:hAnsi="Amiri" w:eastAsia="Amiri" w:cs="Amiri"/>
          <w:color w:val="111111"/>
          <w:sz w:val="28"/>
          <w:sz w:val="28"/>
          <w:szCs w:val="28"/>
          <w:rtl w:val="true"/>
          <w:lang w:bidi="ar-SA"/>
        </w:rPr>
        <w:t>، واستظهره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بالمأثور في موثّقة الساباطي </w:t>
      </w:r>
      <w:r>
        <w:rPr>
          <w:rStyle w:val="FootnoteAnchor"/>
          <w:rtl w:val="true"/>
        </w:rPr>
        <w:footnoteReference w:id="1864"/>
      </w:r>
      <w:r>
        <w:rPr>
          <w:rFonts w:ascii="Amiri" w:hAnsi="Amiri" w:eastAsia="Amiri" w:cs="Amiri"/>
          <w:color w:val="111111"/>
          <w:sz w:val="28"/>
          <w:sz w:val="28"/>
          <w:szCs w:val="28"/>
          <w:rtl w:val="true"/>
          <w:lang w:bidi="ar-SA"/>
        </w:rPr>
        <w:t xml:space="preserve">ورواية محمّد بن مروان </w:t>
      </w:r>
      <w:r>
        <w:rPr>
          <w:rStyle w:val="FootnoteAnchor"/>
          <w:rtl w:val="true"/>
        </w:rPr>
        <w:footnoteReference w:id="1865"/>
      </w:r>
      <w:r>
        <w:rPr>
          <w:rFonts w:ascii="IRNazanin" w:hAnsi="IRNazanin" w:eastAsia="IRNazanin"/>
          <w:color w:val="111111"/>
          <w:sz w:val="28"/>
          <w:sz w:val="28"/>
          <w:szCs w:val="28"/>
          <w:rtl w:val="true"/>
          <w:lang w:bidi="fa-IR"/>
        </w:rPr>
        <w:t xml:space="preserve">، إمّا قبل الغسل أو بعده </w:t>
      </w:r>
      <w:r>
        <w:rPr>
          <w:rFonts w:eastAsia="IRNazanin" w:cs="IRNazanin"/>
          <w:color w:val="111111"/>
          <w:sz w:val="28"/>
          <w:szCs w:val="28"/>
          <w:rtl w:val="true"/>
          <w:lang w:bidi="fa-IR"/>
        </w:rPr>
        <w:t xml:space="preserve">)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 w:name="__RefHeading___Toc5524397_73709187"/>
      <w:bookmarkStart w:id="126" w:name="_Toc47"/>
      <w:bookmarkEnd w:id="125"/>
      <w:r>
        <w:rPr>
          <w:rtl w:val="true"/>
        </w:rPr>
        <w:t xml:space="preserve">البحث السادس </w:t>
      </w:r>
      <w:r>
        <w:rPr>
          <w:rtl w:val="true"/>
        </w:rPr>
        <w:t xml:space="preserve">: </w:t>
      </w:r>
      <w:r>
        <w:rPr>
          <w:rtl w:val="true"/>
        </w:rPr>
        <w:t>في أحكامه</w:t>
      </w:r>
      <w:bookmarkEnd w:id="126"/>
    </w:p>
    <w:p>
      <w:pPr>
        <w:pStyle w:val="Heading6"/>
        <w:numPr>
          <w:ilvl w:val="5"/>
          <w:numId w:val="1"/>
        </w:numPr>
        <w:rPr/>
      </w:pPr>
      <w:bookmarkStart w:id="127" w:name="__RefHeading___Toc5524399_73709187"/>
      <w:bookmarkStart w:id="128" w:name="_Toc48"/>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 xml:space="preserve">وهي أمور نذكرها في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البلل الخارج بعد الغسل ، إن علمه منيا أو بولا ، لحقه حكمه إجماعا ، فتوى ونصا ، وإن علمه غيرهما ، لم يلزمه شي‌ء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اشتبه ، فإن كان الغسل بعد البول والاستبراء ، فلا غسل ولا وضوء أيضا بالإجماع ، للأصل ، والاستصحاب ، والعمومات ، وخصوص المستفيضة النافية للغسل بعد البول ، والوضوء بعد 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يجنب ، ثمَّ يغتسل قبل أن يبول ، فيجد بللا بعد ما يغتسل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الغسل ، وإن كان بال قبل أن يغتسل فلا يعيد غسله ، ولكن يتوضّأ ويستنجي </w:t>
      </w:r>
      <w:r>
        <w:rPr>
          <w:rFonts w:eastAsia="Amiri" w:cs="Amiri" w:ascii="Amiri" w:hAnsi="Amiri"/>
          <w:color w:val="111111"/>
          <w:sz w:val="28"/>
          <w:szCs w:val="28"/>
          <w:rtl w:val="true"/>
          <w:lang w:bidi="ar-SA"/>
        </w:rPr>
        <w:t xml:space="preserve">»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يغتسل ثمَّ يجد بعد ذلك بللا ، وقد كان بال قبل أن يغتسل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بال قبل أن يغتسل فلا يعيد الغسل </w:t>
      </w:r>
      <w:r>
        <w:rPr>
          <w:rFonts w:eastAsia="Amiri" w:cs="Amiri" w:ascii="Amiri" w:hAnsi="Amiri"/>
          <w:color w:val="111111"/>
          <w:sz w:val="28"/>
          <w:szCs w:val="28"/>
          <w:rtl w:val="true"/>
          <w:lang w:bidi="ar-SA"/>
        </w:rPr>
        <w:t xml:space="preserve">»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من إحليله بعد ما اغتسل شي‌ء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يغتسل ويعيد الصلاة إلاّ أن يكون بال قبل أن يغتسل ، فإنه لا يعيد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اغتسل وهو جنب قبل أن يبول ، ثمَّ وجد بللا فقد انتقض غسله ، وإن كان بال ثمَّ اغتسل ثمَّ وجد بللا فليس ينقض غسله ، ولكن عليه الوضوء ، لأن البول لم يدع شيئا </w:t>
      </w:r>
      <w:r>
        <w:rPr>
          <w:rFonts w:eastAsia="Amiri" w:cs="Amiri" w:ascii="Amiri" w:hAnsi="Amiri"/>
          <w:color w:val="111111"/>
          <w:sz w:val="28"/>
          <w:szCs w:val="28"/>
          <w:rtl w:val="true"/>
          <w:lang w:bidi="ar-SA"/>
        </w:rPr>
        <w:t xml:space="preserve">»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يغتسل ثمَّ يجد بعد ذلك بللا ، وقد كان بال قبل أن يغتسل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ليتوضّأ ، وإن لم يكن بال قبل الغسل فليعد الغسل </w:t>
      </w:r>
      <w:r>
        <w:rPr>
          <w:rFonts w:eastAsia="Amiri" w:cs="Amiri" w:ascii="Amiri" w:hAnsi="Amiri"/>
          <w:color w:val="111111"/>
          <w:sz w:val="28"/>
          <w:szCs w:val="28"/>
          <w:rtl w:val="true"/>
          <w:lang w:bidi="ar-SA"/>
        </w:rPr>
        <w:t xml:space="preserve">»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دلالتها على المطلوب بضميمة أن التفصيل قاطع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ميسرة في رجل رأى بعد الغسل شيئا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بال بعد جماعة قبل الغسل فليتوضّأ ، وإن لم يبل حتى اغتسل ، ثمَّ وجد البلل فليعد الغسل </w:t>
      </w:r>
      <w:r>
        <w:rPr>
          <w:rFonts w:eastAsia="Amiri" w:cs="Amiri" w:ascii="Amiri" w:hAnsi="Amiri"/>
          <w:color w:val="111111"/>
          <w:sz w:val="28"/>
          <w:szCs w:val="28"/>
          <w:rtl w:val="true"/>
          <w:lang w:bidi="ar-SA"/>
        </w:rPr>
        <w:t xml:space="preserve">»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الثانية ما مرّ في مسألة الاستبراء من الصحيحة والحسنتين وغيرها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في الأخبار المتقدّمة من الأمر بالوضوء ، فمحمول على عدم الاستبراء ، لعمومها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واختصاصها بما بعد الجنابة لا يخصّصها ، لعدم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على فرض الاختصاص يكون التعارض بالعموم من وجه ، والمرجع الأصل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في صحيحة ابن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الوضوء ممّا خرج من الذكر بعد </w:t>
      </w:r>
    </w:p>
    <w:p>
      <w:pPr>
        <w:pStyle w:val="BookText"/>
        <w:rPr/>
      </w:pPr>
      <w:r>
        <w:rPr>
          <w:rFonts w:ascii="Amiri" w:hAnsi="Amiri" w:eastAsia="Amiri" w:cs="Amiri"/>
          <w:color w:val="111111"/>
          <w:sz w:val="28"/>
          <w:sz w:val="28"/>
          <w:szCs w:val="28"/>
          <w:rtl w:val="true"/>
          <w:lang w:bidi="ar-SA"/>
        </w:rPr>
        <w:t xml:space="preserve">الاستبراء؟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873"/>
      </w:r>
      <w:r>
        <w:rPr>
          <w:rFonts w:ascii="Amiri" w:hAnsi="Amiri" w:eastAsia="Amiri" w:cs="Amiri"/>
          <w:color w:val="111111"/>
          <w:sz w:val="28"/>
          <w:sz w:val="28"/>
          <w:szCs w:val="28"/>
          <w:rtl w:val="true"/>
          <w:lang w:bidi="ar-SA"/>
        </w:rPr>
        <w:t>فبالشذوذ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الاستبصار </w:t>
      </w:r>
      <w:r>
        <w:rPr>
          <w:rStyle w:val="FootnoteAnchor"/>
          <w:rtl w:val="true"/>
        </w:rPr>
        <w:footnoteReference w:id="1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هي بالنسبة إلى ما مرّ عامة ، فإرادة ما علم كونه بولا متعيّنة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يأت بشي‌ء منهما ، يجب عليه الغسل على الأشهر الأظهر ، بل عن الحلّي </w:t>
      </w:r>
      <w:r>
        <w:rPr>
          <w:rStyle w:val="FootnoteAnchor"/>
          <w:rtl w:val="true"/>
        </w:rPr>
        <w:footnoteReference w:id="1875"/>
      </w:r>
      <w:r>
        <w:rPr>
          <w:rFonts w:ascii="IRNazanin" w:hAnsi="IRNazanin" w:eastAsia="IRNazanin"/>
          <w:color w:val="111111"/>
          <w:sz w:val="28"/>
          <w:sz w:val="28"/>
          <w:szCs w:val="28"/>
          <w:rtl w:val="true"/>
          <w:lang w:bidi="fa-IR"/>
        </w:rPr>
        <w:t xml:space="preserve">والفاضل </w:t>
      </w:r>
      <w:r>
        <w:rPr>
          <w:rStyle w:val="FootnoteAnchor"/>
          <w:rtl w:val="true"/>
        </w:rPr>
        <w:footnoteReference w:id="1876"/>
      </w:r>
      <w:r>
        <w:rPr>
          <w:rFonts w:ascii="Amiri" w:hAnsi="Amiri" w:eastAsia="Amiri" w:cs="Amiri"/>
          <w:color w:val="111111"/>
          <w:sz w:val="28"/>
          <w:sz w:val="28"/>
          <w:szCs w:val="28"/>
          <w:rtl w:val="true"/>
          <w:lang w:bidi="ar-SA"/>
        </w:rPr>
        <w:t xml:space="preserve">الإجماع عليه ، لما تقدّم من الأخبار منطوقا ومفهوما ، مضافا إلى صحيحتي سليمان </w:t>
      </w:r>
      <w:r>
        <w:rPr>
          <w:rStyle w:val="FootnoteAnchor"/>
          <w:rtl w:val="true"/>
        </w:rPr>
        <w:footnoteReference w:id="1877"/>
      </w:r>
      <w:r>
        <w:rPr>
          <w:rFonts w:ascii="IRNazanin" w:hAnsi="IRNazanin" w:eastAsia="IRNazanin"/>
          <w:color w:val="111111"/>
          <w:sz w:val="28"/>
          <w:sz w:val="28"/>
          <w:szCs w:val="28"/>
          <w:rtl w:val="true"/>
          <w:lang w:bidi="fa-IR"/>
        </w:rPr>
        <w:t xml:space="preserve">ومنصور </w:t>
      </w:r>
      <w:r>
        <w:rPr>
          <w:rStyle w:val="FootnoteAnchor"/>
          <w:rtl w:val="true"/>
        </w:rPr>
        <w:footnoteReference w:id="1878"/>
      </w:r>
      <w:r>
        <w:rPr>
          <w:rFonts w:ascii="Amiri" w:hAnsi="Amiri" w:eastAsia="Amiri" w:cs="Amiri"/>
          <w:color w:val="111111"/>
          <w:sz w:val="28"/>
          <w:sz w:val="28"/>
          <w:szCs w:val="28"/>
          <w:rtl w:val="true"/>
          <w:lang w:bidi="ar-SA"/>
        </w:rPr>
        <w:t>، وبها تخصّص عمومات عدم نقض اليقين بالشك</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الروايات الدالّة على عدم الإعادة مع عدم البول مطلقا ، كروايتي الشحام </w:t>
      </w:r>
      <w:r>
        <w:rPr>
          <w:rStyle w:val="FootnoteAnchor"/>
          <w:rtl w:val="true"/>
        </w:rPr>
        <w:footnoteReference w:id="1879"/>
      </w:r>
      <w:r>
        <w:rPr>
          <w:rFonts w:ascii="IRNazanin" w:hAnsi="IRNazanin" w:eastAsia="IRNazanin"/>
          <w:color w:val="111111"/>
          <w:sz w:val="28"/>
          <w:sz w:val="28"/>
          <w:szCs w:val="28"/>
          <w:rtl w:val="true"/>
          <w:lang w:bidi="fa-IR"/>
        </w:rPr>
        <w:t xml:space="preserve">وعبد اللّه بن هلال </w:t>
      </w:r>
      <w:r>
        <w:rPr>
          <w:rStyle w:val="FootnoteAnchor"/>
          <w:rtl w:val="true"/>
        </w:rPr>
        <w:footnoteReference w:id="1880"/>
      </w:r>
      <w:r>
        <w:rPr>
          <w:rFonts w:ascii="Amiri" w:hAnsi="Amiri" w:eastAsia="Amiri" w:cs="Amiri"/>
          <w:color w:val="111111"/>
          <w:sz w:val="28"/>
          <w:sz w:val="28"/>
          <w:szCs w:val="28"/>
          <w:rtl w:val="true"/>
          <w:lang w:bidi="ar-SA"/>
        </w:rPr>
        <w:t xml:space="preserve">ومرسلة الفقيه </w:t>
      </w:r>
      <w:r>
        <w:rPr>
          <w:rStyle w:val="FootnoteAnchor"/>
          <w:rtl w:val="true"/>
        </w:rPr>
        <w:footnoteReference w:id="1881"/>
      </w:r>
      <w:r>
        <w:rPr>
          <w:rFonts w:ascii="Amiri" w:hAnsi="Amiri" w:eastAsia="Amiri" w:cs="Amiri"/>
          <w:color w:val="111111"/>
          <w:sz w:val="28"/>
          <w:sz w:val="28"/>
          <w:szCs w:val="28"/>
          <w:rtl w:val="true"/>
          <w:lang w:bidi="ar-SA"/>
        </w:rPr>
        <w:t xml:space="preserve">، أو مع نسيان البول خاصة ، كروايتي جميل </w:t>
      </w:r>
      <w:r>
        <w:rPr>
          <w:rStyle w:val="FootnoteAnchor"/>
          <w:rtl w:val="true"/>
        </w:rPr>
        <w:footnoteReference w:id="1882"/>
      </w:r>
      <w:r>
        <w:rPr>
          <w:rFonts w:ascii="IRNazanin" w:hAnsi="IRNazanin" w:eastAsia="IRNazanin"/>
          <w:color w:val="111111"/>
          <w:sz w:val="28"/>
          <w:sz w:val="28"/>
          <w:szCs w:val="28"/>
          <w:rtl w:val="true"/>
          <w:lang w:bidi="fa-IR"/>
        </w:rPr>
        <w:t xml:space="preserve">وأحمد بن هلال </w:t>
      </w:r>
      <w:r>
        <w:rPr>
          <w:rStyle w:val="FootnoteAnchor"/>
          <w:rtl w:val="true"/>
        </w:rPr>
        <w:footnoteReference w:id="1883"/>
      </w:r>
      <w:r>
        <w:rPr>
          <w:rFonts w:ascii="IRNazanin" w:hAnsi="IRNazanin" w:eastAsia="IRNazanin"/>
          <w:color w:val="111111"/>
          <w:sz w:val="28"/>
          <w:sz w:val="28"/>
          <w:szCs w:val="28"/>
          <w:rtl w:val="true"/>
          <w:lang w:bidi="fa-IR"/>
        </w:rPr>
        <w:t xml:space="preserve">فمع ضعفها سندا وشذوذها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قائل </w:t>
      </w:r>
    </w:p>
    <w:p>
      <w:pPr>
        <w:pStyle w:val="BookText"/>
        <w:rPr/>
      </w:pPr>
      <w:r>
        <w:rPr>
          <w:rFonts w:ascii="Amiri" w:hAnsi="Amiri" w:eastAsia="Amiri" w:cs="Amiri"/>
          <w:color w:val="111111"/>
          <w:sz w:val="28"/>
          <w:sz w:val="28"/>
          <w:szCs w:val="28"/>
          <w:rtl w:val="true"/>
          <w:lang w:bidi="ar-SA"/>
        </w:rPr>
        <w:t xml:space="preserve">بمضمونها سوى ما نقل عن ظاهر الفقيه والمقنع </w:t>
      </w:r>
      <w:r>
        <w:rPr>
          <w:rStyle w:val="FootnoteAnchor"/>
          <w:rtl w:val="true"/>
        </w:rPr>
        <w:footnoteReference w:id="1884"/>
      </w:r>
      <w:r>
        <w:rPr>
          <w:rFonts w:ascii="Amiri" w:hAnsi="Amiri" w:eastAsia="Amiri" w:cs="Amiri"/>
          <w:color w:val="111111"/>
          <w:sz w:val="28"/>
          <w:sz w:val="28"/>
          <w:szCs w:val="28"/>
          <w:rtl w:val="true"/>
          <w:lang w:bidi="ar-SA"/>
        </w:rPr>
        <w:t xml:space="preserve">من الاكتفاء بالوضوء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مطلقا من الأخبار المتقدّمة ، لاختصاص ما تقدّم بالمشتبه إجماعا ، وشمول هذه لما علم عدم كونه منيا أو بولا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الأولى والثالثة تصريح بكونه من الحبائل التي لا شي‌ء فيها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إن لم يأت بالبول مع إمكانه وأتى بالاستبراء ، على المشهور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الخلاف الإجماع عليه </w:t>
      </w:r>
      <w:r>
        <w:rPr>
          <w:rStyle w:val="FootnoteAnchor"/>
          <w:rtl w:val="true"/>
        </w:rPr>
        <w:footnoteReference w:id="1885"/>
      </w:r>
      <w:r>
        <w:rPr>
          <w:rFonts w:ascii="IRNazanin" w:hAnsi="IRNazanin" w:eastAsia="IRNazanin"/>
          <w:color w:val="111111"/>
          <w:sz w:val="28"/>
          <w:sz w:val="28"/>
          <w:szCs w:val="28"/>
          <w:rtl w:val="true"/>
          <w:lang w:bidi="fa-IR"/>
        </w:rPr>
        <w:t>، لإطلاق ما تقدّم من الصحاح ، بل وعموم 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للمحكي عن ظاهري الشرائع والنافع </w:t>
      </w:r>
      <w:r>
        <w:rPr>
          <w:rStyle w:val="FootnoteAnchor"/>
          <w:rtl w:val="true"/>
        </w:rPr>
        <w:footnoteReference w:id="1886"/>
      </w:r>
      <w:r>
        <w:rPr>
          <w:rFonts w:ascii="Amiri" w:hAnsi="Amiri" w:eastAsia="Amiri" w:cs="Amiri"/>
          <w:color w:val="111111"/>
          <w:sz w:val="28"/>
          <w:sz w:val="28"/>
          <w:szCs w:val="28"/>
          <w:rtl w:val="true"/>
          <w:lang w:bidi="ar-SA"/>
        </w:rPr>
        <w:t>، فلم يوجبه ، للأصل المندفع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عدم إمكانه ، فالحقّ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الغسل ، وعدم وجوب شي‌ء ، وهو مختار الصدوقين </w:t>
      </w:r>
      <w:r>
        <w:rPr>
          <w:rStyle w:val="FootnoteAnchor"/>
          <w:rtl w:val="true"/>
        </w:rPr>
        <w:footnoteReference w:id="1887"/>
      </w:r>
      <w:r>
        <w:rPr>
          <w:rFonts w:ascii="Amiri" w:hAnsi="Amiri" w:eastAsia="Amiri" w:cs="Amiri"/>
          <w:color w:val="111111"/>
          <w:sz w:val="28"/>
          <w:sz w:val="28"/>
          <w:szCs w:val="28"/>
          <w:rtl w:val="true"/>
          <w:lang w:bidi="ar-SA"/>
        </w:rPr>
        <w:t xml:space="preserve">والشيخين </w:t>
      </w:r>
      <w:r>
        <w:rPr>
          <w:rStyle w:val="FootnoteAnchor"/>
          <w:rtl w:val="true"/>
        </w:rPr>
        <w:footnoteReference w:id="1888"/>
      </w:r>
      <w:r>
        <w:rPr>
          <w:rFonts w:ascii="Amiri" w:hAnsi="Amiri" w:eastAsia="Amiri" w:cs="Amiri"/>
          <w:color w:val="111111"/>
          <w:sz w:val="28"/>
          <w:sz w:val="28"/>
          <w:szCs w:val="28"/>
          <w:rtl w:val="true"/>
          <w:lang w:bidi="ar-SA"/>
        </w:rPr>
        <w:t xml:space="preserve">والفاضلين </w:t>
      </w:r>
      <w:r>
        <w:rPr>
          <w:rStyle w:val="FootnoteAnchor"/>
          <w:rtl w:val="true"/>
        </w:rPr>
        <w:footnoteReference w:id="1889"/>
      </w:r>
      <w:r>
        <w:rPr>
          <w:rFonts w:ascii="Amiri" w:hAnsi="Amiri" w:eastAsia="Amiri" w:cs="Amiri"/>
          <w:color w:val="111111"/>
          <w:sz w:val="28"/>
          <w:sz w:val="28"/>
          <w:szCs w:val="28"/>
          <w:rtl w:val="true"/>
          <w:lang w:bidi="ar-SA"/>
        </w:rPr>
        <w:t xml:space="preserve">، وإليه ذهب والدي العلاّمة في الكتابين ، للرضوي المتقدّم </w:t>
      </w:r>
      <w:r>
        <w:rPr>
          <w:rStyle w:val="FootnoteAnchor"/>
          <w:rtl w:val="true"/>
        </w:rPr>
        <w:footnoteReference w:id="1890"/>
      </w:r>
      <w:r>
        <w:rPr>
          <w:rFonts w:ascii="Amiri" w:hAnsi="Amiri" w:eastAsia="Amiri" w:cs="Amiri"/>
          <w:color w:val="111111"/>
          <w:sz w:val="28"/>
          <w:sz w:val="28"/>
          <w:szCs w:val="28"/>
          <w:rtl w:val="true"/>
          <w:lang w:bidi="ar-SA"/>
        </w:rPr>
        <w:t>المنجبر في المقام بالشهرة ، بل للجمع بين مطلقات الإعادة وروايتي الشحام وابن هلال ، بحمل الأخيرتين على صورة عدم الإمكان ، بشهادة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نفي الشي‌ء فيه على نفي الإثم تخصيص بلا مخصّص</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وإطلاقه باعتبار خروج البلل وعدمه لا يضرّ ، إذ غايته تعارضه مع موجبات الإعادة بالعموم من وجه ، ويرجع إلى الأصل لو لا ترجيح ذلك بالأحدثية وموافقة الشهرة</w:t>
      </w:r>
      <w:r>
        <w:rPr>
          <w:rFonts w:eastAsia="Amiri" w:cs="Amiri" w:ascii="Amiri" w:hAnsi="Amiri"/>
          <w:color w:val="111111"/>
          <w:sz w:val="28"/>
          <w:szCs w:val="28"/>
          <w:rtl w:val="true"/>
          <w:lang w:bidi="ar-SA"/>
        </w:rPr>
        <w:t xml:space="preserve">. </w:t>
      </w:r>
      <w:bookmarkStart w:id="129" w:name="pg11612_110983"/>
    </w:p>
    <w:p>
      <w:pPr>
        <w:pStyle w:val="BookText"/>
        <w:rPr/>
      </w:pPr>
      <w:bookmarkEnd w:id="129"/>
      <w:r>
        <w:rPr>
          <w:rFonts w:ascii="Amiri" w:hAnsi="Amiri" w:eastAsia="Amiri" w:cs="Amiri"/>
          <w:color w:val="111111"/>
          <w:sz w:val="28"/>
          <w:sz w:val="28"/>
          <w:szCs w:val="28"/>
          <w:rtl w:val="true"/>
          <w:lang w:bidi="ar-SA"/>
        </w:rPr>
        <w:t xml:space="preserve">وإن عكست الحال ، فبال ولم يستبرئ ، يجب عليه الوضوء ، بالإجماع كما في اللوامع ، وعلى المعروف من مذهب الأصحاب كما في الحدائق </w:t>
      </w:r>
      <w:r>
        <w:rPr>
          <w:rStyle w:val="FootnoteAnchor"/>
          <w:rtl w:val="true"/>
        </w:rPr>
        <w:footnoteReference w:id="1891"/>
      </w:r>
      <w:r>
        <w:rPr>
          <w:rFonts w:ascii="Amiri" w:hAnsi="Amiri" w:eastAsia="Amiri" w:cs="Amiri"/>
          <w:color w:val="111111"/>
          <w:sz w:val="28"/>
          <w:sz w:val="28"/>
          <w:szCs w:val="28"/>
          <w:rtl w:val="true"/>
          <w:lang w:bidi="ar-SA"/>
        </w:rPr>
        <w:t xml:space="preserve">، وبلا خلاف كما قيل </w:t>
      </w:r>
      <w:r>
        <w:rPr>
          <w:rStyle w:val="FootnoteAnchor"/>
          <w:rtl w:val="true"/>
        </w:rPr>
        <w:footnoteReference w:id="1892"/>
      </w:r>
      <w:r>
        <w:rPr>
          <w:rFonts w:ascii="Amiri" w:hAnsi="Amiri" w:eastAsia="Amiri" w:cs="Amiri"/>
          <w:color w:val="111111"/>
          <w:sz w:val="28"/>
          <w:sz w:val="28"/>
          <w:szCs w:val="28"/>
          <w:rtl w:val="true"/>
          <w:lang w:bidi="ar-SA"/>
        </w:rPr>
        <w:t xml:space="preserve">، للصحيح والحسنتين المتقدّمتين في مسألة الاستبراء </w:t>
      </w:r>
      <w:r>
        <w:rPr>
          <w:rStyle w:val="FootnoteAnchor"/>
          <w:rtl w:val="true"/>
        </w:rPr>
        <w:footnoteReference w:id="1893"/>
      </w:r>
      <w:r>
        <w:rPr>
          <w:rFonts w:ascii="Amiri" w:hAnsi="Amiri" w:eastAsia="Amiri" w:cs="Amiri"/>
          <w:color w:val="111111"/>
          <w:sz w:val="28"/>
          <w:sz w:val="28"/>
          <w:szCs w:val="28"/>
          <w:rtl w:val="true"/>
          <w:lang w:bidi="ar-SA"/>
        </w:rPr>
        <w:t xml:space="preserve">، وموثّقة سماعة وصحيحة محمّد ورواية ابن ميسرة السالفة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اختصاص لذلك بما بعد الجنابة ، بل يجب الوضوء بالبلل الخارج بعد البول قبل الاستبراء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ينقل عن ظاهر المقنعة والتهذيبين </w:t>
      </w:r>
      <w:r>
        <w:rPr>
          <w:rStyle w:val="FootnoteAnchor"/>
          <w:rtl w:val="true"/>
        </w:rPr>
        <w:footnoteReference w:id="1895"/>
      </w:r>
      <w:r>
        <w:rPr>
          <w:rFonts w:ascii="Amiri" w:hAnsi="Amiri" w:eastAsia="Amiri" w:cs="Amiri"/>
          <w:color w:val="111111"/>
          <w:sz w:val="28"/>
          <w:sz w:val="28"/>
          <w:szCs w:val="28"/>
          <w:rtl w:val="true"/>
          <w:lang w:bidi="ar-SA"/>
        </w:rPr>
        <w:t>عدم الوضوء إذا كان ذلك بعد الجنابة ، بناء على عدمه مع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إطلاقه منع ظاهر ، لاختصاصه بخروج موجبه قبل الغسل لا بعده ، والموجب هنا البلل الخارج بعده</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5524401_73709187"/>
      <w:bookmarkStart w:id="131" w:name="_Toc49"/>
      <w:bookmarkEnd w:id="130"/>
      <w:r>
        <w:rPr>
          <w:rtl w:val="true"/>
        </w:rPr>
        <w:t xml:space="preserve">فروع </w:t>
      </w:r>
      <w:r>
        <w:rPr>
          <w:rtl w:val="true"/>
        </w:rPr>
        <w:t>:</w:t>
      </w:r>
      <w:bookmarkEnd w:id="131"/>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الغسل أو الوضوء في بعض الصور مخصوص بالرجل ، وأمّا المرأة فلا ، على المشهور بين الأصحاب ، للأصل ، والاستصحاب ، لاختصاص أخبار الوجوب بالرجل ، مضافا إلى التنصيص به في صحيحتي سليمان ومنصور </w:t>
      </w:r>
      <w:r>
        <w:rPr>
          <w:rStyle w:val="FootnoteAnchor"/>
          <w:rtl w:val="true"/>
        </w:rPr>
        <w:footnoteReference w:id="1896"/>
      </w:r>
      <w:r>
        <w:rPr>
          <w:rFonts w:ascii="Amiri" w:hAnsi="Amiri" w:eastAsia="Amiri" w:cs="Amiri"/>
          <w:color w:val="111111"/>
          <w:sz w:val="28"/>
          <w:sz w:val="28"/>
          <w:szCs w:val="28"/>
          <w:rtl w:val="true"/>
          <w:lang w:bidi="ar-SA"/>
        </w:rPr>
        <w:t>، بل لا يجب الغسل عليها وإن علمت أنّ الخارج مني ، بعد احتمال كونه من الرجل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الفاضل في المنتهى </w:t>
      </w:r>
      <w:r>
        <w:rPr>
          <w:rStyle w:val="FootnoteAnchor"/>
          <w:rtl w:val="true"/>
        </w:rPr>
        <w:footnoteReference w:id="1897"/>
      </w:r>
      <w:r>
        <w:rPr>
          <w:rFonts w:ascii="Amiri" w:hAnsi="Amiri" w:eastAsia="Amiri" w:cs="Amiri"/>
          <w:color w:val="111111"/>
          <w:sz w:val="28"/>
          <w:sz w:val="28"/>
          <w:szCs w:val="28"/>
          <w:rtl w:val="true"/>
          <w:lang w:bidi="ar-SA"/>
        </w:rPr>
        <w:t xml:space="preserve">والشهيدان </w:t>
      </w:r>
      <w:r>
        <w:rPr>
          <w:rStyle w:val="FootnoteAnchor"/>
          <w:rtl w:val="true"/>
        </w:rPr>
        <w:footnoteReference w:id="1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باختصاص إعادة الغسل في بعض الصور بالمنزل ، فلا يجب على من أجنب بغيره ، لأن الحكم </w:t>
      </w:r>
    </w:p>
    <w:p>
      <w:pPr>
        <w:pStyle w:val="BookText"/>
        <w:rPr/>
      </w:pPr>
      <w:r>
        <w:rPr>
          <w:rFonts w:ascii="Amiri" w:hAnsi="Amiri" w:eastAsia="Amiri" w:cs="Amiri"/>
          <w:color w:val="111111"/>
          <w:sz w:val="28"/>
          <w:sz w:val="28"/>
          <w:szCs w:val="28"/>
          <w:rtl w:val="true"/>
          <w:lang w:bidi="ar-SA"/>
        </w:rPr>
        <w:t>بالإعادة إنّما هو لمظنة كون الخارج من فضلة المني الخارج ، وذلك في حقّه غير متصوّر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 بعض المتأخّرين إلى الإعادة ، لعموم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أحوط ، وإن أمكن الخدش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مطلقة ، فإلى الشائع من أفراد 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فيما يجب فيه الغسل أو الوضوء حدث جديد ، فالعبادة الواقعة قبل خروجه صحيحة ، للأصل ، واقتضاء الأمر للإجزاء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صحيحة محمّد ، المتقدّمة </w:t>
      </w:r>
      <w:r>
        <w:rPr>
          <w:rStyle w:val="FootnoteAnchor"/>
          <w:rtl w:val="true"/>
        </w:rPr>
        <w:footnoteReference w:id="189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ويعيد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 إذ كما يمكن أن يراد منه الصلاة الواقعة بعد الغسل ، يمكن أن يراد منه الواقعة بعد الخروج ، ولا عموم فيه يشمل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يفيد أزيد من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الغسل أو الوضوء إنّما هو إذا كان نفس البلل الخارج مشتبها ، أمّا لو علم أنّه ليس بمني أو بول ، وشك في أنّه هل يستصحب شيئا من الأجزاء المتخلّفة من أحدهما ، فلا يجب ، إذ ما علم خروجه لا يوجبه ، بالنصوص الواردة فيه </w:t>
      </w:r>
      <w:r>
        <w:rPr>
          <w:rStyle w:val="FootnoteAnchor"/>
          <w:rtl w:val="true"/>
        </w:rPr>
        <w:footnoteReference w:id="1900"/>
      </w:r>
      <w:r>
        <w:rPr>
          <w:rFonts w:ascii="Amiri" w:hAnsi="Amiri" w:eastAsia="Amiri" w:cs="Amiri"/>
          <w:color w:val="111111"/>
          <w:sz w:val="28"/>
          <w:sz w:val="28"/>
          <w:szCs w:val="28"/>
          <w:rtl w:val="true"/>
          <w:lang w:bidi="ar-SA"/>
        </w:rPr>
        <w:t>، وغيره منفي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المستفاد من لفظ الإعادة في الأخبار المتقدّمة ، ومن التعليل بخروج بقية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الغسل المعاد غسل جنابة ، فيرتفع به الحدث الأصغر المتخلّل بين الغسلين من غير حاجة إلى الوضوء ، ولو احتاط بنقض الغسل ثمَّ الوضوء كان أولى</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بالأصغر في أثناء الغسل يعيده ، وفاقا للصدوقين </w:t>
      </w:r>
      <w:r>
        <w:rPr>
          <w:rStyle w:val="FootnoteAnchor"/>
          <w:rtl w:val="true"/>
        </w:rPr>
        <w:footnoteReference w:id="1901"/>
      </w:r>
      <w:r>
        <w:rPr>
          <w:rFonts w:ascii="Amiri" w:hAnsi="Amiri" w:eastAsia="Amiri" w:cs="Amiri"/>
          <w:color w:val="111111"/>
          <w:sz w:val="28"/>
          <w:sz w:val="28"/>
          <w:szCs w:val="28"/>
          <w:rtl w:val="true"/>
          <w:lang w:bidi="ar-SA"/>
        </w:rPr>
        <w:t xml:space="preserve">، ونهاية الإحكام </w:t>
      </w:r>
      <w:r>
        <w:rPr>
          <w:rStyle w:val="FootnoteAnchor"/>
          <w:rtl w:val="true"/>
        </w:rPr>
        <w:footnoteReference w:id="1902"/>
      </w:r>
      <w:r>
        <w:rPr>
          <w:rFonts w:ascii="IRNazanin" w:hAnsi="IRNazanin" w:eastAsia="IRNazanin"/>
          <w:color w:val="111111"/>
          <w:sz w:val="28"/>
          <w:sz w:val="28"/>
          <w:szCs w:val="28"/>
          <w:rtl w:val="true"/>
          <w:lang w:bidi="fa-IR"/>
        </w:rPr>
        <w:t xml:space="preserve">، والمبسوط والإصباح والجامع والقواعد </w:t>
      </w:r>
      <w:r>
        <w:rPr>
          <w:rStyle w:val="FootnoteAnchor"/>
          <w:rtl w:val="true"/>
        </w:rPr>
        <w:footnoteReference w:id="190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والشهيدين </w:t>
      </w:r>
      <w:r>
        <w:rPr>
          <w:rStyle w:val="FootnoteAnchor"/>
          <w:rtl w:val="true"/>
        </w:rPr>
        <w:footnoteReference w:id="1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نسبه المحقّق الثاني في شرح الألفية إلى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للرضوي المنجبر ضعفه بالشهرة المحكية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أحدثت حدثا من بول أو غائط أو ريح بعد ما غسلت رأسك من قبل أن تغسل جسدك ، فأعد الغسل من أوله </w:t>
      </w:r>
      <w:r>
        <w:rPr>
          <w:rFonts w:eastAsia="Amiri" w:cs="Amiri" w:ascii="Amiri" w:hAnsi="Amiri"/>
          <w:color w:val="111111"/>
          <w:sz w:val="28"/>
          <w:szCs w:val="28"/>
          <w:rtl w:val="true"/>
          <w:lang w:bidi="ar-SA"/>
        </w:rPr>
        <w:t xml:space="preserve">»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ونقله جماعة من مجالس الصدوق </w:t>
      </w:r>
      <w:r>
        <w:rPr>
          <w:rStyle w:val="FootnoteAnchor"/>
          <w:rtl w:val="true"/>
        </w:rPr>
        <w:footnoteReference w:id="190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الغسل الأول بعد إتمامه لا يرفع الحدث المتخلّل بالبديهة ، والصحيح من غسل الجنابة ما يرتفع معه جميع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المتخلّل لا بدّ له من أثر ، وليس هو الوضوء ، إذ ليس هو مع غسل الجنابة ، فهو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وبأنّه ينقض حكم تمام الغسل إن صدر بعده ، فينقض حكم البعض بالطريق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لهذا الغسل حكم إباحة الصلاة ، والصحيح منه لا يخلو عنه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المقدمة الأولى أوّلا ، فإنّ أحد المخالفين يقول برفعه للعمومات ، كما يأتي ، ولا استبعاد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إطلاق الثانية ثانيا ، فإنّ المخالف الآخر يقول بأنه لا يرفع المتخلّل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وجوب الأثر لكلّ حدث حتى المتخلّل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عدم كونه الوضوء ثانيا ، ولا يلزم من عدمه مع غسل الجنابة في الجملة عدمه معه مطلقا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الأولوية المدّعاة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ترتّب الإباحة على كلّ غسل جنابة صحيح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 هذا الممنوع يظهر ممّا يأتي من أدلّة المخالفين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للسيد </w:t>
      </w:r>
      <w:r>
        <w:rPr>
          <w:rStyle w:val="FootnoteAnchor"/>
          <w:rtl w:val="true"/>
        </w:rPr>
        <w:footnoteReference w:id="1907"/>
      </w:r>
      <w:r>
        <w:rPr>
          <w:rFonts w:ascii="Amiri" w:hAnsi="Amiri" w:eastAsia="Amiri" w:cs="Amiri"/>
          <w:color w:val="111111"/>
          <w:sz w:val="28"/>
          <w:sz w:val="28"/>
          <w:szCs w:val="28"/>
          <w:rtl w:val="true"/>
          <w:lang w:bidi="ar-SA"/>
        </w:rPr>
        <w:t xml:space="preserve">والمحقّق </w:t>
      </w:r>
      <w:r>
        <w:rPr>
          <w:rStyle w:val="FootnoteAnchor"/>
          <w:rtl w:val="true"/>
        </w:rPr>
        <w:footnoteReference w:id="1908"/>
      </w:r>
      <w:r>
        <w:rPr>
          <w:rFonts w:ascii="Amiri" w:hAnsi="Amiri" w:eastAsia="Amiri" w:cs="Amiri"/>
          <w:color w:val="111111"/>
          <w:sz w:val="28"/>
          <w:sz w:val="28"/>
          <w:szCs w:val="28"/>
          <w:rtl w:val="true"/>
          <w:lang w:bidi="ar-SA"/>
        </w:rPr>
        <w:t xml:space="preserve">وأكثر الثالثة ،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 العلاّمة ، فقالوا بأنّه يتمّ الغسل ويتوضّأ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فلأصالة البراءة ، واستصحاب الصحة الثابتة بعموم مثل قوله في الجنب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جرى عليه الماء فقد طهر </w:t>
      </w:r>
      <w:r>
        <w:rPr>
          <w:rFonts w:eastAsia="Amiri" w:cs="Amiri" w:ascii="Amiri" w:hAnsi="Amiri"/>
          <w:color w:val="111111"/>
          <w:sz w:val="28"/>
          <w:szCs w:val="28"/>
          <w:rtl w:val="true"/>
          <w:lang w:bidi="ar-SA"/>
        </w:rPr>
        <w:t xml:space="preserve">» </w:t>
      </w:r>
      <w:r>
        <w:rPr>
          <w:rStyle w:val="FootnoteAnchor"/>
          <w:rtl w:val="true"/>
        </w:rPr>
        <w:footnoteReference w:id="190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أمسسته الماء فقد نقيته </w:t>
      </w:r>
      <w:r>
        <w:rPr>
          <w:rFonts w:eastAsia="Amiri" w:cs="Amiri" w:ascii="Amiri" w:hAnsi="Amiri"/>
          <w:color w:val="111111"/>
          <w:sz w:val="28"/>
          <w:szCs w:val="28"/>
          <w:rtl w:val="true"/>
          <w:lang w:bidi="ar-SA"/>
        </w:rPr>
        <w:t xml:space="preserve">»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فلعموم ما دلّ على إيجاب الأصغر إيّاه ، خرج منه ما كان قبل غسل الجنابة بالإجماع والأدلّة ،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الأصغر لا يوجب الغسل فلا يعيد ، فيجب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يرتفع ببقيته ، لعدم استقلالها بالرفع ، فيتوضّأ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باندفاع الأصل ، 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 بضميمة عدم القول بالصحة مع الإعادة ، فلا يتمّه بل يعيد ، ومعها لا يتوضّأ بالبديهة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إيجاب الأصغر للغسل لا يوجب عدم إبطاله لبعضه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وللقاضي </w:t>
      </w:r>
      <w:r>
        <w:rPr>
          <w:rStyle w:val="FootnoteAnchor"/>
          <w:rtl w:val="true"/>
        </w:rPr>
        <w:footnoteReference w:id="1911"/>
      </w:r>
      <w:r>
        <w:rPr>
          <w:rFonts w:ascii="Amiri" w:hAnsi="Amiri" w:eastAsia="Amiri" w:cs="Amiri"/>
          <w:color w:val="111111"/>
          <w:sz w:val="28"/>
          <w:sz w:val="28"/>
          <w:szCs w:val="28"/>
          <w:rtl w:val="true"/>
          <w:lang w:bidi="ar-SA"/>
        </w:rPr>
        <w:t xml:space="preserve">والحلّي </w:t>
      </w:r>
      <w:r>
        <w:rPr>
          <w:rStyle w:val="FootnoteAnchor"/>
          <w:rtl w:val="true"/>
        </w:rPr>
        <w:footnoteReference w:id="1912"/>
      </w:r>
      <w:r>
        <w:rPr>
          <w:rFonts w:ascii="Amiri" w:hAnsi="Amiri" w:eastAsia="Amiri" w:cs="Amiri"/>
          <w:color w:val="111111"/>
          <w:sz w:val="28"/>
          <w:sz w:val="28"/>
          <w:szCs w:val="28"/>
          <w:rtl w:val="true"/>
          <w:lang w:bidi="ar-SA"/>
        </w:rPr>
        <w:t xml:space="preserve">والكركي </w:t>
      </w:r>
      <w:r>
        <w:rPr>
          <w:rStyle w:val="FootnoteAnchor"/>
          <w:rtl w:val="true"/>
        </w:rPr>
        <w:footnoteReference w:id="1913"/>
      </w:r>
      <w:r>
        <w:rPr>
          <w:rFonts w:ascii="Amiri" w:hAnsi="Amiri" w:eastAsia="Amiri" w:cs="Amiri"/>
          <w:color w:val="111111"/>
          <w:sz w:val="28"/>
          <w:sz w:val="28"/>
          <w:szCs w:val="28"/>
          <w:rtl w:val="true"/>
          <w:lang w:bidi="ar-SA"/>
        </w:rPr>
        <w:t xml:space="preserve">وبعض الثالثة </w:t>
      </w:r>
      <w:r>
        <w:rPr>
          <w:rStyle w:val="FootnoteAnchor"/>
          <w:rtl w:val="true"/>
        </w:rPr>
        <w:footnoteReference w:id="1914"/>
      </w:r>
      <w:r>
        <w:rPr>
          <w:rFonts w:ascii="Amiri" w:hAnsi="Amiri" w:eastAsia="Amiri" w:cs="Amiri"/>
          <w:color w:val="111111"/>
          <w:sz w:val="28"/>
          <w:sz w:val="28"/>
          <w:szCs w:val="28"/>
          <w:rtl w:val="true"/>
          <w:lang w:bidi="ar-SA"/>
        </w:rPr>
        <w:t xml:space="preserve">، فقالوا بكفاية الإتمام ، لصدق الغسل ، وكفايته بإطلاق الأمر به المستلزم للإجزاء ، فلا إعادة ، واستفاضة النصوص بانتفاء الوضوء مع غسل الجنابة مطلقا </w:t>
      </w:r>
      <w:r>
        <w:rPr>
          <w:rStyle w:val="FootnoteAnchor"/>
          <w:rtl w:val="true"/>
        </w:rPr>
        <w:footnoteReference w:id="1915"/>
      </w:r>
      <w:r>
        <w:rPr>
          <w:rFonts w:ascii="Amiri" w:hAnsi="Amiri" w:eastAsia="Amiri" w:cs="Amiri"/>
          <w:color w:val="111111"/>
          <w:sz w:val="28"/>
          <w:sz w:val="28"/>
          <w:szCs w:val="28"/>
          <w:rtl w:val="true"/>
          <w:lang w:bidi="ar-SA"/>
        </w:rPr>
        <w:t>، خرج ما إذا أحدث بالأصغر بعد إتمامه بالإجماع ، فيبقى الباقي</w:t>
      </w:r>
      <w:r>
        <w:rPr>
          <w:rFonts w:eastAsia="Amiri" w:cs="Amiri" w:ascii="Amiri" w:hAnsi="Amiri"/>
          <w:color w:val="111111"/>
          <w:sz w:val="28"/>
          <w:szCs w:val="28"/>
          <w:rtl w:val="true"/>
          <w:lang w:bidi="ar-SA"/>
        </w:rPr>
        <w:t xml:space="preserve">. </w:t>
      </w:r>
      <w:bookmarkStart w:id="132" w:name="pg11612_110987"/>
    </w:p>
    <w:p>
      <w:pPr>
        <w:pStyle w:val="BookText"/>
        <w:rPr/>
      </w:pPr>
      <w:bookmarkEnd w:id="132"/>
      <w:r>
        <w:rPr>
          <w:rFonts w:ascii="Amiri" w:hAnsi="Amiri" w:eastAsia="Amiri" w:cs="Amiri"/>
          <w:color w:val="111111"/>
          <w:sz w:val="28"/>
          <w:sz w:val="28"/>
          <w:szCs w:val="28"/>
          <w:rtl w:val="true"/>
          <w:lang w:bidi="ar-SA"/>
        </w:rPr>
        <w:t xml:space="preserve">ويجاب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تقييد إطلاق الأمر بما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w:t>
      </w:r>
      <w:r>
        <w:rPr>
          <w:rFonts w:eastAsia="Amiri" w:cs="Amiri" w:ascii="Amiri" w:hAnsi="Amiri"/>
          <w:color w:val="111111"/>
          <w:sz w:val="28"/>
          <w:szCs w:val="28"/>
          <w:rtl w:val="true"/>
          <w:lang w:bidi="ar-SA"/>
        </w:rPr>
        <w:t xml:space="preserve">) </w:t>
      </w:r>
      <w:r>
        <w:rPr>
          <w:rStyle w:val="FootnoteAnchor"/>
          <w:rtl w:val="true"/>
        </w:rPr>
        <w:footnoteReference w:id="1916"/>
      </w:r>
      <w:r>
        <w:rPr>
          <w:rFonts w:ascii="Amiri" w:hAnsi="Amiri" w:eastAsia="Amiri" w:cs="Amiri"/>
          <w:color w:val="111111"/>
          <w:sz w:val="28"/>
          <w:sz w:val="28"/>
          <w:szCs w:val="28"/>
          <w:rtl w:val="true"/>
          <w:lang w:bidi="ar-SA"/>
        </w:rPr>
        <w:t>النصوص النافية للوضوء معه يعارض عمومات إيجاب الأصغر للوضوء بالعموم من وجه ، والترجيح للعمومات ، بموافقة الكتاب ، وعدم انصراف الإطلاق إلى مثل تلك الصورة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توقّف موافقة الكتاب على عطف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w:t>
      </w:r>
      <w:r>
        <w:rPr>
          <w:rFonts w:eastAsia="Amiri" w:cs="Amiri" w:ascii="Amiri" w:hAnsi="Amiri"/>
          <w:color w:val="111111"/>
          <w:sz w:val="28"/>
          <w:szCs w:val="28"/>
          <w:rtl w:val="true"/>
          <w:lang w:bidi="ar-SA"/>
        </w:rPr>
        <w:t xml:space="preserve">) </w:t>
      </w:r>
      <w:r>
        <w:rPr>
          <w:rStyle w:val="FootnoteAnchor"/>
          <w:rtl w:val="true"/>
        </w:rPr>
        <w:footnoteReference w:id="1917"/>
      </w:r>
      <w:r>
        <w:rPr>
          <w:rFonts w:ascii="Amiri" w:hAnsi="Amiri" w:eastAsia="Amiri" w:cs="Amiri"/>
          <w:color w:val="111111"/>
          <w:sz w:val="28"/>
          <w:sz w:val="28"/>
          <w:szCs w:val="28"/>
          <w:rtl w:val="true"/>
          <w:lang w:bidi="ar-SA"/>
        </w:rPr>
        <w:t xml:space="preserve">، وأما على العطف على الشرط المقدّر أو الجزاء المذكور فلا ، إذ التفصيل قاطع للشركة ، فاسد ، إذ تدلّ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الوضوء على المحدث من حيث هو محدث مطلقا ، ومقتضى قطع الشركة عدم وجوب غير الغسل على الجنب من حيث هو جنب ، وهو كذلك ، ولا ينافي ذلك وجوبه عليه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عدم دلالة رواية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الكوفة يروون عن علي أنه كان يأمر بالوضوء قبل الغسل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كذبوا على علي عليه السلام ، ما وجدوا ذلك في كتاب علي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جُنُباً فَاطَّهَّرُوا </w:t>
      </w:r>
      <w:r>
        <w:rPr>
          <w:rFonts w:eastAsia="Amiri" w:cs="Amiri" w:ascii="Amiri" w:hAnsi="Amiri"/>
          <w:color w:val="111111"/>
          <w:sz w:val="28"/>
          <w:szCs w:val="28"/>
          <w:rtl w:val="true"/>
          <w:lang w:bidi="ar-SA"/>
        </w:rPr>
        <w:t xml:space="preserve">) » </w:t>
      </w:r>
      <w:r>
        <w:rPr>
          <w:rStyle w:val="FootnoteAnchor"/>
          <w:rtl w:val="true"/>
        </w:rPr>
        <w:footnoteReference w:id="1918"/>
      </w:r>
      <w:r>
        <w:rPr>
          <w:rFonts w:ascii="Amiri" w:hAnsi="Amiri" w:eastAsia="Amiri" w:cs="Amiri"/>
          <w:color w:val="111111"/>
          <w:sz w:val="28"/>
          <w:sz w:val="28"/>
          <w:szCs w:val="28"/>
          <w:rtl w:val="true"/>
          <w:lang w:bidi="ar-SA"/>
        </w:rPr>
        <w:t>على انتفاء الوضوء من الجنب المحدث من حيث هو محدث ، فإنّ السؤال عن الأمر بالوضوء قبل غسل الجنابة ، وظاهره أنّه من حيث هو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المحتاط يعيد ويتوضّأ ، سيما بعد نقض المعاد ، ولو أتمّ وأعاد ونقض وتوضّأ ، احتاط غايته</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5524403_73709187"/>
      <w:bookmarkStart w:id="134" w:name="_Toc50"/>
      <w:bookmarkEnd w:id="133"/>
      <w:r>
        <w:rPr>
          <w:rtl w:val="true"/>
        </w:rPr>
        <w:t xml:space="preserve">فرعان </w:t>
      </w:r>
      <w:r>
        <w:rPr>
          <w:rtl w:val="true"/>
        </w:rPr>
        <w:t>:</w:t>
      </w:r>
      <w:bookmarkEnd w:id="134"/>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تخلّل الحدث غير غسل الجنابة من الأغسال ، يتمّ ويتوضّأ ، سواء قلنا </w:t>
      </w:r>
    </w:p>
    <w:p>
      <w:pPr>
        <w:pStyle w:val="BookText"/>
        <w:rPr/>
      </w:pPr>
      <w:r>
        <w:rPr>
          <w:rFonts w:ascii="IRNazanin" w:hAnsi="IRNazanin" w:eastAsia="IRNazanin"/>
          <w:color w:val="111111"/>
          <w:sz w:val="28"/>
          <w:sz w:val="28"/>
          <w:szCs w:val="28"/>
          <w:rtl w:val="true"/>
          <w:lang w:bidi="fa-IR"/>
        </w:rPr>
        <w:t>بإجزائه عن الوضوء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الإتمام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فللأصل والاستصحاب المتقدّمين الخاليين عن المعارض في المقام ، لاختصاص الرضوي </w:t>
      </w:r>
      <w:r>
        <w:rPr>
          <w:rStyle w:val="FootnoteAnchor"/>
          <w:rtl w:val="true"/>
        </w:rPr>
        <w:footnoteReference w:id="1919"/>
      </w:r>
      <w:r>
        <w:rPr>
          <w:rFonts w:ascii="Amiri" w:hAnsi="Amiri" w:eastAsia="Amiri" w:cs="Amiri"/>
          <w:color w:val="111111"/>
          <w:sz w:val="28"/>
          <w:sz w:val="28"/>
          <w:szCs w:val="28"/>
          <w:rtl w:val="true"/>
          <w:lang w:bidi="ar-SA"/>
        </w:rPr>
        <w:t xml:space="preserve">وقرينة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الشهرة الجابرة له في المورد غير محقّقة ولا محكية ، بل الفاضل مع حكمه بالإعادة في الجنابة لم يحكم بها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فلموجباته بعد الأصغر ، الراجحة على ما ينفيه بعد كلّ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الارتماسي كالترتيبي في إمكان التخلّل ، إذ الدفعة العرفية لا تنافيه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الغسل بعد ولوج الكل ، فيحصل بآخر أجزائه وهو آني ، فاسد ، بل هو يحصل بكلّ أجزاء الولوج ، وهو تدريجي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فلو تخلّله الحدث ، تجري فيه الأقوال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فيه الإتمام ، للاستصحاب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والوضوء ، لعموماته الراجحة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معارضها في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الإعادة ، للأصل ، حيث إنّ سياق الرضوي وقرينه في الترتيبي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الشهرة الجابرة هنا غير معلومة ، وعدم الفصل بين الترتيبي والارتماسي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والاحتياط بالجمع بين الإعادة والوضوء أولى ، سيما مع نقض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يجب الوضوء مع غسل الجنابة للمشروط به ولو على المحدث بالحدث الأصغر قبله ، بالإجماع المحقّق والمحكي عن جماعة من علمائنا الأخيار ، وعمل الفرقة في جميع الأعصار ، واستفاضة الأخبار السالمة عن المعارض بأنه لا وضوء معه ولا قبله ولا بعده </w:t>
      </w:r>
      <w:r>
        <w:rPr>
          <w:rStyle w:val="FootnoteAnchor"/>
          <w:rtl w:val="true"/>
        </w:rPr>
        <w:footnoteReference w:id="1920"/>
      </w:r>
      <w:r>
        <w:rPr>
          <w:rFonts w:ascii="Amiri" w:hAnsi="Amiri" w:eastAsia="Amiri" w:cs="Amiri"/>
          <w:color w:val="111111"/>
          <w:sz w:val="28"/>
          <w:sz w:val="28"/>
          <w:szCs w:val="28"/>
          <w:rtl w:val="true"/>
          <w:lang w:bidi="ar-SA"/>
        </w:rPr>
        <w:t xml:space="preserve">، التي منها ما يصرّح بأنه لا وضوء للصلاة مع غسل الجمعة </w:t>
      </w:r>
    </w:p>
    <w:p>
      <w:pPr>
        <w:pStyle w:val="BookText"/>
        <w:rPr/>
      </w:pPr>
      <w:r>
        <w:rPr>
          <w:rFonts w:ascii="Amiri" w:hAnsi="Amiri" w:eastAsia="Amiri" w:cs="Amiri"/>
          <w:color w:val="111111"/>
          <w:sz w:val="28"/>
          <w:sz w:val="28"/>
          <w:szCs w:val="28"/>
          <w:rtl w:val="true"/>
          <w:lang w:bidi="ar-SA"/>
        </w:rPr>
        <w:t xml:space="preserve">وغيره </w:t>
      </w:r>
      <w:r>
        <w:rPr>
          <w:rStyle w:val="FootnoteAnchor"/>
          <w:rtl w:val="true"/>
        </w:rPr>
        <w:footnoteReference w:id="1921"/>
      </w:r>
      <w:r>
        <w:rPr>
          <w:rFonts w:ascii="Amiri" w:hAnsi="Amiri" w:eastAsia="Amiri" w:cs="Amiri"/>
          <w:color w:val="111111"/>
          <w:sz w:val="28"/>
          <w:sz w:val="28"/>
          <w:szCs w:val="28"/>
          <w:rtl w:val="true"/>
          <w:lang w:bidi="ar-SA"/>
        </w:rPr>
        <w:t>، الشامل للجنابة ، أو بإجزائه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الجنابة والوضوء فريضتان ، فإذا اجتمعا فأكبرهما يجزي عن أصغرهما </w:t>
      </w:r>
      <w:r>
        <w:rPr>
          <w:rFonts w:eastAsia="Amiri" w:cs="Amiri" w:ascii="Amiri" w:hAnsi="Amiri"/>
          <w:color w:val="111111"/>
          <w:sz w:val="28"/>
          <w:szCs w:val="28"/>
          <w:rtl w:val="true"/>
          <w:lang w:bidi="ar-SA"/>
        </w:rPr>
        <w:t xml:space="preserve">»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فاحتمال أن يراد من بعض تلك الظواهر أنه لا وضوء مع غسل الجنابة أي للغسل ، بمعنى أنه لا تتوقّف تمامية الغسل عليه ، فلا ينافي وجوبه للصلاة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وضوء معه من حيث إنّه جنب ، فلا ينافي وجوبه من حيث هو محدث ، غير 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يستحب معه أيضا على الحقّ المشهور ، لنفي الوضوء معه أو قبله أو بعده ، أي 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المتبادر من صدوره عن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أخبارنا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الحكم بكونه بدعة في جملة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من التهذيب </w:t>
      </w:r>
      <w:r>
        <w:rPr>
          <w:rStyle w:val="FootnoteAnchor"/>
          <w:rtl w:val="true"/>
        </w:rPr>
        <w:footnoteReference w:id="1923"/>
      </w:r>
      <w:r>
        <w:rPr>
          <w:rFonts w:ascii="Amiri" w:hAnsi="Amiri" w:eastAsia="Amiri" w:cs="Amiri"/>
          <w:color w:val="111111"/>
          <w:sz w:val="28"/>
          <w:sz w:val="28"/>
          <w:szCs w:val="28"/>
          <w:rtl w:val="true"/>
          <w:lang w:bidi="ar-SA"/>
        </w:rPr>
        <w:t xml:space="preserve">، ومال إليه المقدس الأردبيلي </w:t>
      </w:r>
      <w:r>
        <w:rPr>
          <w:rStyle w:val="FootnoteAnchor"/>
          <w:rtl w:val="true"/>
        </w:rPr>
        <w:footnoteReference w:id="1924"/>
      </w:r>
      <w:r>
        <w:rPr>
          <w:rFonts w:ascii="Amiri" w:hAnsi="Amiri" w:eastAsia="Amiri" w:cs="Amiri"/>
          <w:color w:val="111111"/>
          <w:sz w:val="28"/>
          <w:sz w:val="28"/>
          <w:szCs w:val="28"/>
          <w:rtl w:val="true"/>
          <w:lang w:bidi="ar-SA"/>
        </w:rPr>
        <w:t xml:space="preserve">، لرواية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إذا أجنبت؟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كفك وفرجك ، وتوضّأ وضوء الصلاة ، ثمَّ اغتسل </w:t>
      </w:r>
      <w:r>
        <w:rPr>
          <w:rFonts w:eastAsia="Amiri" w:cs="Amiri" w:ascii="Amiri" w:hAnsi="Amiri"/>
          <w:color w:val="111111"/>
          <w:sz w:val="28"/>
          <w:szCs w:val="28"/>
          <w:rtl w:val="true"/>
          <w:lang w:bidi="ar-SA"/>
        </w:rPr>
        <w:t xml:space="preserve">»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ميسر ، وفيها بعد السؤال من الرجل يريد أن يغتسل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يضع يده ويتوضأ ويغتسل </w:t>
      </w:r>
      <w:r>
        <w:rPr>
          <w:rFonts w:eastAsia="Amiri" w:cs="Amiri" w:ascii="Amiri" w:hAnsi="Amiri"/>
          <w:color w:val="111111"/>
          <w:sz w:val="28"/>
          <w:szCs w:val="28"/>
          <w:rtl w:val="true"/>
          <w:lang w:bidi="ar-SA"/>
        </w:rPr>
        <w:t xml:space="preserve">»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وتردّان بمرجوحيتهما عن الأخبار المعارضة لهما ، باعتبار موافقتهما للعامة ، </w:t>
      </w:r>
    </w:p>
    <w:p>
      <w:pPr>
        <w:pStyle w:val="BookText"/>
        <w:rPr/>
      </w:pPr>
      <w:r>
        <w:rPr>
          <w:rFonts w:ascii="Amiri" w:hAnsi="Amiri" w:eastAsia="Amiri" w:cs="Amiri"/>
          <w:color w:val="111111"/>
          <w:sz w:val="28"/>
          <w:sz w:val="28"/>
          <w:szCs w:val="28"/>
          <w:rtl w:val="true"/>
          <w:lang w:bidi="ar-SA"/>
        </w:rPr>
        <w:t xml:space="preserve">كما صرّح بها الجماعة </w:t>
      </w:r>
      <w:r>
        <w:rPr>
          <w:rStyle w:val="FootnoteAnchor"/>
          <w:rtl w:val="true"/>
        </w:rPr>
        <w:footnoteReference w:id="1927"/>
      </w:r>
      <w:r>
        <w:rPr>
          <w:rFonts w:ascii="Amiri" w:hAnsi="Amiri" w:eastAsia="Amiri" w:cs="Amiri"/>
          <w:color w:val="111111"/>
          <w:sz w:val="28"/>
          <w:sz w:val="28"/>
          <w:szCs w:val="28"/>
          <w:rtl w:val="true"/>
          <w:lang w:bidi="ar-SA"/>
        </w:rPr>
        <w:t xml:space="preserve">وتستفاد من بعض المعتبرة </w:t>
      </w:r>
      <w:r>
        <w:rPr>
          <w:rStyle w:val="FootnoteAnchor"/>
          <w:rtl w:val="true"/>
        </w:rPr>
        <w:footnoteReference w:id="1928"/>
      </w:r>
      <w:r>
        <w:rPr>
          <w:rFonts w:ascii="Amiri" w:hAnsi="Amiri" w:eastAsia="Amiri" w:cs="Amiri"/>
          <w:color w:val="111111"/>
          <w:sz w:val="28"/>
          <w:sz w:val="28"/>
          <w:szCs w:val="28"/>
          <w:rtl w:val="true"/>
          <w:lang w:bidi="ar-SA"/>
        </w:rPr>
        <w:t>، وهي ممّا توجب المرجوحية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الغسل في الثانية أعمّ من الجنابة ، والتوضّؤ غير صريح في الأفعال المعهودة إلاّ على أن تثبت فيه الحقيقة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في الأولى ، لاحتمال أن يراد بوضوء الصلاة المضمضة والاستنشاق وغسل اليدين من المرفق ، المستحبة قبل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غسل الجنابة ، وأمّا غيره من الأغسال المفروضة والمسنونة ، ففي وجوب الوضوء معه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للمكلّف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للأكثر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أن يكون إجماعا </w:t>
      </w:r>
      <w:r>
        <w:rPr>
          <w:rStyle w:val="FootnoteAnchor"/>
          <w:rtl w:val="true"/>
        </w:rPr>
        <w:footnoteReference w:id="1929"/>
      </w:r>
      <w:r>
        <w:rPr>
          <w:rFonts w:ascii="Amiri" w:hAnsi="Amiri" w:eastAsia="Amiri" w:cs="Amiri"/>
          <w:color w:val="111111"/>
          <w:sz w:val="28"/>
          <w:sz w:val="28"/>
          <w:szCs w:val="28"/>
          <w:rtl w:val="true"/>
          <w:lang w:bidi="ar-SA"/>
        </w:rPr>
        <w:t xml:space="preserve">، بل عن 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دين الإمامية </w:t>
      </w:r>
      <w:r>
        <w:rPr>
          <w:rStyle w:val="FootnoteAnchor"/>
          <w:rtl w:val="true"/>
        </w:rPr>
        <w:footnoteReference w:id="1930"/>
      </w:r>
      <w:r>
        <w:rPr>
          <w:rFonts w:ascii="Amiri" w:hAnsi="Amiri" w:eastAsia="Amiri" w:cs="Amiri"/>
          <w:color w:val="111111"/>
          <w:sz w:val="28"/>
          <w:sz w:val="28"/>
          <w:szCs w:val="28"/>
          <w:rtl w:val="true"/>
          <w:lang w:bidi="ar-SA"/>
        </w:rPr>
        <w:t>، إلاّ أنّ عبارته عن إفادة الوجوب قاصرة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لإطلاق الآية ، وعموم ما دلّ على وجوبه بحدوث أحد أسبابه ، بضميمة أصالة عدم إجزاء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ومرسلة ابن أبي عمير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غسل قبله وضوء إلاّ غسل الجنابة </w:t>
      </w:r>
      <w:r>
        <w:rPr>
          <w:rFonts w:eastAsia="Amiri" w:cs="Amiri" w:ascii="Amiri" w:hAnsi="Amiri"/>
          <w:color w:val="111111"/>
          <w:sz w:val="28"/>
          <w:szCs w:val="28"/>
          <w:rtl w:val="true"/>
          <w:lang w:bidi="ar-SA"/>
        </w:rPr>
        <w:t xml:space="preserve">» </w:t>
      </w:r>
      <w:r>
        <w:rPr>
          <w:rStyle w:val="FootnoteAnchor"/>
          <w:rtl w:val="true"/>
        </w:rPr>
        <w:footnoteReference w:id="1931"/>
      </w:r>
      <w:r>
        <w:rPr>
          <w:rFonts w:ascii="Amiri" w:hAnsi="Amiri" w:eastAsia="Amiri" w:cs="Amiri"/>
          <w:color w:val="111111"/>
          <w:sz w:val="28"/>
          <w:sz w:val="28"/>
          <w:szCs w:val="28"/>
          <w:rtl w:val="true"/>
          <w:lang w:bidi="ar-SA"/>
        </w:rPr>
        <w:t xml:space="preserve">وفي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غسل وضوء إلاّ الجنابة </w:t>
      </w:r>
      <w:r>
        <w:rPr>
          <w:rFonts w:eastAsia="Amiri" w:cs="Amiri" w:ascii="Amiri" w:hAnsi="Amiri"/>
          <w:color w:val="111111"/>
          <w:sz w:val="28"/>
          <w:szCs w:val="28"/>
          <w:rtl w:val="true"/>
          <w:lang w:bidi="ar-SA"/>
        </w:rPr>
        <w:t xml:space="preserve">»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ابن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تغتسل للجمعة فتوضّأ واغتسل </w:t>
      </w:r>
      <w:r>
        <w:rPr>
          <w:rFonts w:eastAsia="Amiri" w:cs="Amiri" w:ascii="Amiri" w:hAnsi="Amiri"/>
          <w:color w:val="111111"/>
          <w:sz w:val="28"/>
          <w:szCs w:val="28"/>
          <w:rtl w:val="true"/>
          <w:lang w:bidi="ar-SA"/>
        </w:rPr>
        <w:t xml:space="preserve">» </w:t>
      </w:r>
      <w:r>
        <w:rPr>
          <w:rStyle w:val="FootnoteAnchor"/>
          <w:rtl w:val="true"/>
        </w:rPr>
        <w:footnoteReference w:id="1933"/>
      </w:r>
    </w:p>
    <w:p>
      <w:pPr>
        <w:pStyle w:val="BookText"/>
        <w:rPr/>
      </w:pPr>
      <w:r>
        <w:rPr>
          <w:rFonts w:ascii="Amiri" w:hAnsi="Amiri" w:eastAsia="Amiri" w:cs="Amiri"/>
          <w:color w:val="111111"/>
          <w:sz w:val="28"/>
          <w:sz w:val="28"/>
          <w:szCs w:val="28"/>
          <w:rtl w:val="true"/>
          <w:lang w:bidi="ar-SA"/>
        </w:rPr>
        <w:t>وتمام المطلوب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والوضوء في كلّ غسل ما خلا غسل الجنابة ، لأنّ غسل الجنابة فريضة مجزية عن الفرض الثاني ، ولا يجزيه سائر الأغسال عن الوضوء ، لأنّ الغسل سنّة والوضوء فريضة ، ولا يجزي سنّة عن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اغتسلت لغير جنابة فابدأ بالوضوء ، ثمَّ اغتسل ، ولا يجزيك الغسل عن الوضوء ، فإن اغتسلت ونسيت الوضوء توضّأ وأعد الصلاة </w:t>
      </w:r>
      <w:r>
        <w:rPr>
          <w:rFonts w:eastAsia="Amiri" w:cs="Amiri" w:ascii="Amiri" w:hAnsi="Amiri"/>
          <w:color w:val="111111"/>
          <w:sz w:val="28"/>
          <w:szCs w:val="28"/>
          <w:rtl w:val="true"/>
          <w:lang w:bidi="ar-SA"/>
        </w:rPr>
        <w:t xml:space="preserve">»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والمروي في الغوالي عن النبي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الأغسال لا بدّ فيها من الوضوء إلاّ الجنابة </w:t>
      </w:r>
      <w:r>
        <w:rPr>
          <w:rFonts w:eastAsia="IRNazanin" w:cs="IRNazanin"/>
          <w:color w:val="111111"/>
          <w:sz w:val="28"/>
          <w:szCs w:val="28"/>
          <w:rtl w:val="true"/>
          <w:lang w:bidi="fa-IR"/>
        </w:rPr>
        <w:t xml:space="preserve">»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للمحكي عن السيد </w:t>
      </w:r>
      <w:r>
        <w:rPr>
          <w:rStyle w:val="FootnoteAnchor"/>
          <w:rtl w:val="true"/>
        </w:rPr>
        <w:footnoteReference w:id="1936"/>
      </w:r>
      <w:r>
        <w:rPr>
          <w:rFonts w:ascii="Amiri" w:hAnsi="Amiri" w:eastAsia="Amiri" w:cs="Amiri"/>
          <w:color w:val="111111"/>
          <w:sz w:val="28"/>
          <w:sz w:val="28"/>
          <w:szCs w:val="28"/>
          <w:rtl w:val="true"/>
          <w:lang w:bidi="ar-SA"/>
        </w:rPr>
        <w:t xml:space="preserve">والإسكافي </w:t>
      </w:r>
      <w:r>
        <w:rPr>
          <w:rStyle w:val="FootnoteAnchor"/>
          <w:rtl w:val="true"/>
        </w:rPr>
        <w:footnoteReference w:id="1937"/>
      </w:r>
      <w:r>
        <w:rPr>
          <w:rFonts w:ascii="Amiri" w:hAnsi="Amiri" w:eastAsia="Amiri" w:cs="Amiri"/>
          <w:color w:val="111111"/>
          <w:sz w:val="28"/>
          <w:sz w:val="28"/>
          <w:szCs w:val="28"/>
          <w:rtl w:val="true"/>
          <w:lang w:bidi="ar-SA"/>
        </w:rPr>
        <w:t xml:space="preserve">وجملة من أفاضل المتأخّرين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المحقّقان الأردبيلي </w:t>
      </w:r>
      <w:r>
        <w:rPr>
          <w:rStyle w:val="FootnoteAnchor"/>
          <w:rtl w:val="true"/>
        </w:rPr>
        <w:footnoteReference w:id="1938"/>
      </w:r>
      <w:r>
        <w:rPr>
          <w:rFonts w:ascii="Amiri" w:hAnsi="Amiri" w:eastAsia="Amiri" w:cs="Amiri"/>
          <w:color w:val="111111"/>
          <w:sz w:val="28"/>
          <w:sz w:val="28"/>
          <w:szCs w:val="28"/>
          <w:rtl w:val="true"/>
          <w:lang w:bidi="ar-SA"/>
        </w:rPr>
        <w:t xml:space="preserve">والخوانساري </w:t>
      </w:r>
      <w:r>
        <w:rPr>
          <w:rStyle w:val="FootnoteAnchor"/>
          <w:rtl w:val="true"/>
        </w:rPr>
        <w:footnoteReference w:id="1939"/>
      </w:r>
      <w:r>
        <w:rPr>
          <w:rFonts w:ascii="Amiri" w:hAnsi="Amiri" w:eastAsia="Amiri" w:cs="Amiri"/>
          <w:color w:val="111111"/>
          <w:sz w:val="28"/>
          <w:sz w:val="28"/>
          <w:szCs w:val="28"/>
          <w:rtl w:val="true"/>
          <w:lang w:bidi="ar-SA"/>
        </w:rPr>
        <w:t xml:space="preserve">، وصاحبا المدارك والذخيرة </w:t>
      </w:r>
      <w:r>
        <w:rPr>
          <w:rStyle w:val="FootnoteAnchor"/>
          <w:rtl w:val="true"/>
        </w:rPr>
        <w:footnoteReference w:id="1940"/>
      </w:r>
      <w:r>
        <w:rPr>
          <w:rFonts w:ascii="Amiri" w:hAnsi="Amiri" w:eastAsia="Amiri" w:cs="Amiri"/>
          <w:color w:val="111111"/>
          <w:sz w:val="28"/>
          <w:sz w:val="28"/>
          <w:szCs w:val="28"/>
          <w:rtl w:val="true"/>
          <w:lang w:bidi="ar-SA"/>
        </w:rPr>
        <w:t xml:space="preserve">، ونسبه في البحار إلى أكثرهم </w:t>
      </w:r>
      <w:r>
        <w:rPr>
          <w:rStyle w:val="FootnoteAnchor"/>
          <w:rtl w:val="true"/>
        </w:rPr>
        <w:footnoteReference w:id="1941"/>
      </w:r>
      <w:r>
        <w:rPr>
          <w:rFonts w:ascii="Amiri" w:hAnsi="Amiri" w:eastAsia="Amiri" w:cs="Amiri"/>
          <w:color w:val="111111"/>
          <w:sz w:val="28"/>
          <w:sz w:val="28"/>
          <w:szCs w:val="28"/>
          <w:rtl w:val="true"/>
          <w:lang w:bidi="ar-SA"/>
        </w:rPr>
        <w:t>، واختاره بعض مشايخنا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للأصل ، وللمستفيضة المصرّحة بأنّ الوضوء بعد الغسل أو قبله بدعة ، كصحيحة سليمان </w:t>
      </w:r>
      <w:r>
        <w:rPr>
          <w:rStyle w:val="FootnoteAnchor"/>
          <w:rtl w:val="true"/>
        </w:rPr>
        <w:footnoteReference w:id="1942"/>
      </w:r>
      <w:r>
        <w:rPr>
          <w:rFonts w:ascii="Amiri" w:hAnsi="Amiri" w:eastAsia="Amiri" w:cs="Amiri"/>
          <w:color w:val="111111"/>
          <w:sz w:val="28"/>
          <w:sz w:val="28"/>
          <w:szCs w:val="28"/>
          <w:rtl w:val="true"/>
          <w:lang w:bidi="ar-SA"/>
        </w:rPr>
        <w:t xml:space="preserve">، ورواية ابن سليمان </w:t>
      </w:r>
      <w:r>
        <w:rPr>
          <w:rStyle w:val="FootnoteAnchor"/>
          <w:rtl w:val="true"/>
        </w:rPr>
        <w:footnoteReference w:id="1943"/>
      </w:r>
      <w:r>
        <w:rPr>
          <w:rFonts w:ascii="Amiri" w:hAnsi="Amiri" w:eastAsia="Amiri" w:cs="Amiri"/>
          <w:color w:val="111111"/>
          <w:sz w:val="28"/>
          <w:sz w:val="28"/>
          <w:szCs w:val="28"/>
          <w:rtl w:val="true"/>
          <w:lang w:bidi="ar-SA"/>
        </w:rPr>
        <w:t xml:space="preserve">، ومرسلة الفقيه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يجزي عن الوضوء ، وأيّ وضوء أطهر من الغسل </w:t>
      </w:r>
      <w:r>
        <w:rPr>
          <w:rFonts w:eastAsia="Amiri" w:cs="Amiri" w:ascii="Amiri" w:hAnsi="Amiri"/>
          <w:color w:val="111111"/>
          <w:sz w:val="28"/>
          <w:szCs w:val="28"/>
          <w:rtl w:val="true"/>
          <w:lang w:bidi="ar-SA"/>
        </w:rPr>
        <w:t xml:space="preserve">»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ابن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 وضوء أنقى من الغسل وأبلغ </w:t>
      </w:r>
      <w:r>
        <w:rPr>
          <w:rFonts w:eastAsia="Amiri" w:cs="Amiri" w:ascii="Amiri" w:hAnsi="Amiri"/>
          <w:color w:val="111111"/>
          <w:sz w:val="28"/>
          <w:szCs w:val="28"/>
          <w:rtl w:val="true"/>
          <w:lang w:bidi="ar-SA"/>
        </w:rPr>
        <w:t xml:space="preserve">»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يغتسل للجمعة أو غير ذلك ، أيجزيه من الوضوء؟ فقال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 وضوء أطهر من الغسل </w:t>
      </w:r>
      <w:r>
        <w:rPr>
          <w:rFonts w:eastAsia="Amiri" w:cs="Amiri" w:ascii="Amiri" w:hAnsi="Amiri"/>
          <w:color w:val="111111"/>
          <w:sz w:val="28"/>
          <w:szCs w:val="28"/>
          <w:rtl w:val="true"/>
          <w:lang w:bidi="ar-SA"/>
        </w:rPr>
        <w:t xml:space="preserve">»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إذا اغتسل من جنابته أو يوم جمعة أو يوم عيد ، هل عليه الوضوء قبل ذلك أو بعده؟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 ليس عليه قبل ولا بعد ، قد أجزأه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مثل ذلك ، إذا اغتسلت من حيض أو غير ذلك ، فليس عليها الوضوء لا قبل ولا بعد ، قد أجزأها الغسل </w:t>
      </w:r>
      <w:r>
        <w:rPr>
          <w:rFonts w:eastAsia="Amiri" w:cs="Amiri" w:ascii="Amiri" w:hAnsi="Amiri"/>
          <w:color w:val="111111"/>
          <w:sz w:val="28"/>
          <w:szCs w:val="28"/>
          <w:rtl w:val="true"/>
          <w:lang w:bidi="ar-SA"/>
        </w:rPr>
        <w:t xml:space="preserve">»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ومكاتبة الهمداني إلى أبي الحسن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الوضوء للصلاة في غسل الجمعة ،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وضوء للصلاة في غسل يوم الجمعة ولا غيره </w:t>
      </w:r>
      <w:r>
        <w:rPr>
          <w:rFonts w:eastAsia="Amiri" w:cs="Amiri" w:ascii="Amiri" w:hAnsi="Amiri"/>
          <w:color w:val="111111"/>
          <w:sz w:val="28"/>
          <w:szCs w:val="28"/>
          <w:rtl w:val="true"/>
          <w:lang w:bidi="ar-SA"/>
        </w:rPr>
        <w:t xml:space="preserve">»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والمستفيضة من الصحاح وغيرها الواردة في غسل الحائض والمستحاضة والنفساء ، الآمرة فيها بالغسل ثمَّ الصلاة </w:t>
      </w:r>
      <w:r>
        <w:rPr>
          <w:rStyle w:val="FootnoteAnchor"/>
          <w:rtl w:val="true"/>
        </w:rPr>
        <w:footnoteReference w:id="1950"/>
      </w:r>
      <w:r>
        <w:rPr>
          <w:rFonts w:ascii="Amiri" w:hAnsi="Amiri" w:eastAsia="Amiri" w:cs="Amiri"/>
          <w:color w:val="111111"/>
          <w:sz w:val="28"/>
          <w:sz w:val="28"/>
          <w:szCs w:val="28"/>
          <w:rtl w:val="true"/>
          <w:lang w:bidi="ar-SA"/>
        </w:rPr>
        <w:t>، من غير تعرّض فيها للوضوء مع كونها في مقام الحاجة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والإيراد على الثلاثة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متروك الظاهر ، لاعتقاد الخصم </w:t>
      </w:r>
    </w:p>
    <w:p>
      <w:pPr>
        <w:pStyle w:val="BookText"/>
        <w:rPr/>
      </w:pPr>
      <w:r>
        <w:rPr>
          <w:rFonts w:ascii="Amiri" w:hAnsi="Amiri" w:eastAsia="Amiri" w:cs="Amiri"/>
          <w:color w:val="111111"/>
          <w:sz w:val="28"/>
          <w:sz w:val="28"/>
          <w:szCs w:val="28"/>
          <w:rtl w:val="true"/>
          <w:lang w:bidi="ar-SA"/>
        </w:rPr>
        <w:t xml:space="preserve">استحباب الوضوء ومشروعيته ،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تقدير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بكون العبادات أسامي للأعم ، 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حرمة الوضوء لا بقصد المشروعية قطعا ، والمقدّر كما يمكن أن يكون قصد القربة ، يمكن أن يكون قصد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وعليها </w:t>
      </w:r>
      <w:r>
        <w:rPr>
          <w:rStyle w:val="FootnoteAnchor"/>
          <w:rtl w:val="true"/>
        </w:rPr>
        <w:footnoteReference w:id="1951"/>
      </w:r>
      <w:r>
        <w:rPr>
          <w:rFonts w:ascii="Amiri" w:hAnsi="Amiri" w:eastAsia="Amiri" w:cs="Amiri"/>
          <w:color w:val="111111"/>
          <w:sz w:val="28"/>
          <w:sz w:val="28"/>
          <w:szCs w:val="28"/>
          <w:rtl w:val="true"/>
          <w:lang w:bidi="ar-SA"/>
        </w:rPr>
        <w:t xml:space="preserve">مع المتعقبين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بفقد اللفظ الدالّ على العموم فيها ، وانصراف الغسل فيها إلى المتبادر الغالب الذي هو غسل الجنابة ،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المفرد المعرّف كما عليه عملهم في جميع الموارد ، ومنع غلبة الجنابة جدّا ، سيما بحيث توجب تبادره وانصراف المطلق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وغسل الجمعة وسائر الأغسال المسنونة ، وغسل الحيض والاستحاضة لو لم تغلب على غسل الجنابة لم تقصر عنه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وورود أمثالها في الردّ على العامة لا يخصّصها بالجنابة ، لأنّ إيجابهم الوضوء لا يختص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البواقي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بضعفها إسنادا ،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غير ضائر مع كونها في الأصول المعتبرة ، مع أنّ فيها الموثّقة ، وهي بنفسها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منها انتفاء الوضوء في الغسل لأجله ، وعدم توقّف تماميته عليه ،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يحتاج الغسل من حيث هو غسل وفي حصول المقصود منه إلى الوضوء ، وذلك لا ينافي توقّف مثل الصلاة عليه ،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الظاهر ، كيف وإطلاق نفيه بعده في طائفة منها يشمل المطلوب أيضا ، والحكم بإجزائه عن الوضوء في أخرى صريح فيما إذا كان مأمورا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صرّح في المكاتبة بنفي الوضوء للصلاة ، والتخصيص بنفيه لها حين الغسل لا وجه له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يرد على الثلاثة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الوضوء بعد الغسل بدعة لا ينافي وجوبه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قوله في المرسلة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خبرا ، ويكون الكلام فيها جملتين ، لا جملة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أخبار غسل الحائض وأختيها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سياقها الحاجة إلى معرفة الرافع للأحداث الثلاثة وبيانه ، لا بيان غيره ، ولذا لم يذكر فيها سائر شرائط الصلاة من ستر العورة والاستقبال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يرد على ما استدلّ به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يصرّح بأنّ في كلّ غسل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دلالته على الوجوب ، ضرورة أنّه يحتاج إلى تقدير ، فالمقدّر كما يمكن أن يكون ما يفيد الوجوب ، يمكن أن يكون ما يفيد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وظهور التركيب في إرادة الوجوب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 فهو من باب النقل الحادث ، الذي يكون الأصل تأخّره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من أدلّتهم بعد العمومات ، غير الصحيحة والرضوي والنبوي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وإن كانا بنفسهما غير معتبرين ، إلاّ أنّهما لانجبارهما بالشهرة العظيمة ، سيما القديمة ، بل الإجماع المنقول ، يعدّان من المعتبرة ، بل لا يقصران عن الصحاح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التعارض بين هذه الثلاثة وبين الأخبار النافية للوضوء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وإن كانت راجحة من جهة المخالفة للعامة ، وأكثرية الرواية التي هي الشهرة بين الرواة ، والأحدثية ، وكلّ ذلك من المرجّحات المنصوصة ، ولكن للثلاثة أيضا رجحانا من جهة موافقة الآية التي هي من المرجّحات القوية وعمل معظم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ضعف ترجيح الأولى بمخالفة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بعض الثانية أيضا كذلك ، لنفي الوضوء فيه عن غسل الجنابة ، وهو لا يوافق مذهب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وبالأشهرية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بلوغ الأكثرية حدّا تثبت بها الأشهرية التي هي من المرجّحات المنصوصة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فيحصل التكافؤ بين الفريقين ، وإذ لا قول بالتخيير في البين ، ترفع اليد عن كلّ من الصنفين ، وتبقى الآية وعمومات موجبات الوضوء خالية عن </w:t>
      </w:r>
    </w:p>
    <w:p>
      <w:pPr>
        <w:pStyle w:val="BookText"/>
        <w:rPr/>
      </w:pPr>
      <w:r>
        <w:rPr>
          <w:rFonts w:ascii="IRNazanin" w:hAnsi="IRNazanin" w:eastAsia="IRNazanin"/>
          <w:color w:val="111111"/>
          <w:sz w:val="28"/>
          <w:sz w:val="28"/>
          <w:szCs w:val="28"/>
          <w:rtl w:val="true"/>
          <w:lang w:bidi="fa-IR"/>
        </w:rPr>
        <w:t>المعارض المعلوم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 مع أنّ الأخبار النافية ، لمخالفتها للشهرة العظيمة القديمة ، ولعمل ناقليها ، خارجة عن حيّز الحجية ، ولمعارضة غيرها وتخصيص العمومات غير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مع الروايتين والصحيحة عن المعارض سالمة ، فيجب الأخذ بها ، والقول بوجوب الوضوء مع كلّ غسل غير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يجب تقديم الوضوء على الغسل؟ كما عن ظاهر الصدوقين </w:t>
      </w:r>
      <w:r>
        <w:rPr>
          <w:rStyle w:val="FootnoteAnchor"/>
          <w:rtl w:val="true"/>
        </w:rPr>
        <w:footnoteReference w:id="1952"/>
      </w:r>
      <w:r>
        <w:rPr>
          <w:rFonts w:ascii="Amiri" w:hAnsi="Amiri" w:eastAsia="Amiri" w:cs="Amiri"/>
          <w:color w:val="111111"/>
          <w:sz w:val="28"/>
          <w:sz w:val="28"/>
          <w:szCs w:val="28"/>
          <w:rtl w:val="true"/>
          <w:lang w:bidi="ar-SA"/>
        </w:rPr>
        <w:t xml:space="preserve">والشيخين </w:t>
      </w:r>
      <w:r>
        <w:rPr>
          <w:rStyle w:val="FootnoteAnchor"/>
          <w:rtl w:val="true"/>
        </w:rPr>
        <w:footnoteReference w:id="1953"/>
      </w:r>
      <w:r>
        <w:rPr>
          <w:rFonts w:ascii="Amiri" w:hAnsi="Amiri" w:eastAsia="Amiri" w:cs="Amiri"/>
          <w:color w:val="111111"/>
          <w:sz w:val="28"/>
          <w:sz w:val="28"/>
          <w:szCs w:val="28"/>
          <w:rtl w:val="true"/>
          <w:lang w:bidi="ar-SA"/>
        </w:rPr>
        <w:t xml:space="preserve">والحلبيين </w:t>
      </w:r>
      <w:r>
        <w:rPr>
          <w:rStyle w:val="FootnoteAnchor"/>
          <w:rtl w:val="true"/>
        </w:rPr>
        <w:footnoteReference w:id="1954"/>
      </w:r>
      <w:r>
        <w:rPr>
          <w:rFonts w:ascii="Amiri" w:hAnsi="Amiri" w:eastAsia="Amiri" w:cs="Amiri"/>
          <w:color w:val="111111"/>
          <w:sz w:val="28"/>
          <w:sz w:val="28"/>
          <w:szCs w:val="28"/>
          <w:rtl w:val="true"/>
          <w:lang w:bidi="ar-SA"/>
        </w:rPr>
        <w:t xml:space="preserve">، واختاره بعض متأخّري المتأخّرين </w:t>
      </w:r>
      <w:r>
        <w:rPr>
          <w:rStyle w:val="FootnoteAnchor"/>
          <w:rtl w:val="true"/>
        </w:rPr>
        <w:footnoteReference w:id="1955"/>
      </w:r>
      <w:r>
        <w:rPr>
          <w:rFonts w:ascii="Amiri" w:hAnsi="Amiri" w:eastAsia="Amiri" w:cs="Amiri"/>
          <w:color w:val="111111"/>
          <w:sz w:val="28"/>
          <w:sz w:val="28"/>
          <w:szCs w:val="28"/>
          <w:rtl w:val="true"/>
          <w:lang w:bidi="ar-SA"/>
        </w:rPr>
        <w:t xml:space="preserve">، للصحيحة ، والرضوي ، ومرسلتي ابن أبي عمير ، والفقيه المتقدّمة </w:t>
      </w:r>
      <w:r>
        <w:rPr>
          <w:rStyle w:val="FootnoteAnchor"/>
          <w:rtl w:val="true"/>
        </w:rPr>
        <w:footnoteReference w:id="1956"/>
      </w:r>
      <w:r>
        <w:rPr>
          <w:rFonts w:ascii="Amiri" w:hAnsi="Amiri" w:eastAsia="Amiri" w:cs="Amiri"/>
          <w:color w:val="111111"/>
          <w:sz w:val="28"/>
          <w:sz w:val="28"/>
          <w:szCs w:val="28"/>
          <w:rtl w:val="true"/>
          <w:lang w:bidi="ar-SA"/>
        </w:rPr>
        <w:t xml:space="preserve">، وما يصرّح بأنّ الوضوء بعد الغسل بدعة </w:t>
      </w:r>
      <w:r>
        <w:rPr>
          <w:rStyle w:val="FootnoteAnchor"/>
          <w:rtl w:val="true"/>
        </w:rPr>
        <w:footnoteReference w:id="1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صدر صحيحة ابن حكيم ، ورواية الحضرمي المتقدمتين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يستحب؟ كما عن النهاية والمقنعة والوسيلة والسرائر والجامع والمعتبر والشرائع </w:t>
      </w:r>
      <w:r>
        <w:rPr>
          <w:rStyle w:val="FootnoteAnchor"/>
          <w:rtl w:val="true"/>
        </w:rPr>
        <w:footnoteReference w:id="1959"/>
      </w:r>
      <w:r>
        <w:rPr>
          <w:rFonts w:ascii="Amiri" w:hAnsi="Amiri" w:eastAsia="Amiri" w:cs="Amiri"/>
          <w:color w:val="111111"/>
          <w:sz w:val="28"/>
          <w:sz w:val="28"/>
          <w:szCs w:val="28"/>
          <w:rtl w:val="true"/>
          <w:lang w:bidi="ar-SA"/>
        </w:rPr>
        <w:t xml:space="preserve">وادّعي عليه الشهرة </w:t>
      </w:r>
      <w:r>
        <w:rPr>
          <w:rStyle w:val="FootnoteAnchor"/>
          <w:rtl w:val="true"/>
        </w:rPr>
        <w:footnoteReference w:id="1960"/>
      </w:r>
      <w:r>
        <w:rPr>
          <w:rFonts w:ascii="Amiri" w:hAnsi="Amiri" w:eastAsia="Amiri" w:cs="Amiri"/>
          <w:color w:val="111111"/>
          <w:sz w:val="28"/>
          <w:sz w:val="28"/>
          <w:szCs w:val="28"/>
          <w:rtl w:val="true"/>
          <w:lang w:bidi="ar-SA"/>
        </w:rPr>
        <w:t xml:space="preserve">، بل في السرائر نفي الخلاف في عدم وجوبه </w:t>
      </w:r>
      <w:r>
        <w:rPr>
          <w:rStyle w:val="FootnoteAnchor"/>
          <w:rtl w:val="true"/>
        </w:rPr>
        <w:footnoteReference w:id="1961"/>
      </w:r>
      <w:r>
        <w:rPr>
          <w:rFonts w:ascii="Amiri" w:hAnsi="Amiri" w:eastAsia="Amiri" w:cs="Amiri"/>
          <w:color w:val="111111"/>
          <w:sz w:val="28"/>
          <w:sz w:val="28"/>
          <w:szCs w:val="28"/>
          <w:rtl w:val="true"/>
          <w:lang w:bidi="ar-SA"/>
        </w:rPr>
        <w:t>، للأصل ، وبعض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 ،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ويجاب عن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اشتمالها على ما يفيد التقديم ، إلاّ التقديم الذكري ، وهو له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بالضعف الخالي عن الجابر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المرسلتين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الدلالة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إحداهما احتمالا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الوضوء بعد الغسل بدعة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مرّ من احتمال كون ذلك مع قصد وجوب البعدية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البواقي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التأييد ، كما هو ظاهر عند النظر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لا 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لا تعلّق للتقديم بصحة الغسل ، بلا خلاف كما قيل </w:t>
      </w:r>
      <w:r>
        <w:rPr>
          <w:rStyle w:val="FootnoteAnchor"/>
          <w:rtl w:val="true"/>
        </w:rPr>
        <w:footnoteReference w:id="1962"/>
      </w:r>
      <w:r>
        <w:rPr>
          <w:rFonts w:ascii="Amiri" w:hAnsi="Amiri" w:eastAsia="Amiri" w:cs="Amiri"/>
          <w:color w:val="111111"/>
          <w:sz w:val="28"/>
          <w:sz w:val="28"/>
          <w:szCs w:val="28"/>
          <w:rtl w:val="true"/>
          <w:lang w:bidi="ar-SA"/>
        </w:rPr>
        <w:t>،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أخّره عمدا أثم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غسله ، ويتوضّأ بعده لما يشترط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تطهير المحل قبل إجراء ماء الغسل عليه وعدمه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 للمحكي عن الأكثر ، بل عن الغنية الإجماع عليه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لاشتراط طهارة ماء الغسل ، المنتفية بوروده على المحل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النجاسة عن وصول الماء إلى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بغسل الفرج قبل الصبّ على الرأس في عدّة من الأخبار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وصحيحتي البزنطي وابن حكيم ،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اغسل ما أصابك منه ، ثمَّ أفض على رأسك وجسدك </w:t>
      </w:r>
      <w:r>
        <w:rPr>
          <w:rFonts w:eastAsia="Amiri" w:cs="Amiri" w:ascii="Amiri" w:hAnsi="Amiri"/>
          <w:color w:val="111111"/>
          <w:sz w:val="28"/>
          <w:szCs w:val="28"/>
          <w:rtl w:val="true"/>
          <w:lang w:bidi="ar-SA"/>
        </w:rPr>
        <w:t xml:space="preserve">»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اغسل ما أصاب جسدك من أذى ، ثمَّ اغسل فرجك وأفض على رأسك وجسدك </w:t>
      </w:r>
      <w:r>
        <w:rPr>
          <w:rFonts w:eastAsia="Amiri" w:cs="Amiri" w:ascii="Amiri" w:hAnsi="Amiri"/>
          <w:color w:val="111111"/>
          <w:sz w:val="28"/>
          <w:szCs w:val="28"/>
          <w:rtl w:val="true"/>
          <w:lang w:bidi="ar-SA"/>
        </w:rPr>
        <w:t xml:space="preserve">»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ووجوبه في غسل الميت إمّا بضميمة الإجماع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ما في المعتبرة من أنّ غسل الميت مثل غسل الجنابة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الانتفاء المدّعى أوّلا ، لوروده على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اشتراط طهارته مطلقا ثانيا ، وإنّما هي طهارته قبل الورود على المحل ، كما يقولون في إزالة الخبث ، على القول بنجاسة الغسالة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والقول </w:t>
      </w:r>
      <w:r>
        <w:rPr>
          <w:rStyle w:val="FootnoteAnchor"/>
          <w:rtl w:val="true"/>
        </w:rPr>
        <w:footnoteReference w:id="1967"/>
      </w:r>
      <w:r>
        <w:rPr>
          <w:rFonts w:ascii="Amiri" w:hAnsi="Amiri" w:eastAsia="Amiri" w:cs="Amiri"/>
          <w:color w:val="111111"/>
          <w:sz w:val="28"/>
          <w:sz w:val="28"/>
          <w:szCs w:val="28"/>
          <w:rtl w:val="true"/>
          <w:lang w:bidi="ar-SA"/>
        </w:rPr>
        <w:t xml:space="preserve">بتوقّف العبادة على البيان ، وعدم حصوله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Style w:val="FootnoteAnchor"/>
          <w:rtl w:val="true"/>
        </w:rPr>
        <w:footnoteReference w:id="1968"/>
      </w:r>
      <w:r>
        <w:rPr>
          <w:rFonts w:ascii="IRNazanin" w:hAnsi="IRNazanin" w:eastAsia="IRNazanin"/>
          <w:color w:val="111111"/>
          <w:sz w:val="28"/>
          <w:sz w:val="28"/>
          <w:szCs w:val="28"/>
          <w:rtl w:val="true"/>
          <w:lang w:bidi="fa-IR"/>
        </w:rPr>
        <w:t xml:space="preserve">النجس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 xml:space="preserve">) </w:t>
      </w:r>
      <w:r>
        <w:rPr>
          <w:rStyle w:val="FootnoteAnchor"/>
          <w:rtl w:val="true"/>
        </w:rPr>
        <w:footnoteReference w:id="1969"/>
      </w:r>
      <w:r>
        <w:rPr>
          <w:rFonts w:ascii="Amiri" w:hAnsi="Amiri" w:eastAsia="Amiri" w:cs="Amiri"/>
          <w:color w:val="111111"/>
          <w:sz w:val="28"/>
          <w:sz w:val="28"/>
          <w:szCs w:val="28"/>
          <w:rtl w:val="true"/>
          <w:lang w:bidi="ar-SA"/>
        </w:rPr>
        <w:t>، مدفوع بحصوله بالإطلاقات الشاملة لذلك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المانعية مطلقا ، وإنّما هي فيما له عين ، ولا كلام في وجوب إزالة عينه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دلالة الثالث والرابع ، لعدم دلالتهما إلاّ على وجوب غسل المني ، وهو ممّا يمنع من وصول الماء إلى المحل ، لثخانته ولزوجته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إمكان إبقاء الأمر فيه على الوجوب ، إلاّ بانسلاخ حرف الترتيب عن معناه ، الموجب لسقوط الاستدلال رأسا ، لعدم وجوب تقديم تطهير النجاسة عن البدن على غسل الفرج إجماعا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Style w:val="FootnoteAnchor"/>
          <w:rtl w:val="true"/>
        </w:rPr>
        <w:footnoteReference w:id="1970"/>
      </w:r>
      <w:r>
        <w:rPr>
          <w:rFonts w:ascii="Amiri" w:hAnsi="Amiri" w:eastAsia="Amiri" w:cs="Amiri"/>
          <w:color w:val="111111"/>
          <w:sz w:val="28"/>
          <w:sz w:val="28"/>
          <w:szCs w:val="28"/>
          <w:rtl w:val="true"/>
          <w:lang w:bidi="ar-SA"/>
        </w:rPr>
        <w:t xml:space="preserve">ولا على أصل الغسل قطعا ، بحيث يجب تقديم تطهير الفرج على الصب على الرأس ، وإن أوهمه كلام </w:t>
      </w:r>
    </w:p>
    <w:p>
      <w:pPr>
        <w:pStyle w:val="BookText"/>
        <w:rPr/>
      </w:pPr>
      <w:r>
        <w:rPr>
          <w:rFonts w:ascii="IRNazanin" w:hAnsi="IRNazanin" w:eastAsia="IRNazanin"/>
          <w:color w:val="111111"/>
          <w:sz w:val="28"/>
          <w:sz w:val="28"/>
          <w:szCs w:val="28"/>
          <w:rtl w:val="true"/>
          <w:lang w:bidi="fa-IR"/>
        </w:rPr>
        <w:t xml:space="preserve">بعضهم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يظهر وجه آخر لضعف الثالث والرابع ، لإفادتهما وجوب التقديم على أصل الغسل ، بل في بعضهما على المضمضة والاستنشاق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الإجماع المركّب ، بل القول بالفصل متحقّق ، وبمنع دلالة المعتبرة على المماثلة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 فالمدلول المماثلة في جميع أجزاء الغسل وكيفيته ، لا الأمور الخارجة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الثابت منها أنّ أحكام غسل الجنابة ثابتة له ،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لجماعة من المتأخّرين </w:t>
      </w:r>
      <w:r>
        <w:rPr>
          <w:rStyle w:val="FootnoteAnchor"/>
          <w:rtl w:val="true"/>
        </w:rPr>
        <w:footnoteReference w:id="1972"/>
      </w:r>
      <w:r>
        <w:rPr>
          <w:rFonts w:ascii="IRNazanin" w:hAnsi="IRNazanin" w:eastAsia="IRNazanin"/>
          <w:color w:val="111111"/>
          <w:sz w:val="28"/>
          <w:sz w:val="28"/>
          <w:szCs w:val="28"/>
          <w:rtl w:val="true"/>
          <w:lang w:bidi="fa-IR"/>
        </w:rPr>
        <w:t>، للأصل ، وضعف الرافع ، وإن استحب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الأقوى ، لما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يظهر عدم اشتراط طهر المحل قبل الغسل في صحته ، كما هو صريح الشيخ في المبسوط </w:t>
      </w:r>
      <w:r>
        <w:rPr>
          <w:rStyle w:val="FootnoteAnchor"/>
          <w:rtl w:val="true"/>
        </w:rPr>
        <w:footnoteReference w:id="1973"/>
      </w:r>
      <w:r>
        <w:rPr>
          <w:rFonts w:ascii="Amiri" w:hAnsi="Amiri" w:eastAsia="Amiri" w:cs="Amiri"/>
          <w:color w:val="111111"/>
          <w:sz w:val="28"/>
          <w:sz w:val="28"/>
          <w:szCs w:val="28"/>
          <w:rtl w:val="true"/>
          <w:lang w:bidi="ar-SA"/>
        </w:rPr>
        <w:t>، وكلّ من لا يوجب التطهير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والأكثر على الاشتراط ، لما ذكر ، بضميمة استلزام الأمر بالشي‌ء للنهي عن ضدّه ، الموجب للفساد ، إلى الأخبار ، مضافا إلى استصحاب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الرافع ، من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جرى عليه الماء فقد طهر </w:t>
      </w:r>
      <w:r>
        <w:rPr>
          <w:rFonts w:eastAsia="Amiri" w:cs="Amiri" w:ascii="Amiri" w:hAnsi="Amiri"/>
          <w:color w:val="111111"/>
          <w:sz w:val="28"/>
          <w:szCs w:val="28"/>
          <w:rtl w:val="true"/>
          <w:lang w:bidi="ar-SA"/>
        </w:rPr>
        <w:t xml:space="preserve">» </w:t>
      </w:r>
      <w:r>
        <w:rPr>
          <w:rStyle w:val="FootnoteAnchor"/>
          <w:rtl w:val="true"/>
        </w:rPr>
        <w:footnoteReference w:id="1974"/>
      </w:r>
      <w:r>
        <w:rPr>
          <w:rFonts w:ascii="Amiri" w:hAnsi="Amiri" w:eastAsia="Amiri" w:cs="Amiri"/>
          <w:color w:val="111111"/>
          <w:sz w:val="28"/>
          <w:sz w:val="28"/>
          <w:szCs w:val="28"/>
          <w:rtl w:val="true"/>
          <w:lang w:bidi="ar-SA"/>
        </w:rPr>
        <w:t>ومن استلزام الأمر بالغسل للإجزاء ، والبواقي بما مرّ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ما ذكرنا من عدم توقّف ارتفاع الحدث على تطهر المحل ، فهل يكتفي بغسلة واحدة لرفع الحدث والخبث إذا كان ممّا يغسل مرّة ، أو مرّة لرفع الحدث ومرّة للخبث إذا لم يكن كذلك؟ أو لا ، بل يحتاج رفع الخبث إلى غسل </w:t>
      </w:r>
    </w:p>
    <w:p>
      <w:pPr>
        <w:pStyle w:val="BookText"/>
        <w:rPr/>
      </w:pPr>
      <w:r>
        <w:rPr>
          <w:rFonts w:ascii="IRNazanin" w:hAnsi="IRNazanin" w:eastAsia="IRNazanin"/>
          <w:color w:val="111111"/>
          <w:sz w:val="28"/>
          <w:sz w:val="28"/>
          <w:szCs w:val="28"/>
          <w:rtl w:val="true"/>
          <w:lang w:bidi="fa-IR"/>
        </w:rPr>
        <w:t>آخر؟</w:t>
      </w:r>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لعمومات إزالة الخبث بجريان الماء ، أو تحقّق الغسل المزيل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والمصرّح به 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لأصالة عدم تداخل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باندفاع الأصل بما مرّ ، مضافا إلى أن رفع الحدث والخبث بغسل واحد ليس من باب تداخل الأسباب ، كما لا يخفى على الفطن المتأمّل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غسل الجنابة ارتماسا في الماء الراكد ، لفتوى بعض الأجلّة من القدماء </w:t>
      </w:r>
      <w:r>
        <w:rPr>
          <w:rStyle w:val="FootnoteAnchor"/>
          <w:rtl w:val="true"/>
        </w:rPr>
        <w:footnoteReference w:id="1975"/>
      </w:r>
      <w:r>
        <w:rPr>
          <w:rFonts w:ascii="Amiri" w:hAnsi="Amiri" w:eastAsia="Amiri" w:cs="Amiri"/>
          <w:color w:val="111111"/>
          <w:sz w:val="28"/>
          <w:sz w:val="28"/>
          <w:szCs w:val="28"/>
          <w:rtl w:val="true"/>
          <w:lang w:bidi="ar-SA"/>
        </w:rPr>
        <w:t xml:space="preserve">، والنبوي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يبولنّ أحدكم في الماء الراكد ، ولا يغتسل فيه من الجنابة </w:t>
      </w:r>
      <w:r>
        <w:rPr>
          <w:rFonts w:eastAsia="Amiri" w:cs="Amiri" w:ascii="Amiri" w:hAnsi="Amiri"/>
          <w:color w:val="111111"/>
          <w:sz w:val="28"/>
          <w:szCs w:val="28"/>
          <w:rtl w:val="true"/>
          <w:lang w:bidi="ar-SA"/>
        </w:rPr>
        <w:t xml:space="preserve">»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كفاية الغسل الواحد عن المتعدّد إذا اجتمعت أغسال متعدّدة ، مطلقا أو بشرط نية الجميع أو بشرط عدم نية البعض أو إذا كان أحدها غسل جنابة مطلقا أو بأحد الشرطين أو إذا كان الجميع متّحدا في الوجه ، بأن يكون واجبا أو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إذا تفرّقت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بأحد الشرطين أو إذا كان الجميع واجبا خاصة مطلقا أو بأحد الشرطين أو إذا كان أحدها </w:t>
      </w:r>
      <w:r>
        <w:rPr>
          <w:rStyle w:val="FootnoteAnchor"/>
          <w:rtl w:val="true"/>
        </w:rPr>
        <w:footnoteReference w:id="1977"/>
      </w:r>
      <w:r>
        <w:rPr>
          <w:rFonts w:ascii="Amiri" w:hAnsi="Amiri" w:eastAsia="Amiri" w:cs="Amiri"/>
          <w:color w:val="111111"/>
          <w:sz w:val="28"/>
          <w:sz w:val="28"/>
          <w:szCs w:val="28"/>
          <w:rtl w:val="true"/>
          <w:lang w:bidi="ar-SA"/>
        </w:rPr>
        <w:t>غسل جنابة إمّا مطلقا أو بأحد الشرطين ،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الإجماع المحقّق والمنقول </w:t>
      </w:r>
      <w:r>
        <w:rPr>
          <w:rStyle w:val="FootnoteAnchor"/>
          <w:rtl w:val="true"/>
        </w:rPr>
        <w:footnoteReference w:id="1978"/>
      </w:r>
      <w:r>
        <w:rPr>
          <w:rFonts w:ascii="Amiri" w:hAnsi="Amiri" w:eastAsia="Amiri" w:cs="Amiri"/>
          <w:color w:val="111111"/>
          <w:sz w:val="28"/>
          <w:sz w:val="28"/>
          <w:szCs w:val="28"/>
          <w:rtl w:val="true"/>
          <w:lang w:bidi="ar-SA"/>
        </w:rPr>
        <w:t xml:space="preserve">في بعض صوره ، وأصالة البراءة عن المتعدّدة ، وعدم دليل على التعدّد سوى أصالة عدم التداخل التي لا دليل عليها كما بيّنّا في كتاب عوائد الأيام </w:t>
      </w:r>
      <w:r>
        <w:rPr>
          <w:rStyle w:val="FootnoteAnchor"/>
          <w:rtl w:val="true"/>
        </w:rPr>
        <w:footnoteReference w:id="1979"/>
      </w:r>
      <w:r>
        <w:rPr>
          <w:rFonts w:ascii="Amiri" w:hAnsi="Amiri" w:eastAsia="Amiri" w:cs="Amiri"/>
          <w:color w:val="111111"/>
          <w:sz w:val="28"/>
          <w:sz w:val="28"/>
          <w:szCs w:val="28"/>
          <w:rtl w:val="true"/>
          <w:lang w:bidi="ar-SA"/>
        </w:rPr>
        <w:t xml:space="preserve">، وصدق الامتثال في أكثر الصور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النصوص </w:t>
      </w:r>
    </w:p>
    <w:p>
      <w:pPr>
        <w:pStyle w:val="BookText"/>
        <w:rPr/>
      </w:pPr>
      <w:r>
        <w:rPr>
          <w:rFonts w:ascii="Amiri" w:hAnsi="Amiri" w:eastAsia="Amiri" w:cs="Amiri"/>
          <w:color w:val="111111"/>
          <w:sz w:val="28"/>
          <w:sz w:val="28"/>
          <w:szCs w:val="28"/>
          <w:rtl w:val="true"/>
          <w:lang w:bidi="ar-SA"/>
        </w:rPr>
        <w:t xml:space="preserve">المستفيضة الدالّة إمّا على الكفاية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كحسنة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اغتسلت بعد طلوع الفجر ، أجزأك غسلك ذلك للجنابة والجمعة وعرفة والنحر والذبح والزيارة ، فإذا اجتمعت لله عليك حقوق ، أجزأها عنك غسل واحد ، وكذلك المرأة ، يجزيها غسل واحد لجنابتها وإحرامها وجمعتها وغسلها من حيضها وعيدها </w:t>
      </w:r>
      <w:r>
        <w:rPr>
          <w:rFonts w:eastAsia="Amiri" w:cs="Amiri" w:ascii="Amiri" w:hAnsi="Amiri"/>
          <w:color w:val="111111"/>
          <w:sz w:val="28"/>
          <w:szCs w:val="28"/>
          <w:rtl w:val="true"/>
          <w:lang w:bidi="ar-SA"/>
        </w:rPr>
        <w:t xml:space="preserve">»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دلّت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اجتمعت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ذكرنا من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وإضمارها في بعض الكتب </w:t>
      </w:r>
      <w:r>
        <w:rPr>
          <w:rStyle w:val="FootnoteAnchor"/>
          <w:rtl w:val="true"/>
        </w:rPr>
        <w:footnoteReference w:id="1981"/>
      </w:r>
      <w:r>
        <w:rPr>
          <w:rFonts w:ascii="Amiri" w:hAnsi="Amiri" w:eastAsia="Amiri" w:cs="Amiri"/>
          <w:color w:val="111111"/>
          <w:sz w:val="28"/>
          <w:sz w:val="28"/>
          <w:szCs w:val="28"/>
          <w:rtl w:val="true"/>
          <w:lang w:bidi="ar-SA"/>
        </w:rPr>
        <w:t xml:space="preserve">غير قادح ، سيما مع إسنادها في التهذيب إلى أحدهما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السرائر إلى مولانا الباقر عليه السلام بسند </w:t>
      </w:r>
      <w:r>
        <w:rPr>
          <w:rStyle w:val="FootnoteAnchor"/>
          <w:rtl w:val="true"/>
        </w:rPr>
        <w:footnoteReference w:id="1982"/>
      </w:r>
      <w:r>
        <w:rPr>
          <w:rFonts w:ascii="Amiri" w:hAnsi="Amiri" w:eastAsia="Amiri" w:cs="Amiri"/>
          <w:color w:val="111111"/>
          <w:sz w:val="28"/>
          <w:sz w:val="28"/>
          <w:szCs w:val="28"/>
          <w:rtl w:val="true"/>
          <w:lang w:bidi="ar-SA"/>
        </w:rPr>
        <w:t>، وإلى أحدهما بآخر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على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وحرم اجتمعت في حرمة يجزيك عنها غسل واحد </w:t>
      </w:r>
      <w:r>
        <w:rPr>
          <w:rFonts w:eastAsia="Amiri" w:cs="Amiri" w:ascii="Amiri" w:hAnsi="Amiri"/>
          <w:color w:val="111111"/>
          <w:sz w:val="28"/>
          <w:szCs w:val="28"/>
          <w:rtl w:val="true"/>
          <w:lang w:bidi="ar-SA"/>
        </w:rPr>
        <w:t xml:space="preserve">»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الحسين الخراساني ، المروية في 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يومك يجزيك لليلتك ، وغسل ليلتك يجزيك ليومك </w:t>
      </w:r>
      <w:r>
        <w:rPr>
          <w:rFonts w:eastAsia="Amiri" w:cs="Amiri" w:ascii="Amiri" w:hAnsi="Amiri"/>
          <w:color w:val="111111"/>
          <w:sz w:val="28"/>
          <w:szCs w:val="28"/>
          <w:rtl w:val="true"/>
          <w:lang w:bidi="ar-SA"/>
        </w:rPr>
        <w:t xml:space="preserve">»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وعمومه لما تأخّر سببه غير ضائر ، لأنه بالإجماع خارج ، ضرورة عدم تقدّم المسبّب على سببه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 مات وهو جنب ، كيف يغسل؟ وما يجزيه من الماء؟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غسلا واحدا ، يجزئ ذلك عنه لجنابته ولغسل الميت ، لأنهما حرمتان اجتمعتا في حرمة واحدة </w:t>
      </w:r>
      <w:r>
        <w:rPr>
          <w:rFonts w:eastAsia="Amiri" w:cs="Amiri" w:ascii="Amiri" w:hAnsi="Amiri"/>
          <w:color w:val="111111"/>
          <w:sz w:val="28"/>
          <w:szCs w:val="28"/>
          <w:rtl w:val="true"/>
          <w:lang w:bidi="ar-SA"/>
        </w:rPr>
        <w:t xml:space="preserve">»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دلّ التعليل على العموم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بالحرمة الحق ، كما يدل عليه ذيل رواية السرائر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كفاية واحد للواجبات المجتمعة ، التي أحدها الجنابة ، مطلقا سواء نوى الجميع أو البعض ، بل ولو مع نية عدم البعض ، المثبت لهذا الإطلاق في غير الواجبات أيضا ، بعد ثبوت تداخله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كالمستفيضة الواردة في كفاية غسل واحد للجنابة والحيض </w:t>
      </w:r>
      <w:r>
        <w:rPr>
          <w:rStyle w:val="FootnoteAnchor"/>
          <w:rtl w:val="true"/>
        </w:rPr>
        <w:footnoteReference w:id="1986"/>
      </w:r>
      <w:r>
        <w:rPr>
          <w:rFonts w:ascii="Amiri" w:hAnsi="Amiri" w:eastAsia="Amiri" w:cs="Amiri"/>
          <w:color w:val="111111"/>
          <w:sz w:val="28"/>
          <w:sz w:val="28"/>
          <w:szCs w:val="28"/>
          <w:rtl w:val="true"/>
          <w:lang w:bidi="ar-SA"/>
        </w:rPr>
        <w:t xml:space="preserve">، وخبر شهاب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غسّل ميتا وتوضّأ ، ثمَّ أتى أهله ، يجزيه غسل واحد لهما </w:t>
      </w:r>
      <w:r>
        <w:rPr>
          <w:rFonts w:eastAsia="Amiri" w:cs="Amiri" w:ascii="Amiri" w:hAnsi="Amiri"/>
          <w:color w:val="111111"/>
          <w:sz w:val="28"/>
          <w:szCs w:val="28"/>
          <w:rtl w:val="true"/>
          <w:lang w:bidi="ar-SA"/>
        </w:rPr>
        <w:t xml:space="preserve">»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واختصاص الأولى بالحيض ، والثاني بغسل المسّ لا يضرّ ، لعدم الفصل بين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على كفاية واحد للندب والفرض وإن لم ينو إلاّ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جامع في أول شهر رمضان ، ثمَّ نسي الغسل حتى خرج شهر رمضان ، عليه أن يغتسل ويقضي صلاته وصومه ، إلاّ أن يكون قد اغتسل للجمعة ، فإنّه يقضي صلاته وصيامه إلى ذلك اليوم ، ولا يقضي ما بعد ذلك </w:t>
      </w:r>
      <w:r>
        <w:rPr>
          <w:rFonts w:eastAsia="Amiri" w:cs="Amiri" w:ascii="Amiri" w:hAnsi="Amiri"/>
          <w:color w:val="111111"/>
          <w:sz w:val="28"/>
          <w:szCs w:val="28"/>
          <w:rtl w:val="true"/>
          <w:lang w:bidi="ar-SA"/>
        </w:rPr>
        <w:t xml:space="preserve">»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المخالف مطلقا أو في بعض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الأخبار كلاّ أو بعضا مع أصالة عدم التداخل ، أو اشتراط نية الوجه الغير المتحققة في بعض الصور ، أو قصد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في خصوص الأغسال المندوبة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 المتحقّق في بعض آخر ، أو مع عدم صدق الامتثال قطعا في صورة نية عدم البعض ، أو عدم جواز اجتماع الوجوب والاستحباب ، اللازم في صورة تفريق الأغسال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ضعف السند غير ضائر ، مع أنّ الجميع ليس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سلّم ، فالأصل مع التداخل ، فلا يحتاج إلى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عدم 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اشتهر بين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غير أصيل ، خال عن التحقيق والتحصيل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اشتراط نية الوجه ولا قصد السبب ، ولو في الأغسال المندوبة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أريد عدم صدق امتثال الأمر المستفاد من أخبار التداخل ، فممنوع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عدم صدق امتثال الأوامر المتعدّدة الواردة في كلّ غسل ، فمسلّم ولا ضير فيه ، إذ مقتضى التداخل كفاية واحد عن الجميع ، وكون المأمور به حينئذ أمرا واحدا قائما مقام الجميع ، بل مسقطا لغير الواحد ، فلا أمر بغيره حتى يطلب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قطع النظر عن أخبار التداخل ، لا دليل على تعدّد الأمر في صورة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قال الآمر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الجنابة سبب لوجوب الغسل ، والحيض سبب لوجوب الغسل ، فلا يمكن أن يكون المراد من الغسل المسبّب عند اجتماعهما معناه الحقيقي الذي هو المهية ، لأنه أمر واحد ، فلا يجب بإيجابين ، لاستلزامه تحصيل الحاصل ، بل اجتماع الوجوب والاستحباب في شي‌ء واحد إذا اختلف الأمران وجوبا وندبا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يراد من أحدهما فرد خاص من الغسل ، وهو الفرد المغاير لما تحقّقت المهية في ضمنه لامتثال الأمر ، أو يخصّص أحدهما بغير صورة الاجتماع ، ولكن الأول مستلزم لاستعمال اللفظ في حقيقته ومجازه ، فتعيّن الثاني</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يعلم ما يرد على الخامس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الجنابة سبب لوجوب الغسل ، والتوبة لاستحبابه ، لا يمكن أن يراد بهما شي‌ء واحد في صورة الاجتماع ، لاستلزامه اجتماع الوجوب والاستحباب في شي‌ء واحد ، وهو محال ولو من جهتين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شيئان </w:t>
      </w:r>
      <w:r>
        <w:rPr>
          <w:rFonts w:eastAsia="Amiri" w:cs="Amiri" w:ascii="Amiri" w:hAnsi="Amiri"/>
          <w:color w:val="111111"/>
          <w:sz w:val="28"/>
          <w:szCs w:val="28"/>
          <w:rtl w:val="true"/>
          <w:lang w:bidi="ar-SA"/>
        </w:rPr>
        <w:t xml:space="preserve">] </w:t>
      </w:r>
      <w:r>
        <w:rPr>
          <w:rStyle w:val="FootnoteAnchor"/>
          <w:rtl w:val="true"/>
        </w:rPr>
        <w:footnoteReference w:id="1989"/>
      </w:r>
      <w:r>
        <w:rPr>
          <w:rFonts w:ascii="Amiri" w:hAnsi="Amiri" w:eastAsia="Amiri" w:cs="Amiri"/>
          <w:color w:val="111111"/>
          <w:sz w:val="28"/>
          <w:sz w:val="28"/>
          <w:szCs w:val="28"/>
          <w:rtl w:val="true"/>
          <w:lang w:bidi="ar-SA"/>
        </w:rPr>
        <w:t xml:space="preserve">متغايران ، لاستلزامه استعمال لفظ واحد في استعمال واحد في </w:t>
      </w:r>
    </w:p>
    <w:p>
      <w:pPr>
        <w:pStyle w:val="BookText"/>
        <w:rPr/>
      </w:pPr>
      <w:r>
        <w:rPr>
          <w:rFonts w:ascii="Amiri" w:hAnsi="Amiri" w:eastAsia="Amiri" w:cs="Amiri"/>
          <w:color w:val="111111"/>
          <w:sz w:val="28"/>
          <w:sz w:val="28"/>
          <w:szCs w:val="28"/>
          <w:rtl w:val="true"/>
          <w:lang w:bidi="ar-SA"/>
        </w:rPr>
        <w:t>حقيقته ومجازه ، ضرورة إرادة المهية منهما عند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تخصيص أحدهما بصورة عدم الاجتماع ، وكفاية واحد منهما عند الاجتماع ، وهو معنى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هذا الواحد الذي أتى به حينئذ واجبا غير جائز الترك ، قائما مقام الندب أيضا ، بمعنى ترتّب ثوابه ومصالحه المطلوبة منه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ذلك مقتضى التداخل الثابت بأخباره أيضا ، ولو قطع النظر عمّا ذكرنا ، إذ ليس الواحد المتداخل فيه جائز الترك قطعا ، فهو واجب ترتّبت عليه آثار الفرض </w:t>
      </w:r>
      <w:r>
        <w:rPr>
          <w:rStyle w:val="FootnoteAnchor"/>
          <w:rtl w:val="true"/>
        </w:rPr>
        <w:footnoteReference w:id="199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أصالة التداخل وعدم التعدّد ، بل عدم تعدّد الأمر في صورة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التداخل عزيمة لا رخصة ، وصرّح به والدي العلاّمة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بعد صدق الامتثال وتحقّق الإجزاء المصرّح به في أخبار التداخل ، لا معنى للإتيان به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الإجزاء في الرخصة ممنوع ، فإنّه إذا كان شي‌ء مجزيا على الإطلاق عن غيره ، لا يبقى الغير حتى يجوز الإتيان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في موثّقة الساباطي </w:t>
      </w:r>
      <w:r>
        <w:rPr>
          <w:rStyle w:val="FootnoteAnchor"/>
          <w:rtl w:val="true"/>
        </w:rPr>
        <w:footnoteReference w:id="1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تخيير المرأة التي تحيض بعد جنابتها بين اغتسالها للجنابة قبل الانقطاع وبين صبرها إلى أن تطهر وتكتفي بغسل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الرخصة ، إذ لا يدلّ على جواز غسلين بعد الانقطاع ، وجواز غسل الجنابة قبل وجوب غسل الحيض لا يفيد كيفية حال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يسقط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بوجوبه لغير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الجنابة مع غيرها غسلا واحدا؟ الظاهر نعم ، بل هو الظاهر من الجميع ، لتحقّق غسل الجنابة المجزي عن الوضوء ، ولا ينافيه تحقّق غيره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وجوب الوضوء ، لصدق الاسمين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فتتعارض أدلّة وجوبه وعدمه ، فيحصل التساقط ، وتبقى أدلّة عموم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غسل الجنابة لا يوجب بنفسه الوضوء ، بل لا يسقط معه الوضوء ، فهو لا يعارض المسقط إذا 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الثابت إجزاء غسل الجنابة عن الوضوء دون غيره ، وعدم إجزاء الغير لا ينافي إجزاءه حتى يحصل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أنّ ذلك الغسل غسل الجنابة ، إذ لعلّه غسل آخر مسقط لغسل الجنابة ، سيما إذا لم ينوه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غسل الجنابة المصرّح بإجزائه عن الوضوء إلاّ الرافع لحدث الجنابة أو المسبّب عنها وإن جامعها سبب آخر أيضا ، وذلك الغسل الواحد جامع للوصفين</w:t>
      </w:r>
      <w:r>
        <w:rPr>
          <w:rFonts w:eastAsia="Amiri" w:cs="Amiri" w:ascii="Amiri" w:hAnsi="Amiri"/>
          <w:color w:val="111111"/>
          <w:sz w:val="28"/>
          <w:szCs w:val="28"/>
          <w:rtl w:val="true"/>
          <w:lang w:bidi="ar-SA"/>
        </w:rPr>
        <w:t xml:space="preserve">. </w:t>
      </w:r>
      <w:bookmarkStart w:id="135" w:name="pg11612_111005"/>
    </w:p>
    <w:p>
      <w:pPr>
        <w:pStyle w:val="Heading4"/>
        <w:numPr>
          <w:ilvl w:val="3"/>
          <w:numId w:val="1"/>
        </w:numPr>
        <w:rPr/>
      </w:pPr>
      <w:bookmarkStart w:id="136" w:name="__RefHeading___Toc5524405_73709187"/>
      <w:bookmarkStart w:id="137" w:name="_Toc51"/>
      <w:bookmarkEnd w:id="135"/>
      <w:bookmarkEnd w:id="136"/>
      <w:r>
        <w:rPr>
          <w:rtl w:val="true"/>
        </w:rPr>
        <w:t xml:space="preserve">الفصل الثاني </w:t>
      </w:r>
      <w:r>
        <w:rPr>
          <w:rtl w:val="true"/>
        </w:rPr>
        <w:t xml:space="preserve">: </w:t>
      </w:r>
      <w:r>
        <w:rPr>
          <w:rtl w:val="true"/>
        </w:rPr>
        <w:t>في غسل الحيض</w:t>
      </w:r>
      <w:bookmarkEnd w:id="137"/>
    </w:p>
    <w:p>
      <w:pPr>
        <w:pStyle w:val="Heading5"/>
        <w:numPr>
          <w:ilvl w:val="4"/>
          <w:numId w:val="1"/>
        </w:numPr>
        <w:rPr/>
      </w:pPr>
      <w:bookmarkStart w:id="138" w:name="__RefHeading___Toc5524407_73709187"/>
      <w:bookmarkStart w:id="139" w:name="_Toc52"/>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والكلام إمّا في بيان دم الحيض ومعرفته إثباتا ونفيا ، أو في أحكام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فهاهنا بحثان </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5524409_73709187"/>
      <w:bookmarkStart w:id="141" w:name="_Toc53"/>
      <w:bookmarkEnd w:id="140"/>
      <w:r>
        <w:rPr>
          <w:rtl w:val="true"/>
        </w:rPr>
        <w:t xml:space="preserve">البحث الأوّل </w:t>
      </w:r>
      <w:r>
        <w:rPr>
          <w:rtl w:val="true"/>
        </w:rPr>
        <w:t xml:space="preserve">: </w:t>
      </w:r>
      <w:r>
        <w:rPr>
          <w:rtl w:val="true"/>
        </w:rPr>
        <w:t>في بيان دم الحيض ومعرفته</w:t>
      </w:r>
      <w:bookmarkEnd w:id="141"/>
    </w:p>
    <w:p>
      <w:pPr>
        <w:pStyle w:val="Heading6"/>
        <w:numPr>
          <w:ilvl w:val="5"/>
          <w:numId w:val="1"/>
        </w:numPr>
        <w:rPr/>
      </w:pPr>
      <w:bookmarkStart w:id="142" w:name="__RefHeading___Toc5524411_73709187"/>
      <w:bookmarkStart w:id="143" w:name="_Toc54"/>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 xml:space="preserve">وهو في العرف دم مخصوص سائل من المرأة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المعنى اللغوي أيضا </w:t>
      </w:r>
      <w:r>
        <w:rPr>
          <w:rStyle w:val="FootnoteAnchor"/>
          <w:rtl w:val="true"/>
        </w:rPr>
        <w:footnoteReference w:id="1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بعض اللغويين </w:t>
      </w:r>
      <w:r>
        <w:rPr>
          <w:rStyle w:val="FootnoteAnchor"/>
          <w:rtl w:val="true"/>
        </w:rPr>
        <w:footnoteReference w:id="1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للتبادر وأصالة عدم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الدم ممّا يقذفه الرحم بعد البلوغ ، ثمَّ تصير المرأة في الأغلب معتادة بقذفه في أوقات معلومة ، قرّره اللّه سبحانه لحكمة تربية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حملت المرأة ، صرفه اللّه تعالى إلى تغذيته ، فإذا وضعت الحمل ، بدّل اللّه سبحانه صورته الدموية باللبنية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لاغتذاء الطفل ، فإذا خلت المرأة من حمل ورضاع ، بقي ذلك الدم بلا مصرف ، فيستقر في مكانه ، ثمَّ يخرج في الغالب في أيام متفاوتة بتفاوت المزاج حرارة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شي‌ء معروف بين الناس ، له أحكام كثيرة في علمي الأديان والأبدان ، ليس بيانه موقوفا على الأخذ من الشرع ، بل هو كسائر الأحداث كالمني والبول وغيرهما ، بل باقي موضوعات الأحكام التي ليست معرفتها متوقّفة على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متى تحقّق وعرف ، تعلّقت به أحكامه الشرعية ، وإن خلا عن أوصافه الأغلبية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تترتّب أحكام المني عليه بعد معرفته وإن لم يكن مقارنا للفتور الذي هو من </w:t>
      </w:r>
    </w:p>
    <w:p>
      <w:pPr>
        <w:pStyle w:val="BookText"/>
        <w:rPr/>
      </w:pPr>
      <w:r>
        <w:rPr>
          <w:rFonts w:ascii="Amiri" w:hAnsi="Amiri" w:eastAsia="Amiri" w:cs="Amiri"/>
          <w:color w:val="111111"/>
          <w:sz w:val="28"/>
          <w:sz w:val="28"/>
          <w:szCs w:val="28"/>
          <w:rtl w:val="true"/>
          <w:lang w:bidi="ar-SA"/>
        </w:rPr>
        <w:t>أوصافه الغالبة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يتحقّق وجوده ، يحكم بمقتضى الأصل الذي هو المرجع ، كما في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لمّا كان لذلك الحدث مشارك في الصورة النوعية ، كدم الاستحاضة والقرحة والعذرة ، ولم تكن له خاصة لازمة غير منفكّة عنه ظاهرة لكلّ مكلّف بدون بيان الشرع يميّزه كلّ أحد بها عن سائر مشاركيه ، دعا ذلك الشرع إلى تعريفه إثباتا أو نفيا ، وبيان الدم الذي تتحيّض به المرأة ، والذي لا تتحيّض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له خواص ولوازم إمّا غير منفكة أو أغلبية ، وبيّن أقسام النساء ، والدم الذي تتحيّض به كلّ منهن ، والذي لا تتحيّض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نذكر ما يتعلّق بذلك المطلب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لوازم دم الحيض ، 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قبل كمال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دم كان قبله ، ليس حيضا إجماعا محقّقا ومحكيا </w:t>
      </w:r>
      <w:r>
        <w:rPr>
          <w:rStyle w:val="FootnoteAnchor"/>
          <w:rtl w:val="true"/>
        </w:rPr>
        <w:footnoteReference w:id="1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متّفق عليه بين أهل العلم </w:t>
      </w:r>
      <w:r>
        <w:rPr>
          <w:rStyle w:val="FootnoteAnchor"/>
          <w:rtl w:val="true"/>
        </w:rPr>
        <w:footnoteReference w:id="1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مذهب العلماء كافة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فيه الحجة ، مضافا إلى الموثّقة والرواية الآتيتين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ومقتضاهما كون التحديد تحقيقا ، كما هو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فاحتمال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نهاية الإحكام </w:t>
      </w:r>
      <w:r>
        <w:rPr>
          <w:rStyle w:val="FootnoteAnchor"/>
          <w:rtl w:val="true"/>
        </w:rPr>
        <w:footnoteReference w:id="1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جعلهم الحيض دليل البلوغ إنّما هو في مجهوله السن ، مع كون الدم بوصفه الآتي ، فاشتراطه بإكمال التسع لا ينافيه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بعد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كان بعده ، لم يكن حيضا </w:t>
      </w:r>
    </w:p>
    <w:p>
      <w:pPr>
        <w:pStyle w:val="BookText"/>
        <w:rPr/>
      </w:pPr>
      <w:r>
        <w:rPr>
          <w:rFonts w:ascii="Amiri" w:hAnsi="Amiri" w:eastAsia="Amiri" w:cs="Amiri"/>
          <w:color w:val="111111"/>
          <w:sz w:val="28"/>
          <w:sz w:val="28"/>
          <w:szCs w:val="28"/>
          <w:rtl w:val="true"/>
          <w:lang w:bidi="ar-SA"/>
        </w:rPr>
        <w:t xml:space="preserve">بالإجماعين </w:t>
      </w:r>
      <w:r>
        <w:rPr>
          <w:rStyle w:val="FootnoteAnchor"/>
          <w:rtl w:val="true"/>
        </w:rPr>
        <w:footnoteReference w:id="199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الدليل عليه ، مع موثّقة البجلي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يتزوّجن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يئست من المحيض ومثلها لا تحيض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تكون كذلك؟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بلغت ستين سنة ، فقد يئست من المحيض ومثلها لا تحيض ، والتي لم تحض ومثلها لا تحيض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تكون كذلك؟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تبلغ تسع سنين ، فإنّها لا تحيض ومثلها لا تحيض ، والتي لم يدخل بها </w:t>
      </w:r>
      <w:r>
        <w:rPr>
          <w:rFonts w:eastAsia="Amiri" w:cs="Amiri" w:ascii="Amiri" w:hAnsi="Amiri"/>
          <w:color w:val="111111"/>
          <w:sz w:val="28"/>
          <w:szCs w:val="28"/>
          <w:rtl w:val="true"/>
          <w:lang w:bidi="ar-SA"/>
        </w:rPr>
        <w:t xml:space="preserve">»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يتزوّجن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تحض ومثلها لا تحيض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حدّها؟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أتى لها أقلّ من تسع سنين ، والتي لم يدخل بها ، والتي قد يئست من المحيض ومثلها لا تحيض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حدّها؟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لها خمسون سنة </w:t>
      </w:r>
      <w:r>
        <w:rPr>
          <w:rFonts w:eastAsia="Amiri" w:cs="Amiri" w:ascii="Amiri" w:hAnsi="Amiri"/>
          <w:color w:val="111111"/>
          <w:sz w:val="28"/>
          <w:szCs w:val="28"/>
          <w:rtl w:val="true"/>
          <w:lang w:bidi="ar-SA"/>
        </w:rPr>
        <w:t xml:space="preserve">»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سنّ اليأس هل هو خمسون؟ كما هو مقتضى الرواية ، مضافة إلى صحيحة أخرى للبجلي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التي يئست من المحيض خمسون سنة </w:t>
      </w:r>
      <w:r>
        <w:rPr>
          <w:rFonts w:eastAsia="Amiri" w:cs="Amiri" w:ascii="Amiri" w:hAnsi="Amiri"/>
          <w:color w:val="111111"/>
          <w:sz w:val="28"/>
          <w:szCs w:val="28"/>
          <w:rtl w:val="true"/>
          <w:lang w:bidi="ar-SA"/>
        </w:rPr>
        <w:t xml:space="preserve">» </w:t>
      </w:r>
      <w:r>
        <w:rPr>
          <w:rStyle w:val="FootnoteAnchor"/>
          <w:rtl w:val="true"/>
        </w:rPr>
        <w:footnoteReference w:id="2001"/>
      </w:r>
      <w:r>
        <w:rPr>
          <w:rFonts w:ascii="Amiri" w:hAnsi="Amiri" w:eastAsia="Amiri" w:cs="Amiri"/>
          <w:color w:val="111111"/>
          <w:sz w:val="28"/>
          <w:sz w:val="28"/>
          <w:szCs w:val="28"/>
          <w:rtl w:val="true"/>
          <w:lang w:bidi="ar-SA"/>
        </w:rPr>
        <w:t xml:space="preserve">ورواية البزنطي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التي قد يئست من المحيض ، حدّها خمسون سنة </w:t>
      </w:r>
      <w:r>
        <w:rPr>
          <w:rFonts w:eastAsia="Amiri" w:cs="Amiri" w:ascii="Amiri" w:hAnsi="Amiri"/>
          <w:color w:val="111111"/>
          <w:sz w:val="28"/>
          <w:szCs w:val="28"/>
          <w:rtl w:val="true"/>
          <w:lang w:bidi="ar-SA"/>
        </w:rPr>
        <w:t xml:space="preserve">» </w:t>
      </w:r>
      <w:r>
        <w:rPr>
          <w:rStyle w:val="FootnoteAnchor"/>
          <w:rtl w:val="true"/>
        </w:rPr>
        <w:footnoteReference w:id="2002"/>
      </w:r>
      <w:r>
        <w:rPr>
          <w:rFonts w:ascii="Amiri" w:hAnsi="Amiri" w:eastAsia="Amiri" w:cs="Amiri"/>
          <w:color w:val="111111"/>
          <w:sz w:val="28"/>
          <w:sz w:val="28"/>
          <w:szCs w:val="28"/>
          <w:rtl w:val="true"/>
          <w:lang w:bidi="ar-SA"/>
        </w:rPr>
        <w:t>وإلى استصحاب وجوب العبادة وجواز المكث في المساجد وسائر لوازم الطهر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ستّون؟ كما هو مقتضى الموثّقة ، مضافة إلى مرسلة الكافي ، التي ذكرها بعد رواية البزنطي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ستّون سنة أيضا </w:t>
      </w:r>
      <w:r>
        <w:rPr>
          <w:rFonts w:eastAsia="Amiri" w:cs="Amiri" w:ascii="Amiri" w:hAnsi="Amiri"/>
          <w:color w:val="111111"/>
          <w:sz w:val="28"/>
          <w:szCs w:val="28"/>
          <w:rtl w:val="true"/>
          <w:lang w:bidi="ar-SA"/>
        </w:rPr>
        <w:t xml:space="preserve">» </w:t>
      </w:r>
      <w:r>
        <w:rPr>
          <w:rStyle w:val="FootnoteAnchor"/>
          <w:rtl w:val="true"/>
        </w:rPr>
        <w:footnoteReference w:id="2003"/>
      </w:r>
      <w:r>
        <w:rPr>
          <w:rFonts w:ascii="Amiri" w:hAnsi="Amiri" w:eastAsia="Amiri" w:cs="Amiri"/>
          <w:color w:val="111111"/>
          <w:sz w:val="28"/>
          <w:sz w:val="28"/>
          <w:szCs w:val="28"/>
          <w:rtl w:val="true"/>
          <w:lang w:bidi="ar-SA"/>
        </w:rPr>
        <w:t xml:space="preserve">، وإلى استصحاب كونها </w:t>
      </w:r>
    </w:p>
    <w:p>
      <w:pPr>
        <w:pStyle w:val="BookText"/>
        <w:rPr/>
      </w:pPr>
      <w:r>
        <w:rPr>
          <w:rFonts w:ascii="Amiri" w:hAnsi="Amiri" w:eastAsia="Amiri" w:cs="Amiri"/>
          <w:color w:val="111111"/>
          <w:sz w:val="28"/>
          <w:sz w:val="28"/>
          <w:szCs w:val="28"/>
          <w:rtl w:val="true"/>
          <w:lang w:bidi="ar-SA"/>
        </w:rPr>
        <w:t xml:space="preserve">ممّن تحيض وعدم يأسها وبقاء الحكم بالعدّة وتوابع الزوجية ، والعمومات الدالّة على أنّ ما يكون بصفة الحيض أو تراه المرأة في أيام العادة حيض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الثاني في القرشية ، والأول في غيرها؟ كما تقتضيه مرسلة ابن أبي عمير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بلغت المرأة خمسين سنة ، لم تر حمرة إلاّ أن تكون من قريش </w:t>
      </w:r>
      <w:r>
        <w:rPr>
          <w:rFonts w:eastAsia="Amiri" w:cs="Amiri" w:ascii="Amiri" w:hAnsi="Amiri"/>
          <w:color w:val="111111"/>
          <w:sz w:val="28"/>
          <w:szCs w:val="28"/>
          <w:rtl w:val="true"/>
          <w:lang w:bidi="ar-SA"/>
        </w:rPr>
        <w:t xml:space="preserve">» </w:t>
      </w:r>
      <w:r>
        <w:rPr>
          <w:rStyle w:val="FootnoteAnchor"/>
          <w:rtl w:val="true"/>
        </w:rPr>
        <w:footnoteReference w:id="2005"/>
      </w:r>
      <w:r>
        <w:rPr>
          <w:rFonts w:ascii="Amiri" w:hAnsi="Amiri" w:eastAsia="Amiri" w:cs="Amiri"/>
          <w:color w:val="111111"/>
          <w:sz w:val="28"/>
          <w:sz w:val="28"/>
          <w:szCs w:val="28"/>
          <w:rtl w:val="true"/>
          <w:lang w:bidi="ar-SA"/>
        </w:rPr>
        <w:t xml:space="preserve">ومرسلة المبسوط في القرشية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أنّها ترى دم الحيض إلى ستين سنة </w:t>
      </w:r>
      <w:r>
        <w:rPr>
          <w:rFonts w:eastAsia="Amiri" w:cs="Amiri" w:ascii="Amiri" w:hAnsi="Amiri"/>
          <w:color w:val="111111"/>
          <w:sz w:val="28"/>
          <w:szCs w:val="28"/>
          <w:rtl w:val="true"/>
          <w:lang w:bidi="ar-SA"/>
        </w:rPr>
        <w:t xml:space="preserve">»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الثاني في القرشية والنبطية ، والأول في غيرهما؟ كما يقتضيه الجمع بين مطلقات الخمسين ومرسلة المقنعة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القرشية من النساء والنبطية تريان الدم إلى ستين سنة </w:t>
      </w:r>
      <w:r>
        <w:rPr>
          <w:rFonts w:eastAsia="Amiri" w:cs="Amiri" w:ascii="Amiri" w:hAnsi="Amiri"/>
          <w:color w:val="111111"/>
          <w:sz w:val="28"/>
          <w:szCs w:val="28"/>
          <w:rtl w:val="true"/>
          <w:lang w:bidi="ar-SA"/>
        </w:rPr>
        <w:t xml:space="preserve">»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مذهب الشرائع في كتاب الطلاق </w:t>
      </w:r>
      <w:r>
        <w:rPr>
          <w:rStyle w:val="FootnoteAnchor"/>
          <w:rtl w:val="true"/>
        </w:rPr>
        <w:footnoteReference w:id="2008"/>
      </w:r>
      <w:r>
        <w:rPr>
          <w:rFonts w:ascii="Amiri" w:hAnsi="Amiri" w:eastAsia="Amiri" w:cs="Amiri"/>
          <w:color w:val="111111"/>
          <w:sz w:val="28"/>
          <w:sz w:val="28"/>
          <w:szCs w:val="28"/>
          <w:rtl w:val="true"/>
          <w:lang w:bidi="ar-SA"/>
        </w:rPr>
        <w:t xml:space="preserve">، والسرائر والمدارك </w:t>
      </w:r>
      <w:r>
        <w:rPr>
          <w:rStyle w:val="FootnoteAnchor"/>
          <w:rtl w:val="true"/>
        </w:rPr>
        <w:footnoteReference w:id="2009"/>
      </w:r>
      <w:r>
        <w:rPr>
          <w:rFonts w:ascii="Amiri" w:hAnsi="Amiri" w:eastAsia="Amiri" w:cs="Amiri"/>
          <w:color w:val="111111"/>
          <w:sz w:val="28"/>
          <w:sz w:val="28"/>
          <w:szCs w:val="28"/>
          <w:rtl w:val="true"/>
          <w:lang w:bidi="ar-SA"/>
        </w:rPr>
        <w:t xml:space="preserve">، وعن نهاية الشيخ </w:t>
      </w:r>
      <w:r>
        <w:rPr>
          <w:rStyle w:val="FootnoteAnchor"/>
          <w:rtl w:val="true"/>
        </w:rPr>
        <w:footnoteReference w:id="2010"/>
      </w:r>
      <w:r>
        <w:rPr>
          <w:rFonts w:ascii="IRNazanin" w:hAnsi="IRNazanin" w:eastAsia="IRNazanin"/>
          <w:color w:val="111111"/>
          <w:sz w:val="28"/>
          <w:sz w:val="28"/>
          <w:szCs w:val="28"/>
          <w:rtl w:val="true"/>
          <w:lang w:bidi="fa-IR"/>
        </w:rPr>
        <w:t xml:space="preserve">وجمله </w:t>
      </w:r>
      <w:r>
        <w:rPr>
          <w:rStyle w:val="FootnoteAnchor"/>
          <w:rtl w:val="true"/>
        </w:rPr>
        <w:footnoteReference w:id="2011"/>
      </w:r>
      <w:r>
        <w:rPr>
          <w:rFonts w:ascii="IRNazanin" w:hAnsi="IRNazanin" w:eastAsia="IRNazanin"/>
          <w:color w:val="111111"/>
          <w:sz w:val="28"/>
          <w:sz w:val="28"/>
          <w:szCs w:val="28"/>
          <w:rtl w:val="true"/>
          <w:lang w:bidi="fa-IR"/>
        </w:rPr>
        <w:t xml:space="preserve">والمهذب </w:t>
      </w:r>
      <w:r>
        <w:rPr>
          <w:rStyle w:val="FootnoteAnchor"/>
          <w:rtl w:val="true"/>
        </w:rPr>
        <w:footnoteReference w:id="2012"/>
      </w:r>
      <w:r>
        <w:rPr>
          <w:rFonts w:ascii="Amiri" w:hAnsi="Amiri" w:eastAsia="Amiri" w:cs="Amiri"/>
          <w:color w:val="111111"/>
          <w:sz w:val="28"/>
          <w:sz w:val="28"/>
          <w:szCs w:val="28"/>
          <w:rtl w:val="true"/>
          <w:lang w:bidi="ar-SA"/>
        </w:rPr>
        <w:t>، للأخبار الثلاثة ، والأصول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ويجيبون أما عن أصول 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فبالاندفاع بما ذكر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 الموثقة ومرسلة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فبعدم المقاومة مع أخبار الخمسين ، لترجيحها عليهما بالأكثرية عددا ، والأصحية سندا ، والأوضحية دلالة ، لكونها بالمنطوق ، وكون دلالتهما على عدم اليأس بالخمسين بالمفهوم ، والأشهرية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النافع </w:t>
      </w:r>
      <w:r>
        <w:rPr>
          <w:rStyle w:val="FootnoteAnchor"/>
          <w:rtl w:val="true"/>
        </w:rPr>
        <w:footnoteReference w:id="2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وبكونها أخص منهما ، لأنّها تدلّ على حصول </w:t>
      </w:r>
    </w:p>
    <w:p>
      <w:pPr>
        <w:pStyle w:val="BookText"/>
        <w:rPr/>
      </w:pPr>
      <w:r>
        <w:rPr>
          <w:rFonts w:ascii="Amiri" w:hAnsi="Amiri" w:eastAsia="Amiri" w:cs="Amiri"/>
          <w:color w:val="111111"/>
          <w:sz w:val="28"/>
          <w:sz w:val="28"/>
          <w:szCs w:val="28"/>
          <w:rtl w:val="true"/>
          <w:lang w:bidi="ar-SA"/>
        </w:rPr>
        <w:t>اليأس بخصوص الخمسين ، وهما تدلاّن على عدمه بما دون الستين الذي منه الخمسون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المراسيل الثلاث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فبعدم صلاحيتها لدفع الأصول وتخصيص المطلقات ، لضعفها بالإرسال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أولاها من القصور في الدلالة ، من جهة عدم التصريح بالستين ولا بالحيضيّة في القرشية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مختار الشرائع في بحث الحيض </w:t>
      </w:r>
      <w:r>
        <w:rPr>
          <w:rStyle w:val="FootnoteAnchor"/>
          <w:rtl w:val="true"/>
        </w:rPr>
        <w:footnoteReference w:id="2014"/>
      </w:r>
      <w:r>
        <w:rPr>
          <w:rFonts w:ascii="IRNazanin" w:hAnsi="IRNazanin" w:eastAsia="IRNazanin"/>
          <w:color w:val="111111"/>
          <w:sz w:val="28"/>
          <w:sz w:val="28"/>
          <w:szCs w:val="28"/>
          <w:rtl w:val="true"/>
          <w:lang w:bidi="fa-IR"/>
        </w:rPr>
        <w:t xml:space="preserve">، ومجوز المنتهى </w:t>
      </w:r>
      <w:r>
        <w:rPr>
          <w:rStyle w:val="FootnoteAnchor"/>
          <w:rtl w:val="true"/>
        </w:rPr>
        <w:footnoteReference w:id="2015"/>
      </w:r>
      <w:r>
        <w:rPr>
          <w:rFonts w:ascii="Amiri" w:hAnsi="Amiri" w:eastAsia="Amiri" w:cs="Amiri"/>
          <w:color w:val="111111"/>
          <w:sz w:val="28"/>
          <w:sz w:val="28"/>
          <w:szCs w:val="28"/>
          <w:rtl w:val="true"/>
          <w:lang w:bidi="ar-SA"/>
        </w:rPr>
        <w:t xml:space="preserve">، وصريح والدي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الكتابين ، للأصول المتقدّمة ، والعمومات المذكورة الخالية جميعا عمّا يصلح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ويجيبون أمّا عن أصول الخمسين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فباندفاعها بالعمومات ، مع كون الأصول الأولى مقدّمة عليها ، لكونها مزيلة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الصحيح والروايتين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فبسقوطها من البين ، لمعارضتها مع الموثّقة ومرسلة الستين ، وبطلان الوجوه المرجّحة لها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غير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صلاحيتها للترجيح ، كما بيّن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ما ذكروه في الترجيح باعتبار السند إنّما هو الأصدقية والأعدلية ، دون الإمامية التي هي مادة اختلاف السندين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والأشهرية المدّعاة في العمل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ودعواها من بعضهم معارضة بدعوى الأكثر إيّاها في أحد التفصيلين ، وبعضهم في الآخر ،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الرواية غير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النافع لا تثبتها ، مع جواز أن يكون مراده مجرد الأكثرية في العدد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يتمّ في تعارض أخبار الخمسين مع مرسلة الستين ، إذ معناها المستفاد من ذكرها بعد خبر البزنطي ، أنّ حدّ اليأس 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كما </w:t>
      </w:r>
    </w:p>
    <w:p>
      <w:pPr>
        <w:pStyle w:val="BookText"/>
        <w:rPr/>
      </w:pPr>
      <w:r>
        <w:rPr>
          <w:rFonts w:ascii="Amiri" w:hAnsi="Amiri" w:eastAsia="Amiri" w:cs="Amiri"/>
          <w:color w:val="111111"/>
          <w:sz w:val="28"/>
          <w:sz w:val="28"/>
          <w:szCs w:val="28"/>
          <w:rtl w:val="true"/>
          <w:lang w:bidi="ar-SA"/>
        </w:rPr>
        <w:t>أنّ مفهوم الموثّقة عام ، كذلك منطوق الأخبار الثلاثة ، لدلالته على أنّ حدّ اليأس إذا كان لها خمسون سنة ، وهو أعمّ من أن تكون لها زيادة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تعارضهما بالمنطوق والمفهوم فقط ، بل يتخاصم منطوقاهما أيضا بالتساوي ، فإنّ مدلول المنطوق الأول ، بل صريحه أنّ حدّ اليأس ستون سنة ، بل المتبادر من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بلغت ستين يئست من المحيض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اليأس ببلوغها يحدث ، ومدلول الثاني أنّه 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عين التخاصم والتنازع ، فيتعارضان ويتساقطان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المراسيل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مرّ ، مضافا إلى عدم كون الحمرة المنفية في الأولى صريحة في الحيض ، وعدم منافاة الأخيرتين منها للمطلوب إلاّ بمفهوم الوصف الضعيف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عن الصدوق </w:t>
      </w:r>
      <w:r>
        <w:rPr>
          <w:rStyle w:val="FootnoteAnchor"/>
          <w:rtl w:val="true"/>
        </w:rPr>
        <w:footnoteReference w:id="2016"/>
      </w:r>
      <w:r>
        <w:rPr>
          <w:rFonts w:ascii="IRNazanin" w:hAnsi="IRNazanin" w:eastAsia="IRNazanin"/>
          <w:color w:val="111111"/>
          <w:sz w:val="28"/>
          <w:sz w:val="28"/>
          <w:szCs w:val="28"/>
          <w:rtl w:val="true"/>
          <w:lang w:bidi="fa-IR"/>
        </w:rPr>
        <w:t xml:space="preserve">والمبسوط </w:t>
      </w:r>
      <w:r>
        <w:rPr>
          <w:rStyle w:val="FootnoteAnchor"/>
          <w:rtl w:val="true"/>
        </w:rPr>
        <w:footnoteReference w:id="2017"/>
      </w:r>
      <w:r>
        <w:rPr>
          <w:rFonts w:ascii="Amiri" w:hAnsi="Amiri" w:eastAsia="Amiri" w:cs="Amiri"/>
          <w:color w:val="111111"/>
          <w:sz w:val="28"/>
          <w:sz w:val="28"/>
          <w:szCs w:val="28"/>
          <w:rtl w:val="true"/>
          <w:lang w:bidi="ar-SA"/>
        </w:rPr>
        <w:t xml:space="preserve">، بل أكثر كتب الشيخ </w:t>
      </w:r>
      <w:r>
        <w:rPr>
          <w:rStyle w:val="FootnoteAnchor"/>
          <w:rtl w:val="true"/>
        </w:rPr>
        <w:footnoteReference w:id="2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واستجوده في المعتبر </w:t>
      </w:r>
      <w:r>
        <w:rPr>
          <w:rStyle w:val="FootnoteAnchor"/>
          <w:rtl w:val="true"/>
        </w:rPr>
        <w:footnoteReference w:id="2019"/>
      </w:r>
      <w:r>
        <w:rPr>
          <w:rFonts w:ascii="Amiri" w:hAnsi="Amiri" w:eastAsia="Amiri" w:cs="Amiri"/>
          <w:color w:val="111111"/>
          <w:sz w:val="28"/>
          <w:sz w:val="28"/>
          <w:szCs w:val="28"/>
          <w:rtl w:val="true"/>
          <w:lang w:bidi="ar-SA"/>
        </w:rPr>
        <w:t xml:space="preserve">، ونسبه في البحار والحدائق إلى المشهور </w:t>
      </w:r>
      <w:r>
        <w:rPr>
          <w:rStyle w:val="FootnoteAnchor"/>
          <w:rtl w:val="true"/>
        </w:rPr>
        <w:footnoteReference w:id="2020"/>
      </w:r>
      <w:r>
        <w:rPr>
          <w:rFonts w:ascii="Amiri" w:hAnsi="Amiri" w:eastAsia="Amiri" w:cs="Amiri"/>
          <w:color w:val="111111"/>
          <w:sz w:val="28"/>
          <w:sz w:val="28"/>
          <w:szCs w:val="28"/>
          <w:rtl w:val="true"/>
          <w:lang w:bidi="ar-SA"/>
        </w:rPr>
        <w:t xml:space="preserve">، وفي التبيان والمجمع نسب حصول يأس القرشية بالستين إلى الأصحاب </w:t>
      </w:r>
      <w:r>
        <w:rPr>
          <w:rStyle w:val="FootnoteAnchor"/>
          <w:rtl w:val="true"/>
        </w:rPr>
        <w:footnoteReference w:id="2021"/>
      </w:r>
      <w:r>
        <w:rPr>
          <w:rFonts w:ascii="Amiri" w:hAnsi="Amiri" w:eastAsia="Amiri" w:cs="Amiri"/>
          <w:color w:val="111111"/>
          <w:sz w:val="28"/>
          <w:sz w:val="28"/>
          <w:szCs w:val="28"/>
          <w:rtl w:val="true"/>
          <w:lang w:bidi="ar-SA"/>
        </w:rPr>
        <w:t>، وهو ظاهر في دعوى الإجماع ، للمرسلتين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ويجيبون عن رواية النبطية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مطلقات الخمسين والستين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حمل المطلق والعام على المقيد والخاص ، والمرسلتان خاصتان ومقيدتان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ويدفعون الإيراد عليهما بالضعف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منجبرتان </w:t>
      </w:r>
    </w:p>
    <w:p>
      <w:pPr>
        <w:pStyle w:val="BookText"/>
        <w:rPr/>
      </w:pPr>
      <w:r>
        <w:rPr>
          <w:rFonts w:ascii="Amiri" w:hAnsi="Amiri" w:eastAsia="Amiri" w:cs="Amiri"/>
          <w:color w:val="111111"/>
          <w:sz w:val="28"/>
          <w:sz w:val="28"/>
          <w:szCs w:val="28"/>
          <w:rtl w:val="true"/>
          <w:lang w:bidi="ar-SA"/>
        </w:rPr>
        <w:t xml:space="preserve">بالشهرة المحقّقة والمحكية ، بل بظاهر دعوى الإجماع من الشيخين الجليلين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والطبرسي </w:t>
      </w:r>
      <w:r>
        <w:rPr>
          <w:rStyle w:val="FootnoteAnchor"/>
          <w:rtl w:val="true"/>
        </w:rPr>
        <w:footnoteReference w:id="2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لا يقصر عن الصحاح ، بل ربما يعدّ أقوى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ابن أبي عمير الراوي لأولاهما ممّن أجمعت العصابة على تصحيح ما صحّ عنه ، وصرّحوا بكون مراسيله في حكم المسانيد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وبالقصور في الدلالة من جهة عدم التصريح بالستين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القائل بالفرق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عدم الصراحة في الحيضية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ظاهرة فيها ، وهو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المرسلة الثانية تصريحا بالحكمين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عدم صراحة الحمرة في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مع أنّ المنفي ليس سوى الدمين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الحيض والاستحاضة ، وبعد توصيف الأول في الروايات بالأحمر ، والثاني بالأصفر </w:t>
      </w:r>
      <w:r>
        <w:rPr>
          <w:rStyle w:val="FootnoteAnchor"/>
          <w:rtl w:val="true"/>
        </w:rPr>
        <w:footnoteReference w:id="2023"/>
      </w:r>
      <w:r>
        <w:rPr>
          <w:rFonts w:ascii="Amiri" w:hAnsi="Amiri" w:eastAsia="Amiri" w:cs="Amiri"/>
          <w:color w:val="111111"/>
          <w:sz w:val="28"/>
          <w:sz w:val="28"/>
          <w:szCs w:val="28"/>
          <w:rtl w:val="true"/>
          <w:lang w:bidi="ar-SA"/>
        </w:rPr>
        <w:t>، يتعيّن أنّ المراد هو الأول ، مع أنّ العموم يكفي للمطلوب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سلّم القصور من هذه الجهة أيضا لم يضرّ ، إذ بعد ثبوت الستين للقرشية بمرسلة المبسوط </w:t>
      </w:r>
      <w:r>
        <w:rPr>
          <w:rStyle w:val="FootnoteAnchor"/>
          <w:rtl w:val="true"/>
        </w:rPr>
        <w:footnoteReference w:id="2024"/>
      </w:r>
      <w:r>
        <w:rPr>
          <w:rFonts w:ascii="Amiri" w:hAnsi="Amiri" w:eastAsia="Amiri" w:cs="Amiri"/>
          <w:color w:val="111111"/>
          <w:sz w:val="28"/>
          <w:sz w:val="28"/>
          <w:szCs w:val="28"/>
          <w:rtl w:val="true"/>
          <w:lang w:bidi="ar-SA"/>
        </w:rPr>
        <w:t>، يتعين تخصيص مطلقات الخمسين بها ، فتصير خاصة بالنسبة إلى مطلقات الستين ، وتخصّص بها ويثبت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محكي عن ابني حمزة وسعيد ، واختاره الفاضل في القواعد </w:t>
      </w:r>
      <w:r>
        <w:rPr>
          <w:rStyle w:val="FootnoteAnchor"/>
          <w:rtl w:val="true"/>
        </w:rPr>
        <w:footnoteReference w:id="2025"/>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كتبه </w:t>
      </w:r>
      <w:r>
        <w:rPr>
          <w:rStyle w:val="FootnoteAnchor"/>
          <w:rtl w:val="true"/>
        </w:rPr>
        <w:footnoteReference w:id="2026"/>
      </w:r>
      <w:r>
        <w:rPr>
          <w:rFonts w:ascii="Amiri" w:hAnsi="Amiri" w:eastAsia="Amiri" w:cs="Amiri"/>
          <w:color w:val="111111"/>
          <w:sz w:val="28"/>
          <w:sz w:val="28"/>
          <w:szCs w:val="28"/>
          <w:rtl w:val="true"/>
          <w:lang w:bidi="ar-SA"/>
        </w:rPr>
        <w:t xml:space="preserve">، وذهب إليه الكركي </w:t>
      </w:r>
      <w:r>
        <w:rPr>
          <w:rStyle w:val="FootnoteAnchor"/>
          <w:rtl w:val="true"/>
        </w:rPr>
        <w:footnoteReference w:id="2027"/>
      </w:r>
      <w:r>
        <w:rPr>
          <w:rFonts w:ascii="Amiri" w:hAnsi="Amiri" w:eastAsia="Amiri" w:cs="Amiri"/>
          <w:color w:val="111111"/>
          <w:sz w:val="28"/>
          <w:sz w:val="28"/>
          <w:szCs w:val="28"/>
          <w:rtl w:val="true"/>
          <w:lang w:bidi="ar-SA"/>
        </w:rPr>
        <w:t xml:space="preserve">ناسبا له إلى المشهور ، بل إلى الأصحاب ، المؤذن بدعوى الإجماع ، لمرسلة المقنعة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ويدفعون الإيراد عليها بالضعف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بالانجبار بدعوى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ويجيبون عن </w:t>
      </w:r>
    </w:p>
    <w:p>
      <w:pPr>
        <w:pStyle w:val="BookText"/>
        <w:rPr/>
      </w:pPr>
      <w:r>
        <w:rPr>
          <w:rFonts w:ascii="Amiri" w:hAnsi="Amiri" w:eastAsia="Amiri" w:cs="Amiri"/>
          <w:color w:val="111111"/>
          <w:sz w:val="28"/>
          <w:sz w:val="28"/>
          <w:szCs w:val="28"/>
          <w:rtl w:val="true"/>
          <w:lang w:bidi="ar-SA"/>
        </w:rPr>
        <w:t xml:space="preserve">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 ذكروه حسنا ، لو لا معارضة دعوى الكركي في النبطية مع دعوى أكثر منه الشهرة على الخمسين في غير القرشية الشامل للنبطية أيضا ، وأمّا معها فلا يحصل بها انجبار ، ويسقط لأجله ذلك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يبقى دعواها في القرشية ، كدعوى الشيخين فيها خالية عن المعارض جابرة للمرسلتين الأوليين ، وتخصّص بهما المطلقات كما مرّ ، ويثبت بهما مقتضاهما الذي هو القول الثالث ، فهو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القرشية أعم من الهاشمية ، وهي المنسوبة إلى النضر بن كنانة ، إمّا بالأب كما عليه جماعة </w:t>
      </w:r>
      <w:r>
        <w:rPr>
          <w:rStyle w:val="FootnoteAnchor"/>
          <w:rtl w:val="true"/>
        </w:rPr>
        <w:footnoteReference w:id="2029"/>
      </w:r>
      <w:r>
        <w:rPr>
          <w:rFonts w:ascii="Amiri" w:hAnsi="Amiri" w:eastAsia="Amiri" w:cs="Amiri"/>
          <w:color w:val="111111"/>
          <w:sz w:val="28"/>
          <w:sz w:val="28"/>
          <w:szCs w:val="28"/>
          <w:rtl w:val="true"/>
          <w:lang w:bidi="ar-SA"/>
        </w:rPr>
        <w:t>، اقتصارا على المتيقّن ، واستصحابا للتكليف وسائر لوازم الطهر ، واتّباعا لعموم وجوب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مطلقا كما عليه اخرى </w:t>
      </w:r>
      <w:r>
        <w:rPr>
          <w:rStyle w:val="FootnoteAnchor"/>
          <w:rtl w:val="true"/>
        </w:rPr>
        <w:footnoteReference w:id="2030"/>
      </w:r>
      <w:r>
        <w:rPr>
          <w:rFonts w:ascii="Amiri" w:hAnsi="Amiri" w:eastAsia="Amiri" w:cs="Amiri"/>
          <w:color w:val="111111"/>
          <w:sz w:val="28"/>
          <w:sz w:val="28"/>
          <w:szCs w:val="28"/>
          <w:rtl w:val="true"/>
          <w:lang w:bidi="ar-SA"/>
        </w:rPr>
        <w:t>، نظرا إلى صدق كونها من قريش ، كما في المرسلة الأولى ، وتحقّق الانتساب إليه ، كما في الأخيرتين ، واستصحابا لكونها ممّن تحيض ، واتّباعا لعمومات الرجوع إلى التمييز واعتبار أيام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الصدق والتحقّق المذكوران عرفا محل التشكيك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للأصول المذكورة المزيلة للأصول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كفاية الانتساب الشرعي وغيره ظاهرا وإن لم يعلم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القرشية واقعا من غير الانتساب ظاهرا فغير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لأصالة عدم القرشية ، لعدم حجّيتها إن أريد بالأصل الظهور الحاصل من الإلحاق بالأغلب ، ومنعها إن أريد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للإجماع المحقّق</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المعروفات منهنّ في هذا العصر منحصرات في الهاشميّات فعليهنّ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النبطيّات فلا يعرفن في هذا الزمان أصلا ، فهو قد كفانا مئونة الاشتغال بتحقيق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حار أسود عبيط يخرج بدفع وحرقة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لذع لأجل الدفع والحرارة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والمستفيضة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البختري عن المرأة تستمرّ بها الدم فلا تدري حيض هو أو غيره ، قال ، فقال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دم الحيض حار عبيط أسود له دفع وحرارة ، ودم الاستحاضة أصفر بارد ، وإذا كان للدم دفع وحرارة وسواد فلتدع الصلاة </w:t>
      </w:r>
      <w:r>
        <w:rPr>
          <w:rFonts w:eastAsia="Amiri" w:cs="Amiri" w:ascii="Amiri" w:hAnsi="Amiri"/>
          <w:color w:val="111111"/>
          <w:sz w:val="28"/>
          <w:szCs w:val="28"/>
          <w:rtl w:val="true"/>
          <w:lang w:bidi="ar-SA"/>
        </w:rPr>
        <w:t xml:space="preserve">»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w:t>
      </w:r>
      <w:r>
        <w:rPr>
          <w:rStyle w:val="FootnoteAnchor"/>
          <w:rtl w:val="true"/>
        </w:rPr>
        <w:footnoteReference w:id="2032"/>
      </w:r>
      <w:r>
        <w:rPr>
          <w:rFonts w:ascii="Amiri" w:hAnsi="Amiri" w:eastAsia="Amiri" w:cs="Amiri"/>
          <w:color w:val="111111"/>
          <w:sz w:val="28"/>
          <w:sz w:val="28"/>
          <w:szCs w:val="28"/>
          <w:rtl w:val="true"/>
          <w:lang w:bidi="ar-SA"/>
        </w:rPr>
        <w:t xml:space="preserve">جميل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اشتبه فلم يعرف أيام حيضها فإنّ ذلك لا يخفى ، لأنّ دم الحيض دم عبيط حار ، ودم الاستحاضة دم أصفر بارد </w:t>
      </w:r>
      <w:r>
        <w:rPr>
          <w:rFonts w:eastAsia="Amiri" w:cs="Amiri" w:ascii="Amiri" w:hAnsi="Amiri"/>
          <w:color w:val="111111"/>
          <w:sz w:val="28"/>
          <w:szCs w:val="28"/>
          <w:rtl w:val="true"/>
          <w:lang w:bidi="ar-SA"/>
        </w:rPr>
        <w:t xml:space="preserve">»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دم الاستحاضة والحيض ليسا يخرجان من مكان واحد ، إنّ دم الاستحاضة بارد ، وإنّ دم الحيض حار </w:t>
      </w:r>
      <w:r>
        <w:rPr>
          <w:rFonts w:eastAsia="Amiri" w:cs="Amiri" w:ascii="Amiri" w:hAnsi="Amiri"/>
          <w:color w:val="111111"/>
          <w:sz w:val="28"/>
          <w:szCs w:val="28"/>
          <w:rtl w:val="true"/>
          <w:lang w:bidi="ar-SA"/>
        </w:rPr>
        <w:t xml:space="preserve">»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ابن جرير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دم الحيض ليس به خفاء هو دم حار تجد له حرقة ، ودم الاستحاضة دم فاسد بارد </w:t>
      </w:r>
      <w:r>
        <w:rPr>
          <w:rFonts w:eastAsia="Amiri" w:cs="Amiri" w:ascii="Amiri" w:hAnsi="Amiri"/>
          <w:color w:val="111111"/>
          <w:sz w:val="28"/>
          <w:szCs w:val="28"/>
          <w:rtl w:val="true"/>
          <w:lang w:bidi="ar-SA"/>
        </w:rPr>
        <w:t xml:space="preserve">»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موثّقة إسحاق بن عمّار في الحبلى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دما عبيطا فلا تصلّي ذينك اليومين ، وإن كان صفرة فلتغتسل عند كلّ صلاتين </w:t>
      </w:r>
      <w:r>
        <w:rPr>
          <w:rFonts w:eastAsia="Amiri" w:cs="Amiri" w:ascii="Amiri" w:hAnsi="Amiri"/>
          <w:color w:val="111111"/>
          <w:sz w:val="28"/>
          <w:szCs w:val="28"/>
          <w:rtl w:val="true"/>
          <w:lang w:bidi="ar-SA"/>
        </w:rPr>
        <w:t xml:space="preserve">»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مرسلة يونس ، الطويلة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دم الحيض أسود يعرف </w:t>
      </w:r>
      <w:r>
        <w:rPr>
          <w:rFonts w:eastAsia="Amiri" w:cs="Amiri" w:ascii="Amiri" w:hAnsi="Amiri"/>
          <w:color w:val="111111"/>
          <w:sz w:val="28"/>
          <w:szCs w:val="28"/>
          <w:rtl w:val="true"/>
          <w:lang w:bidi="ar-SA"/>
        </w:rPr>
        <w:t xml:space="preserve">»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بالسواد هنا هو الحمرة الشديدة القريبة من السواد ، كما هو المتبادر في السواد المستعمل في الدماء المتأيّد بالمشاهدة والاعتبار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ويشهد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مرسلة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رأت الدم البحراني فلتدع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البحراني شبه معنى قول النبيّ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دم الحيض أسود ، وإنّما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بحرانيا لكثرته ولونه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 على اتّحاد المراد من الأسود ومن البحراني المفسّر في كتب اللغة </w:t>
      </w:r>
      <w:r>
        <w:rPr>
          <w:rStyle w:val="FootnoteAnchor"/>
          <w:rtl w:val="true"/>
        </w:rPr>
        <w:footnoteReference w:id="2038"/>
      </w:r>
      <w:r>
        <w:rPr>
          <w:rFonts w:ascii="Amiri" w:hAnsi="Amiri" w:eastAsia="Amiri" w:cs="Amiri"/>
          <w:color w:val="111111"/>
          <w:sz w:val="28"/>
          <w:sz w:val="28"/>
          <w:szCs w:val="28"/>
          <w:rtl w:val="true"/>
          <w:lang w:bidi="ar-SA"/>
        </w:rPr>
        <w:t xml:space="preserve">، والمعتبر ، والتذكرة </w:t>
      </w:r>
      <w:r>
        <w:rPr>
          <w:rStyle w:val="FootnoteAnchor"/>
          <w:rtl w:val="true"/>
        </w:rPr>
        <w:footnoteReference w:id="2039"/>
      </w:r>
      <w:r>
        <w:rPr>
          <w:rFonts w:ascii="Amiri" w:hAnsi="Amiri" w:eastAsia="Amiri" w:cs="Amiri"/>
          <w:color w:val="111111"/>
          <w:sz w:val="28"/>
          <w:sz w:val="28"/>
          <w:szCs w:val="28"/>
          <w:rtl w:val="true"/>
          <w:lang w:bidi="ar-SA"/>
        </w:rPr>
        <w:t>، بالحمرة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تنافي بين ما مر وبين ما وصف الحيض بالحمرة ، كالمرسل الآتي في الحبلى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دما أحمر كثيرا فلا تصلّي </w:t>
      </w:r>
      <w:r>
        <w:rPr>
          <w:rFonts w:eastAsia="Amiri" w:cs="Amiri" w:ascii="Amiri" w:hAnsi="Amiri"/>
          <w:color w:val="111111"/>
          <w:sz w:val="28"/>
          <w:szCs w:val="28"/>
          <w:rtl w:val="true"/>
          <w:lang w:bidi="ar-SA"/>
        </w:rPr>
        <w:t xml:space="preserve">» </w:t>
      </w:r>
      <w:r>
        <w:rPr>
          <w:rStyle w:val="FootnoteAnchor"/>
          <w:rtl w:val="true"/>
        </w:rPr>
        <w:footnoteReference w:id="2040"/>
      </w:r>
      <w:r>
        <w:rPr>
          <w:rFonts w:ascii="Amiri" w:hAnsi="Amiri" w:eastAsia="Amiri" w:cs="Amiri"/>
          <w:color w:val="111111"/>
          <w:sz w:val="28"/>
          <w:sz w:val="28"/>
          <w:szCs w:val="28"/>
          <w:rtl w:val="true"/>
          <w:lang w:bidi="ar-SA"/>
        </w:rPr>
        <w:t xml:space="preserve">وغيره ، ولا بين كلام من وصفه بالسواد فقط ، كما عن النهاية والمبسوط والوسيلة والمنتهى والتبصرة والإرشاد </w:t>
      </w:r>
      <w:r>
        <w:rPr>
          <w:rStyle w:val="FootnoteAnchor"/>
          <w:rtl w:val="true"/>
        </w:rPr>
        <w:footnoteReference w:id="2041"/>
      </w:r>
      <w:r>
        <w:rPr>
          <w:rFonts w:ascii="Amiri" w:hAnsi="Amiri" w:eastAsia="Amiri" w:cs="Amiri"/>
          <w:color w:val="111111"/>
          <w:sz w:val="28"/>
          <w:sz w:val="28"/>
          <w:szCs w:val="28"/>
          <w:rtl w:val="true"/>
          <w:lang w:bidi="ar-SA"/>
        </w:rPr>
        <w:t xml:space="preserve">والتلخيص والتحرير </w:t>
      </w:r>
      <w:r>
        <w:rPr>
          <w:rStyle w:val="FootnoteAnchor"/>
          <w:rtl w:val="true"/>
        </w:rPr>
        <w:footnoteReference w:id="2042"/>
      </w:r>
      <w:r>
        <w:rPr>
          <w:rFonts w:ascii="Amiri" w:hAnsi="Amiri" w:eastAsia="Amiri" w:cs="Amiri"/>
          <w:color w:val="111111"/>
          <w:sz w:val="28"/>
          <w:sz w:val="28"/>
          <w:szCs w:val="28"/>
          <w:rtl w:val="true"/>
          <w:lang w:bidi="ar-SA"/>
        </w:rPr>
        <w:t xml:space="preserve">وغيرها </w:t>
      </w:r>
      <w:r>
        <w:rPr>
          <w:rStyle w:val="FootnoteAnchor"/>
          <w:rtl w:val="true"/>
        </w:rPr>
        <w:footnoteReference w:id="2043"/>
      </w:r>
      <w:r>
        <w:rPr>
          <w:rFonts w:ascii="Amiri" w:hAnsi="Amiri" w:eastAsia="Amiri" w:cs="Amiri"/>
          <w:color w:val="111111"/>
          <w:sz w:val="28"/>
          <w:sz w:val="28"/>
          <w:szCs w:val="28"/>
          <w:rtl w:val="true"/>
          <w:lang w:bidi="ar-SA"/>
        </w:rPr>
        <w:t xml:space="preserve">، ومن وصفه بالحمرة كذلك ، كما عن المقنعة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في النافع خيّر بين الوصفين ، وظاهره الاختلاف بينهما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ليس بجيّد ، إلاّ أن يحمل على تفاوت مراتب الحمرة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يزاد في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الغلظة والنتن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عليهما دليل سوى المرويين في فقه الرضا عليه السلام والدعائم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وتفسير الاستحاضة أنّ دمها يكون رقيقا تعلوه صفرة ، ودم الحيض إلى السواد وله غلظة ، ودم الحيض حار يخرج بحرارة شديدة ، ودم الاستحاضة بارد يسيل وهي لا تعلم </w:t>
      </w:r>
      <w:r>
        <w:rPr>
          <w:rFonts w:eastAsia="Amiri" w:cs="Amiri" w:ascii="Amiri" w:hAnsi="Amiri"/>
          <w:color w:val="111111"/>
          <w:sz w:val="28"/>
          <w:szCs w:val="28"/>
          <w:rtl w:val="true"/>
          <w:lang w:bidi="ar-SA"/>
        </w:rPr>
        <w:t xml:space="preserve">»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ودم الحيض كدر غليظ منتن ، ودم الاستحاضة دم رقيق </w:t>
      </w:r>
      <w:r>
        <w:rPr>
          <w:rFonts w:eastAsia="Amiri" w:cs="Amiri" w:ascii="Amiri" w:hAnsi="Amiri"/>
          <w:color w:val="111111"/>
          <w:sz w:val="28"/>
          <w:szCs w:val="28"/>
          <w:rtl w:val="true"/>
          <w:lang w:bidi="ar-SA"/>
        </w:rPr>
        <w:t xml:space="preserve">»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لضعفهما غير صالحين للاستناد وإن شهد لهما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التوصيف في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أنّ كلّ ما انتفت فيه تلك الأوصاف كلا أو بعضا لم يكن حيضا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حيضا كان متّصفا بالأوصاف ، كما أنّ مقتضى منطوق الشرط في الحسنة </w:t>
      </w:r>
      <w:r>
        <w:rPr>
          <w:rStyle w:val="FootnoteAnchor"/>
          <w:rtl w:val="true"/>
        </w:rPr>
        <w:footnoteReference w:id="2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أنّ كلّ ما وجدت فيه الأوصاف فهو حيض مطلقا ، إلاّ ما دلّ دليل على خلافه في الكلّيتين ، ويزاد الدليل على الكلّية الأخيرة في صورة الاشتباه مع الاستحاضة الحكم بانتفاء تلك الأوصاف عن المستحاضة في المستفيضة </w:t>
      </w:r>
      <w:r>
        <w:rPr>
          <w:rStyle w:val="FootnoteAnchor"/>
          <w:rtl w:val="true"/>
        </w:rPr>
        <w:footnoteReference w:id="2049"/>
      </w:r>
      <w:r>
        <w:rPr>
          <w:rFonts w:ascii="Amiri" w:hAnsi="Amiri" w:eastAsia="Amiri" w:cs="Amiri"/>
          <w:color w:val="111111"/>
          <w:sz w:val="28"/>
          <w:sz w:val="28"/>
          <w:szCs w:val="28"/>
          <w:rtl w:val="true"/>
          <w:lang w:bidi="ar-SA"/>
        </w:rPr>
        <w:t>، فإنّ مفادها أنّ المتّصف بها حينئذ حيض ، إلاّ إذا دلّ دليل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أنّ الحق مع من حكم بكون اعتبار الأوصاف إثباتا ونفيا للحيض أصلا لا يتخلّف عنه إلاّ بدليل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وجعلها مميّزات عند الاشتباه مع الاستحاضة خاصة </w:t>
      </w:r>
      <w:r>
        <w:rPr>
          <w:rStyle w:val="FootnoteAnchor"/>
          <w:rtl w:val="true"/>
        </w:rPr>
        <w:footnoteReference w:id="2051"/>
      </w:r>
      <w:r>
        <w:rPr>
          <w:rFonts w:ascii="Amiri" w:hAnsi="Amiri" w:eastAsia="Amiri" w:cs="Amiri"/>
          <w:color w:val="111111"/>
          <w:sz w:val="28"/>
          <w:sz w:val="28"/>
          <w:szCs w:val="28"/>
          <w:rtl w:val="true"/>
          <w:lang w:bidi="ar-SA"/>
        </w:rPr>
        <w:t xml:space="preserve">غير سديد ، وغفلة </w:t>
      </w:r>
    </w:p>
    <w:p>
      <w:pPr>
        <w:pStyle w:val="BookText"/>
        <w:rPr/>
      </w:pPr>
      <w:r>
        <w:rPr>
          <w:rFonts w:ascii="IRNazanin" w:hAnsi="IRNazanin" w:eastAsia="IRNazanin"/>
          <w:color w:val="111111"/>
          <w:sz w:val="28"/>
          <w:sz w:val="28"/>
          <w:szCs w:val="28"/>
          <w:rtl w:val="true"/>
          <w:lang w:bidi="fa-IR"/>
        </w:rPr>
        <w:t>عن منطوق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المعتبر في التمييز بينهما حين الاشتباه هو جميع الأوصاف المتقدّمة ، ولا يكفي البعض وإن اكتفي به في بعض الأخبار </w:t>
      </w:r>
      <w:r>
        <w:rPr>
          <w:rStyle w:val="FootnoteAnchor"/>
          <w:rtl w:val="true"/>
        </w:rPr>
        <w:footnoteReference w:id="2052"/>
      </w:r>
      <w:r>
        <w:rPr>
          <w:rFonts w:ascii="Amiri" w:hAnsi="Amiri" w:eastAsia="Amiri" w:cs="Amiri"/>
          <w:color w:val="111111"/>
          <w:sz w:val="28"/>
          <w:sz w:val="28"/>
          <w:szCs w:val="28"/>
          <w:rtl w:val="true"/>
          <w:lang w:bidi="ar-SA"/>
        </w:rPr>
        <w:t>، لأنّه يكون أعمّ من الخبر المستجمع للجميع ، فيجب تقييده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لو اتّصف حينئذ دم ببعض أوصاف كلّ من الحيض والاستحاضة ، كأن يكون حارا أصفر ، أو باردا أسود ، تتعارض فيه الأخبار المميّزة بالوصف ، فلا يعمل بها فيه ، بل يرجع إلى القواعد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منغمسا في القطنة ، وهذا إنّما يعتبر مع اشتباهه بدم العذرة ، فيحكم حينئذ بالحيضية مع الانغماس ، وبالعذرة مع التطوّق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وفاقا للأكثر في الحكمين ، لصحيحتي زياد </w:t>
      </w:r>
      <w:r>
        <w:rPr>
          <w:rStyle w:val="FootnoteAnchor"/>
          <w:rtl w:val="true"/>
        </w:rPr>
        <w:footnoteReference w:id="2053"/>
      </w:r>
      <w:r>
        <w:rPr>
          <w:rFonts w:ascii="IRNazanin" w:hAnsi="IRNazanin" w:eastAsia="IRNazanin"/>
          <w:color w:val="111111"/>
          <w:sz w:val="28"/>
          <w:sz w:val="28"/>
          <w:szCs w:val="28"/>
          <w:rtl w:val="true"/>
          <w:lang w:bidi="fa-IR"/>
        </w:rPr>
        <w:t xml:space="preserve">، وخلف </w:t>
      </w:r>
      <w:r>
        <w:rPr>
          <w:rStyle w:val="FootnoteAnchor"/>
          <w:rtl w:val="true"/>
        </w:rPr>
        <w:footnoteReference w:id="2054"/>
      </w:r>
      <w:r>
        <w:rPr>
          <w:rFonts w:ascii="Amiri" w:hAnsi="Amiri" w:eastAsia="Amiri" w:cs="Amiri"/>
          <w:color w:val="111111"/>
          <w:sz w:val="28"/>
          <w:sz w:val="28"/>
          <w:szCs w:val="28"/>
          <w:rtl w:val="true"/>
          <w:lang w:bidi="ar-SA"/>
        </w:rPr>
        <w:t xml:space="preserve">، والرضوي </w:t>
      </w:r>
      <w:r>
        <w:rPr>
          <w:rStyle w:val="FootnoteAnchor"/>
          <w:rtl w:val="true"/>
        </w:rPr>
        <w:footnoteReference w:id="2055"/>
      </w:r>
      <w:r>
        <w:rPr>
          <w:rFonts w:ascii="Amiri" w:hAnsi="Amiri" w:eastAsia="Amiri" w:cs="Amiri"/>
          <w:color w:val="111111"/>
          <w:sz w:val="28"/>
          <w:sz w:val="28"/>
          <w:szCs w:val="28"/>
          <w:rtl w:val="true"/>
          <w:lang w:bidi="ar-SA"/>
        </w:rPr>
        <w:t>، المصرّحة جميعا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وخلافا لظاهر الشرائع ، والنافع ، وصريح المعتبر </w:t>
      </w:r>
      <w:r>
        <w:rPr>
          <w:rStyle w:val="FootnoteAnchor"/>
          <w:rtl w:val="true"/>
        </w:rPr>
        <w:footnoteReference w:id="2056"/>
      </w:r>
      <w:r>
        <w:rPr>
          <w:rFonts w:ascii="Amiri" w:hAnsi="Amiri" w:eastAsia="Amiri" w:cs="Amiri"/>
          <w:color w:val="111111"/>
          <w:sz w:val="28"/>
          <w:sz w:val="28"/>
          <w:szCs w:val="28"/>
          <w:rtl w:val="true"/>
          <w:lang w:bidi="ar-SA"/>
        </w:rPr>
        <w:t xml:space="preserve">ومحتمل المقنعة </w:t>
      </w:r>
      <w:r>
        <w:rPr>
          <w:rStyle w:val="FootnoteAnchor"/>
          <w:rtl w:val="true"/>
        </w:rPr>
        <w:footnoteReference w:id="2057"/>
      </w:r>
      <w:r>
        <w:rPr>
          <w:rFonts w:ascii="Amiri" w:hAnsi="Amiri" w:eastAsia="Amiri" w:cs="Amiri"/>
          <w:color w:val="111111"/>
          <w:sz w:val="28"/>
          <w:sz w:val="28"/>
          <w:szCs w:val="28"/>
          <w:rtl w:val="true"/>
          <w:lang w:bidi="ar-SA"/>
        </w:rPr>
        <w:t>في الأول ، فتوقّفا فيه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وجه له بعد صراحة الأخبار المعتبرة المعمول بها عند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مورد المسألة إنّما هو صورة الاشتباه ، وهو لا يكون إلاّ مع إمكان الحيضيّة إمّا باستجماع </w:t>
      </w:r>
    </w:p>
    <w:p>
      <w:pPr>
        <w:pStyle w:val="BookText"/>
        <w:rPr/>
      </w:pPr>
      <w:r>
        <w:rPr>
          <w:rFonts w:ascii="Amiri" w:hAnsi="Amiri" w:eastAsia="Amiri" w:cs="Amiri"/>
          <w:color w:val="111111"/>
          <w:sz w:val="28"/>
          <w:sz w:val="28"/>
          <w:szCs w:val="28"/>
          <w:rtl w:val="true"/>
          <w:lang w:bidi="ar-SA"/>
        </w:rPr>
        <w:t>الأوصاف إن قلنا باشتراطه في الإمكان أو بدونه إن لم نقل به ، فيثبت الحكم إمّا بإخبار اعتبار الأوصاف ، أو بالقاعدة المسلّمة عندهما من أنّ ما يمكن أن يكون حيضا فهو حيض إلاّ ما خرج بالدليل ، فلا مجال للتوقّف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بطلان توجيه كلامهما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الدم ربما لا يستجمع الشرائط </w:t>
      </w:r>
      <w:r>
        <w:rPr>
          <w:rStyle w:val="FootnoteAnchor"/>
          <w:rtl w:val="true"/>
        </w:rPr>
        <w:footnoteReference w:id="2058"/>
      </w:r>
      <w:r>
        <w:rPr>
          <w:rFonts w:ascii="Amiri" w:hAnsi="Amiri" w:eastAsia="Amiri" w:cs="Amiri"/>
          <w:color w:val="111111"/>
          <w:sz w:val="28"/>
          <w:sz w:val="28"/>
          <w:szCs w:val="28"/>
          <w:rtl w:val="true"/>
          <w:lang w:bidi="ar-SA"/>
        </w:rPr>
        <w:t>، فإنّ الشرائط إن كانت معتبرة فلا يكون حيضا قطعا ، ولا يحصل الاشتباه ، وإلاّ فلا يوجب عدمها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يجوّز عدم مخالفتهما ، ويوجّه عدم حكمهما بالحيضية في صورة الانغماس باتّكالهما على فرض انحصار الاشتباه بين الدمين خاصة ، فإذا تميّز دم العذرة بمميّزه ، فيرتفع الإشكال في الحكم بالحيضية مع عدمه بحكم الفرض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إنّما يتأتّى في غير كلام المعتبر ، وأمّا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فلتصريحه بالتوقّف في الحكم بالحيضية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ظاهر إطلاق إحدى الصحيحتين </w:t>
      </w:r>
      <w:r>
        <w:rPr>
          <w:rStyle w:val="FootnoteAnchor"/>
          <w:rtl w:val="true"/>
        </w:rPr>
        <w:footnoteReference w:id="2060"/>
      </w:r>
      <w:r>
        <w:rPr>
          <w:rFonts w:ascii="Amiri" w:hAnsi="Amiri" w:eastAsia="Amiri" w:cs="Amiri"/>
          <w:color w:val="111111"/>
          <w:sz w:val="28"/>
          <w:sz w:val="28"/>
          <w:szCs w:val="28"/>
          <w:rtl w:val="true"/>
          <w:lang w:bidi="ar-SA"/>
        </w:rPr>
        <w:t xml:space="preserve">كفاية وضع القطنة وإخراجها بأيّ نحو اتّفق ، ولكن الأخرى </w:t>
      </w:r>
      <w:r>
        <w:rPr>
          <w:rStyle w:val="FootnoteAnchor"/>
          <w:rtl w:val="true"/>
        </w:rPr>
        <w:footnoteReference w:id="2061"/>
      </w:r>
      <w:r>
        <w:rPr>
          <w:rFonts w:ascii="Amiri" w:hAnsi="Amiri" w:eastAsia="Amiri" w:cs="Amiri"/>
          <w:color w:val="111111"/>
          <w:sz w:val="28"/>
          <w:sz w:val="28"/>
          <w:szCs w:val="28"/>
          <w:rtl w:val="true"/>
          <w:lang w:bidi="ar-SA"/>
        </w:rPr>
        <w:t>قيّدته بالوضع والصبر هنيئة ثمَّ إخراجها هنيئة ، والعمل بها أحسن لتقييدها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بعضهم </w:t>
      </w:r>
      <w:r>
        <w:rPr>
          <w:rStyle w:val="FootnoteAnchor"/>
          <w:rtl w:val="true"/>
        </w:rPr>
        <w:footnoteReference w:id="2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اعتبار الاستلقاء في رفع الرجلين وإدخال الإصبع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نعثر على حجة له وإن نسبه إلى الأخبار ، ولعلّ نظره إلى أخبار القرحة </w:t>
      </w:r>
      <w:r>
        <w:rPr>
          <w:rStyle w:val="FootnoteAnchor"/>
          <w:rtl w:val="true"/>
        </w:rPr>
        <w:footnoteReference w:id="2063"/>
      </w:r>
      <w:r>
        <w:rPr>
          <w:rFonts w:ascii="IRNazanin" w:hAnsi="IRNazanin" w:eastAsia="IRNazanin"/>
          <w:color w:val="111111"/>
          <w:sz w:val="28"/>
          <w:sz w:val="28"/>
          <w:szCs w:val="28"/>
          <w:rtl w:val="true"/>
          <w:lang w:bidi="fa-IR"/>
        </w:rPr>
        <w:t>، واللّه اعلم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عن الأيسر ، وهو معتبر عند الاشتباه مع دم القرحة فيحكم </w:t>
      </w:r>
    </w:p>
    <w:p>
      <w:pPr>
        <w:pStyle w:val="BookText"/>
        <w:rPr/>
      </w:pPr>
      <w:r>
        <w:rPr>
          <w:rFonts w:ascii="Amiri" w:hAnsi="Amiri" w:eastAsia="Amiri" w:cs="Amiri"/>
          <w:color w:val="111111"/>
          <w:sz w:val="28"/>
          <w:sz w:val="28"/>
          <w:szCs w:val="28"/>
          <w:rtl w:val="true"/>
          <w:lang w:bidi="ar-SA"/>
        </w:rPr>
        <w:t>بالحيضية معه وبالقرحة مع الخروج عن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للفقيه ، ونهاية الإحكام ، والسرائر ، والبيان ، والقواعد ، والإرشاد ، والتذكرة </w:t>
      </w:r>
      <w:r>
        <w:rPr>
          <w:rStyle w:val="FootnoteAnchor"/>
          <w:rtl w:val="true"/>
        </w:rPr>
        <w:footnoteReference w:id="2064"/>
      </w:r>
      <w:r>
        <w:rPr>
          <w:rFonts w:ascii="Amiri" w:hAnsi="Amiri" w:eastAsia="Amiri" w:cs="Amiri"/>
          <w:color w:val="111111"/>
          <w:sz w:val="28"/>
          <w:sz w:val="28"/>
          <w:szCs w:val="28"/>
          <w:rtl w:val="true"/>
          <w:lang w:bidi="ar-SA"/>
        </w:rPr>
        <w:t xml:space="preserve">، وعن المقنع ، والمقنعة ، والمبسوط ، والمهذب </w:t>
      </w:r>
      <w:r>
        <w:rPr>
          <w:rStyle w:val="FootnoteAnchor"/>
          <w:rtl w:val="true"/>
        </w:rPr>
        <w:footnoteReference w:id="2065"/>
      </w:r>
      <w:r>
        <w:rPr>
          <w:rFonts w:ascii="Amiri" w:hAnsi="Amiri" w:eastAsia="Amiri" w:cs="Amiri"/>
          <w:color w:val="111111"/>
          <w:sz w:val="28"/>
          <w:sz w:val="28"/>
          <w:szCs w:val="28"/>
          <w:rtl w:val="true"/>
          <w:lang w:bidi="ar-SA"/>
        </w:rPr>
        <w:t xml:space="preserve">، والإصباح ، والوسيلة ، والجامع ، والنهاية </w:t>
      </w:r>
      <w:r>
        <w:rPr>
          <w:rStyle w:val="FootnoteAnchor"/>
          <w:rtl w:val="true"/>
        </w:rPr>
        <w:footnoteReference w:id="2066"/>
      </w:r>
      <w:r>
        <w:rPr>
          <w:rFonts w:ascii="Amiri" w:hAnsi="Amiri" w:eastAsia="Amiri" w:cs="Amiri"/>
          <w:color w:val="111111"/>
          <w:sz w:val="28"/>
          <w:sz w:val="28"/>
          <w:szCs w:val="28"/>
          <w:rtl w:val="true"/>
          <w:lang w:bidi="ar-SA"/>
        </w:rPr>
        <w:t xml:space="preserve">، والتلخيص ، بل الأكثر ، كما ذكره في التذكرة </w:t>
      </w:r>
      <w:r>
        <w:rPr>
          <w:rStyle w:val="FootnoteAnchor"/>
          <w:rtl w:val="true"/>
        </w:rPr>
        <w:footnoteReference w:id="2067"/>
      </w:r>
      <w:r>
        <w:rPr>
          <w:rFonts w:ascii="IRNazanin" w:hAnsi="IRNazanin" w:eastAsia="IRNazanin"/>
          <w:color w:val="111111"/>
          <w:sz w:val="28"/>
          <w:sz w:val="28"/>
          <w:szCs w:val="28"/>
          <w:rtl w:val="true"/>
          <w:lang w:bidi="fa-IR"/>
        </w:rPr>
        <w:t xml:space="preserve">، وجمع ممّن تأخر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لمرفوعة أبان ، المروية في التهذيب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مرها فلتستلق على ظهرها ، ثمَّ ترفع رجليها ، ثمَّ تستدخل إصبعها الوسطى ، فإن خرج الدم من الجانب الأيسر فهو من الحيض ، وإن خرج من الجانب الأيمن فهو من القرحة </w:t>
      </w:r>
      <w:r>
        <w:rPr>
          <w:rFonts w:eastAsia="Amiri" w:cs="Amiri" w:ascii="Amiri" w:hAnsi="Amiri"/>
          <w:color w:val="111111"/>
          <w:sz w:val="28"/>
          <w:szCs w:val="28"/>
          <w:rtl w:val="true"/>
          <w:lang w:bidi="ar-SA"/>
        </w:rPr>
        <w:t xml:space="preserve">»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اشتبه عليها الحيض ودم القرحة فربما كان في فرجها قرحة ، فعليها أن تستلقي على قفاها وتدخل إصبعها ، فإن خرج الدم من الجانب الأيمن فهو من القرحة ، وإن خرج من الجانب الأيسر فهو من الحيض </w:t>
      </w:r>
      <w:r>
        <w:rPr>
          <w:rFonts w:eastAsia="Amiri" w:cs="Amiri" w:ascii="Amiri" w:hAnsi="Amiri"/>
          <w:color w:val="111111"/>
          <w:sz w:val="28"/>
          <w:szCs w:val="28"/>
          <w:rtl w:val="true"/>
          <w:lang w:bidi="ar-SA"/>
        </w:rPr>
        <w:t xml:space="preserve">»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ينجبر ضعفهما ، كما أنّ الأخيرة بها وبالأحدثية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المرجّحات المنصوصة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تترجّح على مرفوعة أبان ، المروية في الكافي </w:t>
      </w:r>
      <w:r>
        <w:rPr>
          <w:rStyle w:val="FootnoteAnchor"/>
          <w:rtl w:val="true"/>
        </w:rPr>
        <w:footnoteReference w:id="2071"/>
      </w:r>
      <w:r>
        <w:rPr>
          <w:rFonts w:ascii="Amiri" w:hAnsi="Amiri" w:eastAsia="Amiri" w:cs="Amiri"/>
          <w:color w:val="111111"/>
          <w:sz w:val="28"/>
          <w:sz w:val="28"/>
          <w:szCs w:val="28"/>
          <w:rtl w:val="true"/>
          <w:lang w:bidi="ar-SA"/>
        </w:rPr>
        <w:t xml:space="preserve">بالعكس ، إن قلنا بتعدد روايتي الكافي والتهذيب أو باتّحادهما مع سقوط نسخة التهذيب بترجيح الكافي عليها بأضبطيته وأقدميته أو باضطراب نسخه حيث إنّه نقل عن ابن طاوس توافق نسخ التهذيب القديمة للكافي </w:t>
      </w:r>
      <w:r>
        <w:rPr>
          <w:rStyle w:val="FootnoteAnchor"/>
          <w:rtl w:val="true"/>
        </w:rPr>
        <w:footnoteReference w:id="2072"/>
      </w:r>
      <w:r>
        <w:rPr>
          <w:rFonts w:ascii="Amiri" w:hAnsi="Amiri" w:eastAsia="Amiri" w:cs="Amiri"/>
          <w:color w:val="111111"/>
          <w:sz w:val="28"/>
          <w:sz w:val="28"/>
          <w:szCs w:val="28"/>
          <w:rtl w:val="true"/>
          <w:lang w:bidi="ar-SA"/>
        </w:rPr>
        <w:t xml:space="preserve">، وعن الذكرى </w:t>
      </w:r>
    </w:p>
    <w:p>
      <w:pPr>
        <w:pStyle w:val="BookText"/>
        <w:rPr/>
      </w:pPr>
      <w:r>
        <w:rPr>
          <w:rFonts w:ascii="Amiri" w:hAnsi="Amiri" w:eastAsia="Amiri" w:cs="Amiri"/>
          <w:color w:val="111111"/>
          <w:sz w:val="28"/>
          <w:sz w:val="28"/>
          <w:szCs w:val="28"/>
          <w:rtl w:val="true"/>
          <w:lang w:bidi="ar-SA"/>
        </w:rPr>
        <w:t xml:space="preserve">موافقة كثير من نسخه له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إن قلنا باتّحادهما وترجيح نسخة التهذيب بموافقتها الشهرة ، ومطابقتها لعبارة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متون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وفتوى المفيد ، وشهادة بعض النسوة المتديّنة بذلك ، كما ذكره بعض مشايخنا </w:t>
      </w:r>
      <w:r>
        <w:rPr>
          <w:rStyle w:val="FootnoteAnchor"/>
          <w:rtl w:val="true"/>
        </w:rPr>
        <w:footnoteReference w:id="2074"/>
      </w:r>
      <w:r>
        <w:rPr>
          <w:rFonts w:ascii="Amiri" w:hAnsi="Amiri" w:eastAsia="Amiri" w:cs="Amiri"/>
          <w:color w:val="111111"/>
          <w:sz w:val="28"/>
          <w:sz w:val="28"/>
          <w:szCs w:val="28"/>
          <w:rtl w:val="true"/>
          <w:lang w:bidi="ar-SA"/>
        </w:rPr>
        <w:t>، أو بتكافئهما ، فلا يكون للأخيرة المنجبرة معارض ، لسقوط نسخة الكافي ، إمّا بالمرجوحية ، أو بالتكافؤ ، وبقاء الأخيرة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وخلافا للكليني </w:t>
      </w:r>
      <w:r>
        <w:rPr>
          <w:rStyle w:val="FootnoteAnchor"/>
          <w:rtl w:val="true"/>
        </w:rPr>
        <w:footnoteReference w:id="2075"/>
      </w:r>
      <w:r>
        <w:rPr>
          <w:rFonts w:ascii="Amiri" w:hAnsi="Amiri" w:eastAsia="Amiri" w:cs="Amiri"/>
          <w:color w:val="111111"/>
          <w:sz w:val="28"/>
          <w:sz w:val="28"/>
          <w:szCs w:val="28"/>
          <w:rtl w:val="true"/>
          <w:lang w:bidi="ar-SA"/>
        </w:rPr>
        <w:t xml:space="preserve">، والمحكي عن الإسكافي </w:t>
      </w:r>
      <w:r>
        <w:rPr>
          <w:rStyle w:val="FootnoteAnchor"/>
          <w:rtl w:val="true"/>
        </w:rPr>
        <w:footnoteReference w:id="2076"/>
      </w:r>
      <w:r>
        <w:rPr>
          <w:rFonts w:ascii="IRNazanin" w:hAnsi="IRNazanin" w:eastAsia="IRNazanin"/>
          <w:color w:val="111111"/>
          <w:sz w:val="28"/>
          <w:sz w:val="28"/>
          <w:szCs w:val="28"/>
          <w:rtl w:val="true"/>
          <w:lang w:bidi="fa-IR"/>
        </w:rPr>
        <w:t xml:space="preserve">، والبشرى </w:t>
      </w:r>
      <w:r>
        <w:rPr>
          <w:rStyle w:val="FootnoteAnchor"/>
          <w:rtl w:val="true"/>
        </w:rPr>
        <w:footnoteReference w:id="2077"/>
      </w:r>
      <w:r>
        <w:rPr>
          <w:rFonts w:ascii="Amiri" w:hAnsi="Amiri" w:eastAsia="Amiri" w:cs="Amiri"/>
          <w:color w:val="111111"/>
          <w:sz w:val="28"/>
          <w:sz w:val="28"/>
          <w:szCs w:val="28"/>
          <w:rtl w:val="true"/>
          <w:lang w:bidi="ar-SA"/>
        </w:rPr>
        <w:t xml:space="preserve">، والذكرى ، والدروس </w:t>
      </w:r>
      <w:r>
        <w:rPr>
          <w:rStyle w:val="FootnoteAnchor"/>
          <w:rtl w:val="true"/>
        </w:rPr>
        <w:footnoteReference w:id="2078"/>
      </w:r>
      <w:r>
        <w:rPr>
          <w:rFonts w:ascii="Amiri" w:hAnsi="Amiri" w:eastAsia="Amiri" w:cs="Amiri"/>
          <w:color w:val="111111"/>
          <w:sz w:val="28"/>
          <w:sz w:val="28"/>
          <w:szCs w:val="28"/>
          <w:rtl w:val="true"/>
          <w:lang w:bidi="ar-SA"/>
        </w:rPr>
        <w:t>، فعكسوا ، لمرفوعة الكافي وترجيحها على ما في التهذيب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سلّم ترجيحها عليه فلا نسلّم ترجيحها على الرضوي ، بل الرجحان له كما عرفت</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وللمعتبر وظاهر المنتهى </w:t>
      </w:r>
      <w:r>
        <w:rPr>
          <w:rStyle w:val="FootnoteAnchor"/>
          <w:rtl w:val="true"/>
        </w:rPr>
        <w:footnoteReference w:id="2079"/>
      </w:r>
      <w:r>
        <w:rPr>
          <w:rFonts w:ascii="Amiri" w:hAnsi="Amiri" w:eastAsia="Amiri" w:cs="Amiri"/>
          <w:color w:val="111111"/>
          <w:sz w:val="28"/>
          <w:sz w:val="28"/>
          <w:szCs w:val="28"/>
          <w:rtl w:val="true"/>
          <w:lang w:bidi="ar-SA"/>
        </w:rPr>
        <w:t xml:space="preserve">، والمقدس الأردبيلي </w:t>
      </w:r>
      <w:r>
        <w:rPr>
          <w:rStyle w:val="FootnoteAnchor"/>
          <w:rtl w:val="true"/>
        </w:rPr>
        <w:footnoteReference w:id="2080"/>
      </w:r>
      <w:r>
        <w:rPr>
          <w:rFonts w:ascii="Amiri" w:hAnsi="Amiri" w:eastAsia="Amiri" w:cs="Amiri"/>
          <w:color w:val="111111"/>
          <w:sz w:val="28"/>
          <w:sz w:val="28"/>
          <w:szCs w:val="28"/>
          <w:rtl w:val="true"/>
          <w:lang w:bidi="ar-SA"/>
        </w:rPr>
        <w:t xml:space="preserve">، والمدارك </w:t>
      </w:r>
      <w:r>
        <w:rPr>
          <w:rStyle w:val="FootnoteAnchor"/>
          <w:rtl w:val="true"/>
        </w:rPr>
        <w:footnoteReference w:id="2081"/>
      </w:r>
      <w:r>
        <w:rPr>
          <w:rFonts w:ascii="Amiri" w:hAnsi="Amiri" w:eastAsia="Amiri" w:cs="Amiri"/>
          <w:color w:val="111111"/>
          <w:sz w:val="28"/>
          <w:sz w:val="28"/>
          <w:szCs w:val="28"/>
          <w:rtl w:val="true"/>
          <w:lang w:bidi="ar-SA"/>
        </w:rPr>
        <w:t xml:space="preserve">، ووالدي العلاّمة ، وجمع آخر من متأخّري المتأخّرين </w:t>
      </w:r>
      <w:r>
        <w:rPr>
          <w:rStyle w:val="FootnoteAnchor"/>
          <w:rtl w:val="true"/>
        </w:rPr>
        <w:footnoteReference w:id="2082"/>
      </w:r>
      <w:r>
        <w:rPr>
          <w:rFonts w:ascii="Amiri" w:hAnsi="Amiri" w:eastAsia="Amiri" w:cs="Amiri"/>
          <w:color w:val="111111"/>
          <w:sz w:val="28"/>
          <w:sz w:val="28"/>
          <w:szCs w:val="28"/>
          <w:rtl w:val="true"/>
          <w:lang w:bidi="ar-SA"/>
        </w:rPr>
        <w:t>، بل نسبه والدي إلى أكثر المتأخّرين ، فلم يعتبروا الجانب بالمرّة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لاضطراب متن الحديث واختلافه ، مع ترجيح كلّ من الروايتين بوجه كما مرّ ، ومخالفة اعتبار الجانب للاعتبار ، إذ القرحة تكون في كلّ من الجانبين والحيض محله الرحم ، وهي ليست في الأيسر ، وفساد توهّم كون وضع الرحم بحيث يستلزم خروج الحيض من الأيسر ودم القرحة من الأيمن عند الاستلقاء ، على أنّ النسوان لا يدركن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امرأة رأيناها وسألناها اعترفت بعدم إدراك الجانب للخروج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غاية ما في الباب سقوط الروايتين بالاضطراب ، وبقاء الرضوي خاليا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ومخالفة الاعتبار بعد شهادة النص غير مسموعة ، فإنّ الشرعيات 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أقلّ من ثلاثة أيام ولا أكثر من عشرة ، بالإجماعين في الموضعين ، وهو الحجة فيهما ، مضافا إلى المعتبرة كالصحاح الثلاث لبني عمار ويقطين ويحيى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أقلّ ما يكون الحيض ثلاثة أيام وأكثر ما يكون عشرة أيام </w:t>
      </w:r>
      <w:r>
        <w:rPr>
          <w:rFonts w:eastAsia="Amiri" w:cs="Amiri" w:ascii="Amiri" w:hAnsi="Amiri"/>
          <w:color w:val="111111"/>
          <w:sz w:val="28"/>
          <w:szCs w:val="28"/>
          <w:rtl w:val="true"/>
          <w:lang w:bidi="ar-SA"/>
        </w:rPr>
        <w:t xml:space="preserve">»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أدنى الحيض ثلاثة وأقصاه عشرة </w:t>
      </w:r>
      <w:r>
        <w:rPr>
          <w:rFonts w:eastAsia="Amiri" w:cs="Amiri" w:ascii="Amiri" w:hAnsi="Amiri"/>
          <w:color w:val="111111"/>
          <w:sz w:val="28"/>
          <w:szCs w:val="28"/>
          <w:rtl w:val="true"/>
          <w:lang w:bidi="ar-SA"/>
        </w:rPr>
        <w:t xml:space="preserve">»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أدناه ثلاثة وأبعده عشرة </w:t>
      </w:r>
      <w:r>
        <w:rPr>
          <w:rFonts w:eastAsia="Amiri" w:cs="Amiri" w:ascii="Amiri" w:hAnsi="Amiri"/>
          <w:color w:val="111111"/>
          <w:sz w:val="28"/>
          <w:szCs w:val="28"/>
          <w:rtl w:val="true"/>
          <w:lang w:bidi="ar-SA"/>
        </w:rPr>
        <w:t xml:space="preserve">» </w:t>
      </w:r>
      <w:r>
        <w:rPr>
          <w:rStyle w:val="FootnoteAnchor"/>
          <w:rtl w:val="true"/>
        </w:rPr>
        <w:footnoteReference w:id="2085"/>
      </w:r>
      <w:r>
        <w:rPr>
          <w:rFonts w:ascii="Amiri" w:hAnsi="Amiri" w:eastAsia="Amiri" w:cs="Amiri"/>
          <w:color w:val="111111"/>
          <w:sz w:val="28"/>
          <w:sz w:val="28"/>
          <w:szCs w:val="28"/>
          <w:rtl w:val="true"/>
          <w:lang w:bidi="ar-SA"/>
        </w:rPr>
        <w:t>وغيرها من الأخبار المتكثرة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ابن سنان المخالفة للثاني ظاهرا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 ما يكون الحيض ثمان وأدنى ما يكون ثلاثة </w:t>
      </w:r>
      <w:r>
        <w:rPr>
          <w:rFonts w:eastAsia="Amiri" w:cs="Amiri" w:ascii="Amiri" w:hAnsi="Amiri"/>
          <w:color w:val="111111"/>
          <w:sz w:val="28"/>
          <w:szCs w:val="28"/>
          <w:rtl w:val="true"/>
          <w:lang w:bidi="ar-SA"/>
        </w:rPr>
        <w:t xml:space="preserve">» </w:t>
      </w:r>
      <w:r>
        <w:rPr>
          <w:rStyle w:val="FootnoteAnchor"/>
          <w:rtl w:val="true"/>
        </w:rPr>
        <w:footnoteReference w:id="2086"/>
      </w:r>
      <w:r>
        <w:rPr>
          <w:rFonts w:ascii="Amiri" w:hAnsi="Amiri" w:eastAsia="Amiri" w:cs="Amiri"/>
          <w:color w:val="111111"/>
          <w:sz w:val="28"/>
          <w:sz w:val="28"/>
          <w:szCs w:val="28"/>
          <w:rtl w:val="true"/>
          <w:lang w:bidi="ar-SA"/>
        </w:rPr>
        <w:t>شاذة غير صالحة للحجية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إرادة أكثر العادات كما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الواقع ممكنة ، بل لإرادة أكثر الحيض مساوية ، ولا يمكن إرادة ذلك في أكثرية العشرة وأقلية الثلاثة ، لأنّه ليس كذلك قطعا ، كما أنّ المشاهدة به 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اشتراط التوالي في الثلاثة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بكونها في جملة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للمحكي عن الصدوقين في الرسالة ، والهداية </w:t>
      </w:r>
      <w:r>
        <w:rPr>
          <w:rStyle w:val="FootnoteAnchor"/>
          <w:rtl w:val="true"/>
        </w:rPr>
        <w:footnoteReference w:id="2087"/>
      </w:r>
      <w:r>
        <w:rPr>
          <w:rFonts w:ascii="Amiri" w:hAnsi="Amiri" w:eastAsia="Amiri" w:cs="Amiri"/>
          <w:color w:val="111111"/>
          <w:sz w:val="28"/>
          <w:sz w:val="28"/>
          <w:szCs w:val="28"/>
          <w:rtl w:val="true"/>
          <w:lang w:bidi="ar-SA"/>
        </w:rPr>
        <w:t xml:space="preserve">، والإسكافي </w:t>
      </w:r>
      <w:r>
        <w:rPr>
          <w:rStyle w:val="FootnoteAnchor"/>
          <w:rtl w:val="true"/>
        </w:rPr>
        <w:footnoteReference w:id="2088"/>
      </w:r>
      <w:r>
        <w:rPr>
          <w:rFonts w:ascii="IRNazanin" w:hAnsi="IRNazanin" w:eastAsia="IRNazanin"/>
          <w:color w:val="111111"/>
          <w:sz w:val="28"/>
          <w:sz w:val="28"/>
          <w:szCs w:val="28"/>
          <w:rtl w:val="true"/>
          <w:lang w:bidi="fa-IR"/>
        </w:rPr>
        <w:t xml:space="preserve">، والجمل ، والمبسوط </w:t>
      </w:r>
      <w:r>
        <w:rPr>
          <w:rStyle w:val="FootnoteAnchor"/>
          <w:rtl w:val="true"/>
        </w:rPr>
        <w:footnoteReference w:id="2089"/>
      </w:r>
      <w:r>
        <w:rPr>
          <w:rFonts w:ascii="Amiri" w:hAnsi="Amiri" w:eastAsia="Amiri" w:cs="Amiri"/>
          <w:color w:val="111111"/>
          <w:sz w:val="28"/>
          <w:sz w:val="28"/>
          <w:szCs w:val="28"/>
          <w:rtl w:val="true"/>
          <w:lang w:bidi="ar-SA"/>
        </w:rPr>
        <w:t xml:space="preserve">، والسيد </w:t>
      </w:r>
      <w:r>
        <w:rPr>
          <w:rStyle w:val="FootnoteAnchor"/>
          <w:rtl w:val="true"/>
        </w:rPr>
        <w:footnoteReference w:id="2090"/>
      </w:r>
      <w:r>
        <w:rPr>
          <w:rFonts w:ascii="Amiri" w:hAnsi="Amiri" w:eastAsia="Amiri" w:cs="Amiri"/>
          <w:color w:val="111111"/>
          <w:sz w:val="28"/>
          <w:sz w:val="28"/>
          <w:szCs w:val="28"/>
          <w:rtl w:val="true"/>
          <w:lang w:bidi="ar-SA"/>
        </w:rPr>
        <w:t xml:space="preserve">، وابني حمزة وإدريس </w:t>
      </w:r>
      <w:r>
        <w:rPr>
          <w:rStyle w:val="FootnoteAnchor"/>
          <w:rtl w:val="true"/>
        </w:rPr>
        <w:footnoteReference w:id="2091"/>
      </w:r>
      <w:r>
        <w:rPr>
          <w:rFonts w:ascii="Amiri" w:hAnsi="Amiri" w:eastAsia="Amiri" w:cs="Amiri"/>
          <w:color w:val="111111"/>
          <w:sz w:val="28"/>
          <w:sz w:val="28"/>
          <w:szCs w:val="28"/>
          <w:rtl w:val="true"/>
          <w:lang w:bidi="ar-SA"/>
        </w:rPr>
        <w:t xml:space="preserve">، والمعتبر ، والمنتهى ، والقواعد ، والبيان </w:t>
      </w:r>
      <w:r>
        <w:rPr>
          <w:rStyle w:val="FootnoteAnchor"/>
          <w:rtl w:val="true"/>
        </w:rPr>
        <w:footnoteReference w:id="2092"/>
      </w:r>
      <w:r>
        <w:rPr>
          <w:rFonts w:ascii="Amiri" w:hAnsi="Amiri" w:eastAsia="Amiri" w:cs="Amiri"/>
          <w:color w:val="111111"/>
          <w:sz w:val="28"/>
          <w:sz w:val="28"/>
          <w:szCs w:val="28"/>
          <w:rtl w:val="true"/>
          <w:lang w:bidi="ar-SA"/>
        </w:rPr>
        <w:t xml:space="preserve">، والمحقّق الثاني ناسبا له إلى أكثر الأصحاب </w:t>
      </w:r>
      <w:r>
        <w:rPr>
          <w:rStyle w:val="FootnoteAnchor"/>
          <w:rtl w:val="true"/>
        </w:rPr>
        <w:footnoteReference w:id="2093"/>
      </w:r>
      <w:r>
        <w:rPr>
          <w:rFonts w:ascii="Amiri" w:hAnsi="Amiri" w:eastAsia="Amiri" w:cs="Amiri"/>
          <w:color w:val="111111"/>
          <w:sz w:val="28"/>
          <w:sz w:val="28"/>
          <w:szCs w:val="28"/>
          <w:rtl w:val="true"/>
          <w:lang w:bidi="ar-SA"/>
        </w:rPr>
        <w:t xml:space="preserve">كجماعة من المتأخّرين </w:t>
      </w:r>
      <w:r>
        <w:rPr>
          <w:rStyle w:val="FootnoteAnchor"/>
          <w:rtl w:val="true"/>
        </w:rPr>
        <w:footnoteReference w:id="2094"/>
      </w:r>
      <w:r>
        <w:rPr>
          <w:rFonts w:ascii="Amiri" w:hAnsi="Amiri" w:eastAsia="Amiri" w:cs="Amiri"/>
          <w:color w:val="111111"/>
          <w:sz w:val="28"/>
          <w:sz w:val="28"/>
          <w:szCs w:val="28"/>
          <w:rtl w:val="true"/>
          <w:lang w:bidi="ar-SA"/>
        </w:rPr>
        <w:t xml:space="preserve">بل نسبه بعضهم إلى الشهرة العظيمة </w:t>
      </w:r>
      <w:r>
        <w:rPr>
          <w:rStyle w:val="FootnoteAnchor"/>
          <w:rtl w:val="true"/>
        </w:rPr>
        <w:footnoteReference w:id="2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واستقرب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للرضوي الصريح المنجبر ضعفه بالشهرتين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رأت يوما أو يومين فليس ذلك من الحيض ما لم تر ثلاثة أيام متواليات </w:t>
      </w:r>
      <w:r>
        <w:rPr>
          <w:rFonts w:eastAsia="Amiri" w:cs="Amiri" w:ascii="Amiri" w:hAnsi="Amiri"/>
          <w:color w:val="111111"/>
          <w:sz w:val="28"/>
          <w:szCs w:val="28"/>
          <w:rtl w:val="true"/>
          <w:lang w:bidi="ar-SA"/>
        </w:rPr>
        <w:t xml:space="preserve">» </w:t>
      </w:r>
      <w:r>
        <w:rPr>
          <w:rStyle w:val="FootnoteAnchor"/>
          <w:rtl w:val="true"/>
        </w:rPr>
        <w:footnoteReference w:id="2096"/>
      </w:r>
      <w:r>
        <w:rPr>
          <w:rFonts w:ascii="IRNazanin" w:hAnsi="IRNazanin" w:eastAsia="IRNazanin"/>
          <w:color w:val="111111"/>
          <w:sz w:val="28"/>
          <w:sz w:val="28"/>
          <w:szCs w:val="28"/>
          <w:rtl w:val="true"/>
          <w:lang w:bidi="fa-IR"/>
        </w:rPr>
        <w:t>مضافا إلى استصحاب عدم الحدث</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والإيراد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خرج مخرج الغالب دون الكلّي ، وإلاّ لكان منافيا لقوله عليه السلام قبل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رأت الدم بعد اغتسالها من الحيض قبل استكمال عشرة أيام بيض فهو ما بقي من الحيضة الأولى </w:t>
      </w:r>
      <w:r>
        <w:rPr>
          <w:rFonts w:eastAsia="Amiri" w:cs="Amiri" w:ascii="Amiri" w:hAnsi="Amiri"/>
          <w:color w:val="111111"/>
          <w:sz w:val="28"/>
          <w:szCs w:val="28"/>
          <w:rtl w:val="true"/>
          <w:lang w:bidi="ar-SA"/>
        </w:rPr>
        <w:t xml:space="preserve">» </w:t>
      </w:r>
      <w:r>
        <w:rPr>
          <w:rStyle w:val="FootnoteAnchor"/>
          <w:rtl w:val="true"/>
        </w:rPr>
        <w:footnoteReference w:id="2097"/>
      </w:r>
      <w:r>
        <w:rPr>
          <w:rFonts w:ascii="Amiri" w:hAnsi="Amiri" w:eastAsia="Amiri" w:cs="Amiri"/>
          <w:color w:val="111111"/>
          <w:sz w:val="28"/>
          <w:sz w:val="28"/>
          <w:szCs w:val="28"/>
          <w:rtl w:val="true"/>
          <w:lang w:bidi="ar-SA"/>
        </w:rPr>
        <w:t xml:space="preserve">مندفع بعدم منافاة </w:t>
      </w:r>
    </w:p>
    <w:p>
      <w:pPr>
        <w:pStyle w:val="BookText"/>
        <w:rPr/>
      </w:pPr>
      <w:r>
        <w:rPr>
          <w:rFonts w:ascii="Amiri" w:hAnsi="Amiri" w:eastAsia="Amiri" w:cs="Amiri"/>
          <w:color w:val="111111"/>
          <w:sz w:val="28"/>
          <w:sz w:val="28"/>
          <w:szCs w:val="28"/>
          <w:rtl w:val="true"/>
          <w:lang w:bidi="ar-SA"/>
        </w:rPr>
        <w:t>قوله السابق له إلاّ بالإطلاق ، وهو لا ينافي إرادة الكلية من قوله اللاحق ، لوجوب تقييد السابق باللاحق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بعمومات التكليف بالعبادة ، فلا يخرج منها إلاّ ما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وبأصالة عدم تعلّق أحكام الحائض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وبثبوت العبادة في الذمة باليقين فلا يسقط إلاّ مع اليقين بالمسقط ، ولا يقين حين فقد التوالي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وبتبادره من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الحيض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 منظور فيه ، لا لما أورد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العمومات مخصّصة قطعا بما دلّ على حرمة العبادة على الحائض ، فهي أيضا مخصوصة بغير الحائض ، ولا يدري أنّ تلك المرأة داخلة في العمومات أو الخصوصات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معارض بأصالة عدم التكليف بالعبادات المشروطة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ثبوتها في الذمة ، فإنّه أول الكلام ، بل مقتضى الأصل عدم التعلّق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تمَّ في الثلاثة ، لزم مثله في العشرة ، لاشتراكهما في الإطلاق في أخبار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نجيب عما أورد على الأول بأنّ تخصيص العمومات إنّما هو بالحائض المعلوم حيضها إجماعا ، بل هي المراد من الحائض قطعا ، لأنّ الألفاظ وإن كانت أسامي للمعاني النفس الأمرية إلاّ أنّها مقيّدة بالعلم هنا إجماعا ، بل في مطلق مقامات التكاليف</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وعمّا أورد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لو كانت حائضا ، لحرمت عليها العبادات المشروطة بالطهارة أيضا لأجل أنّها حائض ، وهذا أيضا تكليف بترك العبادة من </w:t>
      </w:r>
    </w:p>
    <w:p>
      <w:pPr>
        <w:pStyle w:val="BookText"/>
        <w:rPr/>
      </w:pPr>
      <w:r>
        <w:rPr>
          <w:rFonts w:ascii="Amiri" w:hAnsi="Amiri" w:eastAsia="Amiri" w:cs="Amiri"/>
          <w:color w:val="111111"/>
          <w:sz w:val="28"/>
          <w:sz w:val="28"/>
          <w:szCs w:val="28"/>
          <w:rtl w:val="true"/>
          <w:lang w:bidi="ar-SA"/>
        </w:rPr>
        <w:t>هذه الجهة ، والأصل عدمه ، فالتكليف بالعبادة متحقّق إمّا بالفعل أو الترك ، والأصل عدم كلّ منهما ، فيتعارضان ، وتبقى أصالة عدم تعلّق أحكام الحائض كحرمة الوطء والمنع عن المسجد والعزائم ونحو ذلك خالية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وعمّا أورد 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للمستدلّ أن يتمسّك بالاستصحاب في صورة رؤيتها الدم بعد دخول الوقت ومضيّ مقدار الطهارة والصلاة ، وإلحاق غيرها بعدم القائل بالفرق ، إلاّ أن يعارض ذلك بصورة رؤيتها الدم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وعمّا أورد على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خروج العشرة بالإجماع أو دليل آخر عن معناه المتبادر لا يوجب خروج غيرها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يقولون باشتراط التوالي في العشرة أيضا ، ولا يجعلون النقاء المتخلّل في العشرة طهرا ، غاية الأمر أنّه لا يلزم عندهم في العشرة المتوالية رؤية الدم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لاندفاع الثلاثة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ذات العادة يجب عليها ترك العبادة بمجرد رؤية الدم ، وهكذا المبتدأة بالمعنى الأعم عند جماعة </w:t>
      </w:r>
      <w:r>
        <w:rPr>
          <w:rStyle w:val="FootnoteAnchor"/>
          <w:rtl w:val="true"/>
        </w:rPr>
        <w:footnoteReference w:id="2098"/>
      </w:r>
      <w:r>
        <w:rPr>
          <w:rFonts w:ascii="Amiri" w:hAnsi="Amiri" w:eastAsia="Amiri" w:cs="Amiri"/>
          <w:color w:val="111111"/>
          <w:sz w:val="28"/>
          <w:sz w:val="28"/>
          <w:szCs w:val="28"/>
          <w:rtl w:val="true"/>
          <w:lang w:bidi="ar-SA"/>
        </w:rPr>
        <w:t>، فالعمومات بهذه المرأة مخصّصة وأحكام الحائض بها متعلّقة ، والعبادات عنها ساقطة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الكلام في تعلّق القضاء بها لو لم تتوال الثلاثة ، ولا شك أنّ الأصل عدمه المستلزم للحيضية الموجبة لعدم اشتراط التوالي ، بل يكفي لو منع ذلك الحكم في غير ذات العادة أيضا ، ويسقط الاستدلال ، لأنّ بثبوت الحيضية في ذات العادة يثبت في غيرها أيضا بالإجماع المركّب ، ولا تفيد المعارضة بغير ذات العادة والتمسّك بالإجماع المركّب فيها ، إذ بتمامية المعارضة أيضا يسقط الاحتجاج بالأصول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واندفاع الرابع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التبادر ، ولذا لا يلزم التوالي على من نذر صيام ثلاثة أيام ما لم يقيّد بالتوالي</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بتوقّف تماميته على كون الثلاثة في ضمن العشرة حيضا خاصة وهو </w:t>
      </w:r>
    </w:p>
    <w:p>
      <w:pPr>
        <w:pStyle w:val="BookText"/>
        <w:rPr/>
      </w:pPr>
      <w:r>
        <w:rPr>
          <w:rFonts w:ascii="Amiri" w:hAnsi="Amiri" w:eastAsia="Amiri" w:cs="Amiri"/>
          <w:color w:val="111111"/>
          <w:sz w:val="28"/>
          <w:sz w:val="28"/>
          <w:szCs w:val="28"/>
          <w:rtl w:val="true"/>
          <w:lang w:bidi="ar-SA"/>
        </w:rPr>
        <w:t>غير معلوم ، فلا تكون الثلاثة الأقلّ إلاّ متوالية أبدا ، ويرجع النزاع إلى مجرد اشتراط التوالي في رؤية الدم في الثلاثة الأولى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اشتراط التوالي في الأقلّ المنحصر قطعي مجمع عليه ، والخلاف في صورة التجاوز عنه ، ولا يكون الحيض حينئذ ثلاثة ، بل أكثر ، ومدلول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الحيض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المنحصر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في النهاية وعن الاستبصار </w:t>
      </w:r>
      <w:r>
        <w:rPr>
          <w:rStyle w:val="FootnoteAnchor"/>
          <w:rtl w:val="true"/>
        </w:rPr>
        <w:footnoteReference w:id="2099"/>
      </w:r>
      <w:r>
        <w:rPr>
          <w:rFonts w:ascii="Amiri" w:hAnsi="Amiri" w:eastAsia="Amiri" w:cs="Amiri"/>
          <w:color w:val="111111"/>
          <w:sz w:val="28"/>
          <w:sz w:val="28"/>
          <w:szCs w:val="28"/>
          <w:rtl w:val="true"/>
          <w:lang w:bidi="ar-SA"/>
        </w:rPr>
        <w:t xml:space="preserve">، والقاضي </w:t>
      </w:r>
      <w:r>
        <w:rPr>
          <w:rStyle w:val="FootnoteAnchor"/>
          <w:rtl w:val="true"/>
        </w:rPr>
        <w:footnoteReference w:id="2100"/>
      </w:r>
      <w:r>
        <w:rPr>
          <w:rFonts w:ascii="Amiri" w:hAnsi="Amiri" w:eastAsia="Amiri" w:cs="Amiri"/>
          <w:color w:val="111111"/>
          <w:sz w:val="28"/>
          <w:sz w:val="28"/>
          <w:szCs w:val="28"/>
          <w:rtl w:val="true"/>
          <w:lang w:bidi="ar-SA"/>
        </w:rPr>
        <w:t xml:space="preserve">، وإليه ذهب جملة من متأخّري المتأخّرين ، منهم المحقّق الأردبيلي ، والفاضل الهندي </w:t>
      </w:r>
      <w:r>
        <w:rPr>
          <w:rStyle w:val="FootnoteAnchor"/>
          <w:rtl w:val="true"/>
        </w:rPr>
        <w:footnoteReference w:id="2101"/>
      </w:r>
      <w:r>
        <w:rPr>
          <w:rFonts w:ascii="Amiri" w:hAnsi="Amiri" w:eastAsia="Amiri" w:cs="Amiri"/>
          <w:color w:val="111111"/>
          <w:sz w:val="28"/>
          <w:sz w:val="28"/>
          <w:szCs w:val="28"/>
          <w:rtl w:val="true"/>
          <w:lang w:bidi="ar-SA"/>
        </w:rPr>
        <w:t xml:space="preserve">، واختاره جماعة من مشايخنا الأخباريين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لكون ما يمكن أن يكون حيضا وما يشمل على الأوصاف وما يقع في العادة حيضا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ولحسنة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رأت المرأة الدم قبل عشرة فهو من الحيضة الأولى ، وإن كان بعد العشرة فهو من الحيضة المستقبلة </w:t>
      </w:r>
      <w:r>
        <w:rPr>
          <w:rFonts w:eastAsia="Amiri" w:cs="Amiri" w:ascii="Amiri" w:hAnsi="Amiri"/>
          <w:color w:val="111111"/>
          <w:sz w:val="28"/>
          <w:szCs w:val="28"/>
          <w:rtl w:val="true"/>
          <w:lang w:bidi="ar-SA"/>
        </w:rPr>
        <w:t xml:space="preserve">» </w:t>
      </w:r>
      <w:r>
        <w:rPr>
          <w:rStyle w:val="FootnoteAnchor"/>
          <w:rtl w:val="true"/>
        </w:rPr>
        <w:footnoteReference w:id="2103"/>
      </w:r>
      <w:r>
        <w:rPr>
          <w:rFonts w:ascii="Amiri" w:hAnsi="Amiri" w:eastAsia="Amiri" w:cs="Amiri"/>
          <w:color w:val="111111"/>
          <w:sz w:val="28"/>
          <w:sz w:val="28"/>
          <w:szCs w:val="28"/>
          <w:rtl w:val="true"/>
          <w:lang w:bidi="ar-SA"/>
        </w:rPr>
        <w:t xml:space="preserve">وقريبة منها موثّقته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دلّتا على أنه متى رأت المرأة الدم بعد ما رأته أوّلا سواء كان الأول يوما أو أزيد ، فإن كان قبل العشرة فهو من الحيضة الأولى</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يونس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انقطع الدم بعد ما رأته يوما أو يومين اغتسلت وصلّت وانتظرت من يوم رأت الدم إلى عشرة أيام ، فإن رأت في تلك العشرة أيام </w:t>
      </w:r>
    </w:p>
    <w:p>
      <w:pPr>
        <w:pStyle w:val="BookText"/>
        <w:rPr/>
      </w:pPr>
      <w:r>
        <w:rPr>
          <w:rFonts w:ascii="Amiri" w:hAnsi="Amiri" w:eastAsia="Amiri" w:cs="Amiri"/>
          <w:color w:val="111111"/>
          <w:sz w:val="28"/>
          <w:sz w:val="28"/>
          <w:szCs w:val="28"/>
          <w:rtl w:val="true"/>
          <w:lang w:bidi="ar-SA"/>
        </w:rPr>
        <w:t xml:space="preserve">من يوم رأت الدم يوما أو يومين حتى تتم لها ثلاثة أيام فذلك الذي رأته في أوّل الأمر مع هذا الذي رأته بعد ذلك في العشرة فهو من الحيض </w:t>
      </w:r>
      <w:r>
        <w:rPr>
          <w:rFonts w:eastAsia="Amiri" w:cs="Amiri" w:ascii="Amiri" w:hAnsi="Amiri"/>
          <w:color w:val="111111"/>
          <w:sz w:val="28"/>
          <w:szCs w:val="28"/>
          <w:rtl w:val="true"/>
          <w:lang w:bidi="ar-SA"/>
        </w:rPr>
        <w:t xml:space="preserve">» </w:t>
      </w:r>
      <w:r>
        <w:rPr>
          <w:rStyle w:val="FootnoteAnchor"/>
          <w:rtl w:val="true"/>
        </w:rPr>
        <w:footnoteReference w:id="210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غير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دلالته على المورد بالعموم ، فيجب تخصيصه بما مرّ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حجيتها ، لمخالفتها شهرة القدماء 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سلّمت فهي معارضة للرضوي المتقدّم </w:t>
      </w:r>
      <w:r>
        <w:rPr>
          <w:rStyle w:val="FootnoteAnchor"/>
          <w:rtl w:val="true"/>
        </w:rPr>
        <w:footnoteReference w:id="2106"/>
      </w:r>
      <w:r>
        <w:rPr>
          <w:rFonts w:ascii="Amiri" w:hAnsi="Amiri" w:eastAsia="Amiri" w:cs="Amiri"/>
          <w:color w:val="111111"/>
          <w:sz w:val="28"/>
          <w:sz w:val="28"/>
          <w:szCs w:val="28"/>
          <w:rtl w:val="true"/>
          <w:lang w:bidi="ar-SA"/>
        </w:rPr>
        <w:t>والترجيح له من جهة الأحدثية ، ولو سلّم عدم الترجيح فيرجع إلى استصحاب عدم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عن الحسنة والموثّقة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ما تقدّم حيضا ما لم تتوال فيه الثلاثة ، فبدونه لا يكون حيضة حتى يكون الباقي من الحيضة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الدم المرئي بعد انقطاعه وقبل العشرة بعض من الحيضة الأولى ، أي يجب جعل المجموع حيضا واحدا أوّليّا ، وذلك لا يتوقّف على تسمية ما سبق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حكم منه عليه السلام بالحيضية والأولية معا ، لا أنّه حكم بالأولية خاصة حتى يتوقّف صدقها على ثبوت الحيضية أوّلا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القول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يجب استمرار الدم في الثلاثة بحيث متى وضعت الكرسف تلوّث ولو ضعيفا؟ كما عن المحقّق الثاني في شرح القواعد </w:t>
      </w:r>
      <w:r>
        <w:rPr>
          <w:rStyle w:val="FootnoteAnchor"/>
          <w:rtl w:val="true"/>
        </w:rPr>
        <w:footnoteReference w:id="2107"/>
      </w:r>
      <w:r>
        <w:rPr>
          <w:rFonts w:ascii="Amiri" w:hAnsi="Amiri" w:eastAsia="Amiri" w:cs="Amiri"/>
          <w:color w:val="111111"/>
          <w:sz w:val="28"/>
          <w:sz w:val="28"/>
          <w:szCs w:val="28"/>
          <w:rtl w:val="true"/>
          <w:lang w:bidi="ar-SA"/>
        </w:rPr>
        <w:t xml:space="preserve">، وابن فهد في المحرّر </w:t>
      </w:r>
      <w:r>
        <w:rPr>
          <w:rStyle w:val="FootnoteAnchor"/>
          <w:rtl w:val="true"/>
        </w:rPr>
        <w:footnoteReference w:id="2108"/>
      </w:r>
      <w:r>
        <w:rPr>
          <w:rFonts w:ascii="Amiri" w:hAnsi="Amiri" w:eastAsia="Amiri" w:cs="Amiri"/>
          <w:color w:val="111111"/>
          <w:sz w:val="28"/>
          <w:sz w:val="28"/>
          <w:szCs w:val="28"/>
          <w:rtl w:val="true"/>
          <w:lang w:bidi="ar-SA"/>
        </w:rPr>
        <w:t xml:space="preserve">، والحلبي في معطي الكافي </w:t>
      </w:r>
      <w:r>
        <w:rPr>
          <w:rStyle w:val="FootnoteAnchor"/>
          <w:rtl w:val="true"/>
        </w:rPr>
        <w:footnoteReference w:id="2109"/>
      </w:r>
      <w:r>
        <w:rPr>
          <w:rFonts w:ascii="Amiri" w:hAnsi="Amiri" w:eastAsia="Amiri" w:cs="Amiri"/>
          <w:color w:val="111111"/>
          <w:sz w:val="28"/>
          <w:sz w:val="28"/>
          <w:szCs w:val="28"/>
          <w:rtl w:val="true"/>
          <w:lang w:bidi="ar-SA"/>
        </w:rPr>
        <w:t xml:space="preserve">، والغنية </w:t>
      </w:r>
      <w:r>
        <w:rPr>
          <w:rStyle w:val="FootnoteAnchor"/>
          <w:rtl w:val="true"/>
        </w:rPr>
        <w:footnoteReference w:id="2110"/>
      </w:r>
      <w:r>
        <w:rPr>
          <w:rFonts w:ascii="Amiri" w:hAnsi="Amiri" w:eastAsia="Amiri" w:cs="Amiri"/>
          <w:color w:val="111111"/>
          <w:sz w:val="28"/>
          <w:sz w:val="28"/>
          <w:szCs w:val="28"/>
          <w:rtl w:val="true"/>
          <w:lang w:bidi="ar-SA"/>
        </w:rPr>
        <w:t xml:space="preserve">، وابن سعيد ، </w:t>
      </w:r>
    </w:p>
    <w:p>
      <w:pPr>
        <w:pStyle w:val="BookText"/>
        <w:rPr/>
      </w:pPr>
      <w:r>
        <w:rPr>
          <w:rFonts w:ascii="Amiri" w:hAnsi="Amiri" w:eastAsia="Amiri" w:cs="Amiri"/>
          <w:color w:val="111111"/>
          <w:sz w:val="28"/>
          <w:sz w:val="28"/>
          <w:szCs w:val="28"/>
          <w:rtl w:val="true"/>
          <w:lang w:bidi="ar-SA"/>
        </w:rPr>
        <w:t xml:space="preserve">نافيا عنه الخلاف </w:t>
      </w:r>
      <w:r>
        <w:rPr>
          <w:rStyle w:val="FootnoteAnchor"/>
          <w:rtl w:val="true"/>
        </w:rPr>
        <w:footnoteReference w:id="2111"/>
      </w:r>
      <w:r>
        <w:rPr>
          <w:rFonts w:ascii="Amiri" w:hAnsi="Amiri" w:eastAsia="Amiri" w:cs="Amiri"/>
          <w:color w:val="111111"/>
          <w:sz w:val="28"/>
          <w:sz w:val="28"/>
          <w:szCs w:val="28"/>
          <w:rtl w:val="true"/>
          <w:lang w:bidi="ar-SA"/>
        </w:rPr>
        <w:t xml:space="preserve">، وظاهر المبسوط أنّه مسلّم عند القائلين بالتوالي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يكفي وجوده في كلّ يوم من الثلاثة وإن لم يستوعبها؟ كما عن الروض </w:t>
      </w:r>
      <w:r>
        <w:rPr>
          <w:rStyle w:val="FootnoteAnchor"/>
          <w:rtl w:val="true"/>
        </w:rPr>
        <w:footnoteReference w:id="2113"/>
      </w:r>
      <w:r>
        <w:rPr>
          <w:rFonts w:ascii="IRNazanin" w:hAnsi="IRNazanin" w:eastAsia="IRNazanin"/>
          <w:color w:val="111111"/>
          <w:sz w:val="28"/>
          <w:sz w:val="28"/>
          <w:szCs w:val="28"/>
          <w:rtl w:val="true"/>
          <w:lang w:bidi="fa-IR"/>
        </w:rPr>
        <w:t xml:space="preserve">، وظاهر الفاضل </w:t>
      </w:r>
      <w:r>
        <w:rPr>
          <w:rStyle w:val="FootnoteAnchor"/>
          <w:rtl w:val="true"/>
        </w:rPr>
        <w:footnoteReference w:id="2114"/>
      </w:r>
      <w:r>
        <w:rPr>
          <w:rFonts w:ascii="Amiri" w:hAnsi="Amiri" w:eastAsia="Amiri" w:cs="Amiri"/>
          <w:color w:val="111111"/>
          <w:sz w:val="28"/>
          <w:sz w:val="28"/>
          <w:szCs w:val="28"/>
          <w:rtl w:val="true"/>
          <w:lang w:bidi="ar-SA"/>
        </w:rPr>
        <w:t xml:space="preserve">، واختاره في المدارك ، وعزاه إلى الأكثر </w:t>
      </w:r>
      <w:r>
        <w:rPr>
          <w:rStyle w:val="FootnoteAnchor"/>
          <w:rtl w:val="true"/>
        </w:rPr>
        <w:footnoteReference w:id="2115"/>
      </w:r>
      <w:r>
        <w:rPr>
          <w:rFonts w:ascii="Amiri" w:hAnsi="Amiri" w:eastAsia="Amiri" w:cs="Amiri"/>
          <w:color w:val="111111"/>
          <w:sz w:val="28"/>
          <w:sz w:val="28"/>
          <w:szCs w:val="28"/>
          <w:rtl w:val="true"/>
          <w:lang w:bidi="ar-SA"/>
        </w:rPr>
        <w:t xml:space="preserve">، ولكن ظاهر شرح القواعد ندرة القول به حيث نسبه إلى أنه قد يوجد في بعض الحواشي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يعتبر وجوده في أوّل الأوّل وآخر الآخر وجزء من الوسط؟ كما عن بعض المتأخّرين </w:t>
      </w:r>
      <w:r>
        <w:rPr>
          <w:rStyle w:val="FootnoteAnchor"/>
          <w:rtl w:val="true"/>
        </w:rPr>
        <w:footnoteReference w:id="2117"/>
      </w:r>
      <w:r>
        <w:rPr>
          <w:rFonts w:ascii="Amiri" w:hAnsi="Amiri" w:eastAsia="Amiri" w:cs="Amiri"/>
          <w:color w:val="111111"/>
          <w:sz w:val="28"/>
          <w:sz w:val="28"/>
          <w:szCs w:val="28"/>
          <w:rtl w:val="true"/>
          <w:lang w:bidi="ar-SA"/>
        </w:rPr>
        <w:t xml:space="preserve">، ونفى الشيخ البهائي عنه البعد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أقوال ، أقواها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 لمثل قولهم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أقلّ ما يكون الحيض ثلاثة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يصدق على من رأت في الدقيقة الأخيرة من اليوم الأول والأولى من الثالث ، كما هو مقتضى القول الثاني ، بل المتبادر منه عدم تحقّق الحائضية في أقلّ من ثلاثة أيام تامة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وأظهر منه في ذلك المعنى قوله في موثّقة ابن بكير في المبتدأة التي استمرّ بها الدم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تترك الصلاة في المرّة الثانية أقلّ ما تترك امرأة الصلاة وتجلس أقلّ ما يكون من الطمث ، وهو ثلاثة أيام </w:t>
      </w:r>
      <w:r>
        <w:rPr>
          <w:rFonts w:eastAsia="Amiri" w:cs="Amiri" w:ascii="Amiri" w:hAnsi="Amiri"/>
          <w:color w:val="111111"/>
          <w:sz w:val="28"/>
          <w:szCs w:val="28"/>
          <w:rtl w:val="true"/>
          <w:lang w:bidi="ar-SA"/>
        </w:rPr>
        <w:t xml:space="preserve">» </w:t>
      </w:r>
      <w:r>
        <w:rPr>
          <w:rStyle w:val="FootnoteAnchor"/>
          <w:rtl w:val="true"/>
        </w:rPr>
        <w:footnoteReference w:id="211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المتبادر من ترك الصلاة والجلوس ثلاثة أيام تركها وجلوسها ثلاثة أيام تامة ، لصحة السلب عن الأقلّ ولو بدقيقة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يقيّد إطلاق مفهوم الرضوي المتقدّم </w:t>
      </w:r>
      <w:r>
        <w:rPr>
          <w:rStyle w:val="FootnoteAnchor"/>
          <w:rtl w:val="true"/>
        </w:rPr>
        <w:footnoteReference w:id="2120"/>
      </w:r>
      <w:r>
        <w:rPr>
          <w:rFonts w:ascii="Amiri" w:hAnsi="Amiri" w:eastAsia="Amiri" w:cs="Amiri"/>
          <w:color w:val="111111"/>
          <w:sz w:val="28"/>
          <w:sz w:val="28"/>
          <w:szCs w:val="28"/>
          <w:rtl w:val="true"/>
          <w:lang w:bidi="ar-SA"/>
        </w:rPr>
        <w:t>، حيث إنّه يصدق رؤية الدم ثلاثة أيام برؤية المسمّى في كلّ يوم ، لعدم وجوب المطابقة بين الظرف والمظروف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ويسقط لأجله القول الثاني ، فإنّ مستنده ليس إلاّ ذلك العموم ، مع أنّه ضعيف وانجباره في المقام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بعمومات الحكم بالحيض مع الأوصاف وفي أيام العادة منضمة مع ما دلّ على أنّ الطهر لا يكون أقلّ من عشرة يندفع أصالة عدم الحدث التي هي مستند القول الأول ، ويسقط لأجله ذلك القول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دلالة لقوله عليه السلام في مرسلة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استمرّ بها الدم ثلاثة فهي حائض </w:t>
      </w:r>
      <w:r>
        <w:rPr>
          <w:rFonts w:eastAsia="Amiri" w:cs="Amiri" w:ascii="Amiri" w:hAnsi="Amiri"/>
          <w:color w:val="111111"/>
          <w:sz w:val="28"/>
          <w:szCs w:val="28"/>
          <w:rtl w:val="true"/>
          <w:lang w:bidi="ar-SA"/>
        </w:rPr>
        <w:t xml:space="preserve">» </w:t>
      </w:r>
      <w:r>
        <w:rPr>
          <w:rStyle w:val="FootnoteAnchor"/>
          <w:rtl w:val="true"/>
        </w:rPr>
        <w:footnoteReference w:id="2121"/>
      </w:r>
      <w:r>
        <w:rPr>
          <w:rFonts w:ascii="Amiri" w:hAnsi="Amiri" w:eastAsia="Amiri" w:cs="Amiri"/>
          <w:color w:val="111111"/>
          <w:sz w:val="28"/>
          <w:sz w:val="28"/>
          <w:szCs w:val="28"/>
          <w:rtl w:val="true"/>
          <w:lang w:bidi="ar-SA"/>
        </w:rPr>
        <w:t>عليه ، لأنّ مقابل ذلك الاستمرار الانقطاع المذكور فيها فلا حكم للمفهوم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هل يعتبر الثلاثة بلياليها كما عن الإسكافي </w:t>
      </w:r>
      <w:r>
        <w:rPr>
          <w:rStyle w:val="FootnoteAnchor"/>
          <w:rtl w:val="true"/>
        </w:rPr>
        <w:footnoteReference w:id="2122"/>
      </w:r>
      <w:r>
        <w:rPr>
          <w:rFonts w:ascii="Amiri" w:hAnsi="Amiri" w:eastAsia="Amiri" w:cs="Amiri"/>
          <w:color w:val="111111"/>
          <w:sz w:val="28"/>
          <w:sz w:val="28"/>
          <w:szCs w:val="28"/>
          <w:rtl w:val="true"/>
          <w:lang w:bidi="ar-SA"/>
        </w:rPr>
        <w:t xml:space="preserve">، والمنتهى ، والتذكرة </w:t>
      </w:r>
      <w:r>
        <w:rPr>
          <w:rStyle w:val="FootnoteAnchor"/>
          <w:rtl w:val="true"/>
        </w:rPr>
        <w:footnoteReference w:id="21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يكفي ما عدا الليلة الأولى كما احتمله بعض المحقّقين </w:t>
      </w:r>
      <w:r>
        <w:rPr>
          <w:rStyle w:val="FootnoteAnchor"/>
          <w:rtl w:val="true"/>
        </w:rPr>
        <w:footnoteReference w:id="212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لصدق الثلاثة أيام ، بل لو لا عدم الخلاف في دخول الليلتين فيها لكان الاقتصار على النهار خاصة محتملا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رآه أوّل الليلة الأولى لم ينقص لأجله من الثلاثة أيام شي‌ء البتة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عدم الخلاف في كفاية اليوم الملفّق هنا ، فلو رأى أول الظهر </w:t>
      </w:r>
    </w:p>
    <w:p>
      <w:pPr>
        <w:pStyle w:val="BookText"/>
        <w:rPr/>
      </w:pPr>
      <w:r>
        <w:rPr>
          <w:rFonts w:ascii="Amiri" w:hAnsi="Amiri" w:eastAsia="Amiri" w:cs="Amiri"/>
          <w:color w:val="111111"/>
          <w:sz w:val="28"/>
          <w:sz w:val="28"/>
          <w:szCs w:val="28"/>
          <w:rtl w:val="true"/>
          <w:lang w:bidi="ar-SA"/>
        </w:rPr>
        <w:t>من الأول تمّت الثلاثة بأول الظهر من الرابع ولم يتوقّف على تمامه ،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ولنختم هذا المقام بمسائل ثلاث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حدّ لأكثر الطهر على المشهور ، بل بلا خلاف ، كما عن الغنية </w:t>
      </w:r>
      <w:r>
        <w:rPr>
          <w:rStyle w:val="FootnoteAnchor"/>
          <w:rtl w:val="true"/>
        </w:rPr>
        <w:footnoteReference w:id="2125"/>
      </w:r>
      <w:r>
        <w:rPr>
          <w:rFonts w:ascii="IRNazanin" w:hAnsi="IRNazanin" w:eastAsia="IRNazanin"/>
          <w:color w:val="111111"/>
          <w:sz w:val="28"/>
          <w:sz w:val="28"/>
          <w:szCs w:val="28"/>
          <w:rtl w:val="true"/>
          <w:lang w:bidi="fa-IR"/>
        </w:rPr>
        <w:t>، 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ظاهر الحلبي تحديده بثلاثة أشهر </w:t>
      </w:r>
      <w:r>
        <w:rPr>
          <w:rStyle w:val="FootnoteAnchor"/>
          <w:rtl w:val="true"/>
        </w:rPr>
        <w:footnoteReference w:id="2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على الغالب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البيان </w:t>
      </w:r>
      <w:r>
        <w:rPr>
          <w:rStyle w:val="FootnoteAnchor"/>
          <w:rtl w:val="true"/>
        </w:rPr>
        <w:footnoteReference w:id="2128"/>
      </w:r>
      <w:r>
        <w:rPr>
          <w:rFonts w:ascii="Amiri" w:hAnsi="Amiri" w:eastAsia="Amiri" w:cs="Amiri"/>
          <w:color w:val="111111"/>
          <w:sz w:val="28"/>
          <w:sz w:val="28"/>
          <w:szCs w:val="28"/>
          <w:rtl w:val="true"/>
          <w:lang w:bidi="ar-SA"/>
        </w:rPr>
        <w:t>احتمال أن يكون نظره إلى عدة المسترابة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وأقلّه عشرة أيام إجماعا قطعيا في المتوسّط بين الحيضتين المستقلّتين ، ومحكيا </w:t>
      </w:r>
      <w:r>
        <w:rPr>
          <w:rStyle w:val="FootnoteAnchor"/>
          <w:rtl w:val="true"/>
        </w:rPr>
        <w:footnoteReference w:id="2129"/>
      </w:r>
      <w:r>
        <w:rPr>
          <w:rFonts w:ascii="Amiri" w:hAnsi="Amiri" w:eastAsia="Amiri" w:cs="Amiri"/>
          <w:color w:val="111111"/>
          <w:sz w:val="28"/>
          <w:sz w:val="28"/>
          <w:szCs w:val="28"/>
          <w:rtl w:val="true"/>
          <w:lang w:bidi="ar-SA"/>
        </w:rPr>
        <w:t>مستفيضا في مطلقه الشامل للمتخلّل في أثناء الحيضة الواحدة ، لاستفاضة النصوص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القرء في أقلّ من عشرة أيام فما زاد ، أقلّ ما يكون عشرة من حين تطهر إلى أن ترى الدم </w:t>
      </w:r>
      <w:r>
        <w:rPr>
          <w:rFonts w:eastAsia="Amiri" w:cs="Amiri" w:ascii="Amiri" w:hAnsi="Amiri"/>
          <w:color w:val="111111"/>
          <w:sz w:val="28"/>
          <w:szCs w:val="28"/>
          <w:rtl w:val="true"/>
          <w:lang w:bidi="ar-SA"/>
        </w:rPr>
        <w:t xml:space="preserve">»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أدنى الطهر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يكون الطهر أقلّ من عشرة أيام </w:t>
      </w:r>
      <w:r>
        <w:rPr>
          <w:rFonts w:eastAsia="Amiri" w:cs="Amiri" w:ascii="Amiri" w:hAnsi="Amiri"/>
          <w:color w:val="111111"/>
          <w:sz w:val="28"/>
          <w:szCs w:val="28"/>
          <w:rtl w:val="true"/>
          <w:lang w:bidi="ar-SA"/>
        </w:rPr>
        <w:t xml:space="preserve">»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لبعض متأخّري المتأخّرين ، فخصّ الحكم بما بين الحيضتين ، وجوّز كون المتخلّل في أثناء الحيضة أقلّ من عشرة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لصحيحة محمّد ، المتقدّمة ، بجعل مبدأ العشرتين فيها انقطاع الدم الأول ، لكون الثانية كذلك قطعا ، وإلاّ لزم أقلّية الطهر المتخلّل بين الحيضتين عن العشرة ، وهو باطل إجماعا ، فلو لم يجعل الأيام المتخلّلة في الحيضة الأولى طهرا لزم زيادة الحيض عن العشرة في بعض الصور وهو محال ، والتخصيص بغير ذلك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البصري الواردة في المرأة إذا طلّقها زوجها </w:t>
      </w:r>
      <w:r>
        <w:rPr>
          <w:rStyle w:val="FootnoteAnchor"/>
          <w:rtl w:val="true"/>
        </w:rPr>
        <w:footnoteReference w:id="2133"/>
      </w:r>
      <w:r>
        <w:rPr>
          <w:rFonts w:ascii="Amiri" w:hAnsi="Amiri" w:eastAsia="Amiri" w:cs="Amiri"/>
          <w:color w:val="111111"/>
          <w:sz w:val="28"/>
          <w:sz w:val="28"/>
          <w:szCs w:val="28"/>
          <w:rtl w:val="true"/>
          <w:lang w:bidi="ar-SA"/>
        </w:rPr>
        <w:t>، والتقريب فيها أيضا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ومرسلة يونس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حاضت المرأة وكان حيضها خمسة أيام ثمَّ انقطع الدم اغتسلت وصلّت ، فإن رأت بعد ذلك الدم ولم يتم لها من يوم طهرت عشرة أيام فذلك من الحيض تدع الصلاة </w:t>
      </w:r>
      <w:r>
        <w:rPr>
          <w:rFonts w:eastAsia="Amiri" w:cs="Amiri" w:ascii="Amiri" w:hAnsi="Amiri"/>
          <w:color w:val="111111"/>
          <w:sz w:val="28"/>
          <w:szCs w:val="28"/>
          <w:rtl w:val="true"/>
          <w:lang w:bidi="ar-SA"/>
        </w:rPr>
        <w:t xml:space="preserve">» </w:t>
      </w:r>
      <w:r>
        <w:rPr>
          <w:rStyle w:val="FootnoteAnchor"/>
          <w:rtl w:val="true"/>
        </w:rPr>
        <w:footnoteReference w:id="213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المصرّحة بأنه إذا انقطع الدم تستبرئ ، فإن كانت القطنة نقيّة فقد طهرت </w:t>
      </w:r>
      <w:r>
        <w:rPr>
          <w:rStyle w:val="FootnoteAnchor"/>
          <w:rtl w:val="true"/>
        </w:rPr>
        <w:footnoteReference w:id="2135"/>
      </w:r>
      <w:r>
        <w:rPr>
          <w:rFonts w:ascii="Amiri" w:hAnsi="Amiri" w:eastAsia="Amiri" w:cs="Amiri"/>
          <w:color w:val="111111"/>
          <w:sz w:val="28"/>
          <w:sz w:val="28"/>
          <w:szCs w:val="28"/>
          <w:rtl w:val="true"/>
          <w:lang w:bidi="ar-SA"/>
        </w:rPr>
        <w:t>، فإنّها شاملة بعمومها لما إذا عاد الدم قبل العشرة أيضا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يونس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ترى الدم ثلاثة أيام أو أربعة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تدع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ترى الطهر ثلاثة أيام أو أربعة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ترى الدم ثلاثة أيام أو أربعة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تدع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فإنّها ترى الطهر ثلاثة أيام أو أربعة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ترى الدم ثلاثة أيام أو أربعة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تدع الصلاة ، تصنع ما بينها وبين شهر ، فإن انقطع الدم عنها وإلاّ فهي بمنزلة المستحاضة </w:t>
      </w:r>
      <w:r>
        <w:rPr>
          <w:rFonts w:eastAsia="Amiri" w:cs="Amiri" w:ascii="Amiri" w:hAnsi="Amiri"/>
          <w:color w:val="111111"/>
          <w:sz w:val="28"/>
          <w:szCs w:val="28"/>
          <w:rtl w:val="true"/>
          <w:lang w:bidi="ar-SA"/>
        </w:rPr>
        <w:t xml:space="preserve">»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وموثّقة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ترى الدم خمسة أيام والطهر خمسة أيام ، وترى الدم أربعة أيام والطهر ستّة أيام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رأت الدم لم تصلّ ، وإن رأت الطهر صلّت ما بينها وبين ثلاثين يوما </w:t>
      </w:r>
      <w:r>
        <w:rPr>
          <w:rFonts w:eastAsia="Amiri" w:cs="Amiri" w:ascii="Amiri" w:hAnsi="Amiri"/>
          <w:color w:val="111111"/>
          <w:sz w:val="28"/>
          <w:szCs w:val="28"/>
          <w:rtl w:val="true"/>
          <w:lang w:bidi="ar-SA"/>
        </w:rPr>
        <w:t xml:space="preserve">» </w:t>
      </w:r>
      <w:r>
        <w:rPr>
          <w:rStyle w:val="FootnoteAnchor"/>
          <w:rtl w:val="true"/>
        </w:rPr>
        <w:footnoteReference w:id="213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والحدّ بين الحيضتين القرء وهو عشرة أيام بيض ، فإن رأت الدم بعد اغتسالها من الحيض قبل استكمال عشرة أيام بيض فهو ما بقي من الحيضة الأولى ، وإن رأت الدم بعد العشرة البيض فهو ما تعجّل من الحيضة الثانية </w:t>
      </w:r>
      <w:r>
        <w:rPr>
          <w:rFonts w:eastAsia="Amiri" w:cs="Amiri" w:ascii="Amiri" w:hAnsi="Amiri"/>
          <w:color w:val="111111"/>
          <w:sz w:val="28"/>
          <w:szCs w:val="28"/>
          <w:rtl w:val="true"/>
          <w:lang w:bidi="ar-SA"/>
        </w:rPr>
        <w:t xml:space="preserve">»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تعيّن كون مبدإ الثانية الانقطاع ، لجواز جعل مبدئهما الرؤية وتخصيص الفقرة الثانية بما إذا تخلّلت عشرة طاهرة بين الحيضتين ، وليس إبقاء هذه على العموم وتخصيص الأولى بما إذا لم يزد أيام الدمين على العشرة أولى من 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وجوب جعل المبدأين الانقطاع ، 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الفقرة الأولى مخصّصة قطعا بما إذا لم تتجاوز أيام الحيض عن العشرة ، وإنّما الكلام في تعيين أيام الحيض ، ومقتضى عمومات أقلّ الطهر كون مدة النقاء منها أيضا فلا يزاد تخصيص</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كانت أيام الدمين المتجاوزة عن العشرة خارجة بخصوصها وأوجبت حيضية النقاء إخراج شي‌ء آخر ليتم التقريب ، وذلك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المشركين ، وعلم إخراج الكتابي ، ولم يعلم إخراج المجوس لا يحكم بخروجه ، ولو دلّ كلام على خروجه بعمومه تعارض التخصيصان ، أمّا لو دلّ كلام بعمومه على أنّ المجوس أيضا من الكتابي فلا يتعارض التخصيصان ، بل يحكم بخروج </w:t>
      </w:r>
    </w:p>
    <w:p>
      <w:pPr>
        <w:pStyle w:val="BookText"/>
        <w:rPr/>
      </w:pPr>
      <w:r>
        <w:rPr>
          <w:rFonts w:ascii="Amiri" w:hAnsi="Amiri" w:eastAsia="Amiri" w:cs="Amiri"/>
          <w:color w:val="111111"/>
          <w:sz w:val="28"/>
          <w:sz w:val="28"/>
          <w:szCs w:val="28"/>
          <w:rtl w:val="true"/>
          <w:lang w:bidi="ar-SA"/>
        </w:rPr>
        <w:t>المجوس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أنه لو سلّمنا تعارض التخصيص وتوقّفنا ، لزم الحكم بحيضية النقاء ،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تعارضه عمومات العبادة ، لخروج الحائض الشرعي منها قطعا ، وهذه حائض بالدليل الشرعي الذي هو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كلام في وجوب العبادة عليها قبل رؤية الدم الثاني ، لأصالة عدم رؤيته ، وإنّما الكلام بعد رؤيته ، ووجوب قضاء الصوم حينئذ لثبوت كونها حائضا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رؤية الثاني محكومة بعدم كونها حائضا ، لأصالة عدم الرؤية ، فيستصحب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رؤية الثاني وانتفاء أصالة عدمها لا يصح استصحاب الحكم المبني عليها كما بيّن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الجواب عن الثلاثة المتعقّبة للأول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يدلّ إلاّ على فعل الصلاة بعد الطهارة ظاهرا في الثلاثة أو الأربعة ، وهو كذلك ، ولا يدلّ على جعلها طهرا بعد رؤية الدم في الثلاثة أو الأربعة الثانية ، وكذا في الثالثة ، وهو 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الحديث إشكال من جهة أخرى ، ولذا حمل ذلك وغيره مما بمضمونه على أنها تفعل ذلك لتحيّرها واحتمالها الحيض عند كلّ دم والطهر عند كلّ نقاء إلى أن يتعيّن لها الأمران </w:t>
      </w:r>
      <w:r>
        <w:rPr>
          <w:rStyle w:val="FootnoteAnchor"/>
          <w:rtl w:val="true"/>
        </w:rPr>
        <w:footnoteReference w:id="2139"/>
      </w:r>
      <w:r>
        <w:rPr>
          <w:rFonts w:ascii="Amiri" w:hAnsi="Amiri" w:eastAsia="Amiri" w:cs="Amiri"/>
          <w:color w:val="111111"/>
          <w:sz w:val="28"/>
          <w:sz w:val="28"/>
          <w:szCs w:val="28"/>
          <w:rtl w:val="true"/>
          <w:lang w:bidi="ar-SA"/>
        </w:rPr>
        <w:t xml:space="preserve">، بل هذا هو مراد الشيخ في الاستبصار </w:t>
      </w:r>
      <w:r>
        <w:rPr>
          <w:rStyle w:val="FootnoteAnchor"/>
          <w:rtl w:val="true"/>
        </w:rPr>
        <w:footnoteReference w:id="2140"/>
      </w:r>
      <w:r>
        <w:rPr>
          <w:rFonts w:ascii="Amiri" w:hAnsi="Amiri" w:eastAsia="Amiri" w:cs="Amiri"/>
          <w:color w:val="111111"/>
          <w:sz w:val="28"/>
          <w:sz w:val="28"/>
          <w:szCs w:val="28"/>
          <w:rtl w:val="true"/>
          <w:lang w:bidi="ar-SA"/>
        </w:rPr>
        <w:t>ممّا حمل ذلك عليه وفسّره به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يعلم أنّ توقّف الفاضل في المنتهى </w:t>
      </w:r>
      <w:r>
        <w:rPr>
          <w:rStyle w:val="FootnoteAnchor"/>
          <w:rtl w:val="true"/>
        </w:rPr>
        <w:footnoteReference w:id="2141"/>
      </w:r>
      <w:r>
        <w:rPr>
          <w:rFonts w:ascii="Amiri" w:hAnsi="Amiri" w:eastAsia="Amiri" w:cs="Amiri"/>
          <w:color w:val="111111"/>
          <w:sz w:val="28"/>
          <w:sz w:val="28"/>
          <w:szCs w:val="28"/>
          <w:rtl w:val="true"/>
          <w:lang w:bidi="ar-SA"/>
        </w:rPr>
        <w:t xml:space="preserve">في الفتوى بمضمونه على ما حمله في الاستبصار عليه ليس توقّفا في مسألة أقلّ الطهر المتخلّل كما قد يتوهّم </w:t>
      </w:r>
      <w:r>
        <w:rPr>
          <w:rStyle w:val="FootnoteAnchor"/>
          <w:rtl w:val="true"/>
        </w:rPr>
        <w:footnoteReference w:id="214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كيف وقد صرّح قبل ذلك بأنّها لو رأت ثلاثة أيام ثمَّ انقطع ثمَّ رأت اليوم العاشر أو قبله وانقطع كان الدمان وما بينهما حيضا </w:t>
      </w:r>
      <w:r>
        <w:rPr>
          <w:rStyle w:val="FootnoteAnchor"/>
          <w:rtl w:val="true"/>
        </w:rPr>
        <w:footnoteReference w:id="2143"/>
      </w:r>
      <w:r>
        <w:rPr>
          <w:rFonts w:ascii="Amiri" w:hAnsi="Amiri" w:eastAsia="Amiri" w:cs="Amiri"/>
          <w:color w:val="111111"/>
          <w:sz w:val="28"/>
          <w:sz w:val="28"/>
          <w:szCs w:val="28"/>
          <w:rtl w:val="true"/>
          <w:lang w:bidi="ar-SA"/>
        </w:rPr>
        <w:t xml:space="preserve">واستدلّ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بأخبار أقلّ الطهر ، ولا حمل الشيخ عليه قولا بجواز أقلّية الطهر المتخلّل من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بضعفة المانع عن العمل به الخالي عن الجابر في المقام ، مع جريان ما أجيب به عن الثلاثة الأول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اجتماع الحيض مع الحبل وعدمه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للأكثر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الصدوقان </w:t>
      </w:r>
      <w:r>
        <w:rPr>
          <w:rStyle w:val="FootnoteAnchor"/>
          <w:rtl w:val="true"/>
        </w:rPr>
        <w:footnoteReference w:id="2144"/>
      </w:r>
      <w:r>
        <w:rPr>
          <w:rFonts w:ascii="Amiri" w:hAnsi="Amiri" w:eastAsia="Amiri" w:cs="Amiri"/>
          <w:color w:val="111111"/>
          <w:sz w:val="28"/>
          <w:sz w:val="28"/>
          <w:szCs w:val="28"/>
          <w:rtl w:val="true"/>
          <w:lang w:bidi="ar-SA"/>
        </w:rPr>
        <w:t xml:space="preserve">، والسيد </w:t>
      </w:r>
      <w:r>
        <w:rPr>
          <w:rStyle w:val="FootnoteAnchor"/>
          <w:rtl w:val="true"/>
        </w:rPr>
        <w:footnoteReference w:id="2145"/>
      </w:r>
      <w:r>
        <w:rPr>
          <w:rFonts w:ascii="Amiri" w:hAnsi="Amiri" w:eastAsia="Amiri" w:cs="Amiri"/>
          <w:color w:val="111111"/>
          <w:sz w:val="28"/>
          <w:sz w:val="28"/>
          <w:szCs w:val="28"/>
          <w:rtl w:val="true"/>
          <w:lang w:bidi="ar-SA"/>
        </w:rPr>
        <w:t xml:space="preserve">، والشيخ في النهاية والخلاف والتهذيب والاستبصار </w:t>
      </w:r>
      <w:r>
        <w:rPr>
          <w:rStyle w:val="FootnoteAnchor"/>
          <w:rtl w:val="true"/>
        </w:rPr>
        <w:footnoteReference w:id="2146"/>
      </w:r>
      <w:r>
        <w:rPr>
          <w:rFonts w:ascii="Amiri" w:hAnsi="Amiri" w:eastAsia="Amiri" w:cs="Amiri"/>
          <w:color w:val="111111"/>
          <w:sz w:val="28"/>
          <w:sz w:val="28"/>
          <w:szCs w:val="28"/>
          <w:rtl w:val="true"/>
          <w:lang w:bidi="ar-SA"/>
        </w:rPr>
        <w:t xml:space="preserve">، والإصباح ، والحلّي </w:t>
      </w:r>
      <w:r>
        <w:rPr>
          <w:rStyle w:val="FootnoteAnchor"/>
          <w:rtl w:val="true"/>
        </w:rPr>
        <w:footnoteReference w:id="2147"/>
      </w:r>
      <w:r>
        <w:rPr>
          <w:rFonts w:ascii="Amiri" w:hAnsi="Amiri" w:eastAsia="Amiri" w:cs="Amiri"/>
          <w:color w:val="111111"/>
          <w:sz w:val="28"/>
          <w:sz w:val="28"/>
          <w:szCs w:val="28"/>
          <w:rtl w:val="true"/>
          <w:lang w:bidi="ar-SA"/>
        </w:rPr>
        <w:t xml:space="preserve">، والمنتهى ، والتذكرة ، والقواعد </w:t>
      </w:r>
      <w:r>
        <w:rPr>
          <w:rStyle w:val="FootnoteAnchor"/>
          <w:rtl w:val="true"/>
        </w:rPr>
        <w:footnoteReference w:id="2148"/>
      </w:r>
      <w:r>
        <w:rPr>
          <w:rFonts w:ascii="IRNazanin" w:hAnsi="IRNazanin" w:eastAsia="IRNazanin"/>
          <w:color w:val="111111"/>
          <w:sz w:val="28"/>
          <w:sz w:val="28"/>
          <w:szCs w:val="28"/>
          <w:rtl w:val="true"/>
          <w:lang w:bidi="fa-IR"/>
        </w:rPr>
        <w:t xml:space="preserve">، وشرحه </w:t>
      </w:r>
      <w:r>
        <w:rPr>
          <w:rStyle w:val="FootnoteAnchor"/>
          <w:rtl w:val="true"/>
        </w:rPr>
        <w:footnoteReference w:id="2149"/>
      </w:r>
      <w:r>
        <w:rPr>
          <w:rFonts w:ascii="Amiri" w:hAnsi="Amiri" w:eastAsia="Amiri" w:cs="Amiri"/>
          <w:color w:val="111111"/>
          <w:sz w:val="28"/>
          <w:sz w:val="28"/>
          <w:szCs w:val="28"/>
          <w:rtl w:val="true"/>
          <w:lang w:bidi="ar-SA"/>
        </w:rPr>
        <w:t xml:space="preserve">، والدروس ، والمدارك </w:t>
      </w:r>
      <w:r>
        <w:rPr>
          <w:rStyle w:val="FootnoteAnchor"/>
          <w:rtl w:val="true"/>
        </w:rPr>
        <w:footnoteReference w:id="2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إليه في المعتبر </w:t>
      </w:r>
      <w:r>
        <w:rPr>
          <w:rStyle w:val="FootnoteAnchor"/>
          <w:rtl w:val="true"/>
        </w:rPr>
        <w:footnoteReference w:id="2151"/>
      </w:r>
      <w:r>
        <w:rPr>
          <w:rFonts w:ascii="Amiri" w:hAnsi="Amiri" w:eastAsia="Amiri" w:cs="Amiri"/>
          <w:color w:val="111111"/>
          <w:sz w:val="28"/>
          <w:sz w:val="28"/>
          <w:szCs w:val="28"/>
          <w:rtl w:val="true"/>
          <w:lang w:bidi="ar-SA"/>
        </w:rPr>
        <w:t xml:space="preserve">، وعليه الشهرة في كلام جماعة </w:t>
      </w:r>
      <w:r>
        <w:rPr>
          <w:rStyle w:val="FootnoteAnchor"/>
          <w:rtl w:val="true"/>
        </w:rPr>
        <w:footnoteReference w:id="2152"/>
      </w:r>
      <w:r>
        <w:rPr>
          <w:rFonts w:ascii="Amiri" w:hAnsi="Amiri" w:eastAsia="Amiri" w:cs="Amiri"/>
          <w:color w:val="111111"/>
          <w:sz w:val="28"/>
          <w:sz w:val="28"/>
          <w:szCs w:val="28"/>
          <w:rtl w:val="true"/>
          <w:lang w:bidi="ar-SA"/>
        </w:rPr>
        <w:t xml:space="preserve">، بل في الناصريات الإجماع عليه </w:t>
      </w:r>
      <w:r>
        <w:rPr>
          <w:rStyle w:val="FootnoteAnchor"/>
          <w:rtl w:val="true"/>
        </w:rPr>
        <w:footnoteReference w:id="2153"/>
      </w:r>
      <w:r>
        <w:rPr>
          <w:rFonts w:ascii="Amiri" w:hAnsi="Amiri" w:eastAsia="Amiri" w:cs="Amiri"/>
          <w:color w:val="111111"/>
          <w:sz w:val="28"/>
          <w:sz w:val="28"/>
          <w:szCs w:val="28"/>
          <w:rtl w:val="true"/>
          <w:lang w:bidi="ar-SA"/>
        </w:rPr>
        <w:t xml:space="preserve">، وهو قول مالك </w:t>
      </w:r>
      <w:r>
        <w:rPr>
          <w:rStyle w:val="FootnoteAnchor"/>
          <w:rtl w:val="true"/>
        </w:rPr>
        <w:footnoteReference w:id="2154"/>
      </w:r>
      <w:r>
        <w:rPr>
          <w:rFonts w:ascii="Amiri" w:hAnsi="Amiri" w:eastAsia="Amiri" w:cs="Amiri"/>
          <w:color w:val="111111"/>
          <w:sz w:val="28"/>
          <w:sz w:val="28"/>
          <w:szCs w:val="28"/>
          <w:rtl w:val="true"/>
          <w:lang w:bidi="ar-SA"/>
        </w:rPr>
        <w:t xml:space="preserve">، والشافعي في القديم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لاستصحاب الحالة السابقة ، والعمومات المثبتة لحيضيّة الدم في النساء مطلقا أو مع الوصف أو في أيام العادة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وخصوص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كصحيحتي ابن سنان وصفوان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الحبلى ترى الدم أتترك الصلاة؟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الحبلى ترى الدم ثلاثة أيام أو أربعة أتصلي؟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تمسك عن الصلاة </w:t>
      </w:r>
      <w:r>
        <w:rPr>
          <w:rFonts w:eastAsia="Amiri" w:cs="Amiri" w:ascii="Amiri" w:hAnsi="Amiri"/>
          <w:color w:val="111111"/>
          <w:sz w:val="28"/>
          <w:szCs w:val="28"/>
          <w:rtl w:val="true"/>
          <w:lang w:bidi="ar-SA"/>
        </w:rPr>
        <w:t xml:space="preserve">»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سليمان </w:t>
      </w:r>
      <w:r>
        <w:rPr>
          <w:rStyle w:val="FootnoteAnchor"/>
          <w:rtl w:val="true"/>
        </w:rPr>
        <w:footnoteReference w:id="2158"/>
      </w:r>
      <w:r>
        <w:rPr>
          <w:rFonts w:ascii="Amiri" w:hAnsi="Amiri" w:eastAsia="Amiri" w:cs="Amiri"/>
          <w:color w:val="111111"/>
          <w:sz w:val="28"/>
          <w:sz w:val="28"/>
          <w:szCs w:val="28"/>
          <w:rtl w:val="true"/>
          <w:lang w:bidi="ar-SA"/>
        </w:rPr>
        <w:t xml:space="preserve">ومرسلة حريز </w:t>
      </w:r>
      <w:r>
        <w:rPr>
          <w:rStyle w:val="FootnoteAnchor"/>
          <w:rtl w:val="true"/>
        </w:rPr>
        <w:footnoteReference w:id="2159"/>
      </w:r>
      <w:r>
        <w:rPr>
          <w:rFonts w:ascii="Amiri" w:hAnsi="Amiri" w:eastAsia="Amiri" w:cs="Amiri"/>
          <w:color w:val="111111"/>
          <w:sz w:val="28"/>
          <w:sz w:val="28"/>
          <w:szCs w:val="28"/>
          <w:rtl w:val="true"/>
          <w:lang w:bidi="ar-SA"/>
        </w:rPr>
        <w:t>وغير ذلك ممّا يأتي ذكر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للشرائع </w:t>
      </w:r>
      <w:r>
        <w:rPr>
          <w:rStyle w:val="FootnoteAnchor"/>
          <w:rtl w:val="true"/>
        </w:rPr>
        <w:footnoteReference w:id="2160"/>
      </w:r>
      <w:r>
        <w:rPr>
          <w:rFonts w:ascii="Amiri" w:hAnsi="Amiri" w:eastAsia="Amiri" w:cs="Amiri"/>
          <w:color w:val="111111"/>
          <w:sz w:val="28"/>
          <w:sz w:val="28"/>
          <w:szCs w:val="28"/>
          <w:rtl w:val="true"/>
          <w:lang w:bidi="ar-SA"/>
        </w:rPr>
        <w:t xml:space="preserve">، وعن المفيد </w:t>
      </w:r>
      <w:r>
        <w:rPr>
          <w:rStyle w:val="FootnoteAnchor"/>
          <w:rtl w:val="true"/>
        </w:rPr>
        <w:footnoteReference w:id="2161"/>
      </w:r>
      <w:r>
        <w:rPr>
          <w:rFonts w:ascii="Amiri" w:hAnsi="Amiri" w:eastAsia="Amiri" w:cs="Amiri"/>
          <w:color w:val="111111"/>
          <w:sz w:val="28"/>
          <w:sz w:val="28"/>
          <w:szCs w:val="28"/>
          <w:rtl w:val="true"/>
          <w:lang w:bidi="ar-SA"/>
        </w:rPr>
        <w:t xml:space="preserve">، والإسكافي </w:t>
      </w:r>
      <w:r>
        <w:rPr>
          <w:rStyle w:val="FootnoteAnchor"/>
          <w:rtl w:val="true"/>
        </w:rPr>
        <w:footnoteReference w:id="2162"/>
      </w:r>
      <w:r>
        <w:rPr>
          <w:rFonts w:ascii="Amiri" w:hAnsi="Amiri" w:eastAsia="Amiri" w:cs="Amiri"/>
          <w:color w:val="111111"/>
          <w:sz w:val="28"/>
          <w:sz w:val="28"/>
          <w:szCs w:val="28"/>
          <w:rtl w:val="true"/>
          <w:lang w:bidi="ar-SA"/>
        </w:rPr>
        <w:t xml:space="preserve">، والتلخيص ، وهو مذهب أبي حنيفة </w:t>
      </w:r>
      <w:r>
        <w:rPr>
          <w:rStyle w:val="FootnoteAnchor"/>
          <w:rtl w:val="true"/>
        </w:rPr>
        <w:footnoteReference w:id="2163"/>
      </w:r>
      <w:r>
        <w:rPr>
          <w:rFonts w:ascii="IRNazanin" w:hAnsi="IRNazanin" w:eastAsia="IRNazanin"/>
          <w:color w:val="111111"/>
          <w:sz w:val="28"/>
          <w:sz w:val="28"/>
          <w:szCs w:val="28"/>
          <w:rtl w:val="true"/>
          <w:lang w:bidi="fa-IR"/>
        </w:rPr>
        <w:t xml:space="preserve">، وأحمد </w:t>
      </w:r>
      <w:r>
        <w:rPr>
          <w:rStyle w:val="FootnoteAnchor"/>
          <w:rtl w:val="true"/>
        </w:rPr>
        <w:footnoteReference w:id="2164"/>
      </w:r>
      <w:r>
        <w:rPr>
          <w:rFonts w:ascii="Amiri" w:hAnsi="Amiri" w:eastAsia="Amiri" w:cs="Amiri"/>
          <w:color w:val="111111"/>
          <w:sz w:val="28"/>
          <w:sz w:val="28"/>
          <w:szCs w:val="28"/>
          <w:rtl w:val="true"/>
          <w:lang w:bidi="ar-SA"/>
        </w:rPr>
        <w:t xml:space="preserve">، والشافعي في الجديد </w:t>
      </w:r>
      <w:r>
        <w:rPr>
          <w:rStyle w:val="FootnoteAnchor"/>
          <w:rtl w:val="true"/>
        </w:rPr>
        <w:footnoteReference w:id="2165"/>
      </w:r>
      <w:r>
        <w:rPr>
          <w:rFonts w:ascii="Amiri" w:hAnsi="Amiri" w:eastAsia="Amiri" w:cs="Amiri"/>
          <w:color w:val="111111"/>
          <w:sz w:val="28"/>
          <w:sz w:val="28"/>
          <w:szCs w:val="28"/>
          <w:rtl w:val="true"/>
          <w:lang w:bidi="ar-SA"/>
        </w:rPr>
        <w:t xml:space="preserve">، ونسبه في التذكرة إلى جمهور التابعين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لاستصحاب عدم الحيضية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اللّه ليجعل حيضا مع حبل ، يعني أنها إذا رأت الدم وهي حامل لا تدع الصلاة إلاّ أن ترى على رأس الولد إذا ضربها الطلق </w:t>
      </w:r>
    </w:p>
    <w:p>
      <w:pPr>
        <w:pStyle w:val="BookText"/>
        <w:rPr/>
      </w:pPr>
      <w:r>
        <w:rPr>
          <w:rFonts w:ascii="Amiri" w:hAnsi="Amiri" w:eastAsia="Amiri" w:cs="Amiri"/>
          <w:color w:val="111111"/>
          <w:sz w:val="28"/>
          <w:sz w:val="28"/>
          <w:szCs w:val="28"/>
          <w:rtl w:val="true"/>
          <w:lang w:bidi="ar-SA"/>
        </w:rPr>
        <w:t xml:space="preserve">ورأت الدم تركت الصلاة </w:t>
      </w:r>
      <w:r>
        <w:rPr>
          <w:rFonts w:eastAsia="Amiri" w:cs="Amiri" w:ascii="Amiri" w:hAnsi="Amiri"/>
          <w:color w:val="111111"/>
          <w:sz w:val="28"/>
          <w:szCs w:val="28"/>
          <w:rtl w:val="true"/>
          <w:lang w:bidi="ar-SA"/>
        </w:rPr>
        <w:t xml:space="preserve">»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ترى الدفقة والدفقتين من الدم في الأيام وفي الشهر والشهرين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الهراقة ليس تمسك هذه عن الصلاة </w:t>
      </w:r>
      <w:r>
        <w:rPr>
          <w:rFonts w:eastAsia="Amiri" w:cs="Amiri" w:ascii="Amiri" w:hAnsi="Amiri"/>
          <w:color w:val="111111"/>
          <w:sz w:val="28"/>
          <w:szCs w:val="28"/>
          <w:rtl w:val="true"/>
          <w:lang w:bidi="ar-SA"/>
        </w:rPr>
        <w:t xml:space="preserve">»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ولأنه يصح طلاقها مع رؤية الدم إجماعا ، ولا شي‌ء من الحائض يصح طلاقه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شرع الاستبراء بالحيض لاستبانة عدم الحمل فلا يجامعه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بالمعارضة باستصحاب عدم سائر الأسباب أيضا ، مضافا إلى اندفاعه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الدلالة ، لجواز أن يكون المراد حقيقته ، وهو الإخبار عن عدم الاجتماع فيما مضى وإن تخلّف في الأزمنة اللاحقة ، كما ورد في أصل الحيض أنه كان قبل ذلك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في بعض نسخ 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اللّه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فإذا رأت الدم وهي حبلى تدع الصلاة </w:t>
      </w:r>
      <w:r>
        <w:rPr>
          <w:rFonts w:eastAsia="Amiri" w:cs="Amiri" w:ascii="Amiri" w:hAnsi="Amiri"/>
          <w:color w:val="111111"/>
          <w:sz w:val="28"/>
          <w:szCs w:val="28"/>
          <w:rtl w:val="true"/>
          <w:lang w:bidi="ar-SA"/>
        </w:rPr>
        <w:t xml:space="preserve">»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أنّها إذا رأت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فيمكن أن يكون من كلام الراوي ، بل هو الظاهر ، فلا حجّية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معارضته مع الأخبار المتقدّمة الراجحة عليه باعتبار الأحدثية والمخالفة لأكثر العامة والموافقة لمعظم الخاصة ، مع أنّه على فرض التكافؤ يتساقطان ويرجع إلى العمومات</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ردّ الثالث أيضا ، مضافا إلى عدم دلالته ، لعدم استجماع ما رأته </w:t>
      </w:r>
    </w:p>
    <w:p>
      <w:pPr>
        <w:pStyle w:val="BookText"/>
        <w:rPr/>
      </w:pPr>
      <w:r>
        <w:rPr>
          <w:rFonts w:ascii="Amiri" w:hAnsi="Amiri" w:eastAsia="Amiri" w:cs="Amiri"/>
          <w:color w:val="111111"/>
          <w:sz w:val="28"/>
          <w:sz w:val="28"/>
          <w:szCs w:val="28"/>
          <w:rtl w:val="true"/>
          <w:lang w:bidi="ar-SA"/>
        </w:rPr>
        <w:t>شرائط الحيض ، لأنّ الدفقة والدفقتين لا تكون حيضا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الدفقة في الأيام لا يكون إلاّ بحصولها في جميعها ، فتحصل الشرائط إذا كانت متوالية ، كما تشمله الرواية بترك الاستفصال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المراد بالأيام ليس معناها الحقيقي الذي هو الاستغراق ، ومجازه يمكن أن تكون الأيام المعهودة ، أي أيام الحيض ، ورؤية الدفقة فيها تتحقّق برؤية الدم فيها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الإجماع ، ولا دليل آخر على عدم صحة طلاق الحائض مطلقا ، كيف ويصح مع غيبة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العلّة في شرع الاستبراء بالحيض استبانة عدم الحمل ، لإمكان أن يكون تعبّدا أو معلّلا بحكمة خفية لا نعلمها ، كيف؟ لو كانت العلّة ذلك لكفت حيضة واحدة في جميع الموارد ، ولم يشترط في بعضها حيضتان ، وفي بعضها الأكثر ، وفي بعضها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المختار هل يجتمع معه مع استبانة الحمل أيضا؟ أو يشترط فيه عدم الاستبانة؟ وتظهر الفائدة في قضاء الصلاة لا في تركها عند رؤية الدم ، إذ لا ريب في البناء على أصالة عدم الحمل بدون استبانته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لأكثر القائلين باجتماعه مع الحمل ، لما تقدّم ، وخصوص مرسلة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الحبلى قد استبان حملها ترى ما ترى الحائض من الدم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الهراقة من الدم ، إن كان دما أحمر كثيرا فلا تصلّي ، وإن كان قليلا أصفر فليس عليها إلاّ الوضوء </w:t>
      </w:r>
      <w:r>
        <w:rPr>
          <w:rFonts w:eastAsia="Amiri" w:cs="Amiri" w:ascii="Amiri" w:hAnsi="Amiri"/>
          <w:color w:val="111111"/>
          <w:sz w:val="28"/>
          <w:szCs w:val="28"/>
          <w:rtl w:val="true"/>
          <w:lang w:bidi="ar-SA"/>
        </w:rPr>
        <w:t xml:space="preserve">» </w:t>
      </w:r>
      <w:r>
        <w:rPr>
          <w:rStyle w:val="FootnoteAnchor"/>
          <w:rtl w:val="true"/>
        </w:rPr>
        <w:footnoteReference w:id="2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وقريبة منها رواية أبي المعزى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للحلّي </w:t>
      </w:r>
      <w:r>
        <w:rPr>
          <w:rStyle w:val="FootnoteAnchor"/>
          <w:rtl w:val="true"/>
        </w:rPr>
        <w:footnoteReference w:id="2172"/>
      </w:r>
      <w:r>
        <w:rPr>
          <w:rFonts w:ascii="IRNazanin" w:hAnsi="IRNazanin" w:eastAsia="IRNazanin"/>
          <w:color w:val="111111"/>
          <w:sz w:val="28"/>
          <w:sz w:val="28"/>
          <w:szCs w:val="28"/>
          <w:rtl w:val="true"/>
          <w:lang w:bidi="fa-IR"/>
        </w:rPr>
        <w:t xml:space="preserve">، وعن الخلاف ، والمبسوط </w:t>
      </w:r>
      <w:r>
        <w:rPr>
          <w:rStyle w:val="FootnoteAnchor"/>
          <w:rtl w:val="true"/>
        </w:rPr>
        <w:footnoteReference w:id="2173"/>
      </w:r>
      <w:r>
        <w:rPr>
          <w:rFonts w:ascii="Amiri" w:hAnsi="Amiri" w:eastAsia="Amiri" w:cs="Amiri"/>
          <w:color w:val="111111"/>
          <w:sz w:val="28"/>
          <w:sz w:val="28"/>
          <w:szCs w:val="28"/>
          <w:rtl w:val="true"/>
          <w:lang w:bidi="ar-SA"/>
        </w:rPr>
        <w:t xml:space="preserve">، ونسبه في الأول إلى الأكثر ، </w:t>
      </w:r>
    </w:p>
    <w:p>
      <w:pPr>
        <w:pStyle w:val="BookText"/>
        <w:rPr/>
      </w:pPr>
      <w:r>
        <w:rPr>
          <w:rFonts w:ascii="Amiri" w:hAnsi="Amiri" w:eastAsia="Amiri" w:cs="Amiri"/>
          <w:color w:val="111111"/>
          <w:sz w:val="28"/>
          <w:sz w:val="28"/>
          <w:szCs w:val="28"/>
          <w:rtl w:val="true"/>
          <w:lang w:bidi="ar-SA"/>
        </w:rPr>
        <w:t xml:space="preserve">وفي الثاني إلى الإجماع ، وصريح الأول اختصاص الخلاف بما بعد الاستبانة ، ويظهر ذلك من المعتبر أيضا ، حيث فسّر قوله في النافع </w:t>
      </w:r>
      <w:r>
        <w:rPr>
          <w:rStyle w:val="FootnoteAnchor"/>
          <w:rtl w:val="true"/>
        </w:rPr>
        <w:footnoteReference w:id="2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أشهرها أنّها لا تحيض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استبانة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للإجماع المنقول في الخلاف ، 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والحامل إذا رأت الدم في الحمل كما كانت تراه تركت الصلاة أيام الدم ، فإن رأت صفرة لم تدع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أنها تعمل ما تعمله المستحاضة إذا صح لها الحمل فلا تدع الصلاة ، والعمل من خواص الفقهاء على ذلك </w:t>
      </w:r>
      <w:r>
        <w:rPr>
          <w:rFonts w:eastAsia="Amiri" w:cs="Amiri" w:ascii="Amiri" w:hAnsi="Amiri"/>
          <w:color w:val="111111"/>
          <w:sz w:val="28"/>
          <w:szCs w:val="28"/>
          <w:rtl w:val="true"/>
          <w:lang w:bidi="ar-SA"/>
        </w:rPr>
        <w:t xml:space="preserve">»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الحجية ، وكذا الثاني سيما مع مخالفته مع ما حكم به أوّلا ونسبته إلى الرواية ، ولو سلّم فيعارض ما مرّ ، ويرجع إلى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المختار من الاجتماع مع الاستبانة أيضا فلا شك في كون الدم المتصف بالأوصاف في أيام العادة حيضا ، ويدلّ عليه الإجماع المركّب ، مضافا إلى الأخبار الدالّة على حيضية كلّ من الدمين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الكلام في اشتراط الوصفين في الحكم بالحيضية ، أو الاتّصاف خاصة ، أو كونه في العادة كذلك ، أو أحدهما لا بعينه ، أو لا يشترط شي‌ء منهما ، بل المرأة كحالة عدم الحبل فتحيض بما تحيض به قبله ، فيه احتمالات ، ولم أعثر على مصرّح بالأول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للصدوق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والحبلى إذا رأت الدم تركت الصلاة ، وذلك إذا رأت الدم كثيرا أحمر ، فإن كان قليلا أصفر فلتصلّ وليس عليها إلاّ الوضوء </w:t>
      </w:r>
      <w:r>
        <w:rPr>
          <w:rStyle w:val="FootnoteAnchor"/>
          <w:rtl w:val="true"/>
        </w:rPr>
        <w:footnoteReference w:id="2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عمومات اعتبار الأوصاف </w:t>
      </w:r>
      <w:r>
        <w:rPr>
          <w:rStyle w:val="FootnoteAnchor"/>
          <w:rtl w:val="true"/>
        </w:rPr>
        <w:footnoteReference w:id="2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محمّد ، ورواية أبي المعزى ، المتقدّمتان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الحبلى ترى الدم اليوم واليومين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دما عبيطا فلا تصلّي ذينك اليومين ، وإن كانت صفرة فلتغتسل عند كلّ صلاتين </w:t>
      </w:r>
      <w:r>
        <w:rPr>
          <w:rFonts w:eastAsia="Amiri" w:cs="Amiri" w:ascii="Amiri" w:hAnsi="Amiri"/>
          <w:color w:val="111111"/>
          <w:sz w:val="28"/>
          <w:szCs w:val="28"/>
          <w:rtl w:val="true"/>
          <w:lang w:bidi="ar-SA"/>
        </w:rPr>
        <w:t xml:space="preserve">»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 للشيخ في النهاية ، وكتابي الحديث </w:t>
      </w:r>
      <w:r>
        <w:rPr>
          <w:rStyle w:val="FootnoteAnchor"/>
          <w:rtl w:val="true"/>
        </w:rPr>
        <w:footnoteReference w:id="2181"/>
      </w:r>
      <w:r>
        <w:rPr>
          <w:rFonts w:ascii="Amiri" w:hAnsi="Amiri" w:eastAsia="Amiri" w:cs="Amiri"/>
          <w:color w:val="111111"/>
          <w:sz w:val="28"/>
          <w:sz w:val="28"/>
          <w:szCs w:val="28"/>
          <w:rtl w:val="true"/>
          <w:lang w:bidi="ar-SA"/>
        </w:rPr>
        <w:t xml:space="preserve">، ومال إليه في المعتبر ، والمدارك ، والبحار </w:t>
      </w:r>
      <w:r>
        <w:rPr>
          <w:rStyle w:val="FootnoteAnchor"/>
          <w:rtl w:val="true"/>
        </w:rPr>
        <w:footnoteReference w:id="2182"/>
      </w:r>
      <w:r>
        <w:rPr>
          <w:rFonts w:ascii="Amiri" w:hAnsi="Amiri" w:eastAsia="Amiri" w:cs="Amiri"/>
          <w:color w:val="111111"/>
          <w:sz w:val="28"/>
          <w:sz w:val="28"/>
          <w:szCs w:val="28"/>
          <w:rtl w:val="true"/>
          <w:lang w:bidi="ar-SA"/>
        </w:rPr>
        <w:t>، ولكنهم مع إثباتهم الحيضية لأيام العادة نفوها عمّا تأخّر عنها بعشرين يوما ، فسكتوا عمّا بينهما ، ويظهر من بعضهم أنهم يلحقونه بالعادة ، ومن آخر أنهم يلحقونه بما بعد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فدليلهم عمومات حيضية ما تراه أيام العادة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الحبلى ترى الدم كما كانت ترى أيام حيضها مستقيما في كلّ شهر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تمسك عن الصلاة كما كانت تصنع في حيضها </w:t>
      </w:r>
      <w:r>
        <w:rPr>
          <w:rFonts w:eastAsia="Amiri" w:cs="Amiri" w:ascii="Amiri" w:hAnsi="Amiri"/>
          <w:color w:val="111111"/>
          <w:sz w:val="28"/>
          <w:szCs w:val="28"/>
          <w:rtl w:val="true"/>
          <w:lang w:bidi="ar-SA"/>
        </w:rPr>
        <w:t xml:space="preserve">»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رأت الدم في الحمل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تقعد أيامها التي كانت تحيض ، فإذا زاد الدم على الأيام التي كانت تقعد استظهرت بثلاثة أيام ثمَّ هي مستحاضة </w:t>
      </w:r>
      <w:r>
        <w:rPr>
          <w:rFonts w:eastAsia="Amiri" w:cs="Amiri" w:ascii="Amiri" w:hAnsi="Amiri"/>
          <w:color w:val="111111"/>
          <w:sz w:val="28"/>
          <w:szCs w:val="28"/>
          <w:rtl w:val="true"/>
          <w:lang w:bidi="ar-SA"/>
        </w:rPr>
        <w:t xml:space="preserve">)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الصحاف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رأت الحامل الدم بعد ما يمضي عشرون يوما </w:t>
      </w:r>
    </w:p>
    <w:p>
      <w:pPr>
        <w:pStyle w:val="BookText"/>
        <w:rPr/>
      </w:pPr>
      <w:r>
        <w:rPr>
          <w:rFonts w:ascii="Amiri" w:hAnsi="Amiri" w:eastAsia="Amiri" w:cs="Amiri"/>
          <w:color w:val="111111"/>
          <w:sz w:val="28"/>
          <w:sz w:val="28"/>
          <w:szCs w:val="28"/>
          <w:rtl w:val="true"/>
          <w:lang w:bidi="ar-SA"/>
        </w:rPr>
        <w:t xml:space="preserve">من الوقت الذي كانت ترى فيه الدم من الشهر الذي كانت تقعد فيه ، فإنّ ذلك ليس من الرحم ولا من الطمث فلتتوضّأ وتحتشي بالكرسف وتصلّي ، وإذا رأت الحامل الدم قبل الوقت الذي كانت ترى فيها الدم بقليل أو في الوقت من ذلك الشهر فإنه من الحيضة ، فلتمسك عن الصلاة عدد أيامها التي كانت تقعد في حيضها </w:t>
      </w:r>
      <w:r>
        <w:rPr>
          <w:rFonts w:eastAsia="Amiri" w:cs="Amiri" w:ascii="Amiri" w:hAnsi="Amiri"/>
          <w:color w:val="111111"/>
          <w:sz w:val="28"/>
          <w:szCs w:val="28"/>
          <w:rtl w:val="true"/>
          <w:lang w:bidi="ar-SA"/>
        </w:rPr>
        <w:t xml:space="preserve">» </w:t>
      </w:r>
      <w:r>
        <w:rPr>
          <w:rStyle w:val="FootnoteAnchor"/>
          <w:rtl w:val="true"/>
        </w:rPr>
        <w:footnoteReference w:id="218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لوالدي العلاّمة في اللوامع ، والمعتمد ، ويظهر من بعضهم </w:t>
      </w:r>
      <w:r>
        <w:rPr>
          <w:rStyle w:val="FootnoteAnchor"/>
          <w:rtl w:val="true"/>
        </w:rPr>
        <w:footnoteReference w:id="2186"/>
      </w:r>
      <w:r>
        <w:rPr>
          <w:rFonts w:ascii="Amiri" w:hAnsi="Amiri" w:eastAsia="Amiri" w:cs="Amiri"/>
          <w:color w:val="111111"/>
          <w:sz w:val="28"/>
          <w:sz w:val="28"/>
          <w:szCs w:val="28"/>
          <w:rtl w:val="true"/>
          <w:lang w:bidi="ar-SA"/>
        </w:rPr>
        <w:t>ذهاب بعض آخر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لخلوّ أخبار اعتبار الوصف في الحبلى وعدم حيضية الفاقدة له في غير أيام العادة عن المعارض ، فيحكم به قطعا ، ويحصل التعارض بين تلك الأخبار وبين ما يدلّ على حيضية ما في العادة في الحبلى أو مطلقا في الخالي عن الوصف في أيام العادة والمتّصف به في غيرها ، فيرجع إلى عمومات اجتماع الحيض مع الحمل ، ولازمه الحكم مع أحد الأمرين من الاتّصاف بالأوصاف ومصادفة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ولدفع توهّم إيجابه خرق المركّب قال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الظاهر أنّ إطلاق كلام الأكثر في غير وقت العادة مقيّد بوجود الأوصاف ، ولذا صرّح الكلّ بموافقة الصدوق للمشهور مع تصريحه باعتبار الصفة ، بل المشترط للعادة لا ينكر كون ما ترى في غير وقتها حيضا إذا وجدت فيه أوصافه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 لظاهر أكثر الموافقين في الاجتماع ، لعموماته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خلوّ أخبار اعتبار الوصف في الحبلى وعدم حيضية الفاقد له في غير أيام العادة عن المعارض مطلقا يخصّص تلك العمومات قطعا ، ولازمه عدم حيضية الخالي عن الوصف في غير أيام العادة ، فالحكم به لازم والقول </w:t>
      </w:r>
    </w:p>
    <w:p>
      <w:pPr>
        <w:pStyle w:val="BookText"/>
        <w:rPr/>
      </w:pPr>
      <w:r>
        <w:rPr>
          <w:rFonts w:ascii="IRNazanin" w:hAnsi="IRNazanin" w:eastAsia="IRNazanin"/>
          <w:color w:val="111111"/>
          <w:sz w:val="28"/>
          <w:sz w:val="28"/>
          <w:szCs w:val="28"/>
          <w:rtl w:val="true"/>
          <w:lang w:bidi="fa-IR"/>
        </w:rPr>
        <w:t>الخامس ساقط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اختيار الرابع ، والرجوع في الخالي عن الوصف في الأيام أو المتّصف في غيرها إلى عمومات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تعارض أخبار اعتبار الوصف في الحبلى وأخبار حيضية ما في العادة فيها واشتغال كلّ منهما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تامّا لو كانت تلك العمومات كسائر عمومات الحيض فارغة في الموردين عن المعارض الآخر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تعارضها في المورد الأوّل أخبار اعتبار الوصف في الحيض مطلقا ، فإنّها أعم من وجه من عمومات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يفيد تخصيصها بأخبار حيضية الصفرة والكدرة في أيام العادة </w:t>
      </w:r>
      <w:r>
        <w:rPr>
          <w:rStyle w:val="FootnoteAnchor"/>
          <w:rtl w:val="true"/>
        </w:rPr>
        <w:footnoteReference w:id="2187"/>
      </w:r>
      <w:r>
        <w:rPr>
          <w:rFonts w:ascii="Amiri" w:hAnsi="Amiri" w:eastAsia="Amiri" w:cs="Amiri"/>
          <w:color w:val="111111"/>
          <w:sz w:val="28"/>
          <w:sz w:val="28"/>
          <w:szCs w:val="28"/>
          <w:rtl w:val="true"/>
          <w:lang w:bidi="ar-SA"/>
        </w:rPr>
        <w:t xml:space="preserve">، لأنّ القدر المعلوم التخصيص في غير الحبلى ، وأمّا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فلمعارضة أخبار حيضية الصفرة مطلقا مع أخبار عدمها في الحبلى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 كما تعارض أخبار اعتبار الوصف في الحبلى سائر عمومات التحيّض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المورد الثاني أخبار عدم حيضية ما بعد العادة مطلقا </w:t>
      </w:r>
      <w:r>
        <w:rPr>
          <w:rStyle w:val="FootnoteAnchor"/>
          <w:rtl w:val="true"/>
        </w:rPr>
        <w:footnoteReference w:id="2188"/>
      </w:r>
      <w:r>
        <w:rPr>
          <w:rFonts w:ascii="Amiri" w:hAnsi="Amiri" w:eastAsia="Amiri" w:cs="Amiri"/>
          <w:color w:val="111111"/>
          <w:sz w:val="28"/>
          <w:sz w:val="28"/>
          <w:szCs w:val="28"/>
          <w:rtl w:val="true"/>
          <w:lang w:bidi="ar-SA"/>
        </w:rPr>
        <w:t xml:space="preserve">أو في الحبلى كصحيحة الصحاف </w:t>
      </w:r>
      <w:r>
        <w:rPr>
          <w:rStyle w:val="FootnoteAnchor"/>
          <w:rtl w:val="true"/>
        </w:rPr>
        <w:footnoteReference w:id="2189"/>
      </w:r>
      <w:r>
        <w:rPr>
          <w:rFonts w:ascii="Amiri" w:hAnsi="Amiri" w:eastAsia="Amiri" w:cs="Amiri"/>
          <w:color w:val="111111"/>
          <w:sz w:val="28"/>
          <w:sz w:val="28"/>
          <w:szCs w:val="28"/>
          <w:rtl w:val="true"/>
          <w:lang w:bidi="ar-SA"/>
        </w:rPr>
        <w:t>، فتتساقط الأخبار من الطرفين ، فيبقى الحكم في الموردين خاليا عن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وأصالة عدم تعلّق أحكام الحائض توجب عدم الحيضية فيهما كما هو مقتضى القول الأول ، فهو الأقرب إلاّ في أيام الاستظهار الثابت للحبلى بموثّقة سماعة ، المتقدّمة </w:t>
      </w:r>
      <w:r>
        <w:rPr>
          <w:rStyle w:val="FootnoteAnchor"/>
          <w:rtl w:val="true"/>
        </w:rPr>
        <w:footnoteReference w:id="2190"/>
      </w:r>
      <w:r>
        <w:rPr>
          <w:rFonts w:ascii="Amiri" w:hAnsi="Amiri" w:eastAsia="Amiri" w:cs="Amiri"/>
          <w:color w:val="111111"/>
          <w:sz w:val="28"/>
          <w:sz w:val="28"/>
          <w:szCs w:val="28"/>
          <w:rtl w:val="true"/>
          <w:lang w:bidi="ar-SA"/>
        </w:rPr>
        <w:t>وما بينها وبين العشرة في صورة عدم التجاوز ، فيحكم بالحيضية كما في غير الحبلى ، لاستصحابها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إيجابه خرق المركب فاسد ، لأنّه في أمثال المقام غير ثابت</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المعتادة ، وأمّا غيرها فالمناط فيه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فالمتّصف حيض ، </w:t>
      </w:r>
    </w:p>
    <w:p>
      <w:pPr>
        <w:pStyle w:val="BookText"/>
        <w:rPr/>
      </w:pPr>
      <w:r>
        <w:rPr>
          <w:rFonts w:ascii="Amiri" w:hAnsi="Amiri" w:eastAsia="Amiri" w:cs="Amiri"/>
          <w:color w:val="111111"/>
          <w:sz w:val="28"/>
          <w:sz w:val="28"/>
          <w:szCs w:val="28"/>
          <w:rtl w:val="true"/>
          <w:lang w:bidi="ar-SA"/>
        </w:rPr>
        <w:t>لأخبار اعتبارها مطلقا أو في خصوص الحبلى ، مضافة إلى عمومات الاجتماع ، الخالية جميعا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ليس بحيض ، للأخبار النافية لحيضيته المخصّصة لعمومات الاجتماع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بعد اتّفاقهم على أنّ الأصل في كلّ دم اتّصف بصفة الحيض أو وجد في أيام العادة كونه حيضا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مدلول المستفيضة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دم يمكن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يمتنع بحكم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حيضا فهو حيض ، بل في المعتبر ، والمنتهى ، وشرح القواعد للمحقّق الثاني </w:t>
      </w:r>
      <w:r>
        <w:rPr>
          <w:rStyle w:val="FootnoteAnchor"/>
          <w:rtl w:val="true"/>
        </w:rPr>
        <w:footnoteReference w:id="2191"/>
      </w:r>
      <w:r>
        <w:rPr>
          <w:rFonts w:ascii="Amiri" w:hAnsi="Amiri" w:eastAsia="Amiri" w:cs="Amiri"/>
          <w:color w:val="111111"/>
          <w:sz w:val="28"/>
          <w:sz w:val="28"/>
          <w:szCs w:val="28"/>
          <w:rtl w:val="true"/>
          <w:lang w:bidi="ar-SA"/>
        </w:rPr>
        <w:t>،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للإجماعات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عدم كونه من قرح ومثله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ابن مسلم وموثّقته ، المتقدّمتين </w:t>
      </w:r>
      <w:r>
        <w:rPr>
          <w:rStyle w:val="FootnoteAnchor"/>
          <w:rtl w:val="true"/>
        </w:rPr>
        <w:footnoteReference w:id="2192"/>
      </w:r>
      <w:r>
        <w:rPr>
          <w:rFonts w:ascii="Amiri" w:hAnsi="Amiri" w:eastAsia="Amiri" w:cs="Amiri"/>
          <w:color w:val="111111"/>
          <w:sz w:val="28"/>
          <w:sz w:val="28"/>
          <w:szCs w:val="28"/>
          <w:rtl w:val="true"/>
          <w:lang w:bidi="ar-SA"/>
        </w:rPr>
        <w:t>، فإنّهما شاملتان لجميع الدماء سوى ما ترى في الأيام الزائدة على العشرة الأولى والناقصة عن عشرة الطهر ، وهو ممّا يمتنع كونه حيضا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دلّ على أنّ الدم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وقت الحيض كذلك </w:t>
      </w:r>
      <w:r>
        <w:rPr>
          <w:rStyle w:val="FootnoteAnchor"/>
          <w:rtl w:val="true"/>
        </w:rPr>
        <w:footnoteReference w:id="2193"/>
      </w:r>
      <w:r>
        <w:rPr>
          <w:rFonts w:ascii="Amiri" w:hAnsi="Amiri" w:eastAsia="Amiri" w:cs="Amiri"/>
          <w:color w:val="111111"/>
          <w:sz w:val="28"/>
          <w:sz w:val="28"/>
          <w:szCs w:val="28"/>
          <w:rtl w:val="true"/>
          <w:lang w:bidi="ar-SA"/>
        </w:rPr>
        <w:t xml:space="preserve">كموثّقة سماعة </w:t>
      </w:r>
      <w:r>
        <w:rPr>
          <w:rStyle w:val="FootnoteAnchor"/>
          <w:rtl w:val="true"/>
        </w:rPr>
        <w:footnoteReference w:id="2194"/>
      </w:r>
      <w:r>
        <w:rPr>
          <w:rFonts w:ascii="Amiri" w:hAnsi="Amiri" w:eastAsia="Amiri" w:cs="Amiri"/>
          <w:color w:val="111111"/>
          <w:sz w:val="28"/>
          <w:sz w:val="28"/>
          <w:szCs w:val="28"/>
          <w:rtl w:val="true"/>
          <w:lang w:bidi="ar-SA"/>
        </w:rPr>
        <w:t xml:space="preserve">، أو الصفرة قبله كذلك كرواية علي بن أبي حمزة </w:t>
      </w:r>
      <w:r>
        <w:rPr>
          <w:rStyle w:val="FootnoteAnchor"/>
          <w:rtl w:val="true"/>
        </w:rPr>
        <w:footnoteReference w:id="2195"/>
      </w:r>
      <w:r>
        <w:rPr>
          <w:rFonts w:ascii="Amiri" w:hAnsi="Amiri" w:eastAsia="Amiri" w:cs="Amiri"/>
          <w:color w:val="111111"/>
          <w:sz w:val="28"/>
          <w:sz w:val="28"/>
          <w:szCs w:val="28"/>
          <w:rtl w:val="true"/>
          <w:lang w:bidi="ar-SA"/>
        </w:rPr>
        <w:t xml:space="preserve">وغيرها ، أو بيومين كصحيحة ابن حكيم </w:t>
      </w:r>
      <w:r>
        <w:rPr>
          <w:rStyle w:val="FootnoteAnchor"/>
          <w:rtl w:val="true"/>
        </w:rPr>
        <w:footnoteReference w:id="2196"/>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دلّ على ترتّب أحكام الحائض على مجرّد رؤية الدم كصحيحة ابن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ساعة ترى الدم فهي تفطر </w:t>
      </w:r>
      <w:r>
        <w:rPr>
          <w:rFonts w:eastAsia="Amiri" w:cs="Amiri" w:ascii="Amiri" w:hAnsi="Amiri"/>
          <w:color w:val="111111"/>
          <w:sz w:val="28"/>
          <w:szCs w:val="28"/>
          <w:rtl w:val="true"/>
          <w:lang w:bidi="ar-SA"/>
        </w:rPr>
        <w:t xml:space="preserve">»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ترى الدم من أوّل النهار في شهر رمضان أتفطر أم تصوم؟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تفطر إنّما فطرها من الدم </w:t>
      </w:r>
      <w:r>
        <w:rPr>
          <w:rFonts w:eastAsia="Amiri" w:cs="Amiri" w:ascii="Amiri" w:hAnsi="Amiri"/>
          <w:color w:val="111111"/>
          <w:sz w:val="28"/>
          <w:szCs w:val="28"/>
          <w:rtl w:val="true"/>
          <w:lang w:bidi="ar-SA"/>
        </w:rPr>
        <w:t xml:space="preserve">»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التي تكون في صلاة الظهر وقد صلّت ركعتين ثمَّ ترى الدم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تقوم من مسجدها ولا تقضي الركعتين </w:t>
      </w:r>
      <w:r>
        <w:rPr>
          <w:rFonts w:eastAsia="Amiri" w:cs="Amiri" w:ascii="Amiri" w:hAnsi="Amiri"/>
          <w:color w:val="111111"/>
          <w:sz w:val="28"/>
          <w:szCs w:val="28"/>
          <w:rtl w:val="true"/>
          <w:lang w:bidi="ar-SA"/>
        </w:rPr>
        <w:t xml:space="preserve">» </w:t>
      </w:r>
      <w:r>
        <w:rPr>
          <w:rStyle w:val="FootnoteAnchor"/>
          <w:rtl w:val="true"/>
        </w:rPr>
        <w:footnoteReference w:id="219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معناها أحاديث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وفحوى أخبار الاستظهار لذات العادة إذا رأت ما زاد عليها </w:t>
      </w:r>
      <w:r>
        <w:rPr>
          <w:rStyle w:val="FootnoteAnchor"/>
          <w:rtl w:val="true"/>
        </w:rPr>
        <w:footnoteReference w:id="2200"/>
      </w:r>
      <w:r>
        <w:rPr>
          <w:rFonts w:ascii="Amiri" w:hAnsi="Amiri" w:eastAsia="Amiri" w:cs="Amiri"/>
          <w:color w:val="111111"/>
          <w:sz w:val="28"/>
          <w:sz w:val="28"/>
          <w:szCs w:val="28"/>
          <w:rtl w:val="true"/>
          <w:lang w:bidi="ar-SA"/>
        </w:rPr>
        <w:t>الشامل لغيرها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لو لم يعتبر الإمكان لم يحكم بحيض ، إذ لا تعيّن ، والصفات إنّما تعتبر عند الحاجة إليها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ثبوت الحكم في كثير من جزئيات موارد الإمكان ، كما في حال الحمل والتمييز وأيام العادة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للناصريات ، والسرائر ، ونهاية الإحكام </w:t>
      </w:r>
      <w:r>
        <w:rPr>
          <w:rStyle w:val="FootnoteAnchor"/>
          <w:rtl w:val="true"/>
        </w:rPr>
        <w:footnoteReference w:id="2201"/>
      </w:r>
      <w:r>
        <w:rPr>
          <w:rFonts w:ascii="Amiri" w:hAnsi="Amiri" w:eastAsia="Amiri" w:cs="Amiri"/>
          <w:color w:val="111111"/>
          <w:sz w:val="28"/>
          <w:sz w:val="28"/>
          <w:szCs w:val="28"/>
          <w:rtl w:val="true"/>
          <w:lang w:bidi="ar-SA"/>
        </w:rPr>
        <w:t xml:space="preserve">، والأردبيلي ، والمدارك </w:t>
      </w:r>
      <w:r>
        <w:rPr>
          <w:rStyle w:val="FootnoteAnchor"/>
          <w:rtl w:val="true"/>
        </w:rPr>
        <w:footnoteReference w:id="2202"/>
      </w:r>
      <w:r>
        <w:rPr>
          <w:rFonts w:ascii="Amiri" w:hAnsi="Amiri" w:eastAsia="Amiri" w:cs="Amiri"/>
          <w:color w:val="111111"/>
          <w:sz w:val="28"/>
          <w:sz w:val="28"/>
          <w:szCs w:val="28"/>
          <w:rtl w:val="true"/>
          <w:lang w:bidi="ar-SA"/>
        </w:rPr>
        <w:t>، فصرّحوا بأنّ الصفرة في أيام الطهر طهر ، وظاهر الأول الإجماع عليه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للأصل ، واستصحاب لوازم الطهر ، وعمومات العبادة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ومرسلة يونس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ما رأته بعد أيام حيضها فليس من الحيض </w:t>
      </w:r>
      <w:r>
        <w:rPr>
          <w:rFonts w:eastAsia="Amiri" w:cs="Amiri" w:ascii="Amiri" w:hAnsi="Amiri"/>
          <w:color w:val="111111"/>
          <w:sz w:val="28"/>
          <w:szCs w:val="28"/>
          <w:rtl w:val="true"/>
          <w:lang w:bidi="ar-SA"/>
        </w:rPr>
        <w:t xml:space="preserve">»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رأت الصفرة في غير أيامها توضّأت وصلّت </w:t>
      </w:r>
      <w:r>
        <w:rPr>
          <w:rFonts w:eastAsia="Amiri" w:cs="Amiri" w:ascii="Amiri" w:hAnsi="Amiri"/>
          <w:color w:val="111111"/>
          <w:sz w:val="28"/>
          <w:szCs w:val="28"/>
          <w:rtl w:val="true"/>
          <w:lang w:bidi="ar-SA"/>
        </w:rPr>
        <w:t xml:space="preserve">» </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نفست فمكثت ثلاثين يوما أو أكثر ، ثمَّ طهرت وصلّت ، ثمَّ رأت دما أو صفرة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صفرة فلتغتسل ولتصلّ ولا تمسك عن الصلاة </w:t>
      </w:r>
      <w:r>
        <w:rPr>
          <w:rFonts w:eastAsia="Amiri" w:cs="Amiri" w:ascii="Amiri" w:hAnsi="Amiri"/>
          <w:color w:val="111111"/>
          <w:sz w:val="28"/>
          <w:szCs w:val="28"/>
          <w:rtl w:val="true"/>
          <w:lang w:bidi="ar-SA"/>
        </w:rPr>
        <w:t xml:space="preserve">»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موثّقة الجعفي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رأت صفرة بعد انقضاء أيام قرئها صلّت </w:t>
      </w:r>
      <w:r>
        <w:rPr>
          <w:rFonts w:eastAsia="Amiri" w:cs="Amiri" w:ascii="Amiri" w:hAnsi="Amiri"/>
          <w:color w:val="111111"/>
          <w:sz w:val="28"/>
          <w:szCs w:val="28"/>
          <w:rtl w:val="true"/>
          <w:lang w:bidi="ar-SA"/>
        </w:rPr>
        <w:t xml:space="preserve">»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مرّ من الأخبار الدالّة على انتفاء الحيضية بانتفاء الأوصاف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قرب الإسناد والمسائل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غسل عليها من صفرة تراها إلاّ في أيام طمثها </w:t>
      </w:r>
      <w:r>
        <w:rPr>
          <w:rFonts w:eastAsia="Amiri" w:cs="Amiri" w:ascii="Amiri" w:hAnsi="Amiri"/>
          <w:color w:val="111111"/>
          <w:sz w:val="28"/>
          <w:szCs w:val="28"/>
          <w:rtl w:val="true"/>
          <w:lang w:bidi="ar-SA"/>
        </w:rPr>
        <w:t xml:space="preserve">»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دعائم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المرأة ترى الدم أيام طهرها إن كان دم الحيض فهو بمنزلة الحائض وعليها منه الغسل ، وإن كان دما رقيقا فتلك ركضة من الشيطان تتوضّأ وتصلّي ويأتيها زوجها </w:t>
      </w:r>
      <w:r>
        <w:rPr>
          <w:rFonts w:eastAsia="Amiri" w:cs="Amiri" w:ascii="Amiri" w:hAnsi="Amiri"/>
          <w:color w:val="111111"/>
          <w:sz w:val="28"/>
          <w:szCs w:val="28"/>
          <w:rtl w:val="true"/>
          <w:lang w:bidi="ar-SA"/>
        </w:rPr>
        <w:t xml:space="preserve">»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الحق ، لما ذكر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ويجاب عن أدلّة المخالف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فبعدم حجية الإجماع المنقول سيما مع مخالفة هؤلاء الفحول ، على أنّهم لم يدعوه إلاّ على حيضية ما يمكن أن يكون حيضا أي شرعا ، والإمكان في أيام الطهر مع عدم الوصف ممنوع جدّا ، كيف وقد وردت النصوص على عدم حيضيته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فبمعارضته بأصالة عدم كونه حيضا ، وكون الأصل في دماء النساء الحيضية ممنوع ، وخلقه فيهن لغذاء الولد لا يوجبه ، فإنّ الخلق غير القذف ، والدماء الأخر موجودة فيهن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 دلالته إنّما هي على تقدير كونه بيانا للحيضية ، وأما إذا كان المراد بيان الأولية والثانوية كما عليه حمله الأكثر كما مرّ فلا يدلّ إلاّ على بعض الموارد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عامة بالنسبة إلى ما ذكر ، فيجب تخصيصه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يجاب عن الرابع والخامس ، مضافا في الأول إلى أنه إنّما يتضمّن الحكم في بعض الجزئيات وهو قبل الحيض ، ومع ذلك يتضمّن خلافه في البعض الآخر وهو ما بعد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فبمنع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فبمنع انتفاء اليقين الشرعي ، ومنع تخصيص اعتبار الصفات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قياسا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 بانتفاء الحكم في كثير من الموارد الأخر ، كالزائد على العادة مع التجاوز عن العشرة ، وفي الأقلّ من ثلاثة أيام والأكثر من عشرة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أقسام النساء ، والدم الذي تتحيّض به كلّ منهن ، والذي لا تتحيّض به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وأقسامهنّ على ما يستفاد من أخبار الباب أربعة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المبتدأة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ابتدأت الحيض أو ابتدأها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والمضطربة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لم تستقرّ لها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وذات العادة وهي من استقرّت عادتها في الحيض وعرفتها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استقرّت عادتها ونسيتها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والمبتدأة بالمعنى المذكور هي المبتدأة بالمعنى الأخص ، وقد يطلق على الأولى والثانية معا ، وهي المبتدأة بالمعنى الأعم ، والمضطربة على ذلك الإطلاق تطلق على الناسية ، فتجعل الأقسام ثلاثة ، والأمر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Style w:val="FootnoteAnchor"/>
          <w:rtl w:val="true"/>
        </w:rPr>
        <w:footnoteReference w:id="2211"/>
      </w:r>
      <w:r>
        <w:rPr>
          <w:rFonts w:ascii="Amiri" w:hAnsi="Amiri" w:eastAsia="Amiri" w:cs="Amiri"/>
          <w:color w:val="111111"/>
          <w:sz w:val="28"/>
          <w:sz w:val="28"/>
          <w:szCs w:val="28"/>
          <w:rtl w:val="true"/>
          <w:lang w:bidi="ar-SA"/>
        </w:rPr>
        <w:t>من ظهور الفائدة في رجوع القسم الثاني إلى عادة أهلها وعدمه فاسد جدّا ، لعدم إناطة الحكم في النصوص بتلك الألفاظ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الظاهر أنّ منشأ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اتّحاد أحكام القسمين الأولين واختلافها ، فمن سمّى القسمين باسم واحد نظر إلى اتّحاد المضطربة بالمعنى الأول مع المبتدأة بالمعنى الأخص فيما يتعلّق بها من أحكام الباب ، وهو أولى لذلك ، فتكون الأقسام الكلية المختلفة باختلافها في الأحكام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المبتدأة وذات العادة والناسية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كلّ منها إمّا في تحيضها أو في قدر حيضها ووقته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المبتدأة الشاملة لمن كان ابتداء حيضها أو بعده قبل استقرار العادة ، وقد عرفت أنّ الكلام فيها إمّا في تحيضها أو في قدره ، فهاهنا موضعان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تحيّضها يعني الحكم بكون دمها حيضا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المبتدأة بالمعنى الأعم إذا رأت الدم ففي تحيّضها بمجرد الرؤية مطلقا فتترك العبادة ، أو استظهارها بفعلها حتى يستمرّ إلى الثلاثة فتتحيّض </w:t>
      </w:r>
    </w:p>
    <w:p>
      <w:pPr>
        <w:pStyle w:val="BookText"/>
        <w:rPr/>
      </w:pPr>
      <w:r>
        <w:rPr>
          <w:rFonts w:ascii="Amiri" w:hAnsi="Amiri" w:eastAsia="Amiri" w:cs="Amiri"/>
          <w:color w:val="111111"/>
          <w:sz w:val="28"/>
          <w:sz w:val="28"/>
          <w:szCs w:val="28"/>
          <w:rtl w:val="true"/>
          <w:lang w:bidi="ar-SA"/>
        </w:rPr>
        <w:t xml:space="preserve">كذلك ، أو الأول مع كون الدم بصفة الحيض خاصة ،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عن المبسوط ، والإصباح ، والجامع ، وظاهر المقنعة ، ونهاية الشيخ </w:t>
      </w:r>
      <w:r>
        <w:rPr>
          <w:rStyle w:val="FootnoteAnchor"/>
          <w:rtl w:val="true"/>
        </w:rPr>
        <w:footnoteReference w:id="2212"/>
      </w:r>
      <w:r>
        <w:rPr>
          <w:rFonts w:ascii="Amiri" w:hAnsi="Amiri" w:eastAsia="Amiri" w:cs="Amiri"/>
          <w:color w:val="111111"/>
          <w:sz w:val="28"/>
          <w:sz w:val="28"/>
          <w:szCs w:val="28"/>
          <w:rtl w:val="true"/>
          <w:lang w:bidi="ar-SA"/>
        </w:rPr>
        <w:t xml:space="preserve">، والوسيلة ، والذكرى </w:t>
      </w:r>
      <w:r>
        <w:rPr>
          <w:rStyle w:val="FootnoteAnchor"/>
          <w:rtl w:val="true"/>
        </w:rPr>
        <w:footnoteReference w:id="2213"/>
      </w:r>
      <w:r>
        <w:rPr>
          <w:rFonts w:ascii="Amiri" w:hAnsi="Amiri" w:eastAsia="Amiri" w:cs="Amiri"/>
          <w:color w:val="111111"/>
          <w:sz w:val="28"/>
          <w:sz w:val="28"/>
          <w:szCs w:val="28"/>
          <w:rtl w:val="true"/>
          <w:lang w:bidi="ar-SA"/>
        </w:rPr>
        <w:t xml:space="preserve">، ونسب إلى المنتهى ، والمختلف ، ونهاية الإحكام </w:t>
      </w:r>
      <w:r>
        <w:rPr>
          <w:rStyle w:val="FootnoteAnchor"/>
          <w:rtl w:val="true"/>
        </w:rPr>
        <w:footnoteReference w:id="2214"/>
      </w:r>
      <w:r>
        <w:rPr>
          <w:rFonts w:ascii="Amiri" w:hAnsi="Amiri" w:eastAsia="Amiri" w:cs="Amiri"/>
          <w:color w:val="111111"/>
          <w:sz w:val="28"/>
          <w:sz w:val="28"/>
          <w:szCs w:val="28"/>
          <w:rtl w:val="true"/>
          <w:lang w:bidi="ar-SA"/>
        </w:rPr>
        <w:t>، وكلماتها تحتمله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لأصالة عدم الآفة ، وقاعدة ما يمكن أن يكون حيضا فهو حيض ، وعموم النصوص المستفيضة في التحيّض بمجرّد رؤية الدم </w:t>
      </w:r>
      <w:r>
        <w:rPr>
          <w:rStyle w:val="FootnoteAnchor"/>
          <w:rtl w:val="true"/>
        </w:rPr>
        <w:footnoteReference w:id="2215"/>
      </w:r>
      <w:r>
        <w:rPr>
          <w:rFonts w:ascii="Amiri" w:hAnsi="Amiri" w:eastAsia="Amiri" w:cs="Amiri"/>
          <w:color w:val="111111"/>
          <w:sz w:val="28"/>
          <w:sz w:val="28"/>
          <w:szCs w:val="28"/>
          <w:rtl w:val="true"/>
          <w:lang w:bidi="ar-SA"/>
        </w:rPr>
        <w:t xml:space="preserve">الناشئ عن ترك الاستفصال في أكثرها ، وخصوص بعضها في أول من تحيض </w:t>
      </w:r>
      <w:r>
        <w:rPr>
          <w:rStyle w:val="FootnoteAnchor"/>
          <w:rtl w:val="true"/>
        </w:rPr>
        <w:footnoteReference w:id="2216"/>
      </w:r>
      <w:r>
        <w:rPr>
          <w:rFonts w:ascii="Amiri" w:hAnsi="Amiri" w:eastAsia="Amiri" w:cs="Amiri"/>
          <w:color w:val="111111"/>
          <w:sz w:val="28"/>
          <w:sz w:val="28"/>
          <w:szCs w:val="28"/>
          <w:rtl w:val="true"/>
          <w:lang w:bidi="ar-SA"/>
        </w:rPr>
        <w:t xml:space="preserve">، والأخبار الدالّة على التحيّض برؤية الدم المتّصف </w:t>
      </w:r>
      <w:r>
        <w:rPr>
          <w:rStyle w:val="FootnoteAnchor"/>
          <w:rtl w:val="true"/>
        </w:rPr>
        <w:footnoteReference w:id="2217"/>
      </w:r>
      <w:r>
        <w:rPr>
          <w:rFonts w:ascii="Amiri" w:hAnsi="Amiri" w:eastAsia="Amiri" w:cs="Amiri"/>
          <w:color w:val="111111"/>
          <w:sz w:val="28"/>
          <w:sz w:val="28"/>
          <w:szCs w:val="28"/>
          <w:rtl w:val="true"/>
          <w:lang w:bidi="ar-SA"/>
        </w:rPr>
        <w:t>بضميمة 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للسرائر ، والمعتبر </w:t>
      </w:r>
      <w:r>
        <w:rPr>
          <w:rStyle w:val="FootnoteAnchor"/>
          <w:rtl w:val="true"/>
        </w:rPr>
        <w:footnoteReference w:id="2218"/>
      </w:r>
      <w:r>
        <w:rPr>
          <w:rFonts w:ascii="Amiri" w:hAnsi="Amiri" w:eastAsia="Amiri" w:cs="Amiri"/>
          <w:color w:val="111111"/>
          <w:sz w:val="28"/>
          <w:sz w:val="28"/>
          <w:szCs w:val="28"/>
          <w:rtl w:val="true"/>
          <w:lang w:bidi="ar-SA"/>
        </w:rPr>
        <w:t xml:space="preserve">، وعن السيّد </w:t>
      </w:r>
      <w:r>
        <w:rPr>
          <w:rStyle w:val="FootnoteAnchor"/>
          <w:rtl w:val="true"/>
        </w:rPr>
        <w:footnoteReference w:id="2219"/>
      </w:r>
      <w:r>
        <w:rPr>
          <w:rFonts w:ascii="Amiri" w:hAnsi="Amiri" w:eastAsia="Amiri" w:cs="Amiri"/>
          <w:color w:val="111111"/>
          <w:sz w:val="28"/>
          <w:sz w:val="28"/>
          <w:szCs w:val="28"/>
          <w:rtl w:val="true"/>
          <w:lang w:bidi="ar-SA"/>
        </w:rPr>
        <w:t xml:space="preserve">، والإسكافي </w:t>
      </w:r>
      <w:r>
        <w:rPr>
          <w:rStyle w:val="FootnoteAnchor"/>
          <w:rtl w:val="true"/>
        </w:rPr>
        <w:footnoteReference w:id="2220"/>
      </w:r>
      <w:r>
        <w:rPr>
          <w:rFonts w:ascii="Amiri" w:hAnsi="Amiri" w:eastAsia="Amiri" w:cs="Amiri"/>
          <w:color w:val="111111"/>
          <w:sz w:val="28"/>
          <w:sz w:val="28"/>
          <w:szCs w:val="28"/>
          <w:rtl w:val="true"/>
          <w:lang w:bidi="ar-SA"/>
        </w:rPr>
        <w:t xml:space="preserve">، والديلمي </w:t>
      </w:r>
      <w:r>
        <w:rPr>
          <w:rStyle w:val="FootnoteAnchor"/>
          <w:rtl w:val="true"/>
        </w:rPr>
        <w:footnoteReference w:id="2221"/>
      </w:r>
      <w:r>
        <w:rPr>
          <w:rFonts w:ascii="Amiri" w:hAnsi="Amiri" w:eastAsia="Amiri" w:cs="Amiri"/>
          <w:color w:val="111111"/>
          <w:sz w:val="28"/>
          <w:sz w:val="28"/>
          <w:szCs w:val="28"/>
          <w:rtl w:val="true"/>
          <w:lang w:bidi="ar-SA"/>
        </w:rPr>
        <w:t xml:space="preserve">، والحلبي </w:t>
      </w:r>
      <w:r>
        <w:rPr>
          <w:rStyle w:val="FootnoteAnchor"/>
          <w:rtl w:val="true"/>
        </w:rPr>
        <w:footnoteReference w:id="2222"/>
      </w:r>
      <w:r>
        <w:rPr>
          <w:rFonts w:ascii="Amiri" w:hAnsi="Amiri" w:eastAsia="Amiri" w:cs="Amiri"/>
          <w:color w:val="111111"/>
          <w:sz w:val="28"/>
          <w:sz w:val="28"/>
          <w:szCs w:val="28"/>
          <w:rtl w:val="true"/>
          <w:lang w:bidi="ar-SA"/>
        </w:rPr>
        <w:t xml:space="preserve">، بل الشرائع ، والنافع ، والقواعد ، والدروس ، والبيان </w:t>
      </w:r>
      <w:r>
        <w:rPr>
          <w:rStyle w:val="FootnoteAnchor"/>
          <w:rtl w:val="true"/>
        </w:rPr>
        <w:footnoteReference w:id="2223"/>
      </w:r>
      <w:r>
        <w:rPr>
          <w:rFonts w:ascii="Amiri" w:hAnsi="Amiri" w:eastAsia="Amiri" w:cs="Amiri"/>
          <w:color w:val="111111"/>
          <w:sz w:val="28"/>
          <w:sz w:val="28"/>
          <w:szCs w:val="28"/>
          <w:rtl w:val="true"/>
          <w:lang w:bidi="ar-SA"/>
        </w:rPr>
        <w:t>، وإن احتاط في الأخيرين في تعلّق التروك بمجرّد الرؤية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لعمومات أوامر العبادة ، فلا تسقط إلاّ باليقين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والثالث للمدارك والذخيرة </w:t>
      </w:r>
      <w:r>
        <w:rPr>
          <w:rStyle w:val="FootnoteAnchor"/>
          <w:rtl w:val="true"/>
        </w:rPr>
        <w:footnoteReference w:id="2224"/>
      </w:r>
      <w:r>
        <w:rPr>
          <w:rFonts w:ascii="Amiri" w:hAnsi="Amiri" w:eastAsia="Amiri" w:cs="Amiri"/>
          <w:color w:val="111111"/>
          <w:sz w:val="28"/>
          <w:sz w:val="28"/>
          <w:szCs w:val="28"/>
          <w:rtl w:val="true"/>
          <w:lang w:bidi="ar-SA"/>
        </w:rPr>
        <w:t xml:space="preserve">، لأخبار التمييز الدالّة منطوقا أو مفهوما على أنّ ما ليس بصفة الحيض فليس بحيض ، وأنّ ما تراه في اليوم واليومين إن لم يكن دما عبيطا تصلّي ذينك اليومين كما مرّ </w:t>
      </w:r>
      <w:r>
        <w:rPr>
          <w:rStyle w:val="FootnoteAnchor"/>
          <w:rtl w:val="true"/>
        </w:rPr>
        <w:footnoteReference w:id="2225"/>
      </w:r>
      <w:r>
        <w:rPr>
          <w:rFonts w:ascii="Amiri" w:hAnsi="Amiri" w:eastAsia="Amiri" w:cs="Amiri"/>
          <w:color w:val="111111"/>
          <w:sz w:val="28"/>
          <w:sz w:val="28"/>
          <w:szCs w:val="28"/>
          <w:rtl w:val="true"/>
          <w:lang w:bidi="ar-SA"/>
        </w:rPr>
        <w:t xml:space="preserve">، ومفهوم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رأت الدم البحراني فلتدع الصلاة </w:t>
      </w:r>
      <w:r>
        <w:rPr>
          <w:rFonts w:eastAsia="Amiri" w:cs="Amiri" w:ascii="Amiri" w:hAnsi="Amiri"/>
          <w:color w:val="111111"/>
          <w:sz w:val="28"/>
          <w:szCs w:val="28"/>
          <w:rtl w:val="true"/>
          <w:lang w:bidi="ar-SA"/>
        </w:rPr>
        <w:t xml:space="preserve">»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الحقّ ،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عن دليل الأول ، أمّا عن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عن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عن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فبوجوب تخصيصها بأخبار التمييز لأخصّيتها ، مع أنّ في بعضها ذكر رؤية الحيض والطمث وعوده ، وصدقه في المورد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الخصوصات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فبعدم دلالتها ، لمنع صدق من تحيض ما لم يستمرّ دمها إلى الثلاثة أو كان بالصفة ، مع أنّه لو سلّم لتعارضت مع أخبار التمييز بالعموم من وجه ، فتتساقطان ويرجع إلى أصالة عدم سقوط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قد ادّعى في المدارك كون محلّ النزاع هو الدم المتّصف بالأوصاف لا غيره ، وهو الظاهر من المنتهى </w:t>
      </w:r>
      <w:r>
        <w:rPr>
          <w:rStyle w:val="FootnoteAnchor"/>
          <w:rtl w:val="true"/>
        </w:rPr>
        <w:footnoteReference w:id="2227"/>
      </w:r>
      <w:r>
        <w:rPr>
          <w:rFonts w:ascii="Amiri" w:hAnsi="Amiri" w:eastAsia="Amiri" w:cs="Amiri"/>
          <w:color w:val="111111"/>
          <w:sz w:val="28"/>
          <w:sz w:val="28"/>
          <w:szCs w:val="28"/>
          <w:rtl w:val="true"/>
          <w:lang w:bidi="ar-SA"/>
        </w:rPr>
        <w:t>حيث إنّه بعد ما اختار قول الشيخ احتجّ بأخبار التمييز ، وبأنّ الاحتياط لو كان معتبرا في المبتدأة لكان كذلك في ذات العادة ، لعدم الفارق</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أجاب عن إبداء الفارق بوجود الظن في الثاني دون محل النزاع بوجود الظن فيه أيضا ، لأنّ المظنون أنّ المرأة البالغة إذا رأت ما هو بصفة الحيض أنّه حيض ، وهذا كالصريح في كون محلّ النزاع هو الدم المتّصف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يظهر أنه الظاهر من المختلف </w:t>
      </w:r>
      <w:r>
        <w:rPr>
          <w:rStyle w:val="FootnoteAnchor"/>
          <w:rtl w:val="true"/>
        </w:rPr>
        <w:footnoteReference w:id="2228"/>
      </w:r>
      <w:r>
        <w:rPr>
          <w:rFonts w:ascii="Amiri" w:hAnsi="Amiri" w:eastAsia="Amiri" w:cs="Amiri"/>
          <w:color w:val="111111"/>
          <w:sz w:val="28"/>
          <w:sz w:val="28"/>
          <w:szCs w:val="28"/>
          <w:rtl w:val="true"/>
          <w:lang w:bidi="ar-SA"/>
        </w:rPr>
        <w:t xml:space="preserve">أيضا ، لأنّه صرّح فيه بأنّ مختاره فيه كما اختاره في المنتهى ، ولذا نسب في المدارك إليه التصريح باختصاص محلّ النزاع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والقول بأنّ الاحتجاج بالدليل الأخصّ لا يخصّص الدعوى العامة ، إذ لعلّه لدفع مذهب الخصم وتتميم المطلوب بعدم الفصل </w:t>
      </w:r>
      <w:r>
        <w:rPr>
          <w:rStyle w:val="FootnoteAnchor"/>
          <w:rtl w:val="true"/>
        </w:rPr>
        <w:footnoteReference w:id="2230"/>
      </w:r>
      <w:r>
        <w:rPr>
          <w:rFonts w:ascii="Amiri" w:hAnsi="Amiri" w:eastAsia="Amiri" w:cs="Amiri"/>
          <w:color w:val="111111"/>
          <w:sz w:val="28"/>
          <w:sz w:val="28"/>
          <w:szCs w:val="28"/>
          <w:rtl w:val="true"/>
          <w:lang w:bidi="ar-SA"/>
        </w:rPr>
        <w:t xml:space="preserve">، مقدوح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الظاهر ، مع أنّ وجه ظهور كلامه في الاختصاص لا يختص بذلك بل بعده ما يؤكّده ظهورا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واستدلاله بقاعدة ما يمكن أن يكون حيضا فهو حيض غير ضائر ، إذ الشأن في تعيين ما يمكن عنده ، ولعلّه لا يرى غير المتّصف من الأفراد الممكنة ، سيما مع تعريفه دم الحيض بأنّه دم متّصف بكذا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إمكان أن يكون الوجه في عدم التقييد أولا هو الاتكال على ما عرّفوا به دم الحيض ، بل يظهر احتمال وجه لعدم تقييد أكثرهم العنوان بالمتصف أيضا ، حيث إنّهم عرّفوا أولا دم الحيض مطلقا أو مقيّدا بالأغلب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سلّمنا عدم الظهور في الاختصاص فلا شك في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يبطل الإجماع المركّب الذي ادّعوه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ظاهر المحقق الشيخ علي في شرح القواعد </w:t>
      </w:r>
      <w:r>
        <w:rPr>
          <w:rStyle w:val="FootnoteAnchor"/>
          <w:rtl w:val="true"/>
        </w:rPr>
        <w:footnoteReference w:id="2231"/>
      </w:r>
      <w:r>
        <w:rPr>
          <w:rFonts w:ascii="Amiri" w:hAnsi="Amiri" w:eastAsia="Amiri" w:cs="Amiri"/>
          <w:color w:val="111111"/>
          <w:sz w:val="28"/>
          <w:sz w:val="28"/>
          <w:szCs w:val="28"/>
          <w:rtl w:val="true"/>
          <w:lang w:bidi="ar-SA"/>
        </w:rPr>
        <w:t>الإجماع على عدم الفرق ، ولكنه غير صالح لإثبات الإجماع ، لعدم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بما ذكرنا ظهر الجواب عن دليل الثاني أيضا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المختار من عدم تحيّضها برؤية الدم الغير المتّصف هل تتحيّض إذا استمرّ ذلك الدم ثلاثة أيام أم لا؟ </w:t>
      </w:r>
    </w:p>
    <w:p>
      <w:pPr>
        <w:pStyle w:val="BookText"/>
        <w:rPr/>
      </w:pPr>
      <w:r>
        <w:rPr>
          <w:rFonts w:ascii="Amiri" w:hAnsi="Amiri" w:eastAsia="Amiri" w:cs="Amiri"/>
          <w:color w:val="111111"/>
          <w:sz w:val="28"/>
          <w:sz w:val="28"/>
          <w:szCs w:val="28"/>
          <w:rtl w:val="true"/>
          <w:lang w:bidi="ar-SA"/>
        </w:rPr>
        <w:t xml:space="preserve">صرّح بالأول الديلمي </w:t>
      </w:r>
      <w:r>
        <w:rPr>
          <w:rStyle w:val="FootnoteAnchor"/>
          <w:rtl w:val="true"/>
        </w:rPr>
        <w:footnoteReference w:id="2232"/>
      </w:r>
      <w:r>
        <w:rPr>
          <w:rFonts w:ascii="Amiri" w:hAnsi="Amiri" w:eastAsia="Amiri" w:cs="Amiri"/>
          <w:color w:val="111111"/>
          <w:sz w:val="28"/>
          <w:sz w:val="28"/>
          <w:szCs w:val="28"/>
          <w:rtl w:val="true"/>
          <w:lang w:bidi="ar-SA"/>
        </w:rPr>
        <w:t xml:space="preserve">، والحلّي ، والمنتهى </w:t>
      </w:r>
      <w:r>
        <w:rPr>
          <w:rStyle w:val="FootnoteAnchor"/>
          <w:rtl w:val="true"/>
        </w:rPr>
        <w:footnoteReference w:id="2233"/>
      </w:r>
      <w:r>
        <w:rPr>
          <w:rFonts w:ascii="Amiri" w:hAnsi="Amiri" w:eastAsia="Amiri" w:cs="Amiri"/>
          <w:color w:val="111111"/>
          <w:sz w:val="28"/>
          <w:sz w:val="28"/>
          <w:szCs w:val="28"/>
          <w:rtl w:val="true"/>
          <w:lang w:bidi="ar-SA"/>
        </w:rPr>
        <w:t>، مدّعيا عليه في الأخير أنه مذهب علمائنا أجمع ، فإن ثبت فهو ، وإلاّ ففيه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المحكي عن المقنع ، والمقنعة </w:t>
      </w:r>
      <w:r>
        <w:rPr>
          <w:rStyle w:val="FootnoteAnchor"/>
          <w:rtl w:val="true"/>
        </w:rPr>
        <w:footnoteReference w:id="2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الصفرة والكدرة حينئذ حيضا ، حيث حكما بالاستبراء مع رؤيتهما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قدر حيضها ووقته بعد الحكم بكونها حائضا ، ونبيّن هذا الموضع في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 بكونها حائضا إمّا برؤيتها الدم المتّصف ، أو بالاستمرار إلى الثلاثة إن قلنا بالحيضية معه فيحكم بكون المرئي حيضا إن لم يتجاوز العشرة ولو لم يتّصف بالصفة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لاستصحاب الحيضية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الجارية البكر أول ما تحيض ،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فلها أن تجلس وتدع الصلاة ما دامت ترى الدم ما لم يجز العشرة </w:t>
      </w:r>
      <w:r>
        <w:rPr>
          <w:rFonts w:eastAsia="Amiri" w:cs="Amiri" w:ascii="Amiri" w:hAnsi="Amiri"/>
          <w:color w:val="111111"/>
          <w:sz w:val="28"/>
          <w:szCs w:val="28"/>
          <w:rtl w:val="true"/>
          <w:lang w:bidi="ar-SA"/>
        </w:rPr>
        <w:t xml:space="preserve">»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وموثّقتي ابن بكير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إذا رأت الدم في أول حيضها فاستمرّ الدم تركت الصلاة عشرة أيام </w:t>
      </w:r>
      <w:r>
        <w:rPr>
          <w:rFonts w:eastAsia="Amiri" w:cs="Amiri" w:ascii="Amiri" w:hAnsi="Amiri"/>
          <w:color w:val="111111"/>
          <w:sz w:val="28"/>
          <w:szCs w:val="28"/>
          <w:rtl w:val="true"/>
          <w:lang w:bidi="ar-SA"/>
        </w:rPr>
        <w:t xml:space="preserve">»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الجارية أول ما تحيض يدفع عنها الدم فتكون مستحاضة إنّها تنتظر بالصلاة فلا تصلّي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ما يكون من الحيض ، فإذا مضى </w:t>
      </w:r>
    </w:p>
    <w:p>
      <w:pPr>
        <w:pStyle w:val="BookText"/>
        <w:rPr/>
      </w:pPr>
      <w:r>
        <w:rPr>
          <w:rFonts w:ascii="Amiri" w:hAnsi="Amiri" w:eastAsia="Amiri" w:cs="Amiri"/>
          <w:color w:val="111111"/>
          <w:sz w:val="28"/>
          <w:sz w:val="28"/>
          <w:szCs w:val="28"/>
          <w:rtl w:val="true"/>
          <w:lang w:bidi="ar-SA"/>
        </w:rPr>
        <w:t xml:space="preserve">ذلك وهو عشرة أيام فعلت ما تفعله المستحاضة </w:t>
      </w:r>
      <w:r>
        <w:rPr>
          <w:rFonts w:eastAsia="Amiri" w:cs="Amiri" w:ascii="Amiri" w:hAnsi="Amiri"/>
          <w:color w:val="111111"/>
          <w:sz w:val="28"/>
          <w:szCs w:val="28"/>
          <w:rtl w:val="true"/>
          <w:lang w:bidi="ar-SA"/>
        </w:rPr>
        <w:t xml:space="preserve">»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محمّد وموثّقته المتقدّمتين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تضرّ معارضة أخبار التمييز مع تلك الأخبار ، لموافقة الاستصحاب مع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حكم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النقاء المتخلّل بين الدمين في العشرة الغير المتجاوز عنها ، بإجماع جميع فقهائنا ، كما صرّح به بعض مشايخنا المحقّقين ، بل جمع آخر منهم والدي العلاّمة رحمه اللّه ، لاستصحاب الحيضية ، وعدم كون الطهر مطلقا أقلّ من العشرة ، كما مرّ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انقطع دمها بعد الثلاثة فما فوقها ، ولم تر حتى مضى أقلّ الطهر من الانقطاع ثمَّ رأته يحكم بالحيضية المستقلة مع الصفات ، لا بدونها إلاّ إذا استمرّ ثلاثة أيام إن قلنا بالإجماع على حيضيته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والأكثر حكموا بالحيضية مطلقا ، لبعض الأخبار </w:t>
      </w:r>
      <w:r>
        <w:rPr>
          <w:rStyle w:val="FootnoteAnchor"/>
          <w:rtl w:val="true"/>
        </w:rPr>
        <w:footnoteReference w:id="2240"/>
      </w:r>
      <w:r>
        <w:rPr>
          <w:rFonts w:ascii="Amiri" w:hAnsi="Amiri" w:eastAsia="Amiri" w:cs="Amiri"/>
          <w:color w:val="111111"/>
          <w:sz w:val="28"/>
          <w:sz w:val="28"/>
          <w:szCs w:val="28"/>
          <w:rtl w:val="true"/>
          <w:lang w:bidi="ar-SA"/>
        </w:rPr>
        <w:t>المعارضة بروايات التمييز ، وللبناء على أنّ ما يمكن أن يكون حيضا فهو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ما فيه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تجاوز دمها العشرة ، فإن كان لها تمييز رجعت إليه على الحق المشهور ، بل عليه الإجماع في المعتبر ، والتذكرة </w:t>
      </w:r>
      <w:r>
        <w:rPr>
          <w:rStyle w:val="FootnoteAnchor"/>
          <w:rtl w:val="true"/>
        </w:rPr>
        <w:footnoteReference w:id="2242"/>
      </w:r>
      <w:r>
        <w:rPr>
          <w:rFonts w:ascii="IRNazanin" w:hAnsi="IRNazanin" w:eastAsia="IRNazanin"/>
          <w:color w:val="111111"/>
          <w:sz w:val="28"/>
          <w:sz w:val="28"/>
          <w:szCs w:val="28"/>
          <w:rtl w:val="true"/>
          <w:lang w:bidi="fa-IR"/>
        </w:rPr>
        <w:t xml:space="preserve">، واللوامع ، وعن الخلاف ، </w:t>
      </w:r>
    </w:p>
    <w:p>
      <w:pPr>
        <w:pStyle w:val="BookText"/>
        <w:rPr/>
      </w:pPr>
      <w:r>
        <w:rPr>
          <w:rFonts w:ascii="IRNazanin" w:hAnsi="IRNazanin" w:eastAsia="IRNazanin"/>
          <w:color w:val="111111"/>
          <w:sz w:val="28"/>
          <w:sz w:val="28"/>
          <w:szCs w:val="28"/>
          <w:rtl w:val="true"/>
          <w:lang w:bidi="fa-IR"/>
        </w:rPr>
        <w:t xml:space="preserve">والمنتهى </w:t>
      </w:r>
      <w:r>
        <w:rPr>
          <w:rStyle w:val="FootnoteAnchor"/>
          <w:rtl w:val="true"/>
        </w:rPr>
        <w:footnoteReference w:id="2243"/>
      </w:r>
      <w:r>
        <w:rPr>
          <w:rFonts w:ascii="Amiri" w:hAnsi="Amiri" w:eastAsia="Amiri" w:cs="Amiri"/>
          <w:color w:val="111111"/>
          <w:sz w:val="28"/>
          <w:sz w:val="28"/>
          <w:szCs w:val="28"/>
          <w:rtl w:val="true"/>
          <w:lang w:bidi="ar-SA"/>
        </w:rPr>
        <w:t xml:space="preserve">، وأسنده في الكفاية إلى الأصحاب </w:t>
      </w:r>
      <w:r>
        <w:rPr>
          <w:rStyle w:val="FootnoteAnchor"/>
          <w:rtl w:val="true"/>
        </w:rPr>
        <w:footnoteReference w:id="2244"/>
      </w:r>
      <w:r>
        <w:rPr>
          <w:rFonts w:ascii="Amiri" w:hAnsi="Amiri" w:eastAsia="Amiri" w:cs="Amiri"/>
          <w:color w:val="111111"/>
          <w:sz w:val="28"/>
          <w:sz w:val="28"/>
          <w:szCs w:val="28"/>
          <w:rtl w:val="true"/>
          <w:lang w:bidi="ar-SA"/>
        </w:rPr>
        <w:t xml:space="preserve">، وفي الدروس إلى ظاهرهم </w:t>
      </w:r>
      <w:r>
        <w:rPr>
          <w:rStyle w:val="FootnoteAnchor"/>
          <w:rtl w:val="true"/>
        </w:rPr>
        <w:footnoteReference w:id="2245"/>
      </w:r>
      <w:r>
        <w:rPr>
          <w:rFonts w:ascii="Amiri" w:hAnsi="Amiri" w:eastAsia="Amiri" w:cs="Amiri"/>
          <w:color w:val="111111"/>
          <w:sz w:val="28"/>
          <w:sz w:val="28"/>
          <w:szCs w:val="28"/>
          <w:rtl w:val="true"/>
          <w:lang w:bidi="ar-SA"/>
        </w:rPr>
        <w:t xml:space="preserve">، لأخبار اعتبار الصفات إثباتا ونفيا ، ومنها الدالّة عليه في خصوص استمرار الدم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الصدوقين </w:t>
      </w:r>
      <w:r>
        <w:rPr>
          <w:rStyle w:val="FootnoteAnchor"/>
          <w:rtl w:val="true"/>
        </w:rPr>
        <w:footnoteReference w:id="2247"/>
      </w:r>
      <w:r>
        <w:rPr>
          <w:rFonts w:ascii="Amiri" w:hAnsi="Amiri" w:eastAsia="Amiri" w:cs="Amiri"/>
          <w:color w:val="111111"/>
          <w:sz w:val="28"/>
          <w:sz w:val="28"/>
          <w:szCs w:val="28"/>
          <w:rtl w:val="true"/>
          <w:lang w:bidi="ar-SA"/>
        </w:rPr>
        <w:t xml:space="preserve">، والمفيد ، وابن زهرة </w:t>
      </w:r>
      <w:r>
        <w:rPr>
          <w:rStyle w:val="FootnoteAnchor"/>
          <w:rtl w:val="true"/>
        </w:rPr>
        <w:footnoteReference w:id="2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التعرّض للرجوع إلى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المضطربة أولا إلى نسائها ، فإن فقدن فإلى التمييز ، والمبتدأة إلى نسائها خاصة إلى أن تستقرّ لها عادة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دليل يعتدّ به لشي‌ء منها يصلح لمعارضة أخبار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جارية حاضت أول حيضها فدام دمها ثلاثة أشهر وهي لا تعرف أيام أقرائها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أقراؤها مثل أقراء نسائها ، فإن كانت نساؤها مختلفات فأكثر جلوسها عشرة أيام وأقلّه ثلاثة أيام </w:t>
      </w:r>
      <w:r>
        <w:rPr>
          <w:rFonts w:eastAsia="Amiri" w:cs="Amiri" w:ascii="Amiri" w:hAnsi="Amiri"/>
          <w:color w:val="111111"/>
          <w:sz w:val="28"/>
          <w:szCs w:val="28"/>
          <w:rtl w:val="true"/>
          <w:lang w:bidi="ar-SA"/>
        </w:rPr>
        <w:t xml:space="preserve">» </w:t>
      </w:r>
      <w:r>
        <w:rPr>
          <w:rStyle w:val="FootnoteAnchor"/>
          <w:rtl w:val="true"/>
        </w:rPr>
        <w:footnoteReference w:id="2250"/>
      </w:r>
      <w:r>
        <w:rPr>
          <w:rFonts w:ascii="Amiri" w:hAnsi="Amiri" w:eastAsia="Amiri" w:cs="Amiri"/>
          <w:color w:val="111111"/>
          <w:sz w:val="28"/>
          <w:sz w:val="28"/>
          <w:szCs w:val="28"/>
          <w:rtl w:val="true"/>
          <w:lang w:bidi="ar-SA"/>
        </w:rPr>
        <w:t>الدالّة بظاهرها على رجوع المبتدأة إلى النساء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تلك الدلالة ، إذ السؤال إنّما هو عمّن لا تعرف أقراءها ، ولا نسلّم أن صاحبة التمييز لا تعرفها ، فهي واردة في غير ذات التمييز</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الكفاية </w:t>
      </w:r>
      <w:r>
        <w:rPr>
          <w:rStyle w:val="FootnoteAnchor"/>
          <w:rtl w:val="true"/>
        </w:rPr>
        <w:footnoteReference w:id="2251"/>
      </w:r>
      <w:r>
        <w:rPr>
          <w:rFonts w:ascii="Amiri" w:hAnsi="Amiri" w:eastAsia="Amiri" w:cs="Amiri"/>
          <w:color w:val="111111"/>
          <w:sz w:val="28"/>
          <w:sz w:val="28"/>
          <w:szCs w:val="28"/>
          <w:rtl w:val="true"/>
          <w:lang w:bidi="ar-SA"/>
        </w:rPr>
        <w:t xml:space="preserve">التردّد بين الرجوع إلى التمييز وبين الرجوع إلى الأيام </w:t>
      </w:r>
    </w:p>
    <w:p>
      <w:pPr>
        <w:pStyle w:val="BookText"/>
        <w:rPr/>
      </w:pPr>
      <w:r>
        <w:rPr>
          <w:rFonts w:ascii="Amiri" w:hAnsi="Amiri" w:eastAsia="Amiri" w:cs="Amiri"/>
          <w:color w:val="111111"/>
          <w:sz w:val="28"/>
          <w:sz w:val="28"/>
          <w:szCs w:val="28"/>
          <w:rtl w:val="true"/>
          <w:lang w:bidi="ar-SA"/>
        </w:rPr>
        <w:t>الذي هو شأنها حين فقد التمييز والنساء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ظاهر بعض مشايخنا الأخباريين </w:t>
      </w:r>
      <w:r>
        <w:rPr>
          <w:rStyle w:val="FootnoteAnchor"/>
          <w:rtl w:val="true"/>
        </w:rPr>
        <w:footnoteReference w:id="2252"/>
      </w:r>
      <w:r>
        <w:rPr>
          <w:rFonts w:ascii="IRNazanin" w:hAnsi="IRNazanin" w:eastAsia="IRNazanin"/>
          <w:color w:val="111111"/>
          <w:sz w:val="28"/>
          <w:sz w:val="28"/>
          <w:szCs w:val="28"/>
          <w:rtl w:val="true"/>
          <w:lang w:bidi="fa-IR"/>
        </w:rPr>
        <w:t xml:space="preserve">ترجيح الثاني ، لقوله في مرسلة يونس ، الطويلة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السنّة الثالثة فهي التي ليست لها أيام متقدّمة ولم تر الدم قط ورأت أول ما أدركت واستمرّ بها ، فإنّ سنّة هذه غير سنّة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والثانية ، وذلك أن امرأة يقال لها حمنة بنت جحش أتت رسول اللّه صلی اللّه عليه وآله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استحضت حيضة شديدة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تحيّضي في كلّ شهر في علم اللّه ستة أيام أو سبعة </w:t>
      </w:r>
      <w:r>
        <w:rPr>
          <w:rFonts w:eastAsia="IRNazanin" w:cs="IRNazanin"/>
          <w:color w:val="111111"/>
          <w:sz w:val="28"/>
          <w:szCs w:val="28"/>
          <w:rtl w:val="true"/>
          <w:lang w:bidi="fa-IR"/>
        </w:rPr>
        <w:t xml:space="preserve">» </w:t>
      </w:r>
      <w:r>
        <w:rPr>
          <w:rStyle w:val="FootnoteAnchor"/>
          <w:rtl w:val="true"/>
        </w:rPr>
        <w:footnoteReference w:id="2253"/>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وموثّقة سماعة ، المتقدّمة </w:t>
      </w:r>
      <w:r>
        <w:rPr>
          <w:rStyle w:val="FootnoteAnchor"/>
          <w:rtl w:val="true"/>
        </w:rPr>
        <w:footnoteReference w:id="2254"/>
      </w:r>
      <w:r>
        <w:rPr>
          <w:rFonts w:ascii="Amiri" w:hAnsi="Amiri" w:eastAsia="Amiri" w:cs="Amiri"/>
          <w:color w:val="111111"/>
          <w:sz w:val="28"/>
          <w:sz w:val="28"/>
          <w:szCs w:val="28"/>
          <w:rtl w:val="true"/>
          <w:lang w:bidi="ar-SA"/>
        </w:rPr>
        <w:t xml:space="preserve">، وموثّقتي ابن بكير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إذا رأت الدم في أول حيضها فاستمرّ تركت الصلاة عشرة أيام ، ثمَّ تصلّي عشرين يوما ، فإن استمرّ بها الدم بعد ذلك تركت الصلاة ثلاثة أيام وصلّت سبعة وعشرين يوما </w:t>
      </w:r>
      <w:r>
        <w:rPr>
          <w:rFonts w:eastAsia="Amiri" w:cs="Amiri" w:ascii="Amiri" w:hAnsi="Amiri"/>
          <w:color w:val="111111"/>
          <w:sz w:val="28"/>
          <w:szCs w:val="28"/>
          <w:rtl w:val="true"/>
          <w:lang w:bidi="ar-SA"/>
        </w:rPr>
        <w:t xml:space="preserve">» </w:t>
      </w:r>
      <w:r>
        <w:rPr>
          <w:rStyle w:val="FootnoteAnchor"/>
          <w:rtl w:val="true"/>
        </w:rPr>
        <w:footnoteReference w:id="2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وبمضمونها الأخرى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معارضة لإطلاقات التمييز بالعموم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والترجيح للإطلاقات ، لأشهريتها رواية وفتوى ، وأصحّيتها سندا ، واعتضادها بالإجماعات المستفيضة نقلا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مع ما في المرسلة من اختصاصها بفاقدة التمييز التي هي غير المسألة ، كما يدلّ عليه قوله في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يكن الأمر كذلك ولكن الدم أطبق عليها </w:t>
      </w:r>
    </w:p>
    <w:p>
      <w:pPr>
        <w:pStyle w:val="BookText"/>
        <w:rPr/>
      </w:pPr>
      <w:r>
        <w:rPr>
          <w:rFonts w:ascii="Amiri" w:hAnsi="Amiri" w:eastAsia="Amiri" w:cs="Amiri"/>
          <w:color w:val="111111"/>
          <w:sz w:val="28"/>
          <w:sz w:val="28"/>
          <w:szCs w:val="28"/>
          <w:rtl w:val="true"/>
          <w:lang w:bidi="ar-SA"/>
        </w:rPr>
        <w:t xml:space="preserve">فلم تزل الاستحاضة دائرة وكان الدم على لون واحد وحالة واحدة ، فسنتها السبع ، والثلاث والعشرون ، لأنّ قصتها قصة حمنة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الموثّقة من عدم المنافاة ، إذ مع الرجوع إلى التمييز يكون أيضا أكثر الجلوس عشرة وأقلّه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الأخيرتين من عدم الحجية ، لعدم عامل بمضمونها بخصوصه ولو في فاقدة التمييز أيضا كما يأتي ، مع أنّ ثانيتهما ليست مروية عن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يتوقّف حصول التمييز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ينقص المشابه للحيض عن الثلاثة مع تواليها ولا يزيد على العشرة ، لعموم ما دلّ على اعتبار الأمرين في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إطلاق ما دلّ على اعتبار الصفات مخالفة لذلك ، لورودها في بيان الوصف دون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المخالفة ظاهرا يجب تقييده بما دلّ على اعتبارهما ، لظاهر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يجاب عمّا في رواية يونس من أنّ المختلطة عليها أيامها تعرفها بالدم ما كان من قليل الأيام وكثيرها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النظر عن الإجماع ووجوب التقييد يحصل التعارض فيرجع إلى الأصل ، ولا شك أنه مع عدم التحيّض ، لعمومات العبادة وأصالة عدم تعلّق أحكام الحيض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فتوهّم عدم اعتبار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مشايخنا الأخباريين </w:t>
      </w:r>
      <w:r>
        <w:rPr>
          <w:rStyle w:val="FootnoteAnchor"/>
          <w:rtl w:val="true"/>
        </w:rPr>
        <w:footnoteReference w:id="2257"/>
      </w:r>
      <w:r>
        <w:rPr>
          <w:rFonts w:ascii="Amiri" w:hAnsi="Amiri" w:eastAsia="Amiri" w:cs="Amiri"/>
          <w:color w:val="111111"/>
          <w:sz w:val="28"/>
          <w:sz w:val="28"/>
          <w:szCs w:val="28"/>
          <w:rtl w:val="true"/>
          <w:lang w:bidi="ar-SA"/>
        </w:rPr>
        <w:t xml:space="preserve">، ونقله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اللوامع عن ظاهر المبسوط </w:t>
      </w:r>
      <w:r>
        <w:rPr>
          <w:rStyle w:val="FootnoteAnchor"/>
          <w:rtl w:val="true"/>
        </w:rPr>
        <w:footnoteReference w:id="2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 فلا تمييز لفاقدته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تتحيّض ببعض ما زاد على العشرة ممّا يمكن جعله حيضا وبالناقص مع </w:t>
      </w:r>
    </w:p>
    <w:p>
      <w:pPr>
        <w:pStyle w:val="BookText"/>
        <w:rPr/>
      </w:pPr>
      <w:r>
        <w:rPr>
          <w:rFonts w:ascii="Amiri" w:hAnsi="Amiri" w:eastAsia="Amiri" w:cs="Amiri"/>
          <w:color w:val="111111"/>
          <w:sz w:val="28"/>
          <w:sz w:val="28"/>
          <w:szCs w:val="28"/>
          <w:rtl w:val="true"/>
          <w:lang w:bidi="ar-SA"/>
        </w:rPr>
        <w:t xml:space="preserve">إكماله بما في الروايات ، أم لا بل يتعيّن الرجوع إلى النساء أو الروايات؟ 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أدلّة التمييز ، وعموم الرجوع إلى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قصور الخالي عن الوصف المحكوم بكونه طهرا أو مع النقاء المتخلّل عن أقلّ الطهر على الحقّ المشهور ، بل قال بعض الأجلة </w:t>
      </w:r>
      <w:r>
        <w:rPr>
          <w:rStyle w:val="FootnoteAnchor"/>
          <w:rtl w:val="true"/>
        </w:rPr>
        <w:footnoteReference w:id="2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فيه ، لإطلاق أنّ أقلّ الطهر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يضرّه إطلاق أخبار التمييز ، للرجوع إلى أصالة عدم الحيضية بعد تعارضهما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الأخبار الدالّة على جعل النقاء المتخلّل الأقلّ من عشرة متكرّرا بين الدماء المتكرّرة طهرا </w:t>
      </w:r>
      <w:r>
        <w:rPr>
          <w:rStyle w:val="FootnoteAnchor"/>
          <w:rtl w:val="true"/>
        </w:rPr>
        <w:footnoteReference w:id="2260"/>
      </w:r>
      <w:r>
        <w:rPr>
          <w:rFonts w:ascii="Amiri" w:hAnsi="Amiri" w:eastAsia="Amiri" w:cs="Amiri"/>
          <w:color w:val="111111"/>
          <w:sz w:val="28"/>
          <w:sz w:val="28"/>
          <w:szCs w:val="28"/>
          <w:rtl w:val="true"/>
          <w:lang w:bidi="ar-SA"/>
        </w:rPr>
        <w:t>، لخروجها عن مورد المسألة الذي هو تفاوت الدمين بالأوصاف ، مع أنّه قد مرّ الجواب عنها في مسألة أقلّ الطهر ، فلا يجعل كلّ من الدمين المتخلّل بينهما ذلك حيضا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وقع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تخلّل الضعيف الأقلّ من العشرة القوي الصالح للحيضية في كلّ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يجعل المجموع من الضعيف حيضا مع إمكانه ، وأحدهما خاصة مع عدم الإمكان ، أو يحكم بفقد التمييز؟</w:t>
      </w:r>
    </w:p>
    <w:p>
      <w:pPr>
        <w:pStyle w:val="BookText"/>
        <w:rPr/>
      </w:pPr>
      <w:r>
        <w:rPr>
          <w:rFonts w:ascii="IRNazanin" w:hAnsi="IRNazanin" w:eastAsia="IRNazanin"/>
          <w:color w:val="111111"/>
          <w:sz w:val="28"/>
          <w:sz w:val="28"/>
          <w:szCs w:val="28"/>
          <w:rtl w:val="true"/>
          <w:lang w:bidi="fa-IR"/>
        </w:rPr>
        <w:t xml:space="preserve">فعن المبسوط </w:t>
      </w:r>
      <w:r>
        <w:rPr>
          <w:rStyle w:val="FootnoteAnchor"/>
          <w:rtl w:val="true"/>
        </w:rPr>
        <w:footnoteReference w:id="2261"/>
      </w:r>
      <w:r>
        <w:rPr>
          <w:rFonts w:ascii="Amiri" w:hAnsi="Amiri" w:eastAsia="Amiri" w:cs="Amiri"/>
          <w:color w:val="111111"/>
          <w:sz w:val="28"/>
          <w:sz w:val="28"/>
          <w:szCs w:val="28"/>
          <w:rtl w:val="true"/>
          <w:lang w:bidi="ar-SA"/>
        </w:rPr>
        <w:t>أنّها لو رأت ثلاثة دم الحيض وثلاثة دم الاستحاضة ثمَّ رأت بصفة الحيض تمام العشرة فالكل حيض ، وإن تجاوز الثالث إلى تمام ستة عشر كان العشرة حيضا والستة السابقة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2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أنّ دم الاستحاضة لمّا خرج عن كونه حيضا خرج ما قبله أيضا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ويضعّف بإمكان القول بمثله فيما بعده أيضا ، فتخصيص القبل ترجيح بلا مرجّح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يظهر ضعف العكس وجعل المتقدّم حيضا كما عن بعضهم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استحسن المحقّق نفي التمييز حينئذ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واستقر به في الذكرى </w:t>
      </w:r>
      <w:r>
        <w:rPr>
          <w:rStyle w:val="FootnoteAnchor"/>
          <w:rtl w:val="true"/>
        </w:rPr>
        <w:footnoteReference w:id="2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الأقرب ، لوضوح تقييد أخبار التمييز بالإمكان ، وهو هنا غير ممكن في كلّ أيامه ، وتخصيص البعض ترجيح بلا مرجّح ، بل الظاهر منها الإمكان 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المنتهى والتحرير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الدم في الصفات المعتبرة في الحيض ، المتقدّمة ، من السواد والحرارة والدفع والحرقة ، فيجعل ما بصفة الحيض حيضا والباقي استحاضة ، وكذا الكثرة كما يصرّح بها في مرسلة </w:t>
      </w:r>
      <w:r>
        <w:rPr>
          <w:rStyle w:val="FootnoteAnchor"/>
          <w:rtl w:val="true"/>
        </w:rPr>
        <w:footnoteReference w:id="2267"/>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إلحاق الغلظة والنتن بها فقد عرفت أنه لا دليل عليهما سوى بعض الأخبار الضعيفة الغير الصالحة للحجيّة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يدّعى فيهما شهادة التجربة ، ولا يستفاد منها لو سلّمت عليهما سوى المظنة ، واعتبارها في المقام خال عن الحجة ، كما أنّ التخصيص هنا باللون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كتب الجماعة </w:t>
      </w:r>
      <w:r>
        <w:rPr>
          <w:rStyle w:val="FootnoteAnchor"/>
          <w:rtl w:val="true"/>
        </w:rPr>
        <w:footnoteReference w:id="2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تمييز لفاقدة الصفات المذكورة ، كما لا تمييز لواجدتها فقط للحيض أو الاستحاضة في المتساوية منها قوّة وضعفا إجماعا ، بل وكذا في المختلفة بالقوة والضعف فقط بعد اتّحاد الصفة المنصوصة عرفا على الأصح ، فلا تمييز لواجده </w:t>
      </w:r>
    </w:p>
    <w:p>
      <w:pPr>
        <w:pStyle w:val="BookText"/>
        <w:rPr/>
      </w:pPr>
      <w:r>
        <w:rPr>
          <w:rFonts w:ascii="Amiri" w:hAnsi="Amiri" w:eastAsia="Amiri" w:cs="Amiri"/>
          <w:color w:val="111111"/>
          <w:sz w:val="28"/>
          <w:sz w:val="28"/>
          <w:szCs w:val="28"/>
          <w:rtl w:val="true"/>
          <w:lang w:bidi="ar-SA"/>
        </w:rPr>
        <w:t xml:space="preserve">المختلف بالسواد الشديد وغير الشديد ، بل ولا بالسواد والحمرة ، ولا بالحارّ والأقلّ حرارة ، خلافا لجماعة </w:t>
      </w:r>
      <w:r>
        <w:rPr>
          <w:rStyle w:val="FootnoteAnchor"/>
          <w:rtl w:val="true"/>
        </w:rPr>
        <w:footnoteReference w:id="2269"/>
      </w:r>
      <w:r>
        <w:rPr>
          <w:rFonts w:ascii="Amiri" w:hAnsi="Amiri" w:eastAsia="Amiri" w:cs="Amiri"/>
          <w:color w:val="111111"/>
          <w:sz w:val="28"/>
          <w:sz w:val="28"/>
          <w:szCs w:val="28"/>
          <w:rtl w:val="true"/>
          <w:lang w:bidi="ar-SA"/>
        </w:rPr>
        <w:t>فحكموا بالتمييز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لو رأت عشرة أحمر ثمَّ عشرة أسود ثمَّ عشرة أشدّ سوادا ، لم يكن له تمييز ، لكون الجميع بصفة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يحكم فيها بالجلوس عن العبادة تمام الشهر ، للانتقال إلى الأقوى في كلّ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بشي‌ء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تمييز لواجده المتّصف ببعض صفات أحدهما ، لدلالة أخبار التمييز على اعتبار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وجدت البعض متّصفا بجميع صفات الحيض والآخر ببعض صفات الاستحاضة فهي في الحيض ذات 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وجدت البعض متّصفا بصفات الحيض ، وبعضا آخر بصفاته أيضا ولكن بأضعف من الأولى ، وثالثا بصفات الاستحاضة ، كان الأولان حيضا مجموعا إذا استجمعا سائر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 التمييز للمبتدأة ، رجعت إلى عادة نسائها بلا خلاف ظاهر ، بل عليه الإجماع في كلام بعض الأكابر </w:t>
      </w:r>
      <w:r>
        <w:rPr>
          <w:rStyle w:val="FootnoteAnchor"/>
          <w:rtl w:val="true"/>
        </w:rPr>
        <w:footnoteReference w:id="2270"/>
      </w:r>
      <w:r>
        <w:rPr>
          <w:rFonts w:ascii="Amiri" w:hAnsi="Amiri" w:eastAsia="Amiri" w:cs="Amiri"/>
          <w:color w:val="111111"/>
          <w:sz w:val="28"/>
          <w:sz w:val="28"/>
          <w:szCs w:val="28"/>
          <w:rtl w:val="true"/>
          <w:lang w:bidi="ar-SA"/>
        </w:rPr>
        <w:t xml:space="preserve">، وعن المعتبر اتّفاق الأعيان من فضلائنا عليه </w:t>
      </w:r>
      <w:r>
        <w:rPr>
          <w:rStyle w:val="FootnoteAnchor"/>
          <w:rtl w:val="true"/>
        </w:rPr>
        <w:footnoteReference w:id="2271"/>
      </w:r>
      <w:r>
        <w:rPr>
          <w:rFonts w:ascii="Amiri" w:hAnsi="Amiri" w:eastAsia="Amiri" w:cs="Amiri"/>
          <w:color w:val="111111"/>
          <w:sz w:val="28"/>
          <w:sz w:val="28"/>
          <w:szCs w:val="28"/>
          <w:rtl w:val="true"/>
          <w:lang w:bidi="ar-SA"/>
        </w:rPr>
        <w:t xml:space="preserve">، وفي اللوامع صرّح باتّفاق الكلّ عليه ، وفي المدارك أنّه المعروف من مذهب الأصحاب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لموثّقة سماعة ، المتقدّمة </w:t>
      </w:r>
      <w:r>
        <w:rPr>
          <w:rStyle w:val="FootnoteAnchor"/>
          <w:rtl w:val="true"/>
        </w:rPr>
        <w:footnoteReference w:id="2273"/>
      </w:r>
      <w:r>
        <w:rPr>
          <w:rFonts w:ascii="Amiri" w:hAnsi="Amiri" w:eastAsia="Amiri" w:cs="Amiri"/>
          <w:color w:val="111111"/>
          <w:sz w:val="28"/>
          <w:sz w:val="28"/>
          <w:szCs w:val="28"/>
          <w:rtl w:val="true"/>
          <w:lang w:bidi="ar-SA"/>
        </w:rPr>
        <w:t xml:space="preserve">التي هي حجة بنفسها ، وباعتضادها بما مرّ ، </w:t>
      </w:r>
    </w:p>
    <w:p>
      <w:pPr>
        <w:pStyle w:val="BookText"/>
        <w:rPr/>
      </w:pPr>
      <w:r>
        <w:rPr>
          <w:rFonts w:ascii="Amiri" w:hAnsi="Amiri" w:eastAsia="Amiri" w:cs="Amiri"/>
          <w:color w:val="111111"/>
          <w:sz w:val="28"/>
          <w:sz w:val="28"/>
          <w:szCs w:val="28"/>
          <w:rtl w:val="true"/>
          <w:lang w:bidi="ar-SA"/>
        </w:rPr>
        <w:t xml:space="preserve">وبدعوى الخلاف إجماع الفرقة على صحتها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النفساء إذا ابتليت بأيّام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كانت لا تعرف أيام نفاسها فابتليت ، جلست بمثل أيام أمها أو أختها أو خالتها </w:t>
      </w:r>
      <w:r>
        <w:rPr>
          <w:rFonts w:eastAsia="Amiri" w:cs="Amiri" w:ascii="Amiri" w:hAnsi="Amiri"/>
          <w:color w:val="111111"/>
          <w:sz w:val="28"/>
          <w:szCs w:val="28"/>
          <w:rtl w:val="true"/>
          <w:lang w:bidi="ar-SA"/>
        </w:rPr>
        <w:t xml:space="preserve">»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والأخيرة شاملة للمبتدأة بقسميها ، فهي الحجة في المضطربة وإن احتاجت في تتميم جميع ما يتعلّق بها إلى 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يضرّ في المسألة إطلاق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رجوع المبتدأة إلى الأيام أوّلا ، لكونها أعم من الموثّقة الأولى مطلقا باعتبار وجود النساء واتّفاقهن وعدمهما ، فيجب تقييدها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قد حملها الشهيد على ما لا ينافي الموثّقة </w:t>
      </w:r>
      <w:r>
        <w:rPr>
          <w:rStyle w:val="FootnoteAnchor"/>
          <w:rtl w:val="true"/>
        </w:rPr>
        <w:footnoteReference w:id="2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صريح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كفتاوى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الرجوع إلى النساء بصورة اتّفاقهن في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تضرّها موثّقة زرارة ومحمّد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المستحاضة تنظر بعض نسائها فتقتدي بأقرائها ثمَّ تستظهر على ذلك بيوم </w:t>
      </w:r>
      <w:r>
        <w:rPr>
          <w:rFonts w:eastAsia="Amiri" w:cs="Amiri" w:ascii="Amiri" w:hAnsi="Amiri"/>
          <w:color w:val="111111"/>
          <w:sz w:val="28"/>
          <w:szCs w:val="28"/>
          <w:rtl w:val="true"/>
          <w:lang w:bidi="ar-SA"/>
        </w:rPr>
        <w:t xml:space="preserve">» </w:t>
      </w:r>
      <w:r>
        <w:rPr>
          <w:rStyle w:val="FootnoteAnchor"/>
          <w:rtl w:val="true"/>
        </w:rPr>
        <w:footnoteReference w:id="2277"/>
      </w:r>
      <w:r>
        <w:rPr>
          <w:rFonts w:ascii="Amiri" w:hAnsi="Amiri" w:eastAsia="Amiri" w:cs="Amiri"/>
          <w:color w:val="111111"/>
          <w:sz w:val="28"/>
          <w:sz w:val="28"/>
          <w:szCs w:val="28"/>
          <w:rtl w:val="true"/>
          <w:lang w:bidi="ar-SA"/>
        </w:rPr>
        <w:t>حيث عمّت صورة الاختلاف أيضا ، لأنّها أعم مطلقا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 اختصاص الأخيرة بالاختلاف لمكان الأمر بالنظر إلى البعض ، ضعيف ، لأنّ مع الاتّفاق أيضا يكون الاقتداء بكلّ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أعم أيضا من حيث شمولها لغير المبتدأة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أنها لو خصّت بصورة الاختلاف </w:t>
      </w:r>
    </w:p>
    <w:p>
      <w:pPr>
        <w:pStyle w:val="BookText"/>
        <w:rPr/>
      </w:pPr>
      <w:r>
        <w:rPr>
          <w:rFonts w:ascii="Amiri" w:hAnsi="Amiri" w:eastAsia="Amiri" w:cs="Amiri"/>
          <w:color w:val="111111"/>
          <w:sz w:val="28"/>
          <w:sz w:val="28"/>
          <w:szCs w:val="28"/>
          <w:rtl w:val="true"/>
          <w:lang w:bidi="ar-SA"/>
        </w:rPr>
        <w:t xml:space="preserve">خرجت عن صلاحية المعارضة ، لصيرورتها شاذة ، لعدم قائل بمضمونها ، كما صرّح به جماعة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يظهر عدم مضرّة موثّقة أبي بصير أيضا ، مع أنها شاملة لصورة الاختصاص بوجود إحدى من ذكر فيها وعدم وجود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مقتضى 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الجميع مع العلم باتّفاقهن ، إذ حينئذ يمكن جعل أقرائها مثل أقرائها ، وإلى الأيام مع العلم باختلافهن ولو بعد الفحص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لم يعلم الاتّفاق ولا الاختلاف ولم يتمكّن من الاستعلام ، كأن تكون بعضهن أمواتا أو في بلاد بعيدة ، وكانت المعلومات حالهن متّفقات حتى يصدق عدم العلم بالاختلاف ، فالظاهر الاكتفاء بهذا البعض المعلوم بمقتضى الموثّقتين الأخيرتين الخاليتين عن المعارض في المقام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الأولى أيضا النساء الأحياء المتمكّن من استعلام حالهن أو الموجودات في بلدها </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وتدخل في نسائها أقاربها من الأبوين أو أحدهما إجماعا وعرفا ، دون غيرهن وإن تلبّست بضرب من الملابسة وكفى أدناها في الإضافة ، لأنّ كفايته مصحّحة للإضافة لا معيّنة لإرادة كلّ ملابس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عموم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الحياة في الأقارب ولا التساوي في السن ولا الاتّحاد في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لظاهر الذكرى </w:t>
      </w:r>
      <w:r>
        <w:rPr>
          <w:rStyle w:val="FootnoteAnchor"/>
          <w:rtl w:val="true"/>
        </w:rPr>
        <w:footnoteReference w:id="2280"/>
      </w:r>
      <w:r>
        <w:rPr>
          <w:rFonts w:ascii="Amiri" w:hAnsi="Amiri" w:eastAsia="Amiri" w:cs="Amiri"/>
          <w:color w:val="111111"/>
          <w:sz w:val="28"/>
          <w:sz w:val="28"/>
          <w:szCs w:val="28"/>
          <w:rtl w:val="true"/>
          <w:lang w:bidi="ar-SA"/>
        </w:rPr>
        <w:t>في الأخير ، فاعتبره ، لظهور تأثير الاختلاف في البلد في مخالفة الأمزجة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اجتهاد في مقابلة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ولعدم تبادر غير المتّحد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مردود بلزوم تبادر المتّحد في التخصيص ، وهو منتف</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يختص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فقد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بنسائها؟ كما عن المعتبر والمنتهى </w:t>
      </w:r>
      <w:r>
        <w:rPr>
          <w:rStyle w:val="FootnoteAnchor"/>
          <w:rtl w:val="true"/>
        </w:rPr>
        <w:footnoteReference w:id="2281"/>
      </w:r>
    </w:p>
    <w:p>
      <w:pPr>
        <w:pStyle w:val="BookText"/>
        <w:rPr/>
      </w:pP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يجوز لها الرجوع مع وجود النساء واتّفاقهن إلى أقرانها وذوات أسنانها أيضا؟ إمّا مطلقا ، كما في النافع </w:t>
      </w:r>
      <w:r>
        <w:rPr>
          <w:rStyle w:val="FootnoteAnchor"/>
          <w:rtl w:val="true"/>
        </w:rPr>
        <w:footnoteReference w:id="2282"/>
      </w:r>
      <w:r>
        <w:rPr>
          <w:rFonts w:ascii="Amiri" w:hAnsi="Amiri" w:eastAsia="Amiri" w:cs="Amiri"/>
          <w:color w:val="111111"/>
          <w:sz w:val="28"/>
          <w:sz w:val="28"/>
          <w:szCs w:val="28"/>
          <w:rtl w:val="true"/>
          <w:lang w:bidi="ar-SA"/>
        </w:rPr>
        <w:t xml:space="preserve">وعن التلخيص ، أو بشرط كونهن من أهل بلدها ، كما نقله في الشرائع </w:t>
      </w:r>
      <w:r>
        <w:rPr>
          <w:rStyle w:val="FootnoteAnchor"/>
          <w:rtl w:val="true"/>
        </w:rPr>
        <w:footnoteReference w:id="2283"/>
      </w:r>
      <w:r>
        <w:rPr>
          <w:rFonts w:ascii="Amiri" w:hAnsi="Amiri" w:eastAsia="Amiri" w:cs="Amiri"/>
          <w:color w:val="111111"/>
          <w:sz w:val="28"/>
          <w:sz w:val="28"/>
          <w:szCs w:val="28"/>
          <w:rtl w:val="true"/>
          <w:lang w:bidi="ar-SA"/>
        </w:rPr>
        <w:t xml:space="preserve">وعزاه في المدارك إلى المبسوط </w:t>
      </w:r>
      <w:r>
        <w:rPr>
          <w:rStyle w:val="FootnoteAnchor"/>
          <w:rtl w:val="true"/>
        </w:rPr>
        <w:footnoteReference w:id="2284"/>
      </w:r>
      <w:r>
        <w:rPr>
          <w:rFonts w:ascii="IRNazanin" w:hAnsi="IRNazanin" w:eastAsia="IRNazanin"/>
          <w:color w:val="111111"/>
          <w:sz w:val="28"/>
          <w:sz w:val="28"/>
          <w:szCs w:val="28"/>
          <w:rtl w:val="true"/>
          <w:lang w:bidi="fa-IR"/>
        </w:rPr>
        <w:t>وجمع من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يجوز لها ذلك مع فقد النساء خاصة مطلقا؟ كما عن المهذّب ، والتحرير ، والتبصرة </w:t>
      </w:r>
      <w:r>
        <w:rPr>
          <w:rStyle w:val="FootnoteAnchor"/>
          <w:rtl w:val="true"/>
        </w:rPr>
        <w:footnoteReference w:id="2285"/>
      </w:r>
      <w:r>
        <w:rPr>
          <w:rFonts w:ascii="Amiri" w:hAnsi="Amiri" w:eastAsia="Amiri" w:cs="Amiri"/>
          <w:color w:val="111111"/>
          <w:sz w:val="28"/>
          <w:sz w:val="28"/>
          <w:szCs w:val="28"/>
          <w:rtl w:val="true"/>
          <w:lang w:bidi="ar-SA"/>
        </w:rPr>
        <w:t xml:space="preserve">، وجمل الشيخ ، واقتصاده </w:t>
      </w:r>
      <w:r>
        <w:rPr>
          <w:rStyle w:val="FootnoteAnchor"/>
          <w:rtl w:val="true"/>
        </w:rPr>
        <w:footnoteReference w:id="2286"/>
      </w:r>
      <w:r>
        <w:rPr>
          <w:rFonts w:ascii="IRNazanin" w:hAnsi="IRNazanin" w:eastAsia="IRNazanin"/>
          <w:color w:val="111111"/>
          <w:sz w:val="28"/>
          <w:sz w:val="28"/>
          <w:szCs w:val="28"/>
          <w:rtl w:val="true"/>
          <w:lang w:bidi="fa-IR"/>
        </w:rPr>
        <w:t xml:space="preserve">، والسرائر </w:t>
      </w:r>
      <w:r>
        <w:rPr>
          <w:rStyle w:val="FootnoteAnchor"/>
          <w:rtl w:val="true"/>
        </w:rPr>
        <w:footnoteReference w:id="2287"/>
      </w:r>
      <w:r>
        <w:rPr>
          <w:rFonts w:ascii="Amiri" w:hAnsi="Amiri" w:eastAsia="Amiri" w:cs="Amiri"/>
          <w:color w:val="111111"/>
          <w:sz w:val="28"/>
          <w:sz w:val="28"/>
          <w:szCs w:val="28"/>
          <w:rtl w:val="true"/>
          <w:lang w:bidi="ar-SA"/>
        </w:rPr>
        <w:t xml:space="preserve">، أو بشرط اتّحاد البلد ، كما عن الوسيلة </w:t>
      </w:r>
      <w:r>
        <w:rPr>
          <w:rStyle w:val="FootnoteAnchor"/>
          <w:rtl w:val="true"/>
        </w:rPr>
        <w:footnoteReference w:id="2288"/>
      </w:r>
      <w:r>
        <w:rPr>
          <w:rFonts w:ascii="Amiri" w:hAnsi="Amiri" w:eastAsia="Amiri" w:cs="Amiri"/>
          <w:color w:val="111111"/>
          <w:sz w:val="28"/>
          <w:sz w:val="28"/>
          <w:szCs w:val="28"/>
          <w:rtl w:val="true"/>
          <w:lang w:bidi="ar-SA"/>
        </w:rPr>
        <w:t xml:space="preserve">، أو مع اختلافهن أيضا مطلقا ، كما عن القواعد ، والإرشاد ، ونهاية الإحكام </w:t>
      </w:r>
      <w:r>
        <w:rPr>
          <w:rStyle w:val="FootnoteAnchor"/>
          <w:rtl w:val="true"/>
        </w:rPr>
        <w:footnoteReference w:id="2289"/>
      </w:r>
      <w:r>
        <w:rPr>
          <w:rFonts w:ascii="Amiri" w:hAnsi="Amiri" w:eastAsia="Amiri" w:cs="Amiri"/>
          <w:color w:val="111111"/>
          <w:sz w:val="28"/>
          <w:sz w:val="28"/>
          <w:szCs w:val="28"/>
          <w:rtl w:val="true"/>
          <w:lang w:bidi="ar-SA"/>
        </w:rPr>
        <w:t>، أو بشرط اتّحاد البلد ، كما عن الإصباح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هو الأول ، لعدم دليل معتدّ به على الرجوع إليهن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الظن بمشابهتها مع الأقران في الأقراء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سلّمت فاعتباره غير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والاستدلال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كفاية أدنى الملابسة فاسد ، كما مرّ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والتمسّك باستفادة توزيع أيام الأقراء على الأعمار في المرسل المصرّح بأنّ المرأة أول ما تحيض تكون كثيرة الدم وكلّما كبرت نقص الدم </w:t>
      </w:r>
      <w:r>
        <w:rPr>
          <w:rStyle w:val="FootnoteAnchor"/>
          <w:rtl w:val="true"/>
        </w:rPr>
        <w:footnoteReference w:id="2290"/>
      </w:r>
      <w:r>
        <w:rPr>
          <w:rFonts w:ascii="Amiri" w:hAnsi="Amiri" w:eastAsia="Amiri" w:cs="Amiri"/>
          <w:color w:val="111111"/>
          <w:sz w:val="28"/>
          <w:sz w:val="28"/>
          <w:szCs w:val="28"/>
          <w:rtl w:val="true"/>
          <w:lang w:bidi="ar-SA"/>
        </w:rPr>
        <w:t xml:space="preserve">، ضعيف ، لعدم </w:t>
      </w:r>
    </w:p>
    <w:p>
      <w:pPr>
        <w:pStyle w:val="BookText"/>
        <w:rPr/>
      </w:pPr>
      <w:r>
        <w:rPr>
          <w:rFonts w:ascii="Amiri" w:hAnsi="Amiri" w:eastAsia="Amiri" w:cs="Amiri"/>
          <w:color w:val="111111"/>
          <w:sz w:val="28"/>
          <w:sz w:val="28"/>
          <w:szCs w:val="28"/>
          <w:rtl w:val="true"/>
          <w:lang w:bidi="ar-SA"/>
        </w:rPr>
        <w:t>دلالته على تساوي النساء في النقص بتساوي ازدياد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فقدت الأقارب لها أو اختلفن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اتّفقن منهن الأغلب على الأقرب </w:t>
      </w:r>
      <w:r>
        <w:rPr>
          <w:rStyle w:val="FootnoteAnchor"/>
          <w:rtl w:val="true"/>
        </w:rPr>
        <w:footnoteReference w:id="2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تحيّضت بالسبعة في كلّ شهر على الأصح ، وفاقا للمحكي عن ظاهر النهاية </w:t>
      </w:r>
      <w:r>
        <w:rPr>
          <w:rStyle w:val="FootnoteAnchor"/>
          <w:rtl w:val="true"/>
        </w:rPr>
        <w:footnoteReference w:id="2292"/>
      </w:r>
      <w:r>
        <w:rPr>
          <w:rFonts w:ascii="Amiri" w:hAnsi="Amiri" w:eastAsia="Amiri" w:cs="Amiri"/>
          <w:color w:val="111111"/>
          <w:sz w:val="28"/>
          <w:sz w:val="28"/>
          <w:szCs w:val="28"/>
          <w:rtl w:val="true"/>
          <w:lang w:bidi="ar-SA"/>
        </w:rPr>
        <w:t xml:space="preserve">في اللوامع ، وعن الجمل والاقتصاد </w:t>
      </w:r>
      <w:r>
        <w:rPr>
          <w:rStyle w:val="FootnoteAnchor"/>
          <w:rtl w:val="true"/>
        </w:rPr>
        <w:footnoteReference w:id="2293"/>
      </w:r>
      <w:r>
        <w:rPr>
          <w:rFonts w:ascii="Amiri" w:hAnsi="Amiri" w:eastAsia="Amiri" w:cs="Amiri"/>
          <w:color w:val="111111"/>
          <w:sz w:val="28"/>
          <w:sz w:val="28"/>
          <w:szCs w:val="28"/>
          <w:rtl w:val="true"/>
          <w:lang w:bidi="ar-SA"/>
        </w:rPr>
        <w:t xml:space="preserve">في كلام بعض الأجلّة ، وعن غيرهم أيضا في كلام بعض آخر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لقوله عليه السلام في مرسلة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كالصحيحة ، لوجوه عديدة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سنّة التي استمرّ بها الدم أول ما تراه ، أقصى وقتها سبع وأقصى طهرها ثلاث وعشرون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تكن لها أيام قبل ذلك واستحاضت أول ما رأت ، فوقتها سبع وطهرها ثلاث وعشرون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من أطبق عليها الدم ولم تعرف أياما وكانت فاقدة للتمييز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فسنّتها السبع والثلاث والعشرون ، لأنّ قصّتها قصّة حمنة </w:t>
      </w:r>
      <w:r>
        <w:rPr>
          <w:rFonts w:eastAsia="Amiri" w:cs="Amiri" w:ascii="Amiri" w:hAnsi="Amiri"/>
          <w:color w:val="111111"/>
          <w:sz w:val="28"/>
          <w:szCs w:val="28"/>
          <w:rtl w:val="true"/>
          <w:lang w:bidi="ar-SA"/>
        </w:rPr>
        <w:t xml:space="preserve">» </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التخيير الواقع فيها أولا بقوله للمبتدأة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تحيّضي في كلّ شهر في علم اللّه ستة أيام أو سبعة ، ثمَّ اغتسلي وصومي ثلاثة وعشرين يوما أو أربعة وعشرين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فلمنافاته مع تعيين السبع وجعل أقصى الطهر ثلاثا وعشرين ثانيا لا يصلح للاستناد إليه في التخيير ، بل يحمل إمّا على ترديد الراوي كما قيل </w:t>
      </w:r>
      <w:r>
        <w:rPr>
          <w:rStyle w:val="FootnoteAnchor"/>
          <w:rtl w:val="true"/>
        </w:rPr>
        <w:footnoteReference w:id="2296"/>
      </w:r>
      <w:r>
        <w:rPr>
          <w:rFonts w:ascii="IRNazanin" w:hAnsi="IRNazanin" w:eastAsia="IRNazanin"/>
          <w:color w:val="111111"/>
          <w:sz w:val="28"/>
          <w:sz w:val="28"/>
          <w:szCs w:val="28"/>
          <w:rtl w:val="true"/>
          <w:lang w:bidi="fa-IR"/>
        </w:rPr>
        <w:t>، أو على وجه 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ولأجل ذلك وإن لم يمكن الاستناد في التعيين إلى قوله ثانيا أيضا وأمكن حمله على الاكتفاء في التفصيل بأحد فردي التخيير دون الانحصار كما ذكره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اللوامع ، ولكن لاتّفاق الفقرتين على جواز السبع يكون جواز التحيّض بها قطعيا ، وغيرها مشكوكا فيه ، فينفى التعبّد به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في المبتدأة بقسميها لكثير من علماء الفرقة ، فإنّ لهم فيهما أقوالا متكثرة تتجاوز عن العشرة ، أكثرها عن الحجة خال بالمرة ، وحجّة ماله حجّة منها للاستناد غير صالحة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كالقول بتحيّضهما مطلقا بالثلاثة </w:t>
      </w:r>
      <w:r>
        <w:rPr>
          <w:rStyle w:val="FootnoteAnchor"/>
          <w:rtl w:val="true"/>
        </w:rPr>
        <w:footnoteReference w:id="2297"/>
      </w:r>
      <w:r>
        <w:rPr>
          <w:rFonts w:ascii="Amiri" w:hAnsi="Amiri" w:eastAsia="Amiri" w:cs="Amiri"/>
          <w:color w:val="111111"/>
          <w:sz w:val="28"/>
          <w:sz w:val="28"/>
          <w:szCs w:val="28"/>
          <w:rtl w:val="true"/>
          <w:lang w:bidi="ar-SA"/>
        </w:rPr>
        <w:t>، لأصالة عدم الزيادة ، واستصحاب لزوم العبادة ، وأصالة الطهارة ، فإنّ جميع تلك الأصول بما مرّ مندفعة ، ومع ذلك باستصحاب الحيض بعد التحيّض بالثلاثة 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وبتحيّضها في كلّ شهر بالعشرة ، كما ذهب إليه بعضهم </w:t>
      </w:r>
      <w:r>
        <w:rPr>
          <w:rStyle w:val="FootnoteAnchor"/>
          <w:rtl w:val="true"/>
        </w:rPr>
        <w:footnoteReference w:id="2298"/>
      </w:r>
      <w:r>
        <w:rPr>
          <w:rFonts w:ascii="Amiri" w:hAnsi="Amiri" w:eastAsia="Amiri" w:cs="Amiri"/>
          <w:color w:val="111111"/>
          <w:sz w:val="28"/>
          <w:sz w:val="28"/>
          <w:szCs w:val="28"/>
          <w:rtl w:val="true"/>
          <w:lang w:bidi="ar-SA"/>
        </w:rPr>
        <w:t xml:space="preserve">، أو بالتحيّض عشرة والتطهّر عشرة ، كما حكي عن بعض آخر </w:t>
      </w:r>
      <w:r>
        <w:rPr>
          <w:rStyle w:val="FootnoteAnchor"/>
          <w:rtl w:val="true"/>
        </w:rPr>
        <w:footnoteReference w:id="2299"/>
      </w:r>
      <w:r>
        <w:rPr>
          <w:rFonts w:ascii="Amiri" w:hAnsi="Amiri" w:eastAsia="Amiri" w:cs="Amiri"/>
          <w:color w:val="111111"/>
          <w:sz w:val="28"/>
          <w:sz w:val="28"/>
          <w:szCs w:val="28"/>
          <w:rtl w:val="true"/>
          <w:lang w:bidi="ar-SA"/>
        </w:rPr>
        <w:t>، للقاعدة التي هي على ألسنتهم جارية من حيضية كلّ ما يمكن أن يكون حيضا ، فإنّك قد عرفت أنّ تلك القاعدة غير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وبتحيّضها بالثلاثة إلى العشرة مع أفضلية العشرة في الدور الأول والثلاثة في غيره ، ثمَّ أفضلية السبعة أو الستة في كلّ دور</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اختاره والدي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في الجزء الأول إلى موثّقة سماعة ، المتقدّمة </w:t>
      </w:r>
      <w:r>
        <w:rPr>
          <w:rStyle w:val="FootnoteAnchor"/>
          <w:rtl w:val="true"/>
        </w:rPr>
        <w:footnoteReference w:id="2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إلى موثّقتي ابن بكير ، السابقتين </w:t>
      </w:r>
      <w:r>
        <w:rPr>
          <w:rStyle w:val="FootnoteAnchor"/>
          <w:rtl w:val="true"/>
        </w:rPr>
        <w:footnoteReference w:id="2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الثالث إلى التخيير المذكور أولا في المرسلة </w:t>
      </w:r>
      <w:r>
        <w:rPr>
          <w:rStyle w:val="FootnoteAnchor"/>
          <w:rtl w:val="true"/>
        </w:rPr>
        <w:footnoteReference w:id="2302"/>
      </w:r>
      <w:r>
        <w:rPr>
          <w:rFonts w:ascii="Amiri" w:hAnsi="Amiri" w:eastAsia="Amiri" w:cs="Amiri"/>
          <w:color w:val="111111"/>
          <w:sz w:val="28"/>
          <w:sz w:val="28"/>
          <w:szCs w:val="28"/>
          <w:rtl w:val="true"/>
          <w:lang w:bidi="ar-SA"/>
        </w:rPr>
        <w:t xml:space="preserve">، بحمل الأولى على الجواز ، والثانية على الأفضلية ، لعدم </w:t>
      </w:r>
    </w:p>
    <w:p>
      <w:pPr>
        <w:pStyle w:val="BookText"/>
        <w:rPr/>
      </w:pPr>
      <w:r>
        <w:rPr>
          <w:rFonts w:ascii="Amiri" w:hAnsi="Amiri" w:eastAsia="Amiri" w:cs="Amiri"/>
          <w:color w:val="111111"/>
          <w:sz w:val="28"/>
          <w:sz w:val="28"/>
          <w:szCs w:val="28"/>
          <w:rtl w:val="true"/>
          <w:lang w:bidi="ar-SA"/>
        </w:rPr>
        <w:t>منافاتها للأولى مع دلالتها على الرجحان ، والثالثة على التخيير بينها وبين الثانية للتعارض وعدم الترجيح ، فيصار إلى التخيير مع أفضليّة لصراحة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الأولى للاحتجاج غير صالحة ، لإجمالها ، حيث إنّ كون الأكثر عشرة والأقل ثلاثة يتصوّر بوجوه مختلفة ، كأن تتحيّض في كلّ شهر بما شاءت من الثلاثة ، أو العشرة ، أو منهما وممّا بينهما ، أو في شهر بالأولى وفي آخر بالثانية مخيّرة في التعيين ، أو مع تعيين الأول للثلاثة والثاني للعشرة ، أو بالعكس ، مع عدم دلالتها على جواز التحيّض بما بين العددين ، بل إمكان القدح في دلالتها على الجواز بالعددين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شاذة ، ولشهرة القدماء بل الإجماع مخالفة ، إذ لم ينقل من أحد من الطائفة المصير إلى مضمونها الذي هو التحيّض بالعشرة في الدور الأول وبالثلاثة في غيره مطلقا لا معيّنا ولا مخيّرا بين ذلك وبين غيره ، فهي عن أصلها ساقطة ، ولمعارضة المرسلة غير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مع ما بعدها في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منافية ، ومثل ذلك لا يصلح للاستناد والحجية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 فلا يشمل شي‌ء منها المضطربة ، بل الكلّ مختص بالمعنى الأخص من المبتدأة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وبتحيّضها بالستة أو السبعة مطلقا ، لما ذكر مع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وبالثلاثة من شهر وعشرة من آخر ، للموثّقتين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على ذلك غير دالّتين ولا مشعرتين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الأقوال الخالية عن الحجة ، أو المحتج لها بما يظهر ما فيه بما ذكر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صرّح جماعة </w:t>
      </w:r>
      <w:r>
        <w:rPr>
          <w:rStyle w:val="FootnoteAnchor"/>
          <w:rtl w:val="true"/>
        </w:rPr>
        <w:footnoteReference w:id="2303"/>
      </w:r>
      <w:r>
        <w:rPr>
          <w:rFonts w:ascii="Amiri" w:hAnsi="Amiri" w:eastAsia="Amiri" w:cs="Amiri"/>
          <w:color w:val="111111"/>
          <w:sz w:val="28"/>
          <w:sz w:val="28"/>
          <w:szCs w:val="28"/>
          <w:rtl w:val="true"/>
          <w:lang w:bidi="ar-SA"/>
        </w:rPr>
        <w:t xml:space="preserve">، وحكي عن المعتبر والإصباح والمنتهى والتحرير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بأنّ العدد الذي تتحيّض به ، لها وضعه حيث شاءت من الشهر في الدور الأول ، لإطلاق الأدلّة وعدم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ظهور استمرار الدم إلى آخر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أن تجعل الحيض أيّ سبعة شاءت مثلا ، فإن جعلت الأولى التي كان عليها أن تتحيّض فيها قبل ظهور الاستمرار فهو ، وإلاّ فتقضي ما تركته فيها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أولوية جعل الأول حيضا بل تعيّنه ، كما عن التذكرة ، وظاهر المبسوط ، والجواهر </w:t>
      </w:r>
      <w:r>
        <w:rPr>
          <w:rStyle w:val="FootnoteAnchor"/>
          <w:rtl w:val="true"/>
        </w:rPr>
        <w:footnoteReference w:id="2305"/>
      </w:r>
      <w:r>
        <w:rPr>
          <w:rFonts w:ascii="Amiri" w:hAnsi="Amiri" w:eastAsia="Amiri" w:cs="Amiri"/>
          <w:color w:val="111111"/>
          <w:sz w:val="28"/>
          <w:sz w:val="28"/>
          <w:szCs w:val="28"/>
          <w:rtl w:val="true"/>
          <w:lang w:bidi="ar-SA"/>
        </w:rPr>
        <w:t xml:space="preserve">، للمرسلة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 من أول ما رأت الدم الأول والثاني عشرة أيام ثمَّ هي مستحاضة </w:t>
      </w:r>
      <w:r>
        <w:rPr>
          <w:rFonts w:eastAsia="Amiri" w:cs="Amiri" w:ascii="Amiri" w:hAnsi="Amiri"/>
          <w:color w:val="111111"/>
          <w:sz w:val="28"/>
          <w:szCs w:val="28"/>
          <w:rtl w:val="true"/>
          <w:lang w:bidi="ar-SA"/>
        </w:rPr>
        <w:t xml:space="preserve">»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تتحيّض قطعا في الأول باستمرار الدم إلى الثلاثة سيما مع الوصف ، فالانتقال عنه وتركها العبادة وقضاؤها لما تركته من الصلاة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الدور الأول ، وأمّا ما بعده فلا بدّ من اتّباع النصّ من جعل ثلاثة وعشرين طهرا ثمَّ التحيّض بعده ، فإنّها أقصى طهرها ، بل طهرها تلك خاصة ، كما نصّ به في المرسلة </w:t>
      </w:r>
      <w:r>
        <w:rPr>
          <w:rStyle w:val="FootnoteAnchor"/>
          <w:rtl w:val="true"/>
        </w:rPr>
        <w:footnoteReference w:id="2307"/>
      </w:r>
      <w:r>
        <w:rPr>
          <w:rFonts w:ascii="Amiri" w:hAnsi="Amiri" w:eastAsia="Amiri" w:cs="Amiri"/>
          <w:color w:val="111111"/>
          <w:sz w:val="28"/>
          <w:sz w:val="28"/>
          <w:szCs w:val="28"/>
          <w:rtl w:val="true"/>
          <w:lang w:bidi="ar-SA"/>
        </w:rPr>
        <w:t>التي هي في الباب 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التي حصلت لها العادة في وقت الحيض ، أو قدره ، أو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عدم حصول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يعبّر عنها بأيام الحيض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بالمرة الواحدة عندنا مجمع عليه ، واشتقاقها من العود يرشد إليه ، والأصل يوافقه ، وفي ذيل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الطويلة ، 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به ، وأكثر المخالفين يوافقنا فيه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وثبوتها بالمرتين ممّا لا خلاف فيه ، وحكاية الإجماع من الأعيان متكررة </w:t>
      </w:r>
    </w:p>
    <w:p>
      <w:pPr>
        <w:pStyle w:val="BookText"/>
        <w:rPr/>
      </w:pPr>
      <w:r>
        <w:rPr>
          <w:rFonts w:ascii="Amiri" w:hAnsi="Amiri" w:eastAsia="Amiri" w:cs="Amiri"/>
          <w:color w:val="111111"/>
          <w:sz w:val="28"/>
          <w:sz w:val="28"/>
          <w:szCs w:val="28"/>
          <w:rtl w:val="true"/>
          <w:lang w:bidi="ar-SA"/>
        </w:rPr>
        <w:t xml:space="preserve">عليه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إطلاق أخبار العادة بل عموم بعضها </w:t>
      </w:r>
      <w:r>
        <w:rPr>
          <w:rStyle w:val="FootnoteAnchor"/>
          <w:rtl w:val="true"/>
        </w:rPr>
        <w:footnoteReference w:id="2309"/>
      </w:r>
      <w:r>
        <w:rPr>
          <w:rFonts w:ascii="Amiri" w:hAnsi="Amiri" w:eastAsia="Amiri" w:cs="Amiri"/>
          <w:color w:val="111111"/>
          <w:sz w:val="28"/>
          <w:sz w:val="28"/>
          <w:szCs w:val="28"/>
          <w:rtl w:val="true"/>
          <w:lang w:bidi="ar-SA"/>
        </w:rPr>
        <w:t xml:space="preserve">، وخصوص ما يأتي </w:t>
      </w:r>
      <w:r>
        <w:rPr>
          <w:rStyle w:val="FootnoteAnchor"/>
          <w:rtl w:val="true"/>
        </w:rPr>
        <w:footnoteReference w:id="2310"/>
      </w:r>
      <w:r>
        <w:rPr>
          <w:rFonts w:ascii="Amiri" w:hAnsi="Amiri" w:eastAsia="Amiri" w:cs="Amiri"/>
          <w:color w:val="111111"/>
          <w:sz w:val="28"/>
          <w:sz w:val="28"/>
          <w:szCs w:val="28"/>
          <w:rtl w:val="true"/>
          <w:lang w:bidi="ar-SA"/>
        </w:rPr>
        <w:t>من الموثّقة والمرسلة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اشتراط استقرار الطهر بتكريره مرتين متساويتين في استقرار العادة عددا ووقتا قولان ،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 للأصل ، وظاهر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للفاضل </w:t>
      </w:r>
      <w:r>
        <w:rPr>
          <w:rStyle w:val="FootnoteAnchor"/>
          <w:rtl w:val="true"/>
        </w:rPr>
        <w:footnoteReference w:id="2311"/>
      </w:r>
      <w:r>
        <w:rPr>
          <w:rFonts w:ascii="IRNazanin" w:hAnsi="IRNazanin" w:eastAsia="IRNazanin"/>
          <w:color w:val="111111"/>
          <w:sz w:val="28"/>
          <w:sz w:val="28"/>
          <w:szCs w:val="28"/>
          <w:rtl w:val="true"/>
          <w:lang w:bidi="fa-IR"/>
        </w:rPr>
        <w:t xml:space="preserve">، والروض </w:t>
      </w:r>
      <w:r>
        <w:rPr>
          <w:rStyle w:val="FootnoteAnchor"/>
          <w:rtl w:val="true"/>
        </w:rPr>
        <w:footnoteReference w:id="2312"/>
      </w:r>
      <w:r>
        <w:rPr>
          <w:rFonts w:ascii="Amiri" w:hAnsi="Amiri" w:eastAsia="Amiri" w:cs="Amiri"/>
          <w:color w:val="111111"/>
          <w:sz w:val="28"/>
          <w:sz w:val="28"/>
          <w:szCs w:val="28"/>
          <w:rtl w:val="true"/>
          <w:lang w:bidi="ar-SA"/>
        </w:rPr>
        <w:t>، بل الأكثر ، كما ذكره والدي في اللوامع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وخلافا للذكرى </w:t>
      </w:r>
      <w:r>
        <w:rPr>
          <w:rStyle w:val="FootnoteAnchor"/>
          <w:rtl w:val="true"/>
        </w:rPr>
        <w:footnoteReference w:id="2313"/>
      </w:r>
      <w:r>
        <w:rPr>
          <w:rFonts w:ascii="Amiri" w:hAnsi="Amiri" w:eastAsia="Amiri" w:cs="Amiri"/>
          <w:color w:val="111111"/>
          <w:sz w:val="28"/>
          <w:sz w:val="28"/>
          <w:szCs w:val="28"/>
          <w:rtl w:val="true"/>
          <w:lang w:bidi="ar-SA"/>
        </w:rPr>
        <w:t>، فاشترطه فيهما ، وبدونه حكم باستقرار العدد دون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يشترط في العددية تعدّد الشهر ، فتستقرّ برؤيته في الشهر الواحد مرارا متساوية بينهما أقلّ الطهر ، وفاقا للمحكي عن المبسوط ، والخلاف ، والمعتبر ، والذكرى ، والروض </w:t>
      </w:r>
      <w:r>
        <w:rPr>
          <w:rStyle w:val="FootnoteAnchor"/>
          <w:rtl w:val="true"/>
        </w:rPr>
        <w:footnoteReference w:id="2314"/>
      </w:r>
      <w:r>
        <w:rPr>
          <w:rFonts w:ascii="Amiri" w:hAnsi="Amiri" w:eastAsia="Amiri" w:cs="Amiri"/>
          <w:color w:val="111111"/>
          <w:sz w:val="28"/>
          <w:sz w:val="28"/>
          <w:szCs w:val="28"/>
          <w:rtl w:val="true"/>
          <w:lang w:bidi="ar-SA"/>
        </w:rPr>
        <w:t>، لإطلاق أخبار العادة وأيام الحيض الصادق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الموثّقة </w:t>
      </w:r>
      <w:r>
        <w:rPr>
          <w:rStyle w:val="FootnoteAnchor"/>
          <w:rtl w:val="true"/>
        </w:rPr>
        <w:footnoteReference w:id="2315"/>
      </w:r>
      <w:r>
        <w:rPr>
          <w:rFonts w:ascii="Amiri" w:hAnsi="Amiri" w:eastAsia="Amiri" w:cs="Amiri"/>
          <w:color w:val="111111"/>
          <w:sz w:val="28"/>
          <w:sz w:val="28"/>
          <w:szCs w:val="28"/>
          <w:rtl w:val="true"/>
          <w:lang w:bidi="ar-SA"/>
        </w:rPr>
        <w:t>وإن اقتضى نفي الاستقرار في الشهر الواحد بالمفهوم ، ولكن لتعارضه مع إطلاق قوله في المرسلة بالعموم من وجه وتساقطهما تبقى إطلاقات أخبار العادة وأيام الحيض خالية عن المعارض</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عدم اشتراط تعدّد الشهر الهلالي في استقرار الوقتية أيضا ، بل يكفي تعدّده في شهر الحيض ، وهو ما يمكن أن يعرض فيه حيض وطهر صحيحان وهو ثلاثة عشر يوما ، أو في غير ذلك ككلّ أسبوعين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وورود الشهر في الخبرين وكونه حقيقة في الهلال لا يضرّ ،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إمكان تماثل الزمانين بالنسبة إلى الدمين في غير الهلالي ممنوع ، فإنّه يمكن في شهر الحيض أو الأسبوع أو كلّ نصف من الهلالي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تظهر أيضا صحة القول باستقرار الأقلّ القدر المشترك من الوقت والعدد في الأقسام الثلاثة ، لصدق العادة وأيام الحيض وإن لم يصدق السواء المصرّح به في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يظهر وجه حصول العادة بالتمييز مع استمرار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ذات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أنواع ثلاثة ، لأنّها إمّا عديدة ووقتية ، أو عددية فقط ، أو وقتية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الثلاثة وإطلاق العادة وأيام الحيض وترتّب أحكامهما عليها مجمع عليه ، وهو الحجة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في الأوّليين إلى موثّقة سماعة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اتّفق الشهران عدّة أيام سواء فتلك أيامها </w:t>
      </w:r>
      <w:r>
        <w:rPr>
          <w:rFonts w:eastAsia="Amiri" w:cs="Amiri" w:ascii="Amiri" w:hAnsi="Amiri"/>
          <w:color w:val="111111"/>
          <w:sz w:val="28"/>
          <w:szCs w:val="28"/>
          <w:rtl w:val="true"/>
          <w:lang w:bidi="ar-SA"/>
        </w:rPr>
        <w:t xml:space="preserve">»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والمرسلة </w:t>
      </w:r>
      <w:r>
        <w:rPr>
          <w:rStyle w:val="FootnoteAnchor"/>
          <w:rtl w:val="true"/>
        </w:rPr>
        <w:footnoteReference w:id="2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انقطع الدم لوقته من الشهر الأول سواء حتى توالت عليها حيضتان فقد علم أنّ ذلك صار وقتا وخلقا معروفا ، فتعمل عليه وتدع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جعل الوقت إن توالى عليها حيضتان أو ثلاث حيض ، لقول رسول اللّه صلی اللّه عليه وآله ، للتي تعرف أيامها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 الصلاة أيام أقرائك ، فعلمنا أنه لم يجعل القرء الواحد سنّة لها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دعي الصلاة أيام قرئك ، ولكن سنّ لها الأقراء وأدناه حيضتان فصاعدا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الأخيرة </w:t>
      </w:r>
      <w:r>
        <w:rPr>
          <w:rStyle w:val="FootnoteAnchor"/>
          <w:rtl w:val="true"/>
        </w:rPr>
        <w:footnoteReference w:id="2318"/>
      </w:r>
      <w:r>
        <w:rPr>
          <w:rFonts w:ascii="Amiri" w:hAnsi="Amiri" w:eastAsia="Amiri" w:cs="Amiri"/>
          <w:color w:val="111111"/>
          <w:sz w:val="28"/>
          <w:sz w:val="28"/>
          <w:szCs w:val="28"/>
          <w:rtl w:val="true"/>
          <w:lang w:bidi="ar-SA"/>
        </w:rPr>
        <w:t xml:space="preserve">إلى قوله عليه السلام في المرسلة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كانت تعرف أيامها ما احتاجت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جهلت الأيام وعددها </w:t>
      </w:r>
    </w:p>
    <w:p>
      <w:pPr>
        <w:pStyle w:val="BookText"/>
        <w:rPr/>
      </w:pPr>
      <w:r>
        <w:rPr>
          <w:rFonts w:ascii="Amiri" w:hAnsi="Amiri" w:eastAsia="Amiri" w:cs="Amiri"/>
          <w:color w:val="111111"/>
          <w:sz w:val="28"/>
          <w:sz w:val="28"/>
          <w:szCs w:val="28"/>
          <w:rtl w:val="true"/>
          <w:lang w:bidi="ar-SA"/>
        </w:rPr>
        <w:t xml:space="preserve">احتاجت إلى النظر حينئذ إلى إقبال الدم وإدباره وتغيّر لونه ، ثمَّ تدع الصلاة إلى قدر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بالمفهوم على أنه إذا عرفت الأيام وحدها أيضا لم يحتج إلى النظر إلى لون الدم ، وتمام المطلوب يثبت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تأثير العددية إنّما هو في الرجوع إليها عند عبور الدم عن العشرة ، والوقتية في الجلوس برؤية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في اتّحاد الوقت والعدد عدم الزيادة والنقصان والتقدّم أو التأخّر بيوم تام ، لا ببعضه أيضا ، إذ التفاوت بالبعض لازم التحقّق في كلّ دمين غالبا ، مع أنّ العرف لا يعتني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عدم اعتناء العرف بالتفاوت القليل ، فلا ينافي الاستقرار ، ولكن تحديده بمطلق بعض اليوم محل نظر ، فإنّه لو رأت الدم أول الطلوع من اليوم الأول من شهر وانقطع آخر السابع ، ثمَّ رأته في آخر ساعة من الأول من الشهر الثاني بل ولو بعد زواله مطلقا وانقطع آخر سابعه ففي صدق الاتّحاد في الوقت والعدد نظر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إحالة ذلك إلى العرف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الكلام في كلّ من هذه الأنواع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المبتدأة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تحيّضها أو في مقدار حيضها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فالنوع الأول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العادة العددية والوقتية ، فيه موضعان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ولبيانه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ذات العادة العددية والوقتية تتحيّض وتترك العبادة برؤية الدم مطلقا وإن لم يكن بصفة الحيض إذا كانت في وقت العادة إجماعا محقّقا ، ومنقولا </w:t>
      </w:r>
      <w:r>
        <w:rPr>
          <w:rStyle w:val="FootnoteAnchor"/>
          <w:rtl w:val="true"/>
        </w:rPr>
        <w:footnoteReference w:id="2319"/>
      </w:r>
      <w:r>
        <w:rPr>
          <w:rFonts w:ascii="Amiri" w:hAnsi="Amiri" w:eastAsia="Amiri" w:cs="Amiri"/>
          <w:color w:val="111111"/>
          <w:sz w:val="28"/>
          <w:sz w:val="28"/>
          <w:szCs w:val="28"/>
          <w:rtl w:val="true"/>
          <w:lang w:bidi="ar-SA"/>
        </w:rPr>
        <w:t>مستفيضا ، له ، وللنصوص المستفيضة جدّا ، بل المتواترة معنى</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تحيّضها برؤيته قبله مطلقا ، أو مع كونه بالصفة ، أو إلحاقها حينئذ </w:t>
      </w:r>
    </w:p>
    <w:p>
      <w:pPr>
        <w:pStyle w:val="BookText"/>
        <w:rPr/>
      </w:pPr>
      <w:r>
        <w:rPr>
          <w:rFonts w:ascii="Amiri" w:hAnsi="Amiri" w:eastAsia="Amiri" w:cs="Amiri"/>
          <w:color w:val="111111"/>
          <w:sz w:val="28"/>
          <w:sz w:val="28"/>
          <w:szCs w:val="28"/>
          <w:rtl w:val="true"/>
          <w:lang w:bidi="ar-SA"/>
        </w:rPr>
        <w:t xml:space="preserve">بالمبتدأة فتستظهر بالعبادة إلى الثلاثة أو حضور الوقت ،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الأشهر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بل قيل </w:t>
      </w:r>
      <w:r>
        <w:rPr>
          <w:rStyle w:val="FootnoteAnchor"/>
          <w:rtl w:val="true"/>
        </w:rPr>
        <w:footnoteReference w:id="2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لأصالة عدم الآفة كما قيل </w:t>
      </w:r>
      <w:r>
        <w:rPr>
          <w:rStyle w:val="FootnoteAnchor"/>
          <w:rtl w:val="true"/>
        </w:rPr>
        <w:footnoteReference w:id="2321"/>
      </w:r>
      <w:r>
        <w:rPr>
          <w:rFonts w:ascii="Amiri" w:hAnsi="Amiri" w:eastAsia="Amiri" w:cs="Amiri"/>
          <w:color w:val="111111"/>
          <w:sz w:val="28"/>
          <w:sz w:val="28"/>
          <w:szCs w:val="28"/>
          <w:rtl w:val="true"/>
          <w:lang w:bidi="ar-SA"/>
        </w:rPr>
        <w:t>، لمعارضتها مع أصالة عدم الحيض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لعموم المستفيضة المصرّحة بتحيّض المرأة بمجرّد رؤية الدم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وخصوص ما دلّ على حيضية ما تراه ذات العادة قبل العادة مطلقا ، كموثّقة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ترى الدم قبل وقت حيضها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فلتدع الصلاة ، فإنه ربما يعجّل بها الوقت </w:t>
      </w:r>
      <w:r>
        <w:rPr>
          <w:rFonts w:eastAsia="Amiri" w:cs="Amiri" w:ascii="Amiri" w:hAnsi="Amiri"/>
          <w:color w:val="111111"/>
          <w:sz w:val="28"/>
          <w:szCs w:val="28"/>
          <w:rtl w:val="true"/>
          <w:lang w:bidi="ar-SA"/>
        </w:rPr>
        <w:t xml:space="preserve">»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الصفرة التي تراها كذلك ، كرواية ابن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ترى الصفرة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قبل الحيض فهو من الحيض ، وما كان بعد الحيض فليس منه </w:t>
      </w:r>
      <w:r>
        <w:rPr>
          <w:rFonts w:eastAsia="Amiri" w:cs="Amiri" w:ascii="Amiri" w:hAnsi="Amiri"/>
          <w:color w:val="111111"/>
          <w:sz w:val="28"/>
          <w:szCs w:val="28"/>
          <w:rtl w:val="true"/>
          <w:lang w:bidi="ar-SA"/>
        </w:rPr>
        <w:t xml:space="preserve">»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والصفرة قبل الحيض حيض ، وبعد أيام الحيض ليست من الحيض </w:t>
      </w:r>
      <w:r>
        <w:rPr>
          <w:rFonts w:eastAsia="Amiri" w:cs="Amiri" w:ascii="Amiri" w:hAnsi="Amiri"/>
          <w:color w:val="111111"/>
          <w:sz w:val="28"/>
          <w:szCs w:val="28"/>
          <w:rtl w:val="true"/>
          <w:lang w:bidi="ar-SA"/>
        </w:rPr>
        <w:t xml:space="preserve">»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الثاني مقيّدا بيومين ، كصحيحة ابن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الصفرة قبل الحيض بيومين فهو من الحيض ، وبعد أيام الحيض ليس من الحيض ، وفي أيام الحيض حيض </w:t>
      </w:r>
      <w:r>
        <w:rPr>
          <w:rFonts w:eastAsia="Amiri" w:cs="Amiri" w:ascii="Amiri" w:hAnsi="Amiri"/>
          <w:color w:val="111111"/>
          <w:sz w:val="28"/>
          <w:szCs w:val="28"/>
          <w:rtl w:val="true"/>
          <w:lang w:bidi="ar-SA"/>
        </w:rPr>
        <w:t xml:space="preserve">» </w:t>
      </w:r>
      <w:r>
        <w:rPr>
          <w:rStyle w:val="FootnoteAnchor"/>
          <w:rtl w:val="true"/>
        </w:rPr>
        <w:footnoteReference w:id="2326"/>
      </w:r>
      <w:r>
        <w:rPr>
          <w:rFonts w:ascii="Amiri" w:hAnsi="Amiri" w:eastAsia="Amiri" w:cs="Amiri"/>
          <w:color w:val="111111"/>
          <w:sz w:val="28"/>
          <w:sz w:val="28"/>
          <w:szCs w:val="28"/>
          <w:rtl w:val="true"/>
          <w:lang w:bidi="ar-SA"/>
        </w:rPr>
        <w:t xml:space="preserve">وقريبة منها موثّقة أبي بصير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ما في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الدلالة على أنّ ذات العادة تعمل في العادة وتدع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هنا ، لعدم عامل به في المورد أصلا ، مع أنها أعم مطلقا من أخبار القبل فتخصّص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مختار صاحب المدارك </w:t>
      </w:r>
      <w:r>
        <w:rPr>
          <w:rStyle w:val="FootnoteAnchor"/>
          <w:rtl w:val="true"/>
        </w:rPr>
        <w:footnoteReference w:id="232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تقدّم </w:t>
      </w:r>
      <w:r>
        <w:rPr>
          <w:rStyle w:val="FootnoteAnchor"/>
          <w:rtl w:val="true"/>
        </w:rPr>
        <w:footnoteReference w:id="2329"/>
      </w:r>
      <w:r>
        <w:rPr>
          <w:rFonts w:ascii="Amiri" w:hAnsi="Amiri" w:eastAsia="Amiri" w:cs="Amiri"/>
          <w:color w:val="111111"/>
          <w:sz w:val="28"/>
          <w:sz w:val="28"/>
          <w:szCs w:val="28"/>
          <w:rtl w:val="true"/>
          <w:lang w:bidi="ar-SA"/>
        </w:rPr>
        <w:t xml:space="preserve">من الأخبار الدالّة على انتفاء الحيضية بانتفاء الصفات ، وعلى أنّ الصفرة في غير أيام الحيض ليست بحيض كما في صحيحة محمّد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بكونها أعم مطلقا ممّا مرّ ، فتخصّص بها ، مع أنّ في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عدم رجوع ذات العادة إلى التمييز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المسالك </w:t>
      </w:r>
      <w:r>
        <w:rPr>
          <w:rStyle w:val="FootnoteAnchor"/>
          <w:rtl w:val="true"/>
        </w:rPr>
        <w:footnoteReference w:id="233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ظواهر بعض الأخبار التي لا دلالة لها ، وبعض الاعتبارات الذي لا اعتناء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فرق فيما تراه قبلها فيما إذا كان بحيث ينتهي الدم على أول أيام العادة ، أو في أثنائها إذا كان بحيث تصدق القبلية عرفا ولم يبعد عنها بحيث لا يقال إنّه قبل العادة ، ويصدق عليها تعجيل العادة كما علّل به في الرواية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القبل المحكوم بحيضيته هو ما يقرب العادة وكذا البعد ، وأمّا مطلق القبل والبعد اللغويين الصادقين على كلّ ما تقدّم وتأخّر فليس مرادا هنا قطعا ، ولذا ورد في بعض الأخبار بيوم ويومين </w:t>
      </w:r>
      <w:r>
        <w:rPr>
          <w:rStyle w:val="FootnoteAnchor"/>
          <w:rtl w:val="true"/>
        </w:rPr>
        <w:footnoteReference w:id="2333"/>
      </w:r>
      <w:r>
        <w:rPr>
          <w:rFonts w:ascii="Amiri" w:hAnsi="Amiri" w:eastAsia="Amiri" w:cs="Amiri"/>
          <w:color w:val="111111"/>
          <w:sz w:val="28"/>
          <w:sz w:val="28"/>
          <w:szCs w:val="28"/>
          <w:rtl w:val="true"/>
          <w:lang w:bidi="ar-SA"/>
        </w:rPr>
        <w:t>وعبّر بعض الفقهاء بالقبيل والبعيد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يثبت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أريد اللغويان ، لكان كلّ قبل بعدا لما قبله وبالعكس ، فتتعارض الفقرتان ويلغو الحكم ، وذلك قرينة واضحة على ما ذكرنا من المراد من القبل والبعد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تتحيّض بمجرد الرؤية مطلقا إذا رأته متأخّرا عن أول وقت العادة أي في أثنائها ، لصدق كونه في العادة ، فتدلّ عليه أخبارها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رأته متأخّرا عن آخر وقت العادة فلا شك في التحيّض به مع كونه بالوصف ، للإجماع ، ولأخبار التمييز ، الخالية عمّا يصلح للمعارضة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لذات العادة في المرسلة </w:t>
      </w:r>
      <w:r>
        <w:rPr>
          <w:rStyle w:val="FootnoteAnchor"/>
          <w:rtl w:val="true"/>
        </w:rPr>
        <w:footnoteReference w:id="233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وتدع 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يجري فيما إذا رأت في العادة أيضا حتى يصدق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آخر مرسلة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رأته بعد أيام حيضها فليس من الحيض </w:t>
      </w:r>
      <w:r>
        <w:rPr>
          <w:rFonts w:eastAsia="Amiri" w:cs="Amiri" w:ascii="Amiri" w:hAnsi="Amiri"/>
          <w:color w:val="111111"/>
          <w:sz w:val="28"/>
          <w:szCs w:val="28"/>
          <w:rtl w:val="true"/>
          <w:lang w:bidi="ar-SA"/>
        </w:rPr>
        <w:t xml:space="preserve">» </w:t>
      </w:r>
      <w:r>
        <w:rPr>
          <w:rStyle w:val="FootnoteAnchor"/>
          <w:rtl w:val="true"/>
        </w:rPr>
        <w:footnoteReference w:id="2335"/>
      </w:r>
      <w:r>
        <w:rPr>
          <w:rFonts w:ascii="Amiri" w:hAnsi="Amiri" w:eastAsia="Amiri" w:cs="Amiri"/>
          <w:color w:val="111111"/>
          <w:sz w:val="28"/>
          <w:sz w:val="28"/>
          <w:szCs w:val="28"/>
          <w:rtl w:val="true"/>
          <w:lang w:bidi="ar-SA"/>
        </w:rPr>
        <w:t>فلا ينافيها ، لجواز أن يراد بأيام حيضها هنا أيام العادة إذا كانت فيها حائضا دون ما إذا خلت أيام العادة عن الدم ، كما هو مورد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بدونه </w:t>
      </w:r>
      <w:r>
        <w:rPr>
          <w:rStyle w:val="FootnoteAnchor"/>
          <w:rtl w:val="true"/>
        </w:rPr>
        <w:footnoteReference w:id="2336"/>
      </w:r>
      <w:r>
        <w:rPr>
          <w:rFonts w:ascii="Amiri" w:hAnsi="Amiri" w:eastAsia="Amiri" w:cs="Amiri"/>
          <w:color w:val="111111"/>
          <w:sz w:val="28"/>
          <w:sz w:val="28"/>
          <w:szCs w:val="28"/>
          <w:rtl w:val="true"/>
          <w:lang w:bidi="ar-SA"/>
        </w:rPr>
        <w:t xml:space="preserve">فادّعى بعض الأجلّة الاتّفاق على التحيّض مطلقا الشامل لهذه الصورة أيضا </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المدارك عدمه </w:t>
      </w:r>
      <w:r>
        <w:rPr>
          <w:rStyle w:val="FootnoteAnchor"/>
          <w:rtl w:val="true"/>
        </w:rPr>
        <w:footnoteReference w:id="2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معه وإن كان مظنة الإجماع على التحيّض في صورة الاستمرار إلى الثلاثة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حكم المتأخّر كلّ ما بعد زمان العادة ولو بكثير إذا لم تر في زمان العادة ، والدليل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رأت في العادة وانقطع عليها ثمَّ رأت قبل مضيّ أقلّ الطهر ، لم تتحيّض به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بعده على الأصح ، لعدم كون ذلك حيضا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ذلك أيضا عادة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قدر حيضها ووقته في كلّ موضع حكم بتحيّضها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إمّا ترى أقلّ من العادة ، أو مساويا له ، أو أزيد منه ، والأخير إمّا لا يتجاوز من العشرة ، أو يتجاوزها ، فهنا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 دمها على العدد أو أقلّ منه ما لم ينقص عن الثلاثة ، فالكلّ حيض إجماعا ، له ، وللاستصحاب ، والنصوص ، وكذا النقاء المتخلّل بين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استظهار حينئذ ، وفاقا للمعظم ، لمرسلة داود </w:t>
      </w:r>
      <w:r>
        <w:rPr>
          <w:rStyle w:val="FootnoteAnchor"/>
          <w:rtl w:val="true"/>
        </w:rPr>
        <w:footnoteReference w:id="233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لشاذ </w:t>
      </w:r>
      <w:r>
        <w:rPr>
          <w:rStyle w:val="FootnoteAnchor"/>
          <w:rtl w:val="true"/>
        </w:rPr>
        <w:footnoteReference w:id="2340"/>
      </w:r>
      <w:r>
        <w:rPr>
          <w:rFonts w:ascii="Amiri" w:hAnsi="Amiri" w:eastAsia="Amiri" w:cs="Amiri"/>
          <w:color w:val="111111"/>
          <w:sz w:val="28"/>
          <w:sz w:val="28"/>
          <w:szCs w:val="28"/>
          <w:rtl w:val="true"/>
          <w:lang w:bidi="ar-SA"/>
        </w:rPr>
        <w:t>لا يعبأ به ، لبعض إطلاقات الاستظهار الواجب تقييده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ينقطع دمها على العدد ، فإن كان عددها عشرة ، استحاضت في الزائد ، ولم يكن عليها استظهار إجماعا ، وتدلّ عليه مرسلتا ابن المغيرة </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ما دون العشرة ، تستظهر وتحتاط بترك العبادة إجماعا ، للنصوص المستفيضة جدّا ، كالصحاح الأربع لمحمّد </w:t>
      </w:r>
      <w:r>
        <w:rPr>
          <w:rStyle w:val="FootnoteAnchor"/>
          <w:rtl w:val="true"/>
        </w:rPr>
        <w:footnoteReference w:id="2342"/>
      </w:r>
      <w:r>
        <w:rPr>
          <w:rFonts w:ascii="Amiri" w:hAnsi="Amiri" w:eastAsia="Amiri" w:cs="Amiri"/>
          <w:color w:val="111111"/>
          <w:sz w:val="28"/>
          <w:sz w:val="28"/>
          <w:szCs w:val="28"/>
          <w:rtl w:val="true"/>
          <w:lang w:bidi="ar-SA"/>
        </w:rPr>
        <w:t xml:space="preserve">، والبزنطي </w:t>
      </w:r>
      <w:r>
        <w:rPr>
          <w:rStyle w:val="FootnoteAnchor"/>
          <w:rtl w:val="true"/>
        </w:rPr>
        <w:footnoteReference w:id="2343"/>
      </w:r>
      <w:r>
        <w:rPr>
          <w:rFonts w:ascii="Amiri" w:hAnsi="Amiri" w:eastAsia="Amiri" w:cs="Amiri"/>
          <w:color w:val="111111"/>
          <w:sz w:val="28"/>
          <w:sz w:val="28"/>
          <w:szCs w:val="28"/>
          <w:rtl w:val="true"/>
          <w:lang w:bidi="ar-SA"/>
        </w:rPr>
        <w:t xml:space="preserve">، وزرارة </w:t>
      </w:r>
      <w:r>
        <w:rPr>
          <w:rStyle w:val="FootnoteAnchor"/>
          <w:rtl w:val="true"/>
        </w:rPr>
        <w:footnoteReference w:id="2344"/>
      </w:r>
      <w:r>
        <w:rPr>
          <w:rFonts w:ascii="IRNazanin" w:hAnsi="IRNazanin" w:eastAsia="IRNazanin"/>
          <w:color w:val="111111"/>
          <w:sz w:val="28"/>
          <w:sz w:val="28"/>
          <w:szCs w:val="28"/>
          <w:rtl w:val="true"/>
          <w:lang w:bidi="fa-IR"/>
        </w:rPr>
        <w:t xml:space="preserve">، وابن </w:t>
      </w:r>
    </w:p>
    <w:p>
      <w:pPr>
        <w:pStyle w:val="BookText"/>
        <w:rPr/>
      </w:pPr>
      <w:r>
        <w:rPr>
          <w:rFonts w:ascii="IRNazanin" w:hAnsi="IRNazanin" w:eastAsia="IRNazanin"/>
          <w:color w:val="111111"/>
          <w:sz w:val="28"/>
          <w:sz w:val="28"/>
          <w:szCs w:val="28"/>
          <w:rtl w:val="true"/>
          <w:lang w:bidi="fa-IR"/>
        </w:rPr>
        <w:t xml:space="preserve">عمرو </w:t>
      </w:r>
      <w:r>
        <w:rPr>
          <w:rStyle w:val="FootnoteAnchor"/>
          <w:rtl w:val="true"/>
        </w:rPr>
        <w:footnoteReference w:id="2345"/>
      </w:r>
      <w:r>
        <w:rPr>
          <w:rFonts w:ascii="Amiri" w:hAnsi="Amiri" w:eastAsia="Amiri" w:cs="Amiri"/>
          <w:color w:val="111111"/>
          <w:sz w:val="28"/>
          <w:sz w:val="28"/>
          <w:szCs w:val="28"/>
          <w:rtl w:val="true"/>
          <w:lang w:bidi="ar-SA"/>
        </w:rPr>
        <w:t xml:space="preserve">، والموثّقات السبع لسماعة </w:t>
      </w:r>
      <w:r>
        <w:rPr>
          <w:rStyle w:val="FootnoteAnchor"/>
          <w:rtl w:val="true"/>
        </w:rPr>
        <w:footnoteReference w:id="2346"/>
      </w:r>
      <w:r>
        <w:rPr>
          <w:rFonts w:ascii="Amiri" w:hAnsi="Amiri" w:eastAsia="Amiri" w:cs="Amiri"/>
          <w:color w:val="111111"/>
          <w:sz w:val="28"/>
          <w:sz w:val="28"/>
          <w:szCs w:val="28"/>
          <w:rtl w:val="true"/>
          <w:lang w:bidi="ar-SA"/>
        </w:rPr>
        <w:t xml:space="preserve">، وسعيد </w:t>
      </w:r>
      <w:r>
        <w:rPr>
          <w:rStyle w:val="FootnoteAnchor"/>
          <w:rtl w:val="true"/>
        </w:rPr>
        <w:footnoteReference w:id="2347"/>
      </w:r>
      <w:r>
        <w:rPr>
          <w:rFonts w:ascii="Amiri" w:hAnsi="Amiri" w:eastAsia="Amiri" w:cs="Amiri"/>
          <w:color w:val="111111"/>
          <w:sz w:val="28"/>
          <w:sz w:val="28"/>
          <w:szCs w:val="28"/>
          <w:rtl w:val="true"/>
          <w:lang w:bidi="ar-SA"/>
        </w:rPr>
        <w:t xml:space="preserve">وابن جرير </w:t>
      </w:r>
      <w:r>
        <w:rPr>
          <w:rStyle w:val="FootnoteAnchor"/>
          <w:rtl w:val="true"/>
        </w:rPr>
        <w:footnoteReference w:id="2348"/>
      </w:r>
      <w:r>
        <w:rPr>
          <w:rFonts w:ascii="Amiri" w:hAnsi="Amiri" w:eastAsia="Amiri" w:cs="Amiri"/>
          <w:color w:val="111111"/>
          <w:sz w:val="28"/>
          <w:sz w:val="28"/>
          <w:szCs w:val="28"/>
          <w:rtl w:val="true"/>
          <w:lang w:bidi="ar-SA"/>
        </w:rPr>
        <w:t xml:space="preserve">، ويونس </w:t>
      </w:r>
      <w:r>
        <w:rPr>
          <w:rStyle w:val="FootnoteAnchor"/>
          <w:rtl w:val="true"/>
        </w:rPr>
        <w:footnoteReference w:id="2349"/>
      </w:r>
      <w:r>
        <w:rPr>
          <w:rFonts w:ascii="Amiri" w:hAnsi="Amiri" w:eastAsia="Amiri" w:cs="Amiri"/>
          <w:color w:val="111111"/>
          <w:sz w:val="28"/>
          <w:sz w:val="28"/>
          <w:szCs w:val="28"/>
          <w:rtl w:val="true"/>
          <w:lang w:bidi="ar-SA"/>
        </w:rPr>
        <w:t xml:space="preserve">، وزرارة </w:t>
      </w:r>
      <w:r>
        <w:rPr>
          <w:rStyle w:val="FootnoteAnchor"/>
          <w:rtl w:val="true"/>
        </w:rPr>
        <w:footnoteReference w:id="2350"/>
      </w:r>
      <w:r>
        <w:rPr>
          <w:rFonts w:ascii="Amiri" w:hAnsi="Amiri" w:eastAsia="Amiri" w:cs="Amiri"/>
          <w:color w:val="111111"/>
          <w:sz w:val="28"/>
          <w:sz w:val="28"/>
          <w:szCs w:val="28"/>
          <w:rtl w:val="true"/>
          <w:lang w:bidi="ar-SA"/>
        </w:rPr>
        <w:t>، والمراسيل الثلاث لابن المغيرة ، وداود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زرارة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بيوم واحد إن كانت عادتها تسعة أيام إجماعا ، لعدم إمكان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ومخيّرة بين يوم أو يومين إن كانت ثمانية ، للتصريح بالتخيير بينهما لمن تجاوز دمه العادة مطلقا في الصحيحتين الأوليين ، والموثّقة الأخيرة ، والخبر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ما دلّ على الاستظهار بثلاثة أيام ، لاختصاصه بما عدا ذلك قطعا ، لعدم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 اقتصر فيه على واحد ، لوجوب حمله على أحد أفراد المخيّر ، فإنّ الأصل في الحكم وجوبا كان أو استحبابا وإن كان التعيين ، إلاّ أنه يجب الخروج عنه مع الدليل على التخيير كما في المورد</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وبينه وبينهما وبين ثلاثة أيام إن كانت سبعة ، للصحيحة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ينافيها ما اقتصر على أحد الثلاثة ، لما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وبين كلّ من هذه الثلاثة وتمام العشرة إن كانت ستة فما دون ، لدلالة الصحيحة الثانية على التخيير بين الثلاثة مطلقا ، ودلالة مرسلتي ابن المغيرة ، وموثّقة يونس على تعيين تمام العشرة ، وإذ لا ترجيح فالحكم التخيير ، كما نطقت به الأخبار العلاجية في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وفاقا في الجميع للذكرى </w:t>
      </w:r>
      <w:r>
        <w:rPr>
          <w:rStyle w:val="FootnoteAnchor"/>
          <w:rtl w:val="true"/>
        </w:rPr>
        <w:footnoteReference w:id="2352"/>
      </w:r>
      <w:r>
        <w:rPr>
          <w:rFonts w:ascii="Amiri" w:hAnsi="Amiri" w:eastAsia="Amiri" w:cs="Amiri"/>
          <w:color w:val="111111"/>
          <w:sz w:val="28"/>
          <w:sz w:val="28"/>
          <w:szCs w:val="28"/>
          <w:rtl w:val="true"/>
          <w:lang w:bidi="ar-SA"/>
        </w:rPr>
        <w:t xml:space="preserve">، وأكثر الثالثة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الصدوق </w:t>
      </w:r>
      <w:r>
        <w:rPr>
          <w:rStyle w:val="FootnoteAnchor"/>
          <w:rtl w:val="true"/>
        </w:rPr>
        <w:footnoteReference w:id="2354"/>
      </w:r>
      <w:r>
        <w:rPr>
          <w:rFonts w:ascii="Amiri" w:hAnsi="Amiri" w:eastAsia="Amiri" w:cs="Amiri"/>
          <w:color w:val="111111"/>
          <w:sz w:val="28"/>
          <w:sz w:val="28"/>
          <w:szCs w:val="28"/>
          <w:rtl w:val="true"/>
          <w:lang w:bidi="ar-SA"/>
        </w:rPr>
        <w:t xml:space="preserve">، والشيخين </w:t>
      </w:r>
      <w:r>
        <w:rPr>
          <w:rStyle w:val="FootnoteAnchor"/>
          <w:rtl w:val="true"/>
        </w:rPr>
        <w:footnoteReference w:id="2355"/>
      </w:r>
      <w:r>
        <w:rPr>
          <w:rFonts w:ascii="Amiri" w:hAnsi="Amiri" w:eastAsia="Amiri" w:cs="Amiri"/>
          <w:color w:val="111111"/>
          <w:sz w:val="28"/>
          <w:sz w:val="28"/>
          <w:szCs w:val="28"/>
          <w:rtl w:val="true"/>
          <w:lang w:bidi="ar-SA"/>
        </w:rPr>
        <w:t xml:space="preserve">، والوسيلة ، والشرائع ، والنافع </w:t>
      </w:r>
      <w:r>
        <w:rPr>
          <w:rStyle w:val="FootnoteAnchor"/>
          <w:rtl w:val="true"/>
        </w:rPr>
        <w:footnoteReference w:id="2356"/>
      </w:r>
      <w:r>
        <w:rPr>
          <w:rFonts w:ascii="Amiri" w:hAnsi="Amiri" w:eastAsia="Amiri" w:cs="Amiri"/>
          <w:color w:val="111111"/>
          <w:sz w:val="28"/>
          <w:sz w:val="28"/>
          <w:szCs w:val="28"/>
          <w:rtl w:val="true"/>
          <w:lang w:bidi="ar-SA"/>
        </w:rPr>
        <w:t>، فحكموا بالتخيير بين الأولين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أنه في غير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ولصاحب المدارك </w:t>
      </w:r>
      <w:r>
        <w:rPr>
          <w:rStyle w:val="FootnoteAnchor"/>
          <w:rtl w:val="true"/>
        </w:rPr>
        <w:footnoteReference w:id="2357"/>
      </w:r>
      <w:r>
        <w:rPr>
          <w:rFonts w:ascii="Amiri" w:hAnsi="Amiri" w:eastAsia="Amiri" w:cs="Amiri"/>
          <w:color w:val="111111"/>
          <w:sz w:val="28"/>
          <w:sz w:val="28"/>
          <w:szCs w:val="28"/>
          <w:rtl w:val="true"/>
          <w:lang w:bidi="ar-SA"/>
        </w:rPr>
        <w:t>فبين الثلاثة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أنه في غير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وللسيد ، وعن الإسكافي </w:t>
      </w:r>
      <w:r>
        <w:rPr>
          <w:rStyle w:val="FootnoteAnchor"/>
          <w:rtl w:val="true"/>
        </w:rPr>
        <w:footnoteReference w:id="2358"/>
      </w:r>
      <w:r>
        <w:rPr>
          <w:rFonts w:ascii="Amiri" w:hAnsi="Amiri" w:eastAsia="Amiri" w:cs="Amiri"/>
          <w:color w:val="111111"/>
          <w:sz w:val="28"/>
          <w:sz w:val="28"/>
          <w:szCs w:val="28"/>
          <w:rtl w:val="true"/>
          <w:lang w:bidi="ar-SA"/>
        </w:rPr>
        <w:t xml:space="preserve">، والمقنعة ، والجمل </w:t>
      </w:r>
      <w:r>
        <w:rPr>
          <w:rStyle w:val="FootnoteAnchor"/>
          <w:rtl w:val="true"/>
        </w:rPr>
        <w:footnoteReference w:id="2359"/>
      </w:r>
      <w:r>
        <w:rPr>
          <w:rFonts w:ascii="Amiri" w:hAnsi="Amiri" w:eastAsia="Amiri" w:cs="Amiri"/>
          <w:color w:val="111111"/>
          <w:sz w:val="28"/>
          <w:sz w:val="28"/>
          <w:szCs w:val="28"/>
          <w:rtl w:val="true"/>
          <w:lang w:bidi="ar-SA"/>
        </w:rPr>
        <w:t>، فحكموا بتعيّن تمام العشرة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وحجة الجميع مع الجواب ظاهرة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ذلك الاستظهار هل هو على الوجوب؟ كما عن ظاهر الأكثر ، والسيد </w:t>
      </w:r>
      <w:r>
        <w:rPr>
          <w:rStyle w:val="FootnoteAnchor"/>
          <w:rtl w:val="true"/>
        </w:rPr>
        <w:footnoteReference w:id="2360"/>
      </w:r>
      <w:r>
        <w:rPr>
          <w:rFonts w:ascii="Amiri" w:hAnsi="Amiri" w:eastAsia="Amiri" w:cs="Amiri"/>
          <w:color w:val="111111"/>
          <w:sz w:val="28"/>
          <w:sz w:val="28"/>
          <w:szCs w:val="28"/>
          <w:rtl w:val="true"/>
          <w:lang w:bidi="ar-SA"/>
        </w:rPr>
        <w:t xml:space="preserve">، والاستبصار ، والنهاية ، والجمل ، والسرائر </w:t>
      </w:r>
      <w:r>
        <w:rPr>
          <w:rStyle w:val="FootnoteAnchor"/>
          <w:rtl w:val="true"/>
        </w:rPr>
        <w:footnoteReference w:id="2361"/>
      </w:r>
      <w:r>
        <w:rPr>
          <w:rFonts w:ascii="Amiri" w:hAnsi="Amiri" w:eastAsia="Amiri" w:cs="Amiri"/>
          <w:color w:val="111111"/>
          <w:sz w:val="28"/>
          <w:sz w:val="28"/>
          <w:szCs w:val="28"/>
          <w:rtl w:val="true"/>
          <w:lang w:bidi="ar-SA"/>
        </w:rPr>
        <w:t xml:space="preserve">، عملا بظاهر الأوامر ، واحتياطا في العبادة حيث إنّ تركها على الحائض عزيمة ، واستصحابا للحالة </w:t>
      </w:r>
    </w:p>
    <w:p>
      <w:pPr>
        <w:pStyle w:val="BookText"/>
        <w:rPr/>
      </w:pP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على الاستحباب؟ كما عن التذكرة </w:t>
      </w:r>
      <w:r>
        <w:rPr>
          <w:rStyle w:val="FootnoteAnchor"/>
          <w:rtl w:val="true"/>
        </w:rPr>
        <w:footnoteReference w:id="2362"/>
      </w:r>
      <w:r>
        <w:rPr>
          <w:rFonts w:ascii="Amiri" w:hAnsi="Amiri" w:eastAsia="Amiri" w:cs="Amiri"/>
          <w:color w:val="111111"/>
          <w:sz w:val="28"/>
          <w:sz w:val="28"/>
          <w:szCs w:val="28"/>
          <w:rtl w:val="true"/>
          <w:lang w:bidi="ar-SA"/>
        </w:rPr>
        <w:t xml:space="preserve">وعامة المتأخّرين </w:t>
      </w:r>
      <w:r>
        <w:rPr>
          <w:rStyle w:val="FootnoteAnchor"/>
          <w:rtl w:val="true"/>
        </w:rPr>
        <w:footnoteReference w:id="2363"/>
      </w:r>
      <w:r>
        <w:rPr>
          <w:rFonts w:ascii="Amiri" w:hAnsi="Amiri" w:eastAsia="Amiri" w:cs="Amiri"/>
          <w:color w:val="111111"/>
          <w:sz w:val="28"/>
          <w:sz w:val="28"/>
          <w:szCs w:val="28"/>
          <w:rtl w:val="true"/>
          <w:lang w:bidi="ar-SA"/>
        </w:rPr>
        <w:t xml:space="preserve">، بل الأكثر كما في اللوامع ، التفاتا إلى أخبار الرجوع إلى العادة مطلقا والعمل فيما عداها بالاستحاضة ، كالصحاح الثلاث لأبناء عمّار </w:t>
      </w:r>
      <w:r>
        <w:rPr>
          <w:rStyle w:val="FootnoteAnchor"/>
          <w:rtl w:val="true"/>
        </w:rPr>
        <w:footnoteReference w:id="2364"/>
      </w:r>
      <w:r>
        <w:rPr>
          <w:rFonts w:ascii="IRNazanin" w:hAnsi="IRNazanin" w:eastAsia="IRNazanin"/>
          <w:color w:val="111111"/>
          <w:sz w:val="28"/>
          <w:sz w:val="28"/>
          <w:szCs w:val="28"/>
          <w:rtl w:val="true"/>
          <w:lang w:bidi="fa-IR"/>
        </w:rPr>
        <w:t xml:space="preserve">، وسنان </w:t>
      </w:r>
      <w:r>
        <w:rPr>
          <w:rStyle w:val="FootnoteAnchor"/>
          <w:rtl w:val="true"/>
        </w:rPr>
        <w:footnoteReference w:id="2365"/>
      </w:r>
      <w:r>
        <w:rPr>
          <w:rFonts w:ascii="Amiri" w:hAnsi="Amiri" w:eastAsia="Amiri" w:cs="Amiri"/>
          <w:color w:val="111111"/>
          <w:sz w:val="28"/>
          <w:sz w:val="28"/>
          <w:szCs w:val="28"/>
          <w:rtl w:val="true"/>
          <w:lang w:bidi="ar-SA"/>
        </w:rPr>
        <w:t xml:space="preserve">، وأعين </w:t>
      </w:r>
      <w:r>
        <w:rPr>
          <w:rStyle w:val="FootnoteAnchor"/>
          <w:rtl w:val="true"/>
        </w:rPr>
        <w:footnoteReference w:id="2366"/>
      </w:r>
      <w:r>
        <w:rPr>
          <w:rFonts w:ascii="Amiri" w:hAnsi="Amiri" w:eastAsia="Amiri" w:cs="Amiri"/>
          <w:color w:val="111111"/>
          <w:sz w:val="28"/>
          <w:sz w:val="28"/>
          <w:szCs w:val="28"/>
          <w:rtl w:val="true"/>
          <w:lang w:bidi="ar-SA"/>
        </w:rPr>
        <w:t xml:space="preserve">، وموثّقتي ابن سنان </w:t>
      </w:r>
      <w:r>
        <w:rPr>
          <w:rStyle w:val="FootnoteAnchor"/>
          <w:rtl w:val="true"/>
        </w:rPr>
        <w:footnoteReference w:id="2367"/>
      </w:r>
      <w:r>
        <w:rPr>
          <w:rFonts w:ascii="Amiri" w:hAnsi="Amiri" w:eastAsia="Amiri" w:cs="Amiri"/>
          <w:color w:val="111111"/>
          <w:sz w:val="28"/>
          <w:sz w:val="28"/>
          <w:szCs w:val="28"/>
          <w:rtl w:val="true"/>
          <w:lang w:bidi="ar-SA"/>
        </w:rPr>
        <w:t xml:space="preserve">، وسماعة </w:t>
      </w:r>
      <w:r>
        <w:rPr>
          <w:rStyle w:val="FootnoteAnchor"/>
          <w:rtl w:val="true"/>
        </w:rPr>
        <w:footnoteReference w:id="2368"/>
      </w:r>
      <w:r>
        <w:rPr>
          <w:rFonts w:ascii="Amiri" w:hAnsi="Amiri" w:eastAsia="Amiri" w:cs="Amiri"/>
          <w:color w:val="111111"/>
          <w:sz w:val="28"/>
          <w:sz w:val="28"/>
          <w:szCs w:val="28"/>
          <w:rtl w:val="true"/>
          <w:lang w:bidi="ar-SA"/>
        </w:rPr>
        <w:t xml:space="preserve">، ومرسلة يونس </w:t>
      </w:r>
      <w:r>
        <w:rPr>
          <w:rStyle w:val="FootnoteAnchor"/>
          <w:rtl w:val="true"/>
        </w:rPr>
        <w:footnoteReference w:id="2369"/>
      </w:r>
      <w:r>
        <w:rPr>
          <w:rFonts w:ascii="Amiri" w:hAnsi="Amiri" w:eastAsia="Amiri" w:cs="Amiri"/>
          <w:color w:val="111111"/>
          <w:sz w:val="28"/>
          <w:sz w:val="28"/>
          <w:szCs w:val="28"/>
          <w:rtl w:val="true"/>
          <w:lang w:bidi="ar-SA"/>
        </w:rPr>
        <w:t xml:space="preserve">، وخبر ابن أبي يعفور </w:t>
      </w:r>
      <w:r>
        <w:rPr>
          <w:rStyle w:val="FootnoteAnchor"/>
          <w:rtl w:val="true"/>
        </w:rPr>
        <w:footnoteReference w:id="2370"/>
      </w:r>
      <w:r>
        <w:rPr>
          <w:rFonts w:ascii="Amiri" w:hAnsi="Amiri" w:eastAsia="Amiri" w:cs="Amiri"/>
          <w:color w:val="111111"/>
          <w:sz w:val="28"/>
          <w:sz w:val="28"/>
          <w:szCs w:val="28"/>
          <w:rtl w:val="true"/>
          <w:lang w:bidi="ar-SA"/>
        </w:rPr>
        <w:t>، وأخذا بظن الانقطاع على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لما ذكر ، لعدم التمامية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لانتفاء الوجوب بالأصل ، وعدم دليل عليه ، لخلوّ جميع أخبار الاستظهار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اثنين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اللفظ الدالّ على الوجوب ، وإنّما وردت بلفظ الإخبار الغير المفيد سوى 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هما فمخرجان عن حقيقتهما التي هي الوجوب المعيّن قطعا ، لما عرفت من ثبوت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الحمل على الوجوب التخييري أولى من الاستحباب كذلك ، حيث إنّهما من المعاني المجازية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 الوجوب التخييري أقرب إلى الحقيقة لا يفيد ، لعدم دليل على وجوب </w:t>
      </w:r>
      <w:bookmarkStart w:id="144" w:name="pg11612_111073"/>
    </w:p>
    <w:p>
      <w:pPr>
        <w:pStyle w:val="BookText"/>
        <w:rPr/>
      </w:pPr>
      <w:bookmarkEnd w:id="144"/>
      <w:r>
        <w:rPr>
          <w:rFonts w:ascii="Amiri" w:hAnsi="Amiri" w:eastAsia="Amiri" w:cs="Amiri"/>
          <w:color w:val="111111"/>
          <w:sz w:val="28"/>
          <w:sz w:val="28"/>
          <w:szCs w:val="28"/>
          <w:rtl w:val="true"/>
          <w:lang w:bidi="ar-SA"/>
        </w:rPr>
        <w:t xml:space="preserve">الحمل على مثل ذلك الأقرب ، وثبوت مطلق الرجحان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للاستحباب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تضرّ معارضة أخبار الرجوع إلى العادة الواردة جميعا أيضا بلفظ الإخبار المفيد للرجحان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لما قيل </w:t>
      </w:r>
      <w:r>
        <w:rPr>
          <w:rStyle w:val="FootnoteAnchor"/>
          <w:rtl w:val="true"/>
        </w:rPr>
        <w:footnoteReference w:id="2371"/>
      </w:r>
      <w:r>
        <w:rPr>
          <w:rFonts w:ascii="Amiri" w:hAnsi="Amiri" w:eastAsia="Amiri" w:cs="Amiri"/>
          <w:color w:val="111111"/>
          <w:sz w:val="28"/>
          <w:sz w:val="28"/>
          <w:szCs w:val="28"/>
          <w:rtl w:val="true"/>
          <w:lang w:bidi="ar-SA"/>
        </w:rPr>
        <w:t>من أنها لا تفيد سوى الجواز الغير المنافي للاستحباب حيث وردت في مقام توهّم الحظر ، لمنع حمل الأمر على الجواز في مثل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لسقوطها بموافقتها العامة </w:t>
      </w:r>
      <w:r>
        <w:rPr>
          <w:rStyle w:val="FootnoteAnchor"/>
          <w:rtl w:val="true"/>
        </w:rPr>
        <w:footnoteReference w:id="2372"/>
      </w:r>
      <w:r>
        <w:rPr>
          <w:rFonts w:ascii="Amiri" w:hAnsi="Amiri" w:eastAsia="Amiri" w:cs="Amiri"/>
          <w:color w:val="111111"/>
          <w:sz w:val="28"/>
          <w:sz w:val="28"/>
          <w:szCs w:val="28"/>
          <w:rtl w:val="true"/>
          <w:lang w:bidi="ar-SA"/>
        </w:rPr>
        <w:t>التي هي من موجبات المرجوحية المنصوصة ، فتبقى مرجّحات الاستظهار خالية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تعارض الفريقان ، لوجب تقديم الأولى ، لكونها أخصّ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أنّهما تعارضا وتساقطا ، لكفت الشهرة العظيمة بل ظاهر الإجماع لإثبات الاستحباب ، للتسامح في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سقوط القول بالجواز الخالي عن قيدي الوجوب والاستحباب رأسا وإن سقطت أدلّة الطرفين بالتعارض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5" w:name="__RefHeading___Toc5524413_73709187"/>
      <w:bookmarkStart w:id="146" w:name="_Toc55"/>
      <w:bookmarkEnd w:id="145"/>
      <w:r>
        <w:rPr>
          <w:rtl w:val="true"/>
        </w:rPr>
        <w:t xml:space="preserve">فروع </w:t>
      </w:r>
      <w:r>
        <w:rPr>
          <w:rtl w:val="true"/>
        </w:rPr>
        <w:t>:</w:t>
      </w:r>
      <w:bookmarkEnd w:id="146"/>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إطلاقات الاستظهار ثبوته مع رؤية الدم مطلقا سواء كان بصفة الحيض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يقيّد بالأول ، جمعا بينها وبين إطلاقات سقوط الاستظهار بشهادة أخبار التمييز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الاستشهاد لا يوافق التخيير في أيام الاستظهار ولا استحبابه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أنّ أخبار التمييز معارضة مع حسنة ابن مسلم وموثّقته </w:t>
      </w:r>
      <w:r>
        <w:rPr>
          <w:rStyle w:val="FootnoteAnchor"/>
          <w:rtl w:val="true"/>
        </w:rPr>
        <w:footnoteReference w:id="2375"/>
      </w:r>
      <w:r>
        <w:rPr>
          <w:rFonts w:ascii="Amiri" w:hAnsi="Amiri" w:eastAsia="Amiri" w:cs="Amiri"/>
          <w:color w:val="111111"/>
          <w:sz w:val="28"/>
          <w:sz w:val="28"/>
          <w:szCs w:val="28"/>
          <w:rtl w:val="true"/>
          <w:lang w:bidi="ar-SA"/>
        </w:rPr>
        <w:t>الدالّتين على حيضية كلّ ما رأته قبل العشرة وساقطة في المقام ، فيبقى ذلك الجمع بلا شاهد فلا اعتبار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يجمع </w:t>
      </w:r>
      <w:r>
        <w:rPr>
          <w:rStyle w:val="FootnoteAnchor"/>
          <w:rtl w:val="true"/>
        </w:rPr>
        <w:footnoteReference w:id="2376"/>
      </w:r>
      <w:r>
        <w:rPr>
          <w:rFonts w:ascii="Amiri" w:hAnsi="Amiri" w:eastAsia="Amiri" w:cs="Amiri"/>
          <w:color w:val="111111"/>
          <w:sz w:val="28"/>
          <w:sz w:val="28"/>
          <w:szCs w:val="28"/>
          <w:rtl w:val="true"/>
          <w:lang w:bidi="ar-SA"/>
        </w:rPr>
        <w:t xml:space="preserve">أيضا بحمل إطلاقات السقوط على مستقيمة الحيض بلا اختلاف بالزيادة والنقصان والتقدّم والتأخّر ، والمثبتات له على غيرها ، بشهادة صحيحتي البصري </w:t>
      </w:r>
      <w:r>
        <w:rPr>
          <w:rStyle w:val="FootnoteAnchor"/>
          <w:rtl w:val="true"/>
        </w:rPr>
        <w:footnoteReference w:id="2377"/>
      </w:r>
      <w:r>
        <w:rPr>
          <w:rFonts w:ascii="Amiri" w:hAnsi="Amiri" w:eastAsia="Amiri" w:cs="Amiri"/>
          <w:color w:val="111111"/>
          <w:sz w:val="28"/>
          <w:sz w:val="28"/>
          <w:szCs w:val="28"/>
          <w:rtl w:val="true"/>
          <w:lang w:bidi="ar-SA"/>
        </w:rPr>
        <w:t xml:space="preserve">وابن أعين </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كان حسنا لو لا شذوذهما ، إذ لا قائل بهما كما في اللوامع ، ولا أقلّ من ندرته الكافية لإخراج الرواية عن حيّز الحجية ، مع أنّ تنزيلهما على ما لا ينافي المشهور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تمّت أيام الاستظهار قبل العاشر ولم ينقطع الدم تفعل فعل المستحاضة إجماعا ، وتدلّ عليه موثّقة سماعة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أكثر من أيامها التي كانت تحيض فيهن فلتتربّص ثلاثة أيام بعد ما تمضي أيامها ، وإذا تربّصت ثلاثة أيام ولم ينقطع عنها الدم فلتصنع كما تصنع المستحاضة </w:t>
      </w:r>
      <w:r>
        <w:rPr>
          <w:rFonts w:eastAsia="Amiri" w:cs="Amiri" w:ascii="Amiri" w:hAnsi="Amiri"/>
          <w:color w:val="111111"/>
          <w:sz w:val="28"/>
          <w:szCs w:val="28"/>
          <w:rtl w:val="true"/>
          <w:lang w:bidi="ar-SA"/>
        </w:rPr>
        <w:t xml:space="preserve">»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واختصاصها باستظهار الثلاثة غير ضائر ، لعدم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المعروف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بعد الاستظهار فإمّا يتجاوز دمها العاشر ، أو لا بل ينقطع عليه أو على ما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يتبيّن كون ما سوى العادة استحاضة ويلزمه وجوب قضاء ما تركته في أيام الاستظهار من الصلاة والصوم</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يتبيّن كون الجميع حيضا ، فتقضي الصوم حتى الذي اتي به </w:t>
      </w:r>
    </w:p>
    <w:p>
      <w:pPr>
        <w:pStyle w:val="BookText"/>
        <w:rPr/>
      </w:pPr>
      <w:r>
        <w:rPr>
          <w:rFonts w:ascii="Amiri" w:hAnsi="Amiri" w:eastAsia="Amiri" w:cs="Amiri"/>
          <w:color w:val="111111"/>
          <w:sz w:val="28"/>
          <w:sz w:val="28"/>
          <w:szCs w:val="28"/>
          <w:rtl w:val="true"/>
          <w:lang w:bidi="ar-SA"/>
        </w:rPr>
        <w:t>بعد أيام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أيام الاستظهار حيضا في اليقين ، وإنّما التفاوت بالحيضية والاستحاضة إنّما هو فيما بعدها وقبل انقضاء العشرة لو كان ، حكي عن مصباح السيد </w:t>
      </w:r>
      <w:r>
        <w:rPr>
          <w:rStyle w:val="FootnoteAnchor"/>
          <w:rtl w:val="true"/>
        </w:rPr>
        <w:footnoteReference w:id="2380"/>
      </w:r>
      <w:r>
        <w:rPr>
          <w:rFonts w:ascii="Amiri" w:hAnsi="Amiri" w:eastAsia="Amiri" w:cs="Amiri"/>
          <w:color w:val="111111"/>
          <w:sz w:val="28"/>
          <w:sz w:val="28"/>
          <w:szCs w:val="28"/>
          <w:rtl w:val="true"/>
          <w:lang w:bidi="ar-SA"/>
        </w:rPr>
        <w:t xml:space="preserve">، وظاهر القواعد ، والنهاية </w:t>
      </w:r>
      <w:r>
        <w:rPr>
          <w:rStyle w:val="FootnoteAnchor"/>
          <w:rtl w:val="true"/>
        </w:rPr>
        <w:footnoteReference w:id="2381"/>
      </w:r>
      <w:r>
        <w:rPr>
          <w:rFonts w:ascii="Amiri" w:hAnsi="Amiri" w:eastAsia="Amiri" w:cs="Amiri"/>
          <w:color w:val="111111"/>
          <w:sz w:val="28"/>
          <w:sz w:val="28"/>
          <w:szCs w:val="28"/>
          <w:rtl w:val="true"/>
          <w:lang w:bidi="ar-SA"/>
        </w:rPr>
        <w:t xml:space="preserve">، واختاره في النافع ، ونقله في المعتبر عن جماعة من علمائنا المحقّقين </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ومال بعض مشايخنا المتأخّرين </w:t>
      </w:r>
      <w:r>
        <w:rPr>
          <w:rStyle w:val="FootnoteAnchor"/>
          <w:rtl w:val="true"/>
        </w:rPr>
        <w:footnoteReference w:id="2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حيضية أيام الاستظهار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كون ما بعد أيام الاستظهار استحاضة مطلقا ، وإليه يميل كلام المدارك </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ظهر أنّ أيام الاستظهار مع عدم التجاوز حيض إجماعا ، وما بعدها إلى العشرة مع التجاوز طهر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الخلاف في الأول </w:t>
      </w:r>
      <w:r>
        <w:rPr>
          <w:rStyle w:val="FootnoteAnchor"/>
          <w:rtl w:val="true"/>
        </w:rPr>
        <w:footnoteReference w:id="2385"/>
      </w:r>
      <w:r>
        <w:rPr>
          <w:rFonts w:ascii="Amiri" w:hAnsi="Amiri" w:eastAsia="Amiri" w:cs="Amiri"/>
          <w:color w:val="111111"/>
          <w:sz w:val="28"/>
          <w:sz w:val="28"/>
          <w:szCs w:val="28"/>
          <w:rtl w:val="true"/>
          <w:lang w:bidi="ar-SA"/>
        </w:rPr>
        <w:t xml:space="preserve">مع الثاني والثاني </w:t>
      </w:r>
      <w:r>
        <w:rPr>
          <w:rStyle w:val="FootnoteAnchor"/>
          <w:rtl w:val="true"/>
        </w:rPr>
        <w:footnoteReference w:id="2386"/>
      </w:r>
      <w:r>
        <w:rPr>
          <w:rFonts w:ascii="Amiri" w:hAnsi="Amiri" w:eastAsia="Amiri" w:cs="Amiri"/>
          <w:color w:val="111111"/>
          <w:sz w:val="28"/>
          <w:sz w:val="28"/>
          <w:szCs w:val="28"/>
          <w:rtl w:val="true"/>
          <w:lang w:bidi="ar-SA"/>
        </w:rPr>
        <w:t xml:space="preserve">مع الأول ، ففي كلّ من الموضعين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الطهرية والحيضية ، وفيهما معا احتمالات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طهرية الأول وحيضية الثاني وهو المشهور ، وعكسه وهو لصاحب المدارك وبعض المشايخ ، وحيضيتهما معا وهو للسيد وتابعيه ، وطهريتهما كذلك ، ولم أعثر على قائل به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المقام ، بعد ملاحظة أنه لا دلالة لأخبار الاستظهار على حيضية أيامه ولا طهريته أصلا ، إذ لا ملازمة بين استحباب ترك العبادة في أيام الاستظهار أو وجوبه وبين أحد الأمرين قطعا ، كما أنه يجب تركها برؤية الدم مع رة </w:t>
      </w:r>
    </w:p>
    <w:p>
      <w:pPr>
        <w:pStyle w:val="BookText"/>
        <w:rPr/>
      </w:pPr>
      <w:r>
        <w:rPr>
          <w:rFonts w:ascii="Amiri" w:hAnsi="Amiri" w:eastAsia="Amiri" w:cs="Amiri"/>
          <w:color w:val="111111"/>
          <w:sz w:val="28"/>
          <w:sz w:val="28"/>
          <w:szCs w:val="28"/>
          <w:rtl w:val="true"/>
          <w:lang w:bidi="ar-SA"/>
        </w:rPr>
        <w:t>أنه قد لا يستمرّ إلى الثلاثة ، ويجب فعلها في الانقطاع المتخلّل في الأثناء ، مع أنه قد يعود الدم قبل العشرة أو تمام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لمثل قوله في تلك الأخبار بعد الاستظهار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هي 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الحيضية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 هنا أقساما خمسة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أنّ كلّ ما تراه بعد أيام حيضها فليس بحيض </w:t>
      </w:r>
      <w:r>
        <w:rPr>
          <w:rStyle w:val="FootnoteAnchor"/>
          <w:rtl w:val="true"/>
        </w:rPr>
        <w:footnoteReference w:id="2387"/>
      </w:r>
      <w:r>
        <w:rPr>
          <w:rFonts w:ascii="Amiri" w:hAnsi="Amiri" w:eastAsia="Amiri" w:cs="Amiri"/>
          <w:color w:val="111111"/>
          <w:sz w:val="28"/>
          <w:sz w:val="28"/>
          <w:szCs w:val="28"/>
          <w:rtl w:val="true"/>
          <w:lang w:bidi="ar-SA"/>
        </w:rPr>
        <w:t xml:space="preserve">، وقوله في المرسلة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علم الآن أنّ ذلك قد صار لها وقتا وخلقا تعمل عليه وتدع ما سواه </w:t>
      </w:r>
      <w:r>
        <w:rPr>
          <w:rFonts w:eastAsia="Amiri" w:cs="Amiri" w:ascii="Amiri" w:hAnsi="Amiri"/>
          <w:color w:val="111111"/>
          <w:sz w:val="28"/>
          <w:szCs w:val="28"/>
          <w:rtl w:val="true"/>
          <w:lang w:bidi="ar-SA"/>
        </w:rPr>
        <w:t xml:space="preserve">» </w:t>
      </w:r>
      <w:r>
        <w:rPr>
          <w:rStyle w:val="FootnoteAnchor"/>
          <w:rtl w:val="true"/>
        </w:rPr>
        <w:footnoteReference w:id="2388"/>
      </w:r>
      <w:r>
        <w:rPr>
          <w:rFonts w:ascii="Amiri" w:hAnsi="Amiri" w:eastAsia="Amiri" w:cs="Amiri"/>
          <w:color w:val="111111"/>
          <w:sz w:val="28"/>
          <w:sz w:val="28"/>
          <w:szCs w:val="28"/>
          <w:rtl w:val="true"/>
          <w:lang w:bidi="ar-SA"/>
        </w:rPr>
        <w:t xml:space="preserve">والمصرّحة بأنّ ما بعد أيام الاستظهار استحاضة </w:t>
      </w:r>
      <w:r>
        <w:rPr>
          <w:rStyle w:val="FootnoteAnchor"/>
          <w:rtl w:val="true"/>
        </w:rPr>
        <w:footnoteReference w:id="2389"/>
      </w:r>
      <w:r>
        <w:rPr>
          <w:rFonts w:ascii="Amiri" w:hAnsi="Amiri" w:eastAsia="Amiri" w:cs="Amiri"/>
          <w:color w:val="111111"/>
          <w:sz w:val="28"/>
          <w:sz w:val="28"/>
          <w:szCs w:val="28"/>
          <w:rtl w:val="true"/>
          <w:lang w:bidi="ar-SA"/>
        </w:rPr>
        <w:t xml:space="preserve">، والمشتملة على أنّ كلّ ما بصفة الحيض حيض </w:t>
      </w:r>
      <w:r>
        <w:rPr>
          <w:rStyle w:val="FootnoteAnchor"/>
          <w:rtl w:val="true"/>
        </w:rPr>
        <w:footnoteReference w:id="2390"/>
      </w:r>
      <w:r>
        <w:rPr>
          <w:rFonts w:ascii="Amiri" w:hAnsi="Amiri" w:eastAsia="Amiri" w:cs="Amiri"/>
          <w:color w:val="111111"/>
          <w:sz w:val="28"/>
          <w:sz w:val="28"/>
          <w:szCs w:val="28"/>
          <w:rtl w:val="true"/>
          <w:lang w:bidi="ar-SA"/>
        </w:rPr>
        <w:t xml:space="preserve">، والمتضمّنة لأن ما تراه المرأة قبل العشرة فهو من الحيضة الأولى </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إطلاق الأولين طهرية الموضعين ، كما أنّ مقتضى الثالث طهرية الثاني أيضا ، ومقتضى إطلاق الثانيين حيضية الموضعين ، فيتعارض الفريقان بالعموم من وجه ، ويرجع إلى الأصل ، وهو يقتضي حيضية الموضعين لاستصحاب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تعارضه في الموضع الأول أصالة بقاء العادة على حالها ، لمنعها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هو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وإباء العقل عن الحكم بكون ما تراه من الدم طهرا في آن وما تراه في آن متّصل به حيضا مع اتّصالهما ، وعن صيرورة دم واحد حيضا وطهرا باختيارها لتخييرها في الاستظهار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اللازم في الموضع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جدّا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رأت ذات العادتين الدم قبيل </w:t>
      </w:r>
      <w:r>
        <w:rPr>
          <w:rStyle w:val="FootnoteAnchor"/>
          <w:rtl w:val="true"/>
        </w:rPr>
        <w:footnoteReference w:id="2392"/>
      </w:r>
      <w:r>
        <w:rPr>
          <w:rFonts w:ascii="Amiri" w:hAnsi="Amiri" w:eastAsia="Amiri" w:cs="Amiri"/>
          <w:color w:val="111111"/>
          <w:sz w:val="28"/>
          <w:sz w:val="28"/>
          <w:szCs w:val="28"/>
          <w:rtl w:val="true"/>
          <w:lang w:bidi="ar-SA"/>
        </w:rPr>
        <w:t xml:space="preserve">العادة وانتهت أيام العادة في أثنائها ففي الاستظهار حينئذ لأخباره ، أو عدمه بل التحيّض ، لقوله عليه السلام في </w:t>
      </w:r>
    </w:p>
    <w:p>
      <w:pPr>
        <w:pStyle w:val="BookText"/>
        <w:rPr/>
      </w:pPr>
      <w:r>
        <w:rPr>
          <w:rFonts w:ascii="Amiri" w:hAnsi="Amiri" w:eastAsia="Amiri" w:cs="Amiri"/>
          <w:color w:val="111111"/>
          <w:sz w:val="28"/>
          <w:sz w:val="28"/>
          <w:szCs w:val="28"/>
          <w:rtl w:val="true"/>
          <w:lang w:bidi="ar-SA"/>
        </w:rPr>
        <w:t xml:space="preserve">المرسلة الطويلة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فتعمل فيه وتدع ما سواه </w:t>
      </w:r>
      <w:r>
        <w:rPr>
          <w:rFonts w:eastAsia="Amiri" w:cs="Amiri" w:ascii="Amiri" w:hAnsi="Amiri"/>
          <w:color w:val="111111"/>
          <w:sz w:val="28"/>
          <w:szCs w:val="28"/>
          <w:rtl w:val="true"/>
          <w:lang w:bidi="ar-SA"/>
        </w:rPr>
        <w:t xml:space="preserve">» </w:t>
      </w:r>
      <w:r>
        <w:rPr>
          <w:rStyle w:val="FootnoteAnchor"/>
          <w:rtl w:val="true"/>
        </w:rPr>
        <w:footnoteReference w:id="2393"/>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اختارت عدم الاستظهار تغتسل وتعمل عمل المستحاضة ، فإن تجاوز الدم العشرة فلا شي‌ء عليها إجماعا ، وإلاّ فتتحيّض في جميع أيام الدم وتقضي الصوم ، ووجهه ظاهر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الفرق في ثبوت الاستظهار بين ما إذا استمرّ الدم إلى العادة وتجاوز عنها أو انقطع قبلها ثمَّ عاد قبل العشرة بما يمكن فيه الاستظهار ، لإطلاق بعض أخباره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تجاوز عن العشرة ، فالظاهر عدم الخلاف في كونه استحاضة وأيام النقاء طهرا ، وإلاّ فمقتضى الاستصحاب حيضيّته مع أيام النقاء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تجاوز دمها العاشر ، تجعل عادتها عددا ووقتا أو مع أيام الاستظهار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حيضا ، وما سواها استحاضة إن لم يبلغ المجموع حدّا يصلح لحيضتين مستقلّتين بأن يتضمّن الزائد على العادة لأقلّ طهر وحيض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توافقت العادة والزائد الصالح للحيضية في الصفات أو اختلفتا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أيام العادة بالصفة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مع كون غير العادة بالصفة دون العادة ، فيرجح العادة على الأصح الأشهر ، كما صرّح به جماعة ، وهو مختار المفيد ، والسيد </w:t>
      </w:r>
      <w:r>
        <w:rPr>
          <w:rStyle w:val="FootnoteAnchor"/>
          <w:rtl w:val="true"/>
        </w:rPr>
        <w:footnoteReference w:id="2394"/>
      </w:r>
      <w:r>
        <w:rPr>
          <w:rFonts w:ascii="Amiri" w:hAnsi="Amiri" w:eastAsia="Amiri" w:cs="Amiri"/>
          <w:color w:val="111111"/>
          <w:sz w:val="28"/>
          <w:sz w:val="28"/>
          <w:szCs w:val="28"/>
          <w:rtl w:val="true"/>
          <w:lang w:bidi="ar-SA"/>
        </w:rPr>
        <w:t xml:space="preserve">، والشيخ في الجمل والمبسوط </w:t>
      </w:r>
      <w:r>
        <w:rPr>
          <w:rStyle w:val="FootnoteAnchor"/>
          <w:rtl w:val="true"/>
        </w:rPr>
        <w:footnoteReference w:id="2395"/>
      </w:r>
      <w:r>
        <w:rPr>
          <w:rFonts w:ascii="IRNazanin" w:hAnsi="IRNazanin" w:eastAsia="IRNazanin"/>
          <w:color w:val="111111"/>
          <w:sz w:val="28"/>
          <w:sz w:val="28"/>
          <w:szCs w:val="28"/>
          <w:rtl w:val="true"/>
          <w:lang w:bidi="fa-IR"/>
        </w:rPr>
        <w:t xml:space="preserve">، والمعتبر ، والنافع ، والشرائع </w:t>
      </w:r>
      <w:r>
        <w:rPr>
          <w:rStyle w:val="FootnoteAnchor"/>
          <w:rtl w:val="true"/>
        </w:rPr>
        <w:footnoteReference w:id="2396"/>
      </w:r>
      <w:r>
        <w:rPr>
          <w:rFonts w:ascii="Amiri" w:hAnsi="Amiri" w:eastAsia="Amiri" w:cs="Amiri"/>
          <w:color w:val="111111"/>
          <w:sz w:val="28"/>
          <w:sz w:val="28"/>
          <w:szCs w:val="28"/>
          <w:rtl w:val="true"/>
          <w:lang w:bidi="ar-SA"/>
        </w:rPr>
        <w:t xml:space="preserve">، والجامع ، والكافي ، والاقتصاد ، والسرائر </w:t>
      </w:r>
      <w:r>
        <w:rPr>
          <w:rStyle w:val="FootnoteAnchor"/>
          <w:rtl w:val="true"/>
        </w:rPr>
        <w:footnoteReference w:id="2397"/>
      </w:r>
      <w:r>
        <w:rPr>
          <w:rFonts w:ascii="Amiri" w:hAnsi="Amiri" w:eastAsia="Amiri" w:cs="Amiri"/>
          <w:color w:val="111111"/>
          <w:sz w:val="28"/>
          <w:sz w:val="28"/>
          <w:szCs w:val="28"/>
          <w:rtl w:val="true"/>
          <w:lang w:bidi="ar-SA"/>
        </w:rPr>
        <w:t xml:space="preserve">، وغيرها </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لعموم أخبار العادة ، وأنّ الصفرة في أيام الحيض حيض ، وإطلاقات كون </w:t>
      </w:r>
    </w:p>
    <w:p>
      <w:pPr>
        <w:pStyle w:val="BookText"/>
        <w:rPr/>
      </w:pPr>
      <w:r>
        <w:rPr>
          <w:rFonts w:ascii="Amiri" w:hAnsi="Amiri" w:eastAsia="Amiri" w:cs="Amiri"/>
          <w:color w:val="111111"/>
          <w:sz w:val="28"/>
          <w:sz w:val="28"/>
          <w:szCs w:val="28"/>
          <w:rtl w:val="true"/>
          <w:lang w:bidi="ar-SA"/>
        </w:rPr>
        <w:t>الدم استحاضة بعد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وخصوص قوله عليه السلام في المرسلة الطويلة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كانت تعرف أيامها ما احتاجت إلى معرفة لون 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جهلت الأيام وعددها احتاجت إلى النظر حينئذ إلى إقبال الدم وإدباره وتغيّر لونه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فيها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علم الآن أنّ ذلك قد صار لها وقتا وخلقا معروفا تعمل عليه وتدع ما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النهاية </w:t>
      </w:r>
      <w:r>
        <w:rPr>
          <w:rStyle w:val="FootnoteAnchor"/>
          <w:rtl w:val="true"/>
        </w:rPr>
        <w:footnoteReference w:id="2399"/>
      </w:r>
      <w:r>
        <w:rPr>
          <w:rFonts w:ascii="IRNazanin" w:hAnsi="IRNazanin" w:eastAsia="IRNazanin"/>
          <w:color w:val="111111"/>
          <w:sz w:val="28"/>
          <w:sz w:val="28"/>
          <w:szCs w:val="28"/>
          <w:rtl w:val="true"/>
          <w:lang w:bidi="fa-IR"/>
        </w:rPr>
        <w:t xml:space="preserve">، والإصباح </w:t>
      </w:r>
      <w:r>
        <w:rPr>
          <w:rStyle w:val="FootnoteAnchor"/>
          <w:rtl w:val="true"/>
        </w:rPr>
        <w:footnoteReference w:id="2400"/>
      </w:r>
      <w:r>
        <w:rPr>
          <w:rFonts w:ascii="IRNazanin" w:hAnsi="IRNazanin" w:eastAsia="IRNazanin"/>
          <w:color w:val="111111"/>
          <w:sz w:val="28"/>
          <w:sz w:val="28"/>
          <w:szCs w:val="28"/>
          <w:rtl w:val="true"/>
          <w:lang w:bidi="fa-IR"/>
        </w:rPr>
        <w:t xml:space="preserve">، وموضع من المبسوط </w:t>
      </w:r>
      <w:r>
        <w:rPr>
          <w:rStyle w:val="FootnoteAnchor"/>
          <w:rtl w:val="true"/>
        </w:rPr>
        <w:footnoteReference w:id="2401"/>
      </w:r>
      <w:r>
        <w:rPr>
          <w:rFonts w:ascii="Amiri" w:hAnsi="Amiri" w:eastAsia="Amiri" w:cs="Amiri"/>
          <w:color w:val="111111"/>
          <w:sz w:val="28"/>
          <w:sz w:val="28"/>
          <w:szCs w:val="28"/>
          <w:rtl w:val="true"/>
          <w:lang w:bidi="ar-SA"/>
        </w:rPr>
        <w:t>، فرجّحوا التمييز ، لأخباره ، الواجب تقييدها بغير ذات العادة ،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وللمنقول عن ابن حمزة </w:t>
      </w:r>
      <w:r>
        <w:rPr>
          <w:rStyle w:val="FootnoteAnchor"/>
          <w:rtl w:val="true"/>
        </w:rPr>
        <w:footnoteReference w:id="2402"/>
      </w:r>
      <w:r>
        <w:rPr>
          <w:rFonts w:ascii="Amiri" w:hAnsi="Amiri" w:eastAsia="Amiri" w:cs="Amiri"/>
          <w:color w:val="111111"/>
          <w:sz w:val="28"/>
          <w:sz w:val="28"/>
          <w:szCs w:val="28"/>
          <w:rtl w:val="true"/>
          <w:lang w:bidi="ar-SA"/>
        </w:rPr>
        <w:t>، فقال بالتخيير ، جمعا بين أخبار العادة والتمييز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 بعد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وللكركي </w:t>
      </w:r>
      <w:r>
        <w:rPr>
          <w:rStyle w:val="FootnoteAnchor"/>
          <w:rtl w:val="true"/>
        </w:rPr>
        <w:footnoteReference w:id="2403"/>
      </w:r>
      <w:r>
        <w:rPr>
          <w:rFonts w:ascii="Amiri" w:hAnsi="Amiri" w:eastAsia="Amiri" w:cs="Amiri"/>
          <w:color w:val="111111"/>
          <w:sz w:val="28"/>
          <w:sz w:val="28"/>
          <w:szCs w:val="28"/>
          <w:rtl w:val="true"/>
          <w:lang w:bidi="ar-SA"/>
        </w:rPr>
        <w:t>، فرجّح العادة مع استفادتها من الأخذ والانقطاع ، والتمييز مع استفادتها من التمييز ، لئلاّ تلزم زيادة الفرع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بعدم محذور في لزومه ، مع أنه ليس زيادة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بلغ المجموع حدّا صالحا لحيضتين بأن يتخلّل بينهما زمان أقلّ الطهر ، فمع اختلاف الدمين بالتمييز وعدمه وثبوت التمييز لغير العادة ، ففي الرجوع إليها ، أو إليه ، أو جعل كلّ منهما حيضا منفردا ، احتمالات بل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وفاقا لبعض الثالثة </w:t>
      </w:r>
      <w:r>
        <w:rPr>
          <w:rStyle w:val="FootnoteAnchor"/>
          <w:rtl w:val="true"/>
        </w:rPr>
        <w:footnoteReference w:id="2404"/>
      </w:r>
      <w:r>
        <w:rPr>
          <w:rFonts w:ascii="Amiri" w:hAnsi="Amiri" w:eastAsia="Amiri" w:cs="Amiri"/>
          <w:color w:val="111111"/>
          <w:sz w:val="28"/>
          <w:sz w:val="28"/>
          <w:szCs w:val="28"/>
          <w:rtl w:val="true"/>
          <w:lang w:bidi="ar-SA"/>
        </w:rPr>
        <w:t xml:space="preserve">، للمرسلة المشترطة في الرجوع إلى التمييز فقد </w:t>
      </w:r>
    </w:p>
    <w:p>
      <w:pPr>
        <w:pStyle w:val="BookText"/>
        <w:rPr/>
      </w:pPr>
      <w:r>
        <w:rPr>
          <w:rFonts w:ascii="Amiri" w:hAnsi="Amiri" w:eastAsia="Amiri" w:cs="Amiri"/>
          <w:color w:val="111111"/>
          <w:sz w:val="28"/>
          <w:sz w:val="28"/>
          <w:szCs w:val="28"/>
          <w:rtl w:val="true"/>
          <w:lang w:bidi="ar-SA"/>
        </w:rPr>
        <w:t xml:space="preserve">العادة ، وقوله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وتدع 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قلنا بتعارض الأمر بدعة ما سواه ، والأمر باعتبار التمييز يرجع إلى أصالة عدم الحيضية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لمحتمل النهاية </w:t>
      </w:r>
      <w:r>
        <w:rPr>
          <w:rStyle w:val="FootnoteAnchor"/>
          <w:rtl w:val="true"/>
        </w:rPr>
        <w:footnoteReference w:id="2405"/>
      </w:r>
      <w:r>
        <w:rPr>
          <w:rFonts w:ascii="Amiri" w:hAnsi="Amiri" w:eastAsia="Amiri" w:cs="Amiri"/>
          <w:color w:val="111111"/>
          <w:sz w:val="28"/>
          <w:sz w:val="28"/>
          <w:szCs w:val="28"/>
          <w:rtl w:val="true"/>
          <w:lang w:bidi="ar-SA"/>
        </w:rPr>
        <w:t xml:space="preserve">فالثاني ، وللمحكي عن الأكثر </w:t>
      </w:r>
      <w:r>
        <w:rPr>
          <w:rStyle w:val="FootnoteAnchor"/>
          <w:rtl w:val="true"/>
        </w:rPr>
        <w:footnoteReference w:id="2406"/>
      </w:r>
      <w:r>
        <w:rPr>
          <w:rFonts w:ascii="Amiri" w:hAnsi="Amiri" w:eastAsia="Amiri" w:cs="Amiri"/>
          <w:color w:val="111111"/>
          <w:sz w:val="28"/>
          <w:sz w:val="28"/>
          <w:szCs w:val="28"/>
          <w:rtl w:val="true"/>
          <w:lang w:bidi="ar-SA"/>
        </w:rPr>
        <w:t>فالثالث ، لأدلّة ظاهرة مع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التحيّض بكلّ منهما مقتضى عادتها بأن تعتاد التحيّض في كلّ شهر مرتين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w:t>
      </w:r>
      <w:r>
        <w:rPr>
          <w:rStyle w:val="FootnoteAnchor"/>
          <w:rtl w:val="true"/>
        </w:rPr>
        <w:footnoteReference w:id="2407"/>
      </w:r>
      <w:r>
        <w:rPr>
          <w:rFonts w:ascii="Amiri" w:hAnsi="Amiri" w:eastAsia="Amiri" w:cs="Amiri"/>
          <w:color w:val="111111"/>
          <w:sz w:val="28"/>
          <w:sz w:val="28"/>
          <w:szCs w:val="28"/>
          <w:rtl w:val="true"/>
          <w:lang w:bidi="ar-SA"/>
        </w:rPr>
        <w:t>مع عدم اختلافهما بالطريق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القائل بالحيضتين في الصورة السابقة يقول بهما هنا أيضا ، ودليله مع جوابه واضح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ما ذكرنا من جعلها عادتها عددا ووقتا حيضا أنه لو تقدّمت الرؤية على الوقت وتجاوز عن العشرة وانقطع على آخر وقت العادة ، تجعل الزائد عن العادة الذي هو استحاضة من قبل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 لقوله في المرسلة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وتدع 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روايات حيضية ما قبل العادة </w:t>
      </w:r>
      <w:r>
        <w:rPr>
          <w:rStyle w:val="FootnoteAnchor"/>
          <w:rtl w:val="true"/>
        </w:rPr>
        <w:footnoteReference w:id="2408"/>
      </w:r>
      <w:r>
        <w:rPr>
          <w:rFonts w:ascii="Amiri" w:hAnsi="Amiri" w:eastAsia="Amiri" w:cs="Amiri"/>
          <w:color w:val="111111"/>
          <w:sz w:val="28"/>
          <w:sz w:val="28"/>
          <w:szCs w:val="28"/>
          <w:rtl w:val="true"/>
          <w:lang w:bidi="ar-SA"/>
        </w:rPr>
        <w:t xml:space="preserve">فتسقط بمعارضة أخبار حيضية ما في العادة </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تجاوز مع ذلك عن آخر العادة أيضا تجعل الزائد من القبل والبعد ، وتتحيّض بالعادة ،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انقطع في أثناء العادة تأخذ العدد من الوقت ومن قبله وتجعل الزائد من القبل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يدخل شي‌ء من الدم في وقت العادة كما إذا لم تر فيه وترى بعده فتأخذ العدد ولا تعتني بالوقت لخلوّه عن الدم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رأت في العادة وانقطع عليها أو على غيرها وطهرت أقلّ الطهر ، ثمَّ رأت في ذلك الشهر بعدد العادة أيضا ، فإن كان ذلك لها عادة تحيّضت بهما وكان كلّ حيضا ، وإن لم يكن عادة لها فالمشهور فيه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التحيّض بأيام العادة خاصة وإن كان التمييز لغيرها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العادة العددية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فيها أيضا إمّا في تحيّضها ، أو في قدره ، أو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فكالمبتدأة إجماعا ، فالقائل بتحيّضها بمجرّد الرؤية يقول به هنا ، والقائل بتحيّضها بالوصف أو الاستمرار إلى الثلاثة يقول به ها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عرفت أنّ الحق فيها التحيّض بالوصف فكذا في ذات العددية مع احتمال التحيض بالاستمرار إلى الثلاثة أيضا ، لمظنة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تحيّض المبتدأة بالوصف إنّما كان لأخباره ، ولا تجري ها هنا ، لدلالة مفهوم المرسلة على عدم الرجوع إلى الوصف مع عدم الجهل بالوقت أو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المتبادر منه عدم الاحتياج إلى الوصف فيما لم يجهل خاصة لا فيما جهله أيضا ، فلو علمت العدد خاصة لم يحتج فيه إلى الوصف وذلك لا ينافي احتياجها في الوقت إليه ، بل في آخر موثّقة إسحاق بن جرير </w:t>
      </w:r>
      <w:r>
        <w:rPr>
          <w:rStyle w:val="FootnoteAnchor"/>
          <w:rtl w:val="true"/>
        </w:rPr>
        <w:footnoteReference w:id="2410"/>
      </w:r>
      <w:r>
        <w:rPr>
          <w:rFonts w:ascii="Amiri" w:hAnsi="Amiri" w:eastAsia="Amiri" w:cs="Amiri"/>
          <w:color w:val="111111"/>
          <w:sz w:val="28"/>
          <w:sz w:val="28"/>
          <w:szCs w:val="28"/>
          <w:rtl w:val="true"/>
          <w:lang w:bidi="ar-SA"/>
        </w:rPr>
        <w:t>دلالة واضحة على اختصاص عدم الرجوع إلى التمييز بالمعلوم حيث حكم برجوع المختلفة في الوقت خاصة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ولكن بعد رجوعها إليه في المبتدأة يرجع إليه هنا أيضا بالإجماع المركّب</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العكس بأن يسقط الوصف في العددية ، لمفهوم المرسلة ، </w:t>
      </w:r>
    </w:p>
    <w:p>
      <w:pPr>
        <w:pStyle w:val="BookText"/>
        <w:rPr/>
      </w:pPr>
      <w:r>
        <w:rPr>
          <w:rFonts w:ascii="Amiri" w:hAnsi="Amiri" w:eastAsia="Amiri" w:cs="Amiri"/>
          <w:color w:val="111111"/>
          <w:sz w:val="28"/>
          <w:sz w:val="28"/>
          <w:szCs w:val="28"/>
          <w:rtl w:val="true"/>
          <w:lang w:bidi="ar-SA"/>
        </w:rPr>
        <w:t>ويحكم بتحيّضها بالرؤية ويتعدّى إلى المبتدأة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فيتساقطان ويرجع إلى المجمع عليه وهو التحيّض بالوصف ، أو مع الاستمرار أيضا إن ثبت فيه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فكذات العادة العددية والوقتية في العدد ، لأنّ ما هو المناط في إثبات العادة واعتبارها من موثّقة سماعة والمرسلة المتقدّمتين </w:t>
      </w:r>
      <w:r>
        <w:rPr>
          <w:rStyle w:val="FootnoteAnchor"/>
          <w:rtl w:val="true"/>
        </w:rPr>
        <w:footnoteReference w:id="2411"/>
      </w:r>
      <w:r>
        <w:rPr>
          <w:rFonts w:ascii="Amiri" w:hAnsi="Amiri" w:eastAsia="Amiri" w:cs="Amiri"/>
          <w:color w:val="111111"/>
          <w:sz w:val="28"/>
          <w:sz w:val="28"/>
          <w:szCs w:val="28"/>
          <w:rtl w:val="true"/>
          <w:lang w:bidi="ar-SA"/>
        </w:rPr>
        <w:t>يعم اعتبار العادة بالأقسام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الموثّقة تصريح بأنّ بعد اعتياد العدد يكون هو أيام الحيض المصرّح في الأخبار باعتبارها ، وأيضا في الأخبار المتقدّمة في الاستظهار ، كصحيحتي ابن عمرو وزرارة </w:t>
      </w:r>
      <w:r>
        <w:rPr>
          <w:rStyle w:val="FootnoteAnchor"/>
          <w:rtl w:val="true"/>
        </w:rPr>
        <w:footnoteReference w:id="2412"/>
      </w:r>
      <w:r>
        <w:rPr>
          <w:rFonts w:ascii="Amiri" w:hAnsi="Amiri" w:eastAsia="Amiri" w:cs="Amiri"/>
          <w:color w:val="111111"/>
          <w:sz w:val="28"/>
          <w:sz w:val="28"/>
          <w:szCs w:val="28"/>
          <w:rtl w:val="true"/>
          <w:lang w:bidi="ar-SA"/>
        </w:rPr>
        <w:t>دلالة على اعتبار العادة العددية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فهذه ترجع إلى عددها ، وتسقط غيره ، وتقدّمه على التمييز لو اختلفا عددا ، لما مرّ في ذات العادتين </w:t>
      </w:r>
      <w:r>
        <w:rPr>
          <w:rStyle w:val="FootnoteAnchor"/>
          <w:rtl w:val="true"/>
        </w:rPr>
        <w:footnoteReference w:id="2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وتستظهر كاستظهارها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عدم التجاوز عن العشرة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فمع فقد التمييز المساوي للعدد تتخيّر في وضعه حيث شاءت عند جماعة </w:t>
      </w:r>
      <w:r>
        <w:rPr>
          <w:rStyle w:val="FootnoteAnchor"/>
          <w:rtl w:val="true"/>
        </w:rPr>
        <w:footnoteReference w:id="2414"/>
      </w:r>
      <w:r>
        <w:rPr>
          <w:rFonts w:ascii="Amiri" w:hAnsi="Amiri" w:eastAsia="Amiri" w:cs="Amiri"/>
          <w:color w:val="111111"/>
          <w:sz w:val="28"/>
          <w:sz w:val="28"/>
          <w:szCs w:val="28"/>
          <w:rtl w:val="true"/>
          <w:lang w:bidi="ar-SA"/>
        </w:rPr>
        <w:t>، لعدم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وتجعل الأول حيضا على الأقرب عندنا ، لما مرّ في المبتدأة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مع التمييز المساوي للعدد في الدور الأول ، ووجهه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لو قلنا بدلالة مفهوم المرسلة على عدم رجوع ذات العادة مطلقا إلى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ولو قلنا بعدم دلالته عليه أيضا واختصاص دلالتها على عدم الرجوع فيما لم تجهله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وبقاء أخبار التمييز مطلقا خالية عن المعارض ، إذ قد عرفت أنّ تحيّضها ابتداء متوقّف على الوصف ، فلا يخلو الأول عن الوصف أيضا وهو كاف في جريان أخبار الوصف فيه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إنّها لو رأت العدد ثمَّ رأته أيضا بعد تخلّل أقلّ الطهر بينه وبين الأول خاليا عن الدم أو معه ، فتتحيّض بالثاني أيضا مع الوصف أو الاستمرار إلى الثلاثة لو قلنا به في الأول ، ودليله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العادة الوقتية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لا تكون على 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حصول العادة في العدد بالقدر المشترك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ناسية العدد ، إذ بدون النسيان تكون ذات العادتين البتة ، وعلى هذا فيكون ذلك النوع من أفراد الناسية ويأتي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على ثلاثة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ناسية الوقت والعدد ، ويطلق عليها المتحيّرة ، وناسية الوقت خاصة ، والعدد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فيها أيضا إمّا في التحيّض ، أو القدر ، أو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فتحيّض الأوليين كالمبتدأة ، فتتحيّض كلّ منهما برؤية الدم المتصف ، مع احتمال التحيّض بغيره مع الاستمرار إلى الثلاثة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وتحيّض الثالثة كذات العادتين ، فتتحيّض برؤية الدم مطلقا في الوقت أو قبله ، وفي غيرهما بالصفة إذا لم تر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والثالث فجميع أيام الدم حيض مع انقطاعه على العشرة في الأولى والثالثة ، وعلى العادة في الثانية ، وتستظهر كما مر في الثانية مع التجاوز عن العادة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تجاوز العشرة في الثلاثة فإمّا يوجد التمييز أو لا ، فإن وجد فرجوع الأولى إليه إجماعي ، ونقل الإجماع عليه متكرّر </w:t>
      </w:r>
      <w:r>
        <w:rPr>
          <w:rStyle w:val="FootnoteAnchor"/>
          <w:rtl w:val="true"/>
        </w:rPr>
        <w:footnoteReference w:id="2416"/>
      </w:r>
      <w:r>
        <w:rPr>
          <w:rFonts w:ascii="Amiri" w:hAnsi="Amiri" w:eastAsia="Amiri" w:cs="Amiri"/>
          <w:color w:val="111111"/>
          <w:sz w:val="28"/>
          <w:sz w:val="28"/>
          <w:szCs w:val="28"/>
          <w:rtl w:val="true"/>
          <w:lang w:bidi="ar-SA"/>
        </w:rPr>
        <w:t>، وصريح مواضع من المرسلة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الطويلة </w:t>
      </w:r>
      <w:r>
        <w:rPr>
          <w:rStyle w:val="FootnoteAnchor"/>
          <w:rtl w:val="true"/>
        </w:rPr>
        <w:footnoteReference w:id="2417"/>
      </w:r>
      <w:r>
        <w:rPr>
          <w:rFonts w:ascii="Amiri" w:hAnsi="Amiri" w:eastAsia="Amiri" w:cs="Amiri"/>
          <w:color w:val="111111"/>
          <w:sz w:val="28"/>
          <w:sz w:val="28"/>
          <w:szCs w:val="28"/>
          <w:rtl w:val="true"/>
          <w:lang w:bidi="ar-SA"/>
        </w:rPr>
        <w:t xml:space="preserve">، ومرسلة جميل المتقدّمة </w:t>
      </w:r>
      <w:r>
        <w:rPr>
          <w:rStyle w:val="FootnoteAnchor"/>
          <w:rtl w:val="true"/>
        </w:rPr>
        <w:footnoteReference w:id="2418"/>
      </w:r>
      <w:r>
        <w:rPr>
          <w:rFonts w:ascii="Amiri" w:hAnsi="Amiri" w:eastAsia="Amiri" w:cs="Amiri"/>
          <w:color w:val="111111"/>
          <w:sz w:val="28"/>
          <w:sz w:val="28"/>
          <w:szCs w:val="28"/>
          <w:rtl w:val="true"/>
          <w:lang w:bidi="ar-SA"/>
        </w:rPr>
        <w:t xml:space="preserve">في مسألة أوصاف الحيض ، وعمومات </w:t>
      </w:r>
      <w:r>
        <w:rPr>
          <w:rStyle w:val="FootnoteAnchor"/>
          <w:rtl w:val="true"/>
        </w:rPr>
        <w:footnoteReference w:id="2419"/>
      </w:r>
      <w:r>
        <w:rPr>
          <w:rFonts w:ascii="Amiri" w:hAnsi="Amiri" w:eastAsia="Amiri" w:cs="Amiri"/>
          <w:color w:val="111111"/>
          <w:sz w:val="28"/>
          <w:sz w:val="28"/>
          <w:szCs w:val="28"/>
          <w:rtl w:val="true"/>
          <w:lang w:bidi="ar-SA"/>
        </w:rPr>
        <w:t>اعتبار التمييز بلا معارض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الناسية عددا والمبتدأة وقتا ، وعكسها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الأخريان فالحقّ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لأهل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العادة على التمييز فيما تتذكّره مع تعارضهما ، لعمومات اعتبار كلّ من العادتين وبناء الحيض عليه ، وعموم ما دلّ على اعتبار خصوص العدد ، كصحيحتي ابن عمرو وزرارة المتقدّمتين </w:t>
      </w:r>
      <w:r>
        <w:rPr>
          <w:rStyle w:val="FootnoteAnchor"/>
          <w:rtl w:val="true"/>
        </w:rPr>
        <w:footnoteReference w:id="2420"/>
      </w:r>
      <w:r>
        <w:rPr>
          <w:rFonts w:ascii="Amiri" w:hAnsi="Amiri" w:eastAsia="Amiri" w:cs="Amiri"/>
          <w:color w:val="111111"/>
          <w:sz w:val="28"/>
          <w:sz w:val="28"/>
          <w:szCs w:val="28"/>
          <w:rtl w:val="true"/>
          <w:lang w:bidi="ar-SA"/>
        </w:rPr>
        <w:t xml:space="preserve">في الاستظهار ، وما دلّ على أنّ الصفرة والكدرة في أيام الحيض حيض </w:t>
      </w:r>
      <w:r>
        <w:rPr>
          <w:rStyle w:val="FootnoteAnchor"/>
          <w:rtl w:val="true"/>
        </w:rPr>
        <w:footnoteReference w:id="2421"/>
      </w:r>
      <w:r>
        <w:rPr>
          <w:rFonts w:ascii="Amiri" w:hAnsi="Amiri" w:eastAsia="Amiri" w:cs="Amiri"/>
          <w:color w:val="111111"/>
          <w:sz w:val="28"/>
          <w:sz w:val="28"/>
          <w:szCs w:val="28"/>
          <w:rtl w:val="true"/>
          <w:lang w:bidi="ar-SA"/>
        </w:rPr>
        <w:t xml:space="preserve">، وخصوص المرسلة </w:t>
      </w:r>
      <w:r>
        <w:rPr>
          <w:rStyle w:val="FootnoteAnchor"/>
          <w:rtl w:val="true"/>
        </w:rPr>
        <w:footnoteReference w:id="2422"/>
      </w:r>
      <w:r>
        <w:rPr>
          <w:rFonts w:ascii="Amiri" w:hAnsi="Amiri" w:eastAsia="Amiri" w:cs="Amiri"/>
          <w:color w:val="111111"/>
          <w:sz w:val="28"/>
          <w:sz w:val="28"/>
          <w:szCs w:val="28"/>
          <w:rtl w:val="true"/>
          <w:lang w:bidi="ar-SA"/>
        </w:rPr>
        <w:t>المشترطة لاعتبار التمييز بالجهل بالأيام والعدد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عدم تمامية القول بالجمع في صورة تذكّر العدد وزيادة التمييز عليه </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تعملان هاتان في الطرف المنسي بالتمييز أم لا؟</w:t>
      </w:r>
    </w:p>
    <w:p>
      <w:pPr>
        <w:pStyle w:val="BookText"/>
        <w:rPr/>
      </w:pPr>
      <w:r>
        <w:rPr>
          <w:rFonts w:ascii="Amiri" w:hAnsi="Amiri" w:eastAsia="Amiri" w:cs="Amiri"/>
          <w:color w:val="111111"/>
          <w:sz w:val="28"/>
          <w:sz w:val="28"/>
          <w:szCs w:val="28"/>
          <w:rtl w:val="true"/>
          <w:lang w:bidi="ar-SA"/>
        </w:rPr>
        <w:t>الظاهر ذلك في ناسية العدد ، فتجعل الوقت زمان التمييز وتأخذ العدد منه ، لأخبار التمييز الخالية عن المعارض سوى المرسلة المشترطة ، وقد علمت اختصاص الاشتراط بما لم تجهله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ناسية الوقت فلا ، بل تجعل الوقت العدد الأوّل ، وقد ظهر وجهه في ذات العادة العددية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يوجد التمييز فإمّا متحيّرة ، أو ذاكرة العدد خاصة ، أو الوقت </w:t>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الأولى فتتحيّض في كلّ شهر بسبعة أيام على الأظهر ، وفاقا للشيخ في الجمل </w:t>
      </w:r>
      <w:r>
        <w:rPr>
          <w:rStyle w:val="FootnoteAnchor"/>
          <w:rtl w:val="true"/>
        </w:rPr>
        <w:footnoteReference w:id="2424"/>
      </w:r>
      <w:r>
        <w:rPr>
          <w:rFonts w:ascii="Amiri" w:hAnsi="Amiri" w:eastAsia="Amiri" w:cs="Amiri"/>
          <w:color w:val="111111"/>
          <w:sz w:val="28"/>
          <w:sz w:val="28"/>
          <w:szCs w:val="28"/>
          <w:rtl w:val="true"/>
          <w:lang w:bidi="ar-SA"/>
        </w:rPr>
        <w:t xml:space="preserve">والحلبي </w:t>
      </w:r>
      <w:r>
        <w:rPr>
          <w:rStyle w:val="FootnoteAnchor"/>
          <w:rtl w:val="true"/>
        </w:rPr>
        <w:footnoteReference w:id="2425"/>
      </w:r>
      <w:r>
        <w:rPr>
          <w:rFonts w:ascii="Amiri" w:hAnsi="Amiri" w:eastAsia="Amiri" w:cs="Amiri"/>
          <w:color w:val="111111"/>
          <w:sz w:val="28"/>
          <w:sz w:val="28"/>
          <w:szCs w:val="28"/>
          <w:rtl w:val="true"/>
          <w:lang w:bidi="ar-SA"/>
        </w:rPr>
        <w:t xml:space="preserve">، واختاره غير واحد من مشايخنا </w:t>
      </w:r>
      <w:r>
        <w:rPr>
          <w:rStyle w:val="FootnoteAnchor"/>
          <w:rtl w:val="true"/>
        </w:rPr>
        <w:footnoteReference w:id="2426"/>
      </w:r>
      <w:r>
        <w:rPr>
          <w:rFonts w:ascii="Amiri" w:hAnsi="Amiri" w:eastAsia="Amiri" w:cs="Amiri"/>
          <w:color w:val="111111"/>
          <w:sz w:val="28"/>
          <w:sz w:val="28"/>
          <w:szCs w:val="28"/>
          <w:rtl w:val="true"/>
          <w:lang w:bidi="ar-SA"/>
        </w:rPr>
        <w:t xml:space="preserve">، لآخر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الشاملة للمتحيّرة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وتخصيصه بالمبتدأة لا وجه له كما يأتي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لكثير من علمائنا فإنّ لهم فيها أقوالا متكثّرة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كالقول بتحيّضها بالثلاثة والعمل في بقية الشهر عمل الاستحاضة ، اختاره المحقّق في المعتبر </w:t>
      </w:r>
      <w:r>
        <w:rPr>
          <w:rStyle w:val="FootnoteAnchor"/>
          <w:rtl w:val="true"/>
        </w:rPr>
        <w:footnoteReference w:id="2427"/>
      </w:r>
      <w:r>
        <w:rPr>
          <w:rFonts w:ascii="Amiri" w:hAnsi="Amiri" w:eastAsia="Amiri" w:cs="Amiri"/>
          <w:color w:val="111111"/>
          <w:sz w:val="28"/>
          <w:sz w:val="28"/>
          <w:szCs w:val="28"/>
          <w:rtl w:val="true"/>
          <w:lang w:bidi="ar-SA"/>
        </w:rPr>
        <w:t xml:space="preserve">، ووالدي العلاّمة رحمه اللّه ، واستوجهه في المدارك </w:t>
      </w:r>
      <w:r>
        <w:rPr>
          <w:rStyle w:val="FootnoteAnchor"/>
          <w:rtl w:val="true"/>
        </w:rPr>
        <w:footnoteReference w:id="2428"/>
      </w:r>
      <w:r>
        <w:rPr>
          <w:rFonts w:ascii="Amiri" w:hAnsi="Amiri" w:eastAsia="Amiri" w:cs="Amiri"/>
          <w:color w:val="111111"/>
          <w:sz w:val="28"/>
          <w:sz w:val="28"/>
          <w:szCs w:val="28"/>
          <w:rtl w:val="true"/>
          <w:lang w:bidi="ar-SA"/>
        </w:rPr>
        <w:t>، عملا بالأصل ، ولزوم العبادة ، واستضعافا للرواية أو استنكارا لها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والضعف مردود بما مرّ ، وقصور الدلالة بما يأتي ، فالأخذ بها متعيّن ، والأصل بها مندفع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بتحيّضها في كلّ شهر بستة أيام أو سبعة أو من شهر بعشرة ، ومن آخر بثلاثة ، ذهب إليه جماعة </w:t>
      </w:r>
      <w:r>
        <w:rPr>
          <w:rStyle w:val="FootnoteAnchor"/>
          <w:rtl w:val="true"/>
        </w:rPr>
        <w:footnoteReference w:id="2429"/>
      </w:r>
      <w:r>
        <w:rPr>
          <w:rFonts w:ascii="Amiri" w:hAnsi="Amiri" w:eastAsia="Amiri" w:cs="Amiri"/>
          <w:color w:val="111111"/>
          <w:sz w:val="28"/>
          <w:sz w:val="28"/>
          <w:szCs w:val="28"/>
          <w:rtl w:val="true"/>
          <w:lang w:bidi="ar-SA"/>
        </w:rPr>
        <w:t xml:space="preserve">بل نسب إلى الشهرة </w:t>
      </w:r>
      <w:r>
        <w:rPr>
          <w:rStyle w:val="FootnoteAnchor"/>
          <w:rtl w:val="true"/>
        </w:rPr>
        <w:footnoteReference w:id="2430"/>
      </w:r>
      <w:r>
        <w:rPr>
          <w:rFonts w:ascii="Amiri" w:hAnsi="Amiri" w:eastAsia="Amiri" w:cs="Amiri"/>
          <w:color w:val="111111"/>
          <w:sz w:val="28"/>
          <w:sz w:val="28"/>
          <w:szCs w:val="28"/>
          <w:rtl w:val="true"/>
          <w:lang w:bidi="ar-SA"/>
        </w:rPr>
        <w:t xml:space="preserve">، وعن الخلاف الإجماع عليه </w:t>
      </w:r>
      <w:r>
        <w:rPr>
          <w:rStyle w:val="FootnoteAnchor"/>
          <w:rtl w:val="true"/>
        </w:rPr>
        <w:footnoteReference w:id="2431"/>
      </w:r>
      <w:r>
        <w:rPr>
          <w:rFonts w:ascii="Amiri" w:hAnsi="Amiri" w:eastAsia="Amiri" w:cs="Amiri"/>
          <w:color w:val="111111"/>
          <w:sz w:val="28"/>
          <w:sz w:val="28"/>
          <w:szCs w:val="28"/>
          <w:rtl w:val="true"/>
          <w:lang w:bidi="ar-SA"/>
        </w:rPr>
        <w:t xml:space="preserve">، للموثّقات الثلاث لابن بكير وسماعة ، المتقدّمة </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مختصة بالمبتدأة فالاستدلال بها للمتحيّرة غفلة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بتحيّضها كلّما رأت الدم ، وطهرها كلّما انقطع ، حكي عن الصدوق </w:t>
      </w:r>
    </w:p>
    <w:p>
      <w:pPr>
        <w:pStyle w:val="BookText"/>
        <w:rPr/>
      </w:pPr>
      <w:r>
        <w:rPr>
          <w:rFonts w:ascii="Amiri" w:hAnsi="Amiri" w:eastAsia="Amiri" w:cs="Amiri"/>
          <w:color w:val="111111"/>
          <w:sz w:val="28"/>
          <w:sz w:val="28"/>
          <w:szCs w:val="28"/>
          <w:rtl w:val="true"/>
          <w:lang w:bidi="ar-SA"/>
        </w:rPr>
        <w:t xml:space="preserve">والشيخ في النهاية </w:t>
      </w:r>
      <w:r>
        <w:rPr>
          <w:rStyle w:val="FootnoteAnchor"/>
          <w:rtl w:val="true"/>
        </w:rPr>
        <w:footnoteReference w:id="2433"/>
      </w:r>
      <w:r>
        <w:rPr>
          <w:rFonts w:ascii="Amiri" w:hAnsi="Amiri" w:eastAsia="Amiri" w:cs="Amiri"/>
          <w:color w:val="111111"/>
          <w:sz w:val="28"/>
          <w:sz w:val="28"/>
          <w:szCs w:val="28"/>
          <w:rtl w:val="true"/>
          <w:lang w:bidi="ar-SA"/>
        </w:rPr>
        <w:t xml:space="preserve">، لموثّقتي يونس وأبي بصير ، المتقدّمتين </w:t>
      </w:r>
      <w:r>
        <w:rPr>
          <w:rStyle w:val="FootnoteAnchor"/>
          <w:rtl w:val="true"/>
        </w:rPr>
        <w:footnoteReference w:id="2434"/>
      </w:r>
      <w:r>
        <w:rPr>
          <w:rFonts w:ascii="Amiri" w:hAnsi="Amiri" w:eastAsia="Amiri" w:cs="Amiri"/>
          <w:color w:val="111111"/>
          <w:sz w:val="28"/>
          <w:sz w:val="28"/>
          <w:szCs w:val="28"/>
          <w:rtl w:val="true"/>
          <w:lang w:bidi="ar-SA"/>
        </w:rPr>
        <w:t>في مسألة أقلّ الطهر ، بحملهما على من اختلط عليها 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أخصّيتهما عن المدّعى لاختصاصهما بشهر واحد ، وأعميتهما من المرسلة ، لأنّ موردهما مطلق المرأة فالمرسلة لهما مخصّصة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ظاهرهما مخالف للإجماع على كون أقلّ الطهر عشرة ، ومع ذلك فلا يوجد عامل بهما غيرهما من الطائفة ، مع أنّ الثاني رجع عنها في غير النهاية </w:t>
      </w:r>
      <w:r>
        <w:rPr>
          <w:rStyle w:val="FootnoteAnchor"/>
          <w:rtl w:val="true"/>
        </w:rPr>
        <w:footnoteReference w:id="2435"/>
      </w:r>
      <w:r>
        <w:rPr>
          <w:rFonts w:ascii="Amiri" w:hAnsi="Amiri" w:eastAsia="Amiri" w:cs="Amiri"/>
          <w:color w:val="111111"/>
          <w:sz w:val="28"/>
          <w:sz w:val="28"/>
          <w:szCs w:val="28"/>
          <w:rtl w:val="true"/>
          <w:lang w:bidi="ar-SA"/>
        </w:rPr>
        <w:t xml:space="preserve">، فهما شاذتان غير صالحتين للحجية ، مع أنّ الفاضل </w:t>
      </w:r>
      <w:r>
        <w:rPr>
          <w:rStyle w:val="FootnoteAnchor"/>
          <w:rtl w:val="true"/>
        </w:rPr>
        <w:footnoteReference w:id="2436"/>
      </w:r>
      <w:r>
        <w:rPr>
          <w:rFonts w:ascii="Amiri" w:hAnsi="Amiri" w:eastAsia="Amiri" w:cs="Amiri"/>
          <w:color w:val="111111"/>
          <w:sz w:val="28"/>
          <w:sz w:val="28"/>
          <w:szCs w:val="28"/>
          <w:rtl w:val="true"/>
          <w:lang w:bidi="ar-SA"/>
        </w:rPr>
        <w:t>صرف كلامهما أيضا عن ظاهره المطابق للموثّقتين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بتحيّضها في الشهر الأول بثلاثة وفي الثاني بعشرة ، أو بتحيّضها بعكس ذلك ، أو بستة أيام مطلقا ، أو بعشرة كذلك ، كما قال بكل منهما قائل بنقل الحلّي </w:t>
      </w:r>
      <w:r>
        <w:rPr>
          <w:rStyle w:val="FootnoteAnchor"/>
          <w:rtl w:val="true"/>
        </w:rPr>
        <w:footnoteReference w:id="2437"/>
      </w:r>
      <w:r>
        <w:rPr>
          <w:rFonts w:ascii="Amiri" w:hAnsi="Amiri" w:eastAsia="Amiri" w:cs="Amiri"/>
          <w:color w:val="111111"/>
          <w:sz w:val="28"/>
          <w:sz w:val="28"/>
          <w:szCs w:val="28"/>
          <w:rtl w:val="true"/>
          <w:lang w:bidi="ar-SA"/>
        </w:rPr>
        <w:t>، لبعض ما فساده ظاهر البتة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بوجوب الاحتياط عليها والأخذ بأسوإ الحالات والجمع بين التكاليف ، بأن تعمل في الزمان كله عمل المستحاضة وتغتسل للحيض كلّ وقت يحتمل انقطاع الدم لكلّ صلاة وهو ما بعد الثلاثة ، إذ ما من زمان بعدها إلاّ ويحتمل الحيض وانقطاعه ، وتقضي صوم العشرة أو أحد عشر يوما ، وتجتنب كلّ ما تجتنبه الحائض ، كما اختاره في المبسوط </w:t>
      </w:r>
      <w:r>
        <w:rPr>
          <w:rStyle w:val="FootnoteAnchor"/>
          <w:rtl w:val="true"/>
        </w:rPr>
        <w:footnoteReference w:id="2438"/>
      </w:r>
      <w:r>
        <w:rPr>
          <w:rFonts w:ascii="Amiri" w:hAnsi="Amiri" w:eastAsia="Amiri" w:cs="Amiri"/>
          <w:color w:val="111111"/>
          <w:sz w:val="28"/>
          <w:sz w:val="28"/>
          <w:szCs w:val="28"/>
          <w:rtl w:val="true"/>
          <w:lang w:bidi="ar-SA"/>
        </w:rPr>
        <w:t xml:space="preserve">ومال إليه في القواعد </w:t>
      </w:r>
      <w:r>
        <w:rPr>
          <w:rStyle w:val="FootnoteAnchor"/>
          <w:rtl w:val="true"/>
        </w:rPr>
        <w:footnoteReference w:id="2439"/>
      </w:r>
      <w:r>
        <w:rPr>
          <w:rFonts w:ascii="Amiri" w:hAnsi="Amiri" w:eastAsia="Amiri" w:cs="Amiri"/>
          <w:color w:val="111111"/>
          <w:sz w:val="28"/>
          <w:sz w:val="28"/>
          <w:szCs w:val="28"/>
          <w:rtl w:val="true"/>
          <w:lang w:bidi="ar-SA"/>
        </w:rPr>
        <w:t xml:space="preserve">، لفقد الدليل على حكمها ، وحصول الشك في زمان الحيض المقتضي لعدم يقين البراءة بدون </w:t>
      </w:r>
    </w:p>
    <w:p>
      <w:pPr>
        <w:pStyle w:val="BookText"/>
        <w:rPr/>
      </w:pP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لزوم العسر والحرج المنفيين في الكتاب والسنّة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الدليل على حكمها موجود ، وهو ما مرّ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 أيضا لكان مقتضى الأصل البراءة عن الزائد عن الثلاثة ، لأصالة عدم حدوث حدث الحيض في غيرها ، وأصالة عدم التكليف بالزائد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أنّه قال في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الاحتياط هنا بالردّ إلى أسوإ الاحتمالات ليس مذهبا لنا </w:t>
      </w:r>
      <w:r>
        <w:rPr>
          <w:rStyle w:val="FootnoteAnchor"/>
          <w:rtl w:val="true"/>
        </w:rPr>
        <w:footnoteReference w:id="2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مشعر بدعوى الإجماع على نفيه وأنّه مذهب العامة ، كما يظهر من الفاضل أيضا </w:t>
      </w:r>
      <w:r>
        <w:rPr>
          <w:rStyle w:val="FootnoteAnchor"/>
          <w:rtl w:val="true"/>
        </w:rPr>
        <w:footnoteReference w:id="2441"/>
      </w:r>
      <w:r>
        <w:rPr>
          <w:rFonts w:ascii="Amiri" w:hAnsi="Amiri" w:eastAsia="Amiri" w:cs="Amiri"/>
          <w:color w:val="111111"/>
          <w:sz w:val="28"/>
          <w:sz w:val="28"/>
          <w:szCs w:val="28"/>
          <w:rtl w:val="true"/>
          <w:lang w:bidi="ar-SA"/>
        </w:rPr>
        <w:t xml:space="preserve">حيث نسبه إلى الشافعي </w:t>
      </w:r>
      <w:r>
        <w:rPr>
          <w:rStyle w:val="FootnoteAnchor"/>
          <w:rtl w:val="true"/>
        </w:rPr>
        <w:footnoteReference w:id="2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فهو يخالف ما ادّعاه الشيخ نفسه في الخلاف من الإجماع على الرجوع إلى الروايات </w:t>
      </w:r>
      <w:r>
        <w:rPr>
          <w:rStyle w:val="FootnoteAnchor"/>
          <w:rtl w:val="true"/>
        </w:rPr>
        <w:footnoteReference w:id="2443"/>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الظاهر أنّ القائلين بالسبعة أو بعدد آخر يقولون بتخيّرها في وضعه حيث ما شاءت من الشهر كما في المبتدأة مع أولوية وضعه أول الدور ، وقد عرفت </w:t>
      </w:r>
      <w:r>
        <w:rPr>
          <w:rStyle w:val="FootnoteAnchor"/>
          <w:rtl w:val="true"/>
        </w:rPr>
        <w:footnoteReference w:id="2444"/>
      </w:r>
      <w:r>
        <w:rPr>
          <w:rFonts w:ascii="Amiri" w:hAnsi="Amiri" w:eastAsia="Amiri" w:cs="Amiri"/>
          <w:color w:val="111111"/>
          <w:sz w:val="28"/>
          <w:sz w:val="28"/>
          <w:szCs w:val="28"/>
          <w:rtl w:val="true"/>
          <w:lang w:bidi="ar-SA"/>
        </w:rPr>
        <w:t>أنّ المصير إلى تعيّن ذلك أولى ، فهو المتعيّن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ذاكرة العدد ناسية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فتتحيّض بالعدد ، لما مرّ من أدلّة اعتباره الخالية عن المعارض</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في آخر المرسلة من رجوع فاقدة التمييز إلى السبع فلا يشمل ذاكرة العدد ،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اختلط عليها أيامها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ونقصت حتى لا تقف منها على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ومعتادة العدد واقفة على الحدّ مخيرة في وضعه فيما شاءت من الشهر مطلقا عند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w:t>
      </w:r>
      <w:r>
        <w:rPr>
          <w:rStyle w:val="FootnoteAnchor"/>
          <w:rtl w:val="true"/>
        </w:rPr>
        <w:footnoteReference w:id="2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الترجيح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اللوامع نسب إلى الأكثر أنه إن حفظت مع العدد قدر الدور وابتداءه تضعه فيما شاءت من الدور إن ضلّ في مجموعه ومن الأقل منه إن ضلّ في الأقل ،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تعرف وقت الدور وابتداءه أو أحدهما تضع العدد فيما شاءت من أيام الشهر ، إذ الغالب في النساء التحيّض في كلّ شهر ، واختار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2446"/>
      </w:r>
      <w:r>
        <w:rPr>
          <w:rFonts w:ascii="Amiri" w:hAnsi="Amiri" w:eastAsia="Amiri" w:cs="Amiri"/>
          <w:color w:val="111111"/>
          <w:sz w:val="28"/>
          <w:sz w:val="28"/>
          <w:szCs w:val="28"/>
          <w:rtl w:val="true"/>
          <w:lang w:bidi="ar-SA"/>
        </w:rPr>
        <w:t>نسب إلى الأكثر التحيّض بالعدد ، ووضعه فيما شاءت من الشهر في القسم الأوّل والرجوع إلى الروايات ، كالمتحيّرة في القسم الثاني ، إذ ليس لها دور معلوم ووقت مضبوط حتى تضع فيه عددها المحفوظ ، لأنّ كلّ وقت عندها يحتمل الحيض والطهر والانقطاع ، فاللازم أن ترجع إلى الروايات ، بمعنى أن تأخذ العدد المروي في كلّ شهر وتضعه فيما شاءت من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بعد حفظ العدد لا تكون موردا للروايات ، فلا وجه لرجوعها إليها في العدد</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المبسوط </w:t>
      </w:r>
      <w:r>
        <w:rPr>
          <w:rStyle w:val="FootnoteAnchor"/>
          <w:rtl w:val="true"/>
        </w:rPr>
        <w:footnoteReference w:id="2447"/>
      </w:r>
      <w:r>
        <w:rPr>
          <w:rFonts w:ascii="IRNazanin" w:hAnsi="IRNazanin" w:eastAsia="IRNazanin"/>
          <w:color w:val="111111"/>
          <w:sz w:val="28"/>
          <w:sz w:val="28"/>
          <w:szCs w:val="28"/>
          <w:rtl w:val="true"/>
          <w:lang w:bidi="fa-IR"/>
        </w:rPr>
        <w:t xml:space="preserve">والقواعد </w:t>
      </w:r>
      <w:r>
        <w:rPr>
          <w:rStyle w:val="FootnoteAnchor"/>
          <w:rtl w:val="true"/>
        </w:rPr>
        <w:footnoteReference w:id="2448"/>
      </w:r>
      <w:r>
        <w:rPr>
          <w:rFonts w:ascii="IRNazanin" w:hAnsi="IRNazanin" w:eastAsia="IRNazanin"/>
          <w:color w:val="111111"/>
          <w:sz w:val="28"/>
          <w:sz w:val="28"/>
          <w:szCs w:val="28"/>
          <w:rtl w:val="true"/>
          <w:lang w:bidi="fa-IR"/>
        </w:rPr>
        <w:t xml:space="preserve">والإرشاد </w:t>
      </w:r>
      <w:r>
        <w:rPr>
          <w:rStyle w:val="FootnoteAnchor"/>
          <w:rtl w:val="true"/>
        </w:rPr>
        <w:footnoteReference w:id="2449"/>
      </w:r>
      <w:r>
        <w:rPr>
          <w:rFonts w:ascii="Amiri" w:hAnsi="Amiri" w:eastAsia="Amiri" w:cs="Amiri"/>
          <w:color w:val="111111"/>
          <w:sz w:val="28"/>
          <w:sz w:val="28"/>
          <w:szCs w:val="28"/>
          <w:rtl w:val="true"/>
          <w:lang w:bidi="ar-SA"/>
        </w:rPr>
        <w:t xml:space="preserve">العمل بالاحتياط المتقدّم ، فتغتسل للحيض في أول وقت إمكان الانقطاع ، وهو بعد انقضاء العدد من أول الدور في القسم الأول ، ولكلّ عبادة مشروطة بالطهارة بعد ذلك إلى آخر الدور تعمل في كلّ وقت من أوقات الإضلال ما تعمله المستحاضة ، وتترك تروك الحائض ، وتقضي صوم عددها إن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الكسر </w:t>
      </w:r>
      <w:r>
        <w:rPr>
          <w:rFonts w:eastAsia="Amiri" w:cs="Amiri" w:ascii="Amiri" w:hAnsi="Amiri"/>
          <w:color w:val="111111"/>
          <w:sz w:val="28"/>
          <w:szCs w:val="28"/>
          <w:rtl w:val="true"/>
          <w:lang w:bidi="ar-SA"/>
        </w:rPr>
        <w:t xml:space="preserve">) </w:t>
      </w:r>
      <w:r>
        <w:rPr>
          <w:rStyle w:val="FootnoteAnchor"/>
          <w:rtl w:val="true"/>
        </w:rPr>
        <w:footnoteReference w:id="2450"/>
      </w:r>
      <w:r>
        <w:rPr>
          <w:rFonts w:ascii="Amiri" w:hAnsi="Amiri" w:eastAsia="Amiri" w:cs="Amiri"/>
          <w:color w:val="111111"/>
          <w:sz w:val="28"/>
          <w:sz w:val="28"/>
          <w:szCs w:val="28"/>
          <w:rtl w:val="true"/>
          <w:lang w:bidi="ar-SA"/>
        </w:rPr>
        <w:t xml:space="preserve">، وإلاّ زادت عليها يوما ، ونسبه في الشرائع </w:t>
      </w:r>
      <w:r>
        <w:rPr>
          <w:rStyle w:val="FootnoteAnchor"/>
          <w:rtl w:val="true"/>
        </w:rPr>
        <w:footnoteReference w:id="2451"/>
      </w:r>
      <w:r>
        <w:rPr>
          <w:rFonts w:ascii="Amiri" w:hAnsi="Amiri" w:eastAsia="Amiri" w:cs="Amiri"/>
          <w:color w:val="111111"/>
          <w:sz w:val="28"/>
          <w:sz w:val="28"/>
          <w:szCs w:val="28"/>
          <w:rtl w:val="true"/>
          <w:lang w:bidi="ar-SA"/>
        </w:rPr>
        <w:t xml:space="preserve">إلى قيل ، وفي المعتبر إلى الشيخ ، واقتصر عليه ، وفيه نوع إشعار </w:t>
      </w:r>
    </w:p>
    <w:p>
      <w:pPr>
        <w:pStyle w:val="BookText"/>
        <w:rPr/>
      </w:pPr>
      <w:r>
        <w:rPr>
          <w:rFonts w:ascii="Amiri" w:hAnsi="Amiri" w:eastAsia="Amiri" w:cs="Amiri"/>
          <w:color w:val="111111"/>
          <w:sz w:val="28"/>
          <w:sz w:val="28"/>
          <w:szCs w:val="28"/>
          <w:rtl w:val="true"/>
          <w:lang w:bidi="ar-SA"/>
        </w:rPr>
        <w:t>باختياره ، ومستندهم ما مرّ مع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تخصّص أيامها بالاجتهاد ، ومع فقد الأمارة تتخيّر ، لحجية ظنها حينئذ </w:t>
      </w:r>
      <w:r>
        <w:rPr>
          <w:rStyle w:val="FootnoteAnchor"/>
          <w:rtl w:val="true"/>
        </w:rPr>
        <w:footnoteReference w:id="2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وصريح بعضهم أولوية أول الرؤية </w:t>
      </w:r>
      <w:r>
        <w:rPr>
          <w:rStyle w:val="FootnoteAnchor"/>
          <w:rtl w:val="true"/>
        </w:rPr>
        <w:footnoteReference w:id="2453"/>
      </w:r>
      <w:r>
        <w:rPr>
          <w:rFonts w:ascii="Amiri" w:hAnsi="Amiri" w:eastAsia="Amiri" w:cs="Amiri"/>
          <w:color w:val="111111"/>
          <w:sz w:val="28"/>
          <w:sz w:val="28"/>
          <w:szCs w:val="28"/>
          <w:rtl w:val="true"/>
          <w:lang w:bidi="ar-SA"/>
        </w:rPr>
        <w:t xml:space="preserve">، بل ذهب بعضهم إلى تعيّنه </w:t>
      </w:r>
      <w:r>
        <w:rPr>
          <w:rStyle w:val="FootnoteAnchor"/>
          <w:rtl w:val="true"/>
        </w:rPr>
        <w:footnoteReference w:id="2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 ، لما مرّ في المبتدأة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الدور الأول ، وأمّا بعده فمقتضى القاعدة التي جرينا عليها أنّها في القسم الأول لمّا علمت أنّ قدر العدد من الدور المعيّن وقت عادتها قطعا وإن لم تعلمه بعينه ، وأنّ الدم مطلقا في وقت الحيض حيض ، فقد علمت حيضية قدر العدد من الدور الثاني أيضا ، ولعدم تعيّن وقته عندها وبطلان الترجيح بلا مرجّح تكون مخيّرة في وضعه حيث شاءت منه وإن كان الأولى جعله موافقا لوقت الدور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القسم الثاني فإن علمت الدور دون ابتدائه تأخذ بالعدد وتتخيّر في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تعلم الدور أصلا فإن رأت بصفة الحيض بعد مضي زمان أقلّ الطهر أو أكثر من العدد الأول تتحيّض به أيّ وقت كان ، وهكذا بعد العدد 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تر لم تتحيّض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 التحيّض في كلّ شهر لغلبة ذلك في النساء لم تثبت حجيته ، والاحتياط والإلحاق بالمتحيّرة لا دليل عليه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يقرب أن يكون ذلك في القسم الثاني مخالفا للإجماع ، إذ الظاهر فتوى الكلّ بتحيضها في كلّ شهر ، بل يمكن أن يستدلّ له أيضا برواية زرارة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كانت تحيض حيضا مستقيما فهو في كلّ شهر حيضة </w:t>
      </w:r>
      <w:r>
        <w:rPr>
          <w:rFonts w:eastAsia="Amiri" w:cs="Amiri" w:ascii="Amiri" w:hAnsi="Amiri"/>
          <w:color w:val="111111"/>
          <w:sz w:val="28"/>
          <w:szCs w:val="28"/>
          <w:rtl w:val="true"/>
          <w:lang w:bidi="ar-SA"/>
        </w:rPr>
        <w:t xml:space="preserve">» </w:t>
      </w:r>
      <w:r>
        <w:rPr>
          <w:rStyle w:val="FootnoteAnchor"/>
          <w:rtl w:val="true"/>
        </w:rPr>
        <w:footnoteReference w:id="245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قلنا به للإجماع وتخيّرها في الوضع في الدور الثاني مع أولوية موافقة الدور الأول كما في القسم الأول لم يكن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يحصل لها وقت معلوم في الجملة بأن تضل العدد في وقت يزيد نصفه على العدد المعتاد أو يساويه ، فإنّ كلّ يوم من الوقت حينئذ يحتمل الطهر والحيض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حصل لها ذلك بأن يزيد العدد على نصف زمان الإضلال ، فإنّ ضعف الزائد حيض بيقين ، ويبقى من العدد تمام الضعف إليه ، فعلى التخيير تضمّها إلى الضعف متقدّمة أو متأخّرة أو بالتفريق ، وعلى الاحتياط تجمع فيما تقدم من الدور على القدر المتيقّن بين أعمال المستحاضة وتروك الحائض ، وفيما تأخّر عنه تزيد عليهما غسل الانقطاع لكلّ مشروط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ذاكرة الوقت ناسية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تتذكر أول الوقت ، أو آخره ، أو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بين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وقتا في الجملة كأن تعلم تحيّضها بيوم معيّن أو أكثر من الشهر من دون علم بالأوّلية أو الآخريّة أو الوسطيّة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التقادير تكمل المعلوم ثلاثة يقينا ، لأنه أقلّ الحيض على حسب مقتضاه ، فتجعل المعلوم أول الثلاثة على الأول ، وآخرها على الثاني ، ووسطها على الثالث لو كان المعلوم يوما محتملا كونه محفوفا بمتساويين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المعلوم يومين محفوفين بمتساويين فالأقل أربعة تجعل اليومين وسطها ، ولو كانت ثلاثة فالأقل خمسة ، أو أربعة فالستة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علمت الاحتفاف بغير متساويين ، فلو كان المعلوم واحدا فالأقل أربعة ، وإن كان اثنين فخمسة وهكذا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الاكتفاء في التكميل بالثلاثة ، أو الأخذ بأسوإ الاحتمالات فتحتاط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 العشرة </w:t>
      </w:r>
      <w:r>
        <w:rPr>
          <w:rFonts w:eastAsia="Amiri" w:cs="Amiri" w:ascii="Amiri" w:hAnsi="Amiri"/>
          <w:color w:val="111111"/>
          <w:sz w:val="28"/>
          <w:szCs w:val="28"/>
          <w:rtl w:val="true"/>
          <w:lang w:bidi="ar-SA"/>
        </w:rPr>
        <w:t xml:space="preserve">) </w:t>
      </w:r>
      <w:r>
        <w:rPr>
          <w:rStyle w:val="FootnoteAnchor"/>
          <w:rtl w:val="true"/>
        </w:rPr>
        <w:footnoteReference w:id="2456"/>
      </w:r>
      <w:r>
        <w:rPr>
          <w:rFonts w:ascii="Amiri" w:hAnsi="Amiri" w:eastAsia="Amiri" w:cs="Amiri"/>
          <w:color w:val="111111"/>
          <w:sz w:val="28"/>
          <w:sz w:val="28"/>
          <w:szCs w:val="28"/>
          <w:rtl w:val="true"/>
          <w:lang w:bidi="ar-SA"/>
        </w:rPr>
        <w:t xml:space="preserve">كما مرّ ، أو رجوعها إلى الروايات 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للمعتبر ، والبيان </w:t>
      </w:r>
      <w:r>
        <w:rPr>
          <w:rStyle w:val="FootnoteAnchor"/>
          <w:rtl w:val="true"/>
        </w:rPr>
        <w:footnoteReference w:id="2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واللوامع </w:t>
      </w:r>
      <w:r>
        <w:rPr>
          <w:rFonts w:eastAsia="IRNazanin" w:cs="IRNazanin"/>
          <w:color w:val="111111"/>
          <w:sz w:val="28"/>
          <w:szCs w:val="28"/>
          <w:rtl w:val="true"/>
          <w:lang w:bidi="fa-IR"/>
        </w:rPr>
        <w:t xml:space="preserve">) </w:t>
      </w:r>
      <w:r>
        <w:rPr>
          <w:rStyle w:val="FootnoteAnchor"/>
          <w:rtl w:val="true"/>
        </w:rPr>
        <w:footnoteReference w:id="2458"/>
      </w:r>
      <w:r>
        <w:rPr>
          <w:rFonts w:ascii="Amiri" w:hAnsi="Amiri" w:eastAsia="Amiri" w:cs="Amiri"/>
          <w:color w:val="111111"/>
          <w:sz w:val="28"/>
          <w:sz w:val="28"/>
          <w:szCs w:val="28"/>
          <w:rtl w:val="true"/>
          <w:lang w:bidi="ar-SA"/>
        </w:rPr>
        <w:t>، والمعتمد ، لتيقّن الثلاثة وفقد الدلالة في الباقي فيستصحب التعبّد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للشيخ </w:t>
      </w:r>
      <w:r>
        <w:rPr>
          <w:rStyle w:val="FootnoteAnchor"/>
          <w:rtl w:val="true"/>
        </w:rPr>
        <w:footnoteReference w:id="2459"/>
      </w:r>
      <w:r>
        <w:rPr>
          <w:rFonts w:ascii="IRNazanin" w:hAnsi="IRNazanin" w:eastAsia="IRNazanin"/>
          <w:color w:val="111111"/>
          <w:sz w:val="28"/>
          <w:sz w:val="28"/>
          <w:szCs w:val="28"/>
          <w:rtl w:val="true"/>
          <w:lang w:bidi="fa-IR"/>
        </w:rPr>
        <w:t xml:space="preserve">والفاضل </w:t>
      </w:r>
      <w:r>
        <w:rPr>
          <w:rStyle w:val="FootnoteAnchor"/>
          <w:rtl w:val="true"/>
        </w:rPr>
        <w:footnoteReference w:id="2460"/>
      </w:r>
      <w:r>
        <w:rPr>
          <w:rFonts w:ascii="Amiri" w:hAnsi="Amiri" w:eastAsia="Amiri" w:cs="Amiri"/>
          <w:color w:val="111111"/>
          <w:sz w:val="28"/>
          <w:sz w:val="28"/>
          <w:szCs w:val="28"/>
          <w:rtl w:val="true"/>
          <w:lang w:bidi="ar-SA"/>
        </w:rPr>
        <w:t>،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عن الأكثر </w:t>
      </w:r>
      <w:r>
        <w:rPr>
          <w:rStyle w:val="FootnoteAnchor"/>
          <w:rtl w:val="true"/>
        </w:rPr>
        <w:footnoteReference w:id="2461"/>
      </w:r>
      <w:r>
        <w:rPr>
          <w:rFonts w:ascii="Amiri" w:hAnsi="Amiri" w:eastAsia="Amiri" w:cs="Amiri"/>
          <w:color w:val="111111"/>
          <w:sz w:val="28"/>
          <w:sz w:val="28"/>
          <w:szCs w:val="28"/>
          <w:rtl w:val="true"/>
          <w:lang w:bidi="ar-SA"/>
        </w:rPr>
        <w:t>، لصدق النسيان والاختلاط الموجب للحكم في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 لذلك ، فإنّ قوله في آخر المرسلة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اختلطت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أيامها وزادت ونقصت حتى لا تقف منها على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على هذه أيضا ، لكون عددها أيامها أيضا ، كما صرّح به في موثّقة سماعة </w:t>
      </w:r>
      <w:r>
        <w:rPr>
          <w:rStyle w:val="FootnoteAnchor"/>
          <w:rtl w:val="true"/>
        </w:rPr>
        <w:footnoteReference w:id="2462"/>
      </w:r>
      <w:r>
        <w:rPr>
          <w:rFonts w:ascii="Amiri" w:hAnsi="Amiri" w:eastAsia="Amiri" w:cs="Amiri"/>
          <w:color w:val="111111"/>
          <w:sz w:val="28"/>
          <w:sz w:val="28"/>
          <w:szCs w:val="28"/>
          <w:rtl w:val="true"/>
          <w:lang w:bidi="ar-SA"/>
        </w:rPr>
        <w:t xml:space="preserve">ودلّ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وزادت ونقصت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يكن الأمر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 يكن بحيث لا تقف من الدم على لون كما بيّنه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الدم أطبق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بيانا لحال الناسية غير ذات التمييز ، أو إن لم تكن ممّن ذكر فتشمل المبتدأة والناسية غير ذاتي التمييز ، وعلى التقديرين يثبت المطلوب ، وهذا أوفق بعموم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ويؤكّده بل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صدر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فيها كلّ مشكل لمن سمعها وفهمها حتى لم يدع لأحد مقالا فيه بالرأي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وسطها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فجميع حالات المستحاضة يدور على هذه السنن الثلاث لا تكاد أبدا تخلو عن واحدة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شرع في تفسير الثلاث</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والتخصيص بالمبتدأة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أمر المبتدأة كذلك أي لم يختلط أيامها لعدم كون أيام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الظاهر جدّا ، بل خلاف مقتضى </w:t>
      </w:r>
    </w:p>
    <w:p>
      <w:pPr>
        <w:pStyle w:val="BookText"/>
        <w:rPr/>
      </w:pPr>
      <w:r>
        <w:rPr>
          <w:rFonts w:ascii="IRNazanin" w:hAnsi="IRNazanin" w:eastAsia="IRNazanin"/>
          <w:color w:val="111111"/>
          <w:sz w:val="28"/>
          <w:sz w:val="28"/>
          <w:szCs w:val="28"/>
          <w:rtl w:val="true"/>
          <w:lang w:bidi="fa-IR"/>
        </w:rPr>
        <w:t>عموم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لا شك في شمول مقتضى اللفظ لما ذكر ، ومن يقول بالتخصيص بواحدة فعليه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فهذه المرأة تكمل عددها المعلوم بالسبعة ، وتجعل تتمة الشهر استحاضة وإن علمت أنّ طهرها أزيد من ذلك ، كما إذا علمت أنّ دورها أزيد من الشهر ، لعموم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العدد المعلوم ممّا لا يمكن تكميله بالسبعة ، كأن تعلم يومين محفوفين بمتساويين ، فالظاهر حينئذ الخروج من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وتكليفها الأخذ بالمتيقّن ، لما مرّ ، لعدم مخرج عن الأصل فيما إذا كان المعلوم الآخر ، لأصالة عدم التحيّض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والتخيير بين الأقلّ والأكثر في غيره لتعارض الاستصحابين الموجب للتخير ، بخلاف ما لو أمكن فإن المرسلة مخرجة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جواب دليل الأول ، مع أنّ هذا إنّما يتمّ فيما إذا علمت الآخر وأكملته في القبل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غيره فلا يتمّ ، لأن استصحاب التعبد في الباقي وأصالة عدم التحيّض معارض باستصحاب الحيضية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مرّ </w:t>
      </w:r>
      <w:r>
        <w:rPr>
          <w:rStyle w:val="FootnoteAnchor"/>
          <w:rtl w:val="true"/>
        </w:rPr>
        <w:footnoteReference w:id="2463"/>
      </w:r>
      <w:r>
        <w:rPr>
          <w:rFonts w:ascii="Amiri" w:hAnsi="Amiri" w:eastAsia="Amiri" w:cs="Amiri"/>
          <w:color w:val="111111"/>
          <w:sz w:val="28"/>
          <w:sz w:val="28"/>
          <w:szCs w:val="28"/>
          <w:rtl w:val="true"/>
          <w:lang w:bidi="ar-SA"/>
        </w:rPr>
        <w:t>في المتحيّرة يظهر دليل الثاني وجوابه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47" w:name="pg11612_111092"/>
    </w:p>
    <w:p>
      <w:pPr>
        <w:pStyle w:val="Heading5"/>
        <w:numPr>
          <w:ilvl w:val="4"/>
          <w:numId w:val="1"/>
        </w:numPr>
        <w:rPr/>
      </w:pPr>
      <w:bookmarkStart w:id="148" w:name="__RefHeading___Toc5524415_73709187"/>
      <w:bookmarkStart w:id="149" w:name="_Toc56"/>
      <w:bookmarkEnd w:id="147"/>
      <w:bookmarkEnd w:id="148"/>
      <w:r>
        <w:rPr>
          <w:rtl w:val="true"/>
        </w:rPr>
        <w:t xml:space="preserve">البحث الثاني </w:t>
      </w:r>
      <w:r>
        <w:rPr>
          <w:rtl w:val="true"/>
        </w:rPr>
        <w:t xml:space="preserve">: </w:t>
      </w:r>
      <w:r>
        <w:rPr>
          <w:rtl w:val="true"/>
        </w:rPr>
        <w:t>في أحكام الحائض</w:t>
      </w:r>
      <w:bookmarkEnd w:id="149"/>
    </w:p>
    <w:p>
      <w:pPr>
        <w:pStyle w:val="Heading6"/>
        <w:numPr>
          <w:ilvl w:val="5"/>
          <w:numId w:val="1"/>
        </w:numPr>
        <w:rPr/>
      </w:pPr>
      <w:bookmarkStart w:id="150" w:name="__RefHeading___Toc5524417_73709187"/>
      <w:bookmarkStart w:id="151" w:name="_Toc57"/>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 xml:space="preserve">وهي أمور نذكرها في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مطلقا إذا انقطع دمها لما دون العشرة استبرأت بإدخالها القطنة إجماعا ، وجوبا على الأظهر الأشهر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فيه بين الأصحاب </w:t>
      </w:r>
      <w:r>
        <w:rPr>
          <w:rStyle w:val="FootnoteAnchor"/>
          <w:rtl w:val="true"/>
        </w:rPr>
        <w:footnoteReference w:id="2464"/>
      </w:r>
      <w:r>
        <w:rPr>
          <w:rFonts w:ascii="Amiri" w:hAnsi="Amiri" w:eastAsia="Amiri" w:cs="Amiri"/>
          <w:color w:val="111111"/>
          <w:sz w:val="28"/>
          <w:sz w:val="28"/>
          <w:szCs w:val="28"/>
          <w:rtl w:val="true"/>
          <w:lang w:bidi="ar-SA"/>
        </w:rPr>
        <w:t xml:space="preserve">، للأمر به في صحيحة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أرادت الحائض أن تغتسل فلتستدخل قطنة ، فإن خرج منها شي‌ء من الدم فلا تغتسل ، وإن لم تر شيئا فلتغتسل </w:t>
      </w:r>
      <w:r>
        <w:rPr>
          <w:rFonts w:eastAsia="Amiri" w:cs="Amiri" w:ascii="Amiri" w:hAnsi="Amiri"/>
          <w:color w:val="111111"/>
          <w:sz w:val="28"/>
          <w:szCs w:val="28"/>
          <w:rtl w:val="true"/>
          <w:lang w:bidi="ar-SA"/>
        </w:rPr>
        <w:t xml:space="preserve">» </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رأت الصفرة أو شيئا من الدم فعليها أن تلصق بطنها بالحائط وترفع رجلها اليسرى ، كما ترى الكلب إذا بال ، وتدخل قطنة ، فإن خرج فيها دم فهي حائض ، وإن لم يخرج فليست بحائض </w:t>
      </w:r>
      <w:r>
        <w:rPr>
          <w:rFonts w:eastAsia="Amiri" w:cs="Amiri" w:ascii="Amiri" w:hAnsi="Amiri"/>
          <w:color w:val="111111"/>
          <w:sz w:val="28"/>
          <w:szCs w:val="28"/>
          <w:rtl w:val="true"/>
          <w:lang w:bidi="ar-SA"/>
        </w:rPr>
        <w:t xml:space="preserve">»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وضعفه في المقام بما مرّ منجبر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واستحبابا على ما هو ظاهر الاقتصاد </w:t>
      </w:r>
      <w:r>
        <w:rPr>
          <w:rStyle w:val="FootnoteAnchor"/>
          <w:rtl w:val="true"/>
        </w:rPr>
        <w:footnoteReference w:id="2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عن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ترفع رجليها إلى حائط كالكلب يبول ، مخيّرا بين اليمنى ، كما في مرسلة يونس ، واليسرى كما في خبر الكندي </w:t>
      </w:r>
      <w:r>
        <w:rPr>
          <w:rStyle w:val="FootnoteAnchor"/>
          <w:rtl w:val="true"/>
        </w:rPr>
        <w:footnoteReference w:id="2468"/>
      </w:r>
      <w:r>
        <w:rPr>
          <w:rFonts w:ascii="Amiri" w:hAnsi="Amiri" w:eastAsia="Amiri" w:cs="Amiri"/>
          <w:color w:val="111111"/>
          <w:sz w:val="28"/>
          <w:sz w:val="28"/>
          <w:szCs w:val="28"/>
          <w:rtl w:val="true"/>
          <w:lang w:bidi="ar-SA"/>
        </w:rPr>
        <w:t>والرضوي</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يجب ذلك ، لوروده في تلك الروايات بلفظ الإخبار الغير الصريح في </w:t>
      </w:r>
    </w:p>
    <w:p>
      <w:pPr>
        <w:pStyle w:val="BookText"/>
        <w:rPr/>
      </w:pP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لا بأس بالقول بوجوب القيام وإلصاق البطن على الحائط ، للأمر بهما في موثّقة سماعة </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استبرأت الحائض مطلقا وعلمت انقطاع دمها لدون العشرة ظاهرا ، وجب عليها الغسل لمشروط الطهارة إجماعا ، للنصوص المعتبرة ، كمرسلة يونس ، القصيرة </w:t>
      </w:r>
      <w:r>
        <w:rPr>
          <w:rStyle w:val="FootnoteAnchor"/>
          <w:rtl w:val="true"/>
        </w:rPr>
        <w:footnoteReference w:id="2470"/>
      </w:r>
      <w:r>
        <w:rPr>
          <w:rFonts w:ascii="Amiri" w:hAnsi="Amiri" w:eastAsia="Amiri" w:cs="Amiri"/>
          <w:color w:val="111111"/>
          <w:sz w:val="28"/>
          <w:sz w:val="28"/>
          <w:szCs w:val="28"/>
          <w:rtl w:val="true"/>
          <w:lang w:bidi="ar-SA"/>
        </w:rPr>
        <w:t xml:space="preserve">، وموثّقة يونس بن يعقوب المتقدّمة </w:t>
      </w:r>
      <w:r>
        <w:rPr>
          <w:rStyle w:val="FootnoteAnchor"/>
          <w:rtl w:val="true"/>
        </w:rPr>
        <w:footnoteReference w:id="2471"/>
      </w:r>
      <w:r>
        <w:rPr>
          <w:rFonts w:ascii="Amiri" w:hAnsi="Amiri" w:eastAsia="Amiri" w:cs="Amiri"/>
          <w:color w:val="111111"/>
          <w:sz w:val="28"/>
          <w:sz w:val="28"/>
          <w:szCs w:val="28"/>
          <w:rtl w:val="true"/>
          <w:lang w:bidi="ar-SA"/>
        </w:rPr>
        <w:t xml:space="preserve">، ومرسلة العجلي </w:t>
      </w:r>
      <w:r>
        <w:rPr>
          <w:rStyle w:val="FootnoteAnchor"/>
          <w:rtl w:val="true"/>
        </w:rPr>
        <w:footnoteReference w:id="2472"/>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معتادة الانقطاع والعود قبل العشرة أو غيرها ، لإطلاق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بعدم الوجوب على معتادة العود ، لأنّ المظنون حينئذ كونها حائضا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باطل ، لعدم ثبوت حجية ذلك الظن ، وصلاحيته لتقييد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اعتادت الفترات بحيث يحصل لها اليقين بالعود عادة لم يجب ، والوجه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منها صلاة ولا طواف ولا صوم ، بالإجماع والمستفيضة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فتحرم عليها ، لأنّها شأن العبادة الغير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تحرم عليها أيضا أمور أخر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كتابة المصحف على الأشهر الأظهر ، كما في بحث الجنابة مع فروعه قد مرّ </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اللبث في المساجد وفاقا للأكثر ، ونسبه في المنتهى </w:t>
      </w:r>
      <w:r>
        <w:rPr>
          <w:rStyle w:val="FootnoteAnchor"/>
          <w:rtl w:val="true"/>
        </w:rPr>
        <w:footnoteReference w:id="2474"/>
      </w:r>
      <w:r>
        <w:rPr>
          <w:rFonts w:ascii="Amiri" w:hAnsi="Amiri" w:eastAsia="Amiri" w:cs="Amiri"/>
          <w:color w:val="111111"/>
          <w:sz w:val="28"/>
          <w:sz w:val="28"/>
          <w:szCs w:val="28"/>
          <w:rtl w:val="true"/>
          <w:lang w:bidi="ar-SA"/>
        </w:rPr>
        <w:t xml:space="preserve">إلى عامة أهل العلم ، وفي التذكرة </w:t>
      </w:r>
      <w:r>
        <w:rPr>
          <w:rStyle w:val="FootnoteAnchor"/>
          <w:rtl w:val="true"/>
        </w:rPr>
        <w:footnoteReference w:id="2475"/>
      </w:r>
      <w:r>
        <w:rPr>
          <w:rFonts w:ascii="Amiri" w:hAnsi="Amiri" w:eastAsia="Amiri" w:cs="Amiri"/>
          <w:color w:val="111111"/>
          <w:sz w:val="28"/>
          <w:sz w:val="28"/>
          <w:szCs w:val="28"/>
          <w:rtl w:val="true"/>
          <w:lang w:bidi="ar-SA"/>
        </w:rPr>
        <w:t xml:space="preserve">إلى علمائنا ، مؤذنا بدعوى الإجماع عليه ، بل في صريح المعتبرة والتحرير والمدارك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2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حيث لا ينافيه خلاف نادر يأتي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عدم الفصل بينها وبين الجنب المحرّم عليه ذلك قطعا ، وصحيحة أبي حمزة ، المتقدّمة </w:t>
      </w:r>
      <w:r>
        <w:rPr>
          <w:rStyle w:val="FootnoteAnchor"/>
          <w:rtl w:val="true"/>
        </w:rPr>
        <w:footnoteReference w:id="2477"/>
      </w:r>
      <w:r>
        <w:rPr>
          <w:rFonts w:ascii="Amiri" w:hAnsi="Amiri" w:eastAsia="Amiri" w:cs="Amiri"/>
          <w:color w:val="111111"/>
          <w:sz w:val="28"/>
          <w:sz w:val="28"/>
          <w:szCs w:val="28"/>
          <w:rtl w:val="true"/>
          <w:lang w:bidi="ar-SA"/>
        </w:rPr>
        <w:t>في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النبوي المروي في المعتبر ، والمنتهى ، والتذكرة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أحلّ المسجد لحائض ولا جنب </w:t>
      </w:r>
      <w:r>
        <w:rPr>
          <w:rFonts w:eastAsia="Amiri" w:cs="Amiri" w:ascii="Amiri" w:hAnsi="Amiri"/>
          <w:color w:val="111111"/>
          <w:sz w:val="28"/>
          <w:szCs w:val="28"/>
          <w:rtl w:val="true"/>
          <w:lang w:bidi="ar-SA"/>
        </w:rPr>
        <w:t xml:space="preserve">» </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العلل ، ورواية محمّد ، المتقدّمتان </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تدخل المسجد وأنت جنب ولا الحائض إلاّ مجتازين </w:t>
      </w:r>
      <w:r>
        <w:rPr>
          <w:rFonts w:eastAsia="Amiri" w:cs="Amiri" w:ascii="Amiri" w:hAnsi="Amiri"/>
          <w:color w:val="111111"/>
          <w:sz w:val="28"/>
          <w:szCs w:val="28"/>
          <w:rtl w:val="true"/>
          <w:lang w:bidi="ar-SA"/>
        </w:rPr>
        <w:t xml:space="preserve">» </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استدلّ بها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الصحيحة دلالة على الحرمة على الجنب من جهة أخرى ، وهي الاستشهاد بالآية ، وهو لا يفيد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الديلمي </w:t>
      </w:r>
      <w:r>
        <w:rPr>
          <w:rStyle w:val="FootnoteAnchor"/>
          <w:rtl w:val="true"/>
        </w:rPr>
        <w:footnoteReference w:id="2481"/>
      </w:r>
      <w:r>
        <w:rPr>
          <w:rFonts w:ascii="Amiri" w:hAnsi="Amiri" w:eastAsia="Amiri" w:cs="Amiri"/>
          <w:color w:val="111111"/>
          <w:sz w:val="28"/>
          <w:sz w:val="28"/>
          <w:szCs w:val="28"/>
          <w:rtl w:val="true"/>
          <w:lang w:bidi="ar-SA"/>
        </w:rPr>
        <w:t>،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مدفوع بما ذكر</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الجواز فيها فجائز على الأشهر الأظهر ، بل في المعتبر اتّفاقهم عليه </w:t>
      </w:r>
      <w:r>
        <w:rPr>
          <w:rStyle w:val="FootnoteAnchor"/>
          <w:rtl w:val="true"/>
        </w:rPr>
        <w:footnoteReference w:id="2482"/>
      </w:r>
      <w:r>
        <w:rPr>
          <w:rFonts w:ascii="Amiri" w:hAnsi="Amiri" w:eastAsia="Amiri" w:cs="Amiri"/>
          <w:color w:val="111111"/>
          <w:sz w:val="28"/>
          <w:sz w:val="28"/>
          <w:szCs w:val="28"/>
          <w:rtl w:val="true"/>
          <w:lang w:bidi="ar-SA"/>
        </w:rPr>
        <w:t>، للتصريح به في الأخبار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المقنع ، والفقيه ، والجمل والعقود ، والوسيلة </w:t>
      </w:r>
      <w:r>
        <w:rPr>
          <w:rStyle w:val="FootnoteAnchor"/>
          <w:rtl w:val="true"/>
        </w:rPr>
        <w:footnoteReference w:id="2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المنع من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ويدفعه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عدا المسجدين ، فيحرم الجواز فيهما أيضا على الأقوى ، وفاقا لصريح السرائر ، والنافع ، والمنتهى ، والتذكرة ، والدروس ، والبيان </w:t>
      </w:r>
      <w:r>
        <w:rPr>
          <w:rStyle w:val="FootnoteAnchor"/>
          <w:rtl w:val="true"/>
        </w:rPr>
        <w:footnoteReference w:id="2484"/>
      </w:r>
      <w:r>
        <w:rPr>
          <w:rFonts w:ascii="Amiri" w:hAnsi="Amiri" w:eastAsia="Amiri" w:cs="Amiri"/>
          <w:color w:val="111111"/>
          <w:sz w:val="28"/>
          <w:sz w:val="28"/>
          <w:szCs w:val="28"/>
          <w:rtl w:val="true"/>
          <w:lang w:bidi="ar-SA"/>
        </w:rPr>
        <w:t xml:space="preserve">، وعن الجامع ، والتحرير ، والتلخيص ، والتبصرة </w:t>
      </w:r>
      <w:r>
        <w:rPr>
          <w:rStyle w:val="FootnoteAnchor"/>
          <w:rtl w:val="true"/>
        </w:rPr>
        <w:footnoteReference w:id="2485"/>
      </w:r>
      <w:r>
        <w:rPr>
          <w:rFonts w:ascii="Amiri" w:hAnsi="Amiri" w:eastAsia="Amiri" w:cs="Amiri"/>
          <w:color w:val="111111"/>
          <w:sz w:val="28"/>
          <w:sz w:val="28"/>
          <w:szCs w:val="28"/>
          <w:rtl w:val="true"/>
          <w:lang w:bidi="ar-SA"/>
        </w:rPr>
        <w:t xml:space="preserve">، بل عن الغنية </w:t>
      </w:r>
      <w:r>
        <w:rPr>
          <w:rStyle w:val="FootnoteAnchor"/>
          <w:rtl w:val="true"/>
        </w:rPr>
        <w:footnoteReference w:id="2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ونسبه في المدارك إلى الأصحاب </w:t>
      </w:r>
      <w:r>
        <w:rPr>
          <w:rStyle w:val="FootnoteAnchor"/>
          <w:rtl w:val="true"/>
        </w:rPr>
        <w:footnoteReference w:id="2487"/>
      </w:r>
      <w:r>
        <w:rPr>
          <w:rFonts w:ascii="IRNazanin" w:hAnsi="IRNazanin" w:eastAsia="IRNazanin"/>
          <w:color w:val="111111"/>
          <w:sz w:val="28"/>
          <w:sz w:val="28"/>
          <w:szCs w:val="28"/>
          <w:rtl w:val="true"/>
          <w:lang w:bidi="fa-IR"/>
        </w:rPr>
        <w:t>مؤذنا بدعواه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لمفهوم قوله في صحيحة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بأس أن يمرّا في سائر المساجد </w:t>
      </w:r>
      <w:r>
        <w:rPr>
          <w:rFonts w:eastAsia="Amiri" w:cs="Amiri" w:ascii="Amiri" w:hAnsi="Amiri"/>
          <w:color w:val="111111"/>
          <w:sz w:val="28"/>
          <w:szCs w:val="28"/>
          <w:rtl w:val="true"/>
          <w:lang w:bidi="ar-SA"/>
        </w:rPr>
        <w:t xml:space="preserve">» </w:t>
      </w:r>
      <w:r>
        <w:rPr>
          <w:rStyle w:val="FootnoteAnchor"/>
          <w:rtl w:val="true"/>
        </w:rPr>
        <w:footnoteReference w:id="2488"/>
      </w:r>
      <w:r>
        <w:rPr>
          <w:rFonts w:ascii="Amiri" w:hAnsi="Amiri" w:eastAsia="Amiri" w:cs="Amiri"/>
          <w:color w:val="111111"/>
          <w:sz w:val="28"/>
          <w:sz w:val="28"/>
          <w:szCs w:val="28"/>
          <w:rtl w:val="true"/>
          <w:lang w:bidi="ar-SA"/>
        </w:rPr>
        <w:t xml:space="preserve">وتؤيّده حسنة محمّد </w:t>
      </w:r>
      <w:r>
        <w:rPr>
          <w:rStyle w:val="FootnoteAnchor"/>
          <w:rtl w:val="true"/>
        </w:rPr>
        <w:footnoteReference w:id="2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يقيّد بعض الإطلاقات</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لظاهر الهداية ، والمقنعة ، والمبسوط ، والنهاية ، والاقتصاد ، والمصباح ، ومختصره ، والإصباح ، والخلاف </w:t>
      </w:r>
      <w:r>
        <w:rPr>
          <w:rStyle w:val="FootnoteAnchor"/>
          <w:rtl w:val="true"/>
        </w:rPr>
        <w:footnoteReference w:id="2490"/>
      </w:r>
      <w:r>
        <w:rPr>
          <w:rFonts w:ascii="Amiri" w:hAnsi="Amiri" w:eastAsia="Amiri" w:cs="Amiri"/>
          <w:color w:val="111111"/>
          <w:sz w:val="28"/>
          <w:sz w:val="28"/>
          <w:szCs w:val="28"/>
          <w:rtl w:val="true"/>
          <w:lang w:bidi="ar-SA"/>
        </w:rPr>
        <w:t xml:space="preserve">، والشرائع ، والإرشاد ، والقواعد ، ونهاية الإحكام </w:t>
      </w:r>
      <w:r>
        <w:rPr>
          <w:rStyle w:val="FootnoteAnchor"/>
          <w:rtl w:val="true"/>
        </w:rPr>
        <w:footnoteReference w:id="2491"/>
      </w:r>
      <w:r>
        <w:rPr>
          <w:rFonts w:ascii="Amiri" w:hAnsi="Amiri" w:eastAsia="Amiri" w:cs="Amiri"/>
          <w:color w:val="111111"/>
          <w:sz w:val="28"/>
          <w:sz w:val="28"/>
          <w:szCs w:val="28"/>
          <w:rtl w:val="true"/>
          <w:lang w:bidi="ar-SA"/>
        </w:rPr>
        <w:t xml:space="preserve">، ونسب إلى التذكرة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غفلة </w:t>
      </w:r>
      <w:r>
        <w:rPr>
          <w:rStyle w:val="FootnoteAnchor"/>
          <w:rtl w:val="true"/>
        </w:rPr>
        <w:footnoteReference w:id="2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فأطلقوا جواز الجواز في المساجد ، لبعض المطلقات المقيد بما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المعتبر والمدارك </w:t>
      </w:r>
    </w:p>
    <w:p>
      <w:pPr>
        <w:pStyle w:val="BookText"/>
        <w:rPr/>
      </w:pPr>
      <w:r>
        <w:rPr>
          <w:rFonts w:ascii="Amiri" w:hAnsi="Amiri" w:eastAsia="Amiri" w:cs="Amiri"/>
          <w:color w:val="111111"/>
          <w:sz w:val="28"/>
          <w:sz w:val="28"/>
          <w:szCs w:val="28"/>
          <w:rtl w:val="true"/>
          <w:lang w:bidi="ar-SA"/>
        </w:rPr>
        <w:t xml:space="preserve">التوقّف </w:t>
      </w:r>
      <w:r>
        <w:rPr>
          <w:rStyle w:val="FootnoteAnchor"/>
          <w:rtl w:val="true"/>
        </w:rPr>
        <w:footnoteReference w:id="2493"/>
      </w:r>
      <w:r>
        <w:rPr>
          <w:rFonts w:ascii="Amiri" w:hAnsi="Amiri" w:eastAsia="Amiri" w:cs="Amiri"/>
          <w:color w:val="111111"/>
          <w:sz w:val="28"/>
          <w:sz w:val="28"/>
          <w:szCs w:val="28"/>
          <w:rtl w:val="true"/>
          <w:lang w:bidi="ar-SA"/>
        </w:rPr>
        <w:t>، وليس في 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يتّصف الجواز في غيرهما بالكراهة كما في الخمسة الأخيرة ، أو لا؟</w:t>
      </w:r>
    </w:p>
    <w:p>
      <w:pPr>
        <w:pStyle w:val="BookText"/>
        <w:rPr/>
      </w:pPr>
      <w:r>
        <w:rPr>
          <w:rFonts w:ascii="Amiri" w:hAnsi="Amiri" w:eastAsia="Amiri" w:cs="Amiri"/>
          <w:color w:val="111111"/>
          <w:sz w:val="28"/>
          <w:sz w:val="28"/>
          <w:szCs w:val="28"/>
          <w:rtl w:val="true"/>
          <w:lang w:bidi="ar-SA"/>
        </w:rPr>
        <w:t xml:space="preserve">الظاهر نعم ، لفتوى هؤلاء الأجلّة ، بل دعوى الإجماع عليها عن الخلاف </w:t>
      </w:r>
      <w:r>
        <w:rPr>
          <w:rStyle w:val="FootnoteAnchor"/>
          <w:rtl w:val="true"/>
        </w:rPr>
        <w:footnoteReference w:id="2494"/>
      </w:r>
      <w:r>
        <w:rPr>
          <w:rFonts w:ascii="Amiri" w:hAnsi="Amiri" w:eastAsia="Amiri" w:cs="Amiri"/>
          <w:color w:val="111111"/>
          <w:sz w:val="28"/>
          <w:sz w:val="28"/>
          <w:szCs w:val="28"/>
          <w:rtl w:val="true"/>
          <w:lang w:bidi="ar-SA"/>
        </w:rPr>
        <w:t xml:space="preserve">، والمروي في الدعائم عن مولانا الباقر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نأمر نساءنا الحيّض أن يتوضّأن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يقربن مسجدا ولا يقرأن قرآنا </w:t>
      </w:r>
      <w:r>
        <w:rPr>
          <w:rFonts w:eastAsia="Amiri" w:cs="Amiri" w:ascii="Amiri" w:hAnsi="Amiri"/>
          <w:color w:val="111111"/>
          <w:sz w:val="28"/>
          <w:szCs w:val="28"/>
          <w:rtl w:val="true"/>
          <w:lang w:bidi="ar-SA"/>
        </w:rPr>
        <w:t xml:space="preserve">» </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كافية في المقام ، للتسامح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لا يضرّ ضعف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جواز التردّد في جوانب المسجد ، والدخول من باب والخروج عنه من غير عبور وإن منعناهما في الجنب ، لعدم ثبوت الزيادة عن المنع عن الجلوس ، وعدم تحقّق الإجماع المركّب ، حيث ذكر الحكم في الشرائع والقواعد بلفظ الجلوس الغير الصادق على التردّد ، وصرّح في المدارك بجوازه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قرب التخصيص بالجلوس فلا يحرم القيام ، إلاّ أنّ الظاهر عدم الخلاف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وظاهر أنّ الحكم مختص بغير حال الاضطرار ، إذ رفع عن امة نبينا صلی اللّه عليه وآله ما اضطرّوا إليه فيجوز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يجوز التيمّم له ، 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شي‌ء في المسجد ، وفاقا للأكثر ، ونسبه في المعتبر والمنتهى إلى أصحابنا </w:t>
      </w:r>
      <w:r>
        <w:rPr>
          <w:rStyle w:val="FootnoteAnchor"/>
          <w:rtl w:val="true"/>
        </w:rPr>
        <w:footnoteReference w:id="2496"/>
      </w:r>
      <w:r>
        <w:rPr>
          <w:rFonts w:ascii="Amiri" w:hAnsi="Amiri" w:eastAsia="Amiri" w:cs="Amiri"/>
          <w:color w:val="111111"/>
          <w:sz w:val="28"/>
          <w:sz w:val="28"/>
          <w:szCs w:val="28"/>
          <w:rtl w:val="true"/>
          <w:lang w:bidi="ar-SA"/>
        </w:rPr>
        <w:t xml:space="preserve">المؤذن بدعوى الإجماع ، وفي الحدائق </w:t>
      </w:r>
      <w:r>
        <w:rPr>
          <w:rStyle w:val="FootnoteAnchor"/>
          <w:rtl w:val="true"/>
        </w:rPr>
        <w:footnoteReference w:id="2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خلاف لغير الديلمي </w:t>
      </w:r>
      <w:r>
        <w:rPr>
          <w:rStyle w:val="FootnoteAnchor"/>
          <w:rtl w:val="true"/>
        </w:rPr>
        <w:footnoteReference w:id="2498"/>
      </w:r>
      <w:r>
        <w:rPr>
          <w:rFonts w:ascii="Amiri" w:hAnsi="Amiri" w:eastAsia="Amiri" w:cs="Amiri"/>
          <w:color w:val="111111"/>
          <w:sz w:val="28"/>
          <w:sz w:val="28"/>
          <w:szCs w:val="28"/>
          <w:rtl w:val="true"/>
          <w:lang w:bidi="ar-SA"/>
        </w:rPr>
        <w:t>، لما مرّ في الجنب مع سائر ما يتعلّق بذلك</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لمن ذكر حيث 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من الشرائع ، </w:t>
      </w:r>
    </w:p>
    <w:p>
      <w:pPr>
        <w:pStyle w:val="BookText"/>
        <w:rPr/>
      </w:pPr>
      <w:r>
        <w:rPr>
          <w:rFonts w:ascii="IRNazanin" w:hAnsi="IRNazanin" w:eastAsia="IRNazanin"/>
          <w:color w:val="111111"/>
          <w:sz w:val="28"/>
          <w:sz w:val="28"/>
          <w:szCs w:val="28"/>
          <w:rtl w:val="true"/>
          <w:lang w:bidi="fa-IR"/>
        </w:rPr>
        <w:t xml:space="preserve">والقواعد </w:t>
      </w:r>
      <w:r>
        <w:rPr>
          <w:rStyle w:val="FootnoteAnchor"/>
          <w:rtl w:val="true"/>
        </w:rPr>
        <w:footnoteReference w:id="2499"/>
      </w:r>
      <w:r>
        <w:rPr>
          <w:rFonts w:ascii="Amiri" w:hAnsi="Amiri" w:eastAsia="Amiri" w:cs="Amiri"/>
          <w:color w:val="111111"/>
          <w:sz w:val="28"/>
          <w:sz w:val="28"/>
          <w:szCs w:val="28"/>
          <w:rtl w:val="true"/>
          <w:lang w:bidi="ar-SA"/>
        </w:rPr>
        <w:t>، حيث لم يذكراه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العزائم إجماعا ، كما في المعتبر والمنتهى </w:t>
      </w:r>
      <w:r>
        <w:rPr>
          <w:rStyle w:val="FootnoteAnchor"/>
          <w:rtl w:val="true"/>
        </w:rPr>
        <w:footnoteReference w:id="2500"/>
      </w:r>
      <w:r>
        <w:rPr>
          <w:rFonts w:ascii="Amiri" w:hAnsi="Amiri" w:eastAsia="Amiri" w:cs="Amiri"/>
          <w:color w:val="111111"/>
          <w:sz w:val="28"/>
          <w:sz w:val="28"/>
          <w:szCs w:val="28"/>
          <w:rtl w:val="true"/>
          <w:lang w:bidi="ar-SA"/>
        </w:rPr>
        <w:t>، لما مرّ ثمّة مع ما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عليها قضاء الصوم دون الصلاة بالإجماعين </w:t>
      </w:r>
      <w:r>
        <w:rPr>
          <w:rStyle w:val="FootnoteAnchor"/>
          <w:rtl w:val="true"/>
        </w:rPr>
        <w:footnoteReference w:id="2501"/>
      </w:r>
      <w:r>
        <w:rPr>
          <w:rFonts w:ascii="Amiri" w:hAnsi="Amiri" w:eastAsia="Amiri" w:cs="Amiri"/>
          <w:color w:val="111111"/>
          <w:sz w:val="28"/>
          <w:sz w:val="28"/>
          <w:szCs w:val="28"/>
          <w:rtl w:val="true"/>
          <w:lang w:bidi="ar-SA"/>
        </w:rPr>
        <w:t>والمستفيضة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وتتدارك ما لزمها منهما بالنذر المطلق ، لعدم تعيّن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المعيّن الواقع في الحيض فقد يحتاط بقضائهما </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جماعة </w:t>
      </w:r>
      <w:r>
        <w:rPr>
          <w:rStyle w:val="FootnoteAnchor"/>
          <w:rtl w:val="true"/>
        </w:rPr>
        <w:footnoteReference w:id="2503"/>
      </w:r>
      <w:r>
        <w:rPr>
          <w:rFonts w:ascii="Amiri" w:hAnsi="Amiri" w:eastAsia="Amiri" w:cs="Amiri"/>
          <w:color w:val="111111"/>
          <w:sz w:val="28"/>
          <w:sz w:val="28"/>
          <w:szCs w:val="28"/>
          <w:rtl w:val="true"/>
          <w:lang w:bidi="ar-SA"/>
        </w:rPr>
        <w:t xml:space="preserve">منهم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القضاء ، للتعيين وتعذّر الإتيان ، فيسقط تكليفها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غير اليومية من الصلوات حتى 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وقت الأخير تمام العمر لا يصحّح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تحقيق كلّ منها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تلت آية السجدة أو سمعتها أو استمعت سجدت وجوبا ، وفاقا لجماعة </w:t>
      </w:r>
      <w:r>
        <w:rPr>
          <w:rStyle w:val="FootnoteAnchor"/>
          <w:rtl w:val="true"/>
        </w:rPr>
        <w:footnoteReference w:id="2504"/>
      </w:r>
      <w:r>
        <w:rPr>
          <w:rFonts w:ascii="Amiri" w:hAnsi="Amiri" w:eastAsia="Amiri" w:cs="Amiri"/>
          <w:color w:val="111111"/>
          <w:sz w:val="28"/>
          <w:sz w:val="28"/>
          <w:szCs w:val="28"/>
          <w:rtl w:val="true"/>
          <w:lang w:bidi="ar-SA"/>
        </w:rPr>
        <w:t>صريحا أو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لعموم أوامر السجود ، وخصوص صحيحة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الطامث تسمع السجدة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من العزائم فلتسجد إذا سمعتها </w:t>
      </w:r>
      <w:r>
        <w:rPr>
          <w:rFonts w:eastAsia="Amiri" w:cs="Amiri" w:ascii="Amiri" w:hAnsi="Amiri"/>
          <w:color w:val="111111"/>
          <w:sz w:val="28"/>
          <w:szCs w:val="28"/>
          <w:rtl w:val="true"/>
          <w:lang w:bidi="ar-SA"/>
        </w:rPr>
        <w:t xml:space="preserve">» </w:t>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والحائض تسجد إذا سمعت السجدة </w:t>
      </w:r>
      <w:r>
        <w:rPr>
          <w:rFonts w:eastAsia="Amiri" w:cs="Amiri" w:ascii="Amiri" w:hAnsi="Amiri"/>
          <w:color w:val="111111"/>
          <w:sz w:val="28"/>
          <w:szCs w:val="28"/>
          <w:rtl w:val="true"/>
          <w:lang w:bidi="ar-SA"/>
        </w:rPr>
        <w:t xml:space="preserve">» </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وخبر آخر له موقوفا عليه في الكافي ، والتهذيب ، ومستندا إلى الصادق عليه </w:t>
      </w:r>
    </w:p>
    <w:p>
      <w:pPr>
        <w:pStyle w:val="BookText"/>
        <w:rPr/>
      </w:pPr>
      <w:r>
        <w:rPr>
          <w:rFonts w:ascii="Amiri" w:hAnsi="Amiri" w:eastAsia="Amiri" w:cs="Amiri"/>
          <w:color w:val="111111"/>
          <w:sz w:val="28"/>
          <w:sz w:val="28"/>
          <w:szCs w:val="28"/>
          <w:rtl w:val="true"/>
          <w:lang w:bidi="ar-SA"/>
        </w:rPr>
        <w:t xml:space="preserve">السلام في السرائر ، والمعتبر ، والمختلف ، والمنتهى ، والتذكرة </w:t>
      </w:r>
      <w:r>
        <w:rPr>
          <w:rStyle w:val="FootnoteAnchor"/>
          <w:rtl w:val="true"/>
        </w:rPr>
        <w:footnoteReference w:id="250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قرئ شي‌ء من العزائم الأربع فسمعتها فاسجد ، وإن كنت على غير وضوء ، وإن كنت جنبا ، وإن كانت المرأة لا تصلّي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جوازا كما عن المبسوط ، والجامع </w:t>
      </w:r>
      <w:r>
        <w:rPr>
          <w:rStyle w:val="FootnoteAnchor"/>
          <w:rtl w:val="true"/>
        </w:rPr>
        <w:footnoteReference w:id="2508"/>
      </w:r>
      <w:r>
        <w:rPr>
          <w:rFonts w:ascii="Amiri" w:hAnsi="Amiri" w:eastAsia="Amiri" w:cs="Amiri"/>
          <w:color w:val="111111"/>
          <w:sz w:val="28"/>
          <w:sz w:val="28"/>
          <w:szCs w:val="28"/>
          <w:rtl w:val="true"/>
          <w:lang w:bidi="ar-SA"/>
        </w:rPr>
        <w:t xml:space="preserve">، جمعا بين ما ذكر وبين صحيحة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الحائض هل تقرأ القرآن وتسجد سجدة إذا سمعت السجدة؟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تقرأ ولا تسجد </w:t>
      </w:r>
      <w:r>
        <w:rPr>
          <w:rFonts w:eastAsia="Amiri" w:cs="Amiri" w:ascii="Amiri" w:hAnsi="Amiri"/>
          <w:color w:val="111111"/>
          <w:sz w:val="28"/>
          <w:szCs w:val="28"/>
          <w:rtl w:val="true"/>
          <w:lang w:bidi="ar-SA"/>
        </w:rPr>
        <w:t xml:space="preserve">» </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كتاب ابن محبوب ، عن غياث ، عن الصادق عليه السلام ، عن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تقضي الحائض الصلاة ، ولا تسجد إذا سمعت السجدة </w:t>
      </w:r>
      <w:r>
        <w:rPr>
          <w:rFonts w:eastAsia="Amiri" w:cs="Amiri" w:ascii="Amiri" w:hAnsi="Amiri"/>
          <w:color w:val="111111"/>
          <w:sz w:val="28"/>
          <w:szCs w:val="28"/>
          <w:rtl w:val="true"/>
          <w:lang w:bidi="ar-SA"/>
        </w:rPr>
        <w:t xml:space="preserve">» </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الأولى أخصّ ، لاختصاصها بالعزائم ، فالتخصيص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الجمع فرع المقاومة ، وهي منتفية ، لموافقتهما لفقهائهم الأربعة </w:t>
      </w:r>
      <w:r>
        <w:rPr>
          <w:rStyle w:val="FootnoteAnchor"/>
          <w:rtl w:val="true"/>
        </w:rPr>
        <w:footnoteReference w:id="2511"/>
      </w:r>
      <w:r>
        <w:rPr>
          <w:rFonts w:ascii="Amiri" w:hAnsi="Amiri" w:eastAsia="Amiri" w:cs="Amiri"/>
          <w:color w:val="111111"/>
          <w:sz w:val="28"/>
          <w:sz w:val="28"/>
          <w:szCs w:val="28"/>
          <w:rtl w:val="true"/>
          <w:lang w:bidi="ar-SA"/>
        </w:rPr>
        <w:t xml:space="preserve">كما هو في التذكرة </w:t>
      </w:r>
      <w:r>
        <w:rPr>
          <w:rStyle w:val="FootnoteAnchor"/>
          <w:rtl w:val="true"/>
        </w:rPr>
        <w:footnoteReference w:id="251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فتقديم الأولى وحمل الأخيرة على التقيّة متحتّم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ويؤكّده كون راوي الثاني عامّيا وإسناد الإمام الحكم إلى أمير 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أنه لو فرض التقاوم لوجب الرجوع إلى العمومات والاستصحاب</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ظهر ضعف القول بالحرمة عليها مطلقا ، كما عن المقنعة ، والانتصار ، </w:t>
      </w:r>
    </w:p>
    <w:p>
      <w:pPr>
        <w:pStyle w:val="BookText"/>
        <w:rPr/>
      </w:pPr>
      <w:r>
        <w:rPr>
          <w:rFonts w:ascii="Amiri" w:hAnsi="Amiri" w:eastAsia="Amiri" w:cs="Amiri"/>
          <w:color w:val="111111"/>
          <w:sz w:val="28"/>
          <w:sz w:val="28"/>
          <w:szCs w:val="28"/>
          <w:rtl w:val="true"/>
          <w:lang w:bidi="ar-SA"/>
        </w:rPr>
        <w:t xml:space="preserve">والتهذيب ، والوسيلة </w:t>
      </w:r>
      <w:r>
        <w:rPr>
          <w:rStyle w:val="FootnoteAnchor"/>
          <w:rtl w:val="true"/>
        </w:rPr>
        <w:footnoteReference w:id="2513"/>
      </w:r>
      <w:r>
        <w:rPr>
          <w:rFonts w:ascii="Amiri" w:hAnsi="Amiri" w:eastAsia="Amiri" w:cs="Amiri"/>
          <w:color w:val="111111"/>
          <w:sz w:val="28"/>
          <w:sz w:val="28"/>
          <w:szCs w:val="28"/>
          <w:rtl w:val="true"/>
          <w:lang w:bidi="ar-SA"/>
        </w:rPr>
        <w:t>، وهو مذهب أكثر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لها باشتراط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إذا سمعت خاصة دون ما إذا استمعت كما عن المهذب </w:t>
      </w:r>
      <w:r>
        <w:rPr>
          <w:rStyle w:val="FootnoteAnchor"/>
          <w:rtl w:val="true"/>
        </w:rPr>
        <w:footnoteReference w:id="2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الفرق بينهما في الجواز والوجوب ، فالأوّل في الأوّل والثاني في الثاني ، كما في المعتبر ، وغيره </w:t>
      </w:r>
      <w:r>
        <w:rPr>
          <w:rStyle w:val="FootnoteAnchor"/>
          <w:rtl w:val="true"/>
        </w:rPr>
        <w:footnoteReference w:id="2515"/>
      </w:r>
      <w:r>
        <w:rPr>
          <w:rFonts w:ascii="Amiri" w:hAnsi="Amiri" w:eastAsia="Amiri" w:cs="Amiri"/>
          <w:color w:val="111111"/>
          <w:sz w:val="28"/>
          <w:sz w:val="28"/>
          <w:szCs w:val="28"/>
          <w:rtl w:val="true"/>
          <w:lang w:bidi="ar-SA"/>
        </w:rPr>
        <w:t>، حيث إنّ الأخبار الناهية مختصة بالسماع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 أن الآمرة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كان لذلك وجه لو خصّصنا وجوب السجدة مطلقا بصورة التلاوة أو الاستماع كما في المعتبر </w:t>
      </w:r>
      <w:r>
        <w:rPr>
          <w:rStyle w:val="FootnoteAnchor"/>
          <w:rtl w:val="true"/>
        </w:rPr>
        <w:footnoteReference w:id="2516"/>
      </w:r>
      <w:r>
        <w:rPr>
          <w:rFonts w:ascii="IRNazanin" w:hAnsi="IRNazanin" w:eastAsia="IRNazanin"/>
          <w:color w:val="111111"/>
          <w:sz w:val="28"/>
          <w:sz w:val="28"/>
          <w:szCs w:val="28"/>
          <w:rtl w:val="true"/>
          <w:lang w:bidi="fa-IR"/>
        </w:rPr>
        <w:t xml:space="preserve">، واللوامع ، وعن الخلاف </w:t>
      </w:r>
      <w:r>
        <w:rPr>
          <w:rStyle w:val="FootnoteAnchor"/>
          <w:rtl w:val="true"/>
        </w:rPr>
        <w:footnoteReference w:id="2517"/>
      </w:r>
      <w:r>
        <w:rPr>
          <w:rFonts w:ascii="Amiri" w:hAnsi="Amiri" w:eastAsia="Amiri" w:cs="Amiri"/>
          <w:color w:val="111111"/>
          <w:sz w:val="28"/>
          <w:sz w:val="28"/>
          <w:szCs w:val="28"/>
          <w:rtl w:val="true"/>
          <w:lang w:bidi="ar-SA"/>
        </w:rPr>
        <w:t xml:space="preserve">مدّعيا عليه الإجماع ، وعن التذكرة ، والمنتهى </w:t>
      </w:r>
      <w:r>
        <w:rPr>
          <w:rStyle w:val="FootnoteAnchor"/>
          <w:rtl w:val="true"/>
        </w:rPr>
        <w:footnoteReference w:id="2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ولتحقيقه محل آخر ، بل ينتفي التعارض حينئذ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تتوضّأ الحائض ناوية به التقرّب دون الاستباحة وقت كلّ صلاة من الفرائض اليومية ، وتذكر اللّه تعالى إجماعا ، له ، وللمستفيضة ، كصحيحة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وعليها أن تتوضّأ وضوء الصلاة عند وقت كلّ صلاة ، ثمَّ تقعد في موضع طاهر فتذكر اللّه تعالى وتسبّحه وتهلّله وتحمده كمقدار صلاتها ، ثمَّ تفرغ لحاجتها </w:t>
      </w:r>
      <w:r>
        <w:rPr>
          <w:rFonts w:eastAsia="Amiri" w:cs="Amiri" w:ascii="Amiri" w:hAnsi="Amiri"/>
          <w:color w:val="111111"/>
          <w:sz w:val="28"/>
          <w:szCs w:val="28"/>
          <w:rtl w:val="true"/>
          <w:lang w:bidi="ar-SA"/>
        </w:rPr>
        <w:t xml:space="preserve">» </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ويجب عليها عند حضور كلّ صلاة أن تتوضّأ وضوء الصلاة </w:t>
      </w:r>
    </w:p>
    <w:p>
      <w:pPr>
        <w:pStyle w:val="BookText"/>
        <w:rPr/>
      </w:pPr>
      <w:r>
        <w:rPr>
          <w:rFonts w:ascii="Amiri" w:hAnsi="Amiri" w:eastAsia="Amiri" w:cs="Amiri"/>
          <w:color w:val="111111"/>
          <w:sz w:val="28"/>
          <w:sz w:val="28"/>
          <w:szCs w:val="28"/>
          <w:rtl w:val="true"/>
          <w:lang w:bidi="ar-SA"/>
        </w:rPr>
        <w:t xml:space="preserve">وتجلس مستقبل القبلة وتذكر اللّه مقدار صلاتها كلّ يوم </w:t>
      </w:r>
      <w:r>
        <w:rPr>
          <w:rFonts w:eastAsia="Amiri" w:cs="Amiri" w:ascii="Amiri" w:hAnsi="Amiri"/>
          <w:color w:val="111111"/>
          <w:sz w:val="28"/>
          <w:szCs w:val="28"/>
          <w:rtl w:val="true"/>
          <w:lang w:bidi="ar-SA"/>
        </w:rPr>
        <w:t xml:space="preserve">» </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المرسل المروي في الهداية </w:t>
      </w:r>
      <w:r>
        <w:rPr>
          <w:rStyle w:val="FootnoteAnchor"/>
          <w:rtl w:val="true"/>
        </w:rPr>
        <w:footnoteReference w:id="2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ولكنها تتوضّأ في وقت الصلاة ثمَّ تستقبل القبلة وتذكر اللّه </w:t>
      </w:r>
      <w:r>
        <w:rPr>
          <w:rFonts w:eastAsia="Amiri" w:cs="Amiri" w:ascii="Amiri" w:hAnsi="Amiri"/>
          <w:color w:val="111111"/>
          <w:sz w:val="28"/>
          <w:szCs w:val="28"/>
          <w:rtl w:val="true"/>
          <w:lang w:bidi="ar-SA"/>
        </w:rPr>
        <w:t xml:space="preserve">» </w:t>
      </w:r>
      <w:r>
        <w:rPr>
          <w:rStyle w:val="FootnoteAnchor"/>
          <w:rtl w:val="true"/>
        </w:rPr>
        <w:footnoteReference w:id="2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وقريبة منها صحيحة ابن عمّار </w:t>
      </w:r>
      <w:r>
        <w:rPr>
          <w:rStyle w:val="FootnoteAnchor"/>
          <w:rtl w:val="true"/>
        </w:rPr>
        <w:footnoteReference w:id="2523"/>
      </w:r>
      <w:r>
        <w:rPr>
          <w:rFonts w:ascii="Amiri" w:hAnsi="Amiri" w:eastAsia="Amiri" w:cs="Amiri"/>
          <w:color w:val="111111"/>
          <w:sz w:val="28"/>
          <w:sz w:val="28"/>
          <w:szCs w:val="28"/>
          <w:rtl w:val="true"/>
          <w:lang w:bidi="ar-SA"/>
        </w:rPr>
        <w:t xml:space="preserve">ومرسلة الفقيه </w:t>
      </w:r>
      <w:r>
        <w:rPr>
          <w:rStyle w:val="FootnoteAnchor"/>
          <w:rtl w:val="true"/>
        </w:rPr>
        <w:footnoteReference w:id="2524"/>
      </w:r>
      <w:r>
        <w:rPr>
          <w:rFonts w:ascii="Amiri" w:hAnsi="Amiri" w:eastAsia="Amiri" w:cs="Amiri"/>
          <w:color w:val="111111"/>
          <w:sz w:val="28"/>
          <w:sz w:val="28"/>
          <w:szCs w:val="28"/>
          <w:rtl w:val="true"/>
          <w:lang w:bidi="ar-SA"/>
        </w:rPr>
        <w:t>، إلاّ أنّ في الأولى زادت على الذكر التهليل والتكبير وقراءة القرآن ، وفي الثانية الجلوس قريبا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الشحام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للحائض أن تتوضّأ عند وقت كلّ صلاة وتذكر اللّه مقدار ما كانت تصلّي </w:t>
      </w:r>
      <w:r>
        <w:rPr>
          <w:rFonts w:eastAsia="Amiri" w:cs="Amiri" w:ascii="Amiri" w:hAnsi="Amiri"/>
          <w:color w:val="111111"/>
          <w:sz w:val="28"/>
          <w:szCs w:val="28"/>
          <w:rtl w:val="true"/>
          <w:lang w:bidi="ar-SA"/>
        </w:rPr>
        <w:t xml:space="preserve">» </w:t>
      </w:r>
      <w:r>
        <w:rPr>
          <w:rStyle w:val="FootnoteAnchor"/>
          <w:rtl w:val="true"/>
        </w:rPr>
        <w:footnoteReference w:id="2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هل ذلك على الوجوب؟ كما عن الصدوقين </w:t>
      </w:r>
      <w:r>
        <w:rPr>
          <w:rStyle w:val="FootnoteAnchor"/>
          <w:rtl w:val="true"/>
        </w:rPr>
        <w:footnoteReference w:id="2526"/>
      </w:r>
      <w:r>
        <w:rPr>
          <w:rFonts w:ascii="Amiri" w:hAnsi="Amiri" w:eastAsia="Amiri" w:cs="Amiri"/>
          <w:color w:val="111111"/>
          <w:sz w:val="28"/>
          <w:sz w:val="28"/>
          <w:szCs w:val="28"/>
          <w:rtl w:val="true"/>
          <w:lang w:bidi="ar-SA"/>
        </w:rPr>
        <w:t xml:space="preserve">، وظاهر الحلبي </w:t>
      </w:r>
      <w:r>
        <w:rPr>
          <w:rStyle w:val="FootnoteAnchor"/>
          <w:rtl w:val="true"/>
        </w:rPr>
        <w:footnoteReference w:id="2527"/>
      </w:r>
      <w:r>
        <w:rPr>
          <w:rFonts w:ascii="Amiri" w:hAnsi="Amiri" w:eastAsia="Amiri" w:cs="Amiri"/>
          <w:color w:val="111111"/>
          <w:sz w:val="28"/>
          <w:sz w:val="28"/>
          <w:szCs w:val="28"/>
          <w:rtl w:val="true"/>
          <w:lang w:bidi="ar-SA"/>
        </w:rPr>
        <w:t xml:space="preserve">، وهو ظاهر الشيخ في النهاية </w:t>
      </w:r>
      <w:r>
        <w:rPr>
          <w:rStyle w:val="FootnoteAnchor"/>
          <w:rtl w:val="true"/>
        </w:rPr>
        <w:footnoteReference w:id="2528"/>
      </w:r>
      <w:r>
        <w:rPr>
          <w:rFonts w:ascii="Amiri" w:hAnsi="Amiri" w:eastAsia="Amiri" w:cs="Amiri"/>
          <w:color w:val="111111"/>
          <w:sz w:val="28"/>
          <w:sz w:val="28"/>
          <w:szCs w:val="28"/>
          <w:rtl w:val="true"/>
          <w:lang w:bidi="ar-SA"/>
        </w:rPr>
        <w:t xml:space="preserve">، واختاره بعض مشايخنا الأخباريين </w:t>
      </w:r>
      <w:r>
        <w:rPr>
          <w:rStyle w:val="FootnoteAnchor"/>
          <w:rtl w:val="true"/>
        </w:rPr>
        <w:footnoteReference w:id="2529"/>
      </w:r>
      <w:r>
        <w:rPr>
          <w:rFonts w:ascii="Amiri" w:hAnsi="Amiri" w:eastAsia="Amiri" w:cs="Amiri"/>
          <w:color w:val="111111"/>
          <w:sz w:val="28"/>
          <w:sz w:val="28"/>
          <w:szCs w:val="28"/>
          <w:rtl w:val="true"/>
          <w:lang w:bidi="ar-SA"/>
        </w:rPr>
        <w:t>، لصريح الثلاثة الأولى ، وظاهر الثلاثة المتعقّبة لها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الاستحباب؟ كما هو المشهور بتصريح غير واحد من الأصحاب ، بل </w:t>
      </w:r>
    </w:p>
    <w:p>
      <w:pPr>
        <w:pStyle w:val="BookText"/>
        <w:rPr/>
      </w:pPr>
      <w:r>
        <w:rPr>
          <w:rFonts w:ascii="Amiri" w:hAnsi="Amiri" w:eastAsia="Amiri" w:cs="Amiri"/>
          <w:color w:val="111111"/>
          <w:sz w:val="28"/>
          <w:sz w:val="28"/>
          <w:szCs w:val="28"/>
          <w:rtl w:val="true"/>
          <w:lang w:bidi="ar-SA"/>
        </w:rPr>
        <w:t xml:space="preserve">نسب في شرح القواعد القول بالوجوب إلى الندور </w:t>
      </w:r>
      <w:r>
        <w:rPr>
          <w:rStyle w:val="FootnoteAnchor"/>
          <w:rtl w:val="true"/>
        </w:rPr>
        <w:footnoteReference w:id="2530"/>
      </w:r>
      <w:r>
        <w:rPr>
          <w:rFonts w:ascii="Amiri" w:hAnsi="Amiri" w:eastAsia="Amiri" w:cs="Amiri"/>
          <w:color w:val="111111"/>
          <w:sz w:val="28"/>
          <w:sz w:val="28"/>
          <w:szCs w:val="28"/>
          <w:rtl w:val="true"/>
          <w:lang w:bidi="ar-SA"/>
        </w:rPr>
        <w:t xml:space="preserve">، بل يظهر من بعض مشايخنا المحقّقين </w:t>
      </w:r>
      <w:r>
        <w:rPr>
          <w:rStyle w:val="FootnoteAnchor"/>
          <w:rtl w:val="true"/>
        </w:rPr>
        <w:footnoteReference w:id="2531"/>
      </w:r>
      <w:r>
        <w:rPr>
          <w:rFonts w:ascii="Amiri" w:hAnsi="Amiri" w:eastAsia="Amiri" w:cs="Amiri"/>
          <w:color w:val="111111"/>
          <w:sz w:val="28"/>
          <w:sz w:val="28"/>
          <w:szCs w:val="28"/>
          <w:rtl w:val="true"/>
          <w:lang w:bidi="ar-SA"/>
        </w:rPr>
        <w:t xml:space="preserve">الإجماع على عدمه ، للأخيرة الظاهرة في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المعارضة لما تقدّم عليها ، الراجحة عليها من جهة الشهرة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دلالة الثلاثة السابقة عليها على الوجوب ، وضعف الاثنتين المتقدّمتين عليها الخاليتين عن الجابر ، فلم يبق إلاّ الأولى المتعيّن حملها على الاستحباب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لما ذكر ، لعدم صراحة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الاستحباب وإن لم تكن مفيدة للوجوب أيضا كما قيل </w:t>
      </w:r>
      <w:r>
        <w:rPr>
          <w:rStyle w:val="FootnoteAnchor"/>
          <w:rtl w:val="true"/>
        </w:rPr>
        <w:footnoteReference w:id="2532"/>
      </w:r>
      <w:r>
        <w:rPr>
          <w:rFonts w:ascii="Amiri" w:hAnsi="Amiri" w:eastAsia="Amiri" w:cs="Amiri"/>
          <w:color w:val="111111"/>
          <w:sz w:val="28"/>
          <w:sz w:val="28"/>
          <w:szCs w:val="28"/>
          <w:rtl w:val="true"/>
          <w:lang w:bidi="ar-SA"/>
        </w:rPr>
        <w:t>، بل مفادها الرجحان الغير المنافي لشي‌ء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للمروي في الدعائم ، عن مولانا الباقر عليه السلام ، المنجبر ضعفه بما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نأمر نساءنا الحيّض أن يتوضّأن عند كلّ صلاة فيسبغن الوضوء ويحتشين بخرق ، ثمَّ يستقبلن القبلة من غير أن يفرضن صلاة ، فيسبّحن ويكبّرن ويهلّلن ، وإنّما يؤمرن بذكر اللّه ترغيبا في الفضل واستحبابا له </w:t>
      </w:r>
      <w:r>
        <w:rPr>
          <w:rFonts w:eastAsia="Amiri" w:cs="Amiri" w:ascii="Amiri" w:hAnsi="Amiri"/>
          <w:color w:val="111111"/>
          <w:sz w:val="28"/>
          <w:szCs w:val="28"/>
          <w:rtl w:val="true"/>
          <w:lang w:bidi="ar-SA"/>
        </w:rPr>
        <w:t xml:space="preserve">» </w:t>
      </w:r>
      <w:r>
        <w:rPr>
          <w:rStyle w:val="FootnoteAnchor"/>
          <w:rtl w:val="true"/>
        </w:rPr>
        <w:footnoteReference w:id="2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 تعارض الحسنة </w:t>
      </w:r>
      <w:r>
        <w:rPr>
          <w:rStyle w:val="FootnoteAnchor"/>
          <w:rtl w:val="true"/>
        </w:rPr>
        <w:footnoteReference w:id="2534"/>
      </w:r>
      <w:r>
        <w:rPr>
          <w:rFonts w:ascii="Amiri" w:hAnsi="Amiri" w:eastAsia="Amiri" w:cs="Amiri"/>
          <w:color w:val="111111"/>
          <w:sz w:val="28"/>
          <w:sz w:val="28"/>
          <w:szCs w:val="28"/>
          <w:rtl w:val="true"/>
          <w:lang w:bidi="ar-SA"/>
        </w:rPr>
        <w:t>، ويرجع إلى أصل نفي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واختصاص الاستحباب بالذكر لا يضرّ ، لعدم الفصل ، إلاّ أن يمنع أحد ثبوت الحقيقة الشرعية في لفظ الاستحباب ، وحينئذ تكون تلك الرواية أيضا دالّة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ترك الاحتياط</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ظاهر الأكثر تأدّي الواجب أو المستحب بمطلق الذكر ، لإطلاق كثير </w:t>
      </w:r>
    </w:p>
    <w:p>
      <w:pPr>
        <w:pStyle w:val="BookText"/>
        <w:rPr/>
      </w:pPr>
      <w:r>
        <w:rPr>
          <w:rFonts w:ascii="IRNazanin" w:hAnsi="IRNazanin" w:eastAsia="IRNazanin"/>
          <w:color w:val="111111"/>
          <w:sz w:val="28"/>
          <w:sz w:val="28"/>
          <w:szCs w:val="28"/>
          <w:rtl w:val="true"/>
          <w:lang w:bidi="fa-IR"/>
        </w:rPr>
        <w:t>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تحمد اللّه وتهلّله وتسبّحه وتكبّره </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الذكر تسبيحا وتهليلا وتحميدا وما أشبهه </w:t>
      </w:r>
      <w:r>
        <w:rPr>
          <w:rStyle w:val="FootnoteAnchor"/>
          <w:rtl w:val="true"/>
        </w:rPr>
        <w:footnoteReference w:id="2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مقتضى حمل المطلقات على مقيداتها ، فالعمل به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المراسم الاقتصار على التسبيحة </w:t>
      </w:r>
      <w:r>
        <w:rPr>
          <w:rStyle w:val="FootnoteAnchor"/>
          <w:rtl w:val="true"/>
        </w:rPr>
        <w:footnoteReference w:id="2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النفلية زيادة الصلاة على النبي مع الاستغفار على التسبيحات الأربع </w:t>
      </w:r>
      <w:r>
        <w:rPr>
          <w:rStyle w:val="FootnoteAnchor"/>
          <w:rtl w:val="true"/>
        </w:rPr>
        <w:footnoteReference w:id="2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أعثر على دليل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أن تكون جالسة مستقبلة القبلة بمقدار صلاتها المعتاد لها ، كما هو صريح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شاءت ، كما في الشرائع </w:t>
      </w:r>
      <w:r>
        <w:rPr>
          <w:rStyle w:val="FootnoteAnchor"/>
          <w:rtl w:val="true"/>
        </w:rPr>
        <w:footnoteReference w:id="2539"/>
      </w:r>
      <w:r>
        <w:rPr>
          <w:rFonts w:ascii="Amiri" w:hAnsi="Amiri" w:eastAsia="Amiri" w:cs="Amiri"/>
          <w:color w:val="111111"/>
          <w:sz w:val="28"/>
          <w:sz w:val="28"/>
          <w:szCs w:val="28"/>
          <w:rtl w:val="true"/>
          <w:lang w:bidi="ar-SA"/>
        </w:rPr>
        <w:t xml:space="preserve">، والذكرى ، والمعتبر ، والمنتهى </w:t>
      </w:r>
      <w:r>
        <w:rPr>
          <w:rStyle w:val="FootnoteAnchor"/>
          <w:rtl w:val="true"/>
        </w:rPr>
        <w:footnoteReference w:id="2540"/>
      </w:r>
      <w:r>
        <w:rPr>
          <w:rFonts w:ascii="Amiri" w:hAnsi="Amiri" w:eastAsia="Amiri" w:cs="Amiri"/>
          <w:color w:val="111111"/>
          <w:sz w:val="28"/>
          <w:sz w:val="28"/>
          <w:szCs w:val="28"/>
          <w:rtl w:val="true"/>
          <w:lang w:bidi="ar-SA"/>
        </w:rPr>
        <w:t>، بل نسبه في الأخيرين إلى غير الشيخين من الأصحاب ، لإطلاق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جلست قريبة من مسجدها أي مصلاّها ، كان أولى ، للصحيحة </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مصلاّها كما عن المبسوط ، والخلاف ، والمهذّب ، والوسيلة </w:t>
      </w:r>
      <w:r>
        <w:rPr>
          <w:rStyle w:val="FootnoteAnchor"/>
          <w:rtl w:val="true"/>
        </w:rPr>
        <w:footnoteReference w:id="2542"/>
      </w:r>
      <w:r>
        <w:rPr>
          <w:rFonts w:ascii="Amiri" w:hAnsi="Amiri" w:eastAsia="Amiri" w:cs="Amiri"/>
          <w:color w:val="111111"/>
          <w:sz w:val="28"/>
          <w:sz w:val="28"/>
          <w:szCs w:val="28"/>
          <w:rtl w:val="true"/>
          <w:lang w:bidi="ar-SA"/>
        </w:rPr>
        <w:t xml:space="preserve">، والإصباح ، والجامع ، ونهاية الإحكام ، والنافع </w:t>
      </w:r>
      <w:r>
        <w:rPr>
          <w:rStyle w:val="FootnoteAnchor"/>
          <w:rtl w:val="true"/>
        </w:rPr>
        <w:footnoteReference w:id="2543"/>
      </w:r>
      <w:r>
        <w:rPr>
          <w:rFonts w:ascii="Amiri" w:hAnsi="Amiri" w:eastAsia="Amiri" w:cs="Amiri"/>
          <w:color w:val="111111"/>
          <w:sz w:val="28"/>
          <w:sz w:val="28"/>
          <w:szCs w:val="28"/>
          <w:rtl w:val="true"/>
          <w:lang w:bidi="ar-SA"/>
        </w:rPr>
        <w:t xml:space="preserve">، أو في محرابها كما عن المراسم ، وفي السرائر </w:t>
      </w:r>
      <w:r>
        <w:rPr>
          <w:rStyle w:val="FootnoteAnchor"/>
          <w:rtl w:val="true"/>
        </w:rPr>
        <w:footnoteReference w:id="2544"/>
      </w:r>
      <w:r>
        <w:rPr>
          <w:rFonts w:ascii="Amiri" w:hAnsi="Amiri" w:eastAsia="Amiri" w:cs="Amiri"/>
          <w:color w:val="111111"/>
          <w:sz w:val="28"/>
          <w:sz w:val="28"/>
          <w:szCs w:val="28"/>
          <w:rtl w:val="true"/>
          <w:lang w:bidi="ar-SA"/>
        </w:rPr>
        <w:t xml:space="preserve">، أو ناحية من مصلاّها كما عن المقنعة </w:t>
      </w:r>
      <w:r>
        <w:rPr>
          <w:rStyle w:val="FootnoteAnchor"/>
          <w:rtl w:val="true"/>
        </w:rPr>
        <w:footnoteReference w:id="2545"/>
      </w:r>
      <w:r>
        <w:rPr>
          <w:rFonts w:ascii="Amiri" w:hAnsi="Amiri" w:eastAsia="Amiri" w:cs="Amiri"/>
          <w:color w:val="111111"/>
          <w:sz w:val="28"/>
          <w:sz w:val="28"/>
          <w:szCs w:val="28"/>
          <w:rtl w:val="true"/>
          <w:lang w:bidi="ar-SA"/>
        </w:rPr>
        <w:t xml:space="preserve">، فلا دليل عليه إلاّ </w:t>
      </w:r>
    </w:p>
    <w:p>
      <w:pPr>
        <w:pStyle w:val="BookText"/>
        <w:rPr/>
      </w:pPr>
      <w:r>
        <w:rPr>
          <w:rFonts w:ascii="Amiri" w:hAnsi="Amiri" w:eastAsia="Amiri" w:cs="Amiri"/>
          <w:color w:val="111111"/>
          <w:sz w:val="28"/>
          <w:sz w:val="28"/>
          <w:szCs w:val="28"/>
          <w:rtl w:val="true"/>
          <w:lang w:bidi="ar-SA"/>
        </w:rPr>
        <w:t>الأخير ، فإنّه معنى القريب من مسجدها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استحشاؤها بخرقة كما في بعض الأخبار </w:t>
      </w:r>
      <w:r>
        <w:rPr>
          <w:rStyle w:val="FootnoteAnchor"/>
          <w:rtl w:val="true"/>
        </w:rPr>
        <w:footnoteReference w:id="2546"/>
      </w:r>
      <w:r>
        <w:rPr>
          <w:rFonts w:ascii="IRNazanin" w:hAnsi="IRNazanin" w:eastAsia="IRNazanin"/>
          <w:color w:val="111111"/>
          <w:sz w:val="28"/>
          <w:sz w:val="28"/>
          <w:szCs w:val="28"/>
          <w:rtl w:val="true"/>
          <w:lang w:bidi="fa-IR"/>
        </w:rPr>
        <w:t xml:space="preserve">المهذب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لها قراءة ما عدا سور العزائم مطلقا حتى السبع أو السبعين المستثناة في الجنب عند جماعة </w:t>
      </w:r>
      <w:r>
        <w:rPr>
          <w:rStyle w:val="FootnoteAnchor"/>
          <w:rtl w:val="true"/>
        </w:rPr>
        <w:footnoteReference w:id="2548"/>
      </w:r>
      <w:r>
        <w:rPr>
          <w:rFonts w:ascii="Amiri" w:hAnsi="Amiri" w:eastAsia="Amiri" w:cs="Amiri"/>
          <w:color w:val="111111"/>
          <w:sz w:val="28"/>
          <w:sz w:val="28"/>
          <w:szCs w:val="28"/>
          <w:rtl w:val="true"/>
          <w:lang w:bidi="ar-SA"/>
        </w:rPr>
        <w:t xml:space="preserve">، وفاقا لإطلاق السرائر ، والنافع ، والشرائع ، والمعتبر ، والقواعد ، والبيان </w:t>
      </w:r>
      <w:r>
        <w:rPr>
          <w:rStyle w:val="FootnoteAnchor"/>
          <w:rtl w:val="true"/>
        </w:rPr>
        <w:footnoteReference w:id="2549"/>
      </w:r>
      <w:r>
        <w:rPr>
          <w:rFonts w:ascii="Amiri" w:hAnsi="Amiri" w:eastAsia="Amiri" w:cs="Amiri"/>
          <w:color w:val="111111"/>
          <w:sz w:val="28"/>
          <w:sz w:val="28"/>
          <w:szCs w:val="28"/>
          <w:rtl w:val="true"/>
          <w:lang w:bidi="ar-SA"/>
        </w:rPr>
        <w:t xml:space="preserve">، وعن المبسوط ، والجمل والعقود ، والوسيلة ، والإصباح ، والروض </w:t>
      </w:r>
      <w:r>
        <w:rPr>
          <w:rStyle w:val="FootnoteAnchor"/>
          <w:rtl w:val="true"/>
        </w:rPr>
        <w:footnoteReference w:id="2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الرابع وعن الأخير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للمروي في الدعائم ، المتقدّم </w:t>
      </w:r>
      <w:r>
        <w:rPr>
          <w:rStyle w:val="FootnoteAnchor"/>
          <w:rtl w:val="true"/>
        </w:rPr>
        <w:footnoteReference w:id="2551"/>
      </w:r>
      <w:r>
        <w:rPr>
          <w:rFonts w:ascii="Amiri" w:hAnsi="Amiri" w:eastAsia="Amiri" w:cs="Amiri"/>
          <w:color w:val="111111"/>
          <w:sz w:val="28"/>
          <w:sz w:val="28"/>
          <w:szCs w:val="28"/>
          <w:rtl w:val="true"/>
          <w:lang w:bidi="ar-SA"/>
        </w:rPr>
        <w:t xml:space="preserve">في المسألة الثالثة ، المؤيّد بما مرّ في الجنب </w:t>
      </w:r>
      <w:r>
        <w:rPr>
          <w:rStyle w:val="FootnoteAnchor"/>
          <w:rtl w:val="true"/>
        </w:rPr>
        <w:footnoteReference w:id="2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ظاهره وإن كان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المحكي عن القاضي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المفيد </w:t>
      </w:r>
      <w:r>
        <w:rPr>
          <w:rStyle w:val="FootnoteAnchor"/>
          <w:rtl w:val="true"/>
        </w:rPr>
        <w:footnoteReference w:id="2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ضعفها ومخالفتها الأصل ، وموافقتها العامة </w:t>
      </w:r>
      <w:r>
        <w:rPr>
          <w:rStyle w:val="FootnoteAnchor"/>
          <w:rtl w:val="true"/>
        </w:rPr>
        <w:footnoteReference w:id="2554"/>
      </w:r>
      <w:r>
        <w:rPr>
          <w:rFonts w:ascii="Amiri" w:hAnsi="Amiri" w:eastAsia="Amiri" w:cs="Amiri"/>
          <w:color w:val="111111"/>
          <w:sz w:val="28"/>
          <w:sz w:val="28"/>
          <w:szCs w:val="28"/>
          <w:rtl w:val="true"/>
          <w:lang w:bidi="ar-SA"/>
        </w:rPr>
        <w:t xml:space="preserve">ودعوى جماعة </w:t>
      </w:r>
      <w:r>
        <w:rPr>
          <w:rStyle w:val="FootnoteAnchor"/>
          <w:rtl w:val="true"/>
        </w:rPr>
        <w:footnoteReference w:id="2555"/>
      </w:r>
      <w:r>
        <w:rPr>
          <w:rFonts w:ascii="Amiri" w:hAnsi="Amiri" w:eastAsia="Amiri" w:cs="Amiri"/>
          <w:color w:val="111111"/>
          <w:sz w:val="28"/>
          <w:sz w:val="28"/>
          <w:szCs w:val="28"/>
          <w:rtl w:val="true"/>
          <w:lang w:bidi="ar-SA"/>
        </w:rPr>
        <w:t xml:space="preserve">الإجماع على الجواز منع عن إثباتها به مضافا إلى صحيحة البصري ، المتقدّمة </w:t>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المسامحة في أدلّة الكراهة وسع في إثباتها مع ما ذكر ، من غير تخصيص </w:t>
      </w:r>
    </w:p>
    <w:p>
      <w:pPr>
        <w:pStyle w:val="BookText"/>
        <w:rPr/>
      </w:pPr>
      <w:r>
        <w:rPr>
          <w:rFonts w:ascii="Amiri" w:hAnsi="Amiri" w:eastAsia="Amiri" w:cs="Amiri"/>
          <w:color w:val="111111"/>
          <w:sz w:val="28"/>
          <w:sz w:val="28"/>
          <w:szCs w:val="28"/>
          <w:rtl w:val="true"/>
          <w:lang w:bidi="ar-SA"/>
        </w:rPr>
        <w:t xml:space="preserve">بالزائد عن السبع أو السبعين كما في المنتهى ، وعن التحرير </w:t>
      </w:r>
      <w:r>
        <w:rPr>
          <w:rStyle w:val="FootnoteAnchor"/>
          <w:rtl w:val="true"/>
        </w:rPr>
        <w:footnoteReference w:id="2557"/>
      </w:r>
      <w:r>
        <w:rPr>
          <w:rFonts w:ascii="Amiri" w:hAnsi="Amiri" w:eastAsia="Amiri" w:cs="Amiri"/>
          <w:color w:val="111111"/>
          <w:sz w:val="28"/>
          <w:sz w:val="28"/>
          <w:szCs w:val="28"/>
          <w:rtl w:val="true"/>
          <w:lang w:bidi="ar-SA"/>
        </w:rPr>
        <w:t>، وبعض آخر ، وإن ظنّ ذلك ، إلحاقا لها بالجنب ، مع أن في التخصيص فيه كلاما قد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عدم اتّجاه القول بعدم الكراهة مطلقا كما في المدارك </w:t>
      </w:r>
      <w:r>
        <w:rPr>
          <w:rStyle w:val="FootnoteAnchor"/>
          <w:rtl w:val="true"/>
        </w:rPr>
        <w:footnoteReference w:id="2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ويكره لها أيضا حمل المصحف مع العلاقة وبدونها ، ولمس هامشه وبين سطوره ، لما مرّ في بحث الجنب </w:t>
      </w:r>
      <w:r>
        <w:rPr>
          <w:rStyle w:val="FootnoteAnchor"/>
          <w:rtl w:val="true"/>
        </w:rPr>
        <w:footnoteReference w:id="2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والخضاب اتّفاقا كما صرّح به جماعة </w:t>
      </w:r>
      <w:r>
        <w:rPr>
          <w:rStyle w:val="FootnoteAnchor"/>
          <w:rtl w:val="true"/>
        </w:rPr>
        <w:footnoteReference w:id="2560"/>
      </w:r>
      <w:r>
        <w:rPr>
          <w:rFonts w:ascii="Amiri" w:hAnsi="Amiri" w:eastAsia="Amiri" w:cs="Amiri"/>
          <w:color w:val="111111"/>
          <w:sz w:val="28"/>
          <w:sz w:val="28"/>
          <w:szCs w:val="28"/>
          <w:rtl w:val="true"/>
          <w:lang w:bidi="ar-SA"/>
        </w:rPr>
        <w:t>، وهو الحجة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المستفيضة </w:t>
      </w:r>
      <w:r>
        <w:rPr>
          <w:rStyle w:val="FootnoteAnchor"/>
          <w:rtl w:val="true"/>
        </w:rPr>
        <w:footnoteReference w:id="2561"/>
      </w:r>
      <w:r>
        <w:rPr>
          <w:rFonts w:ascii="Amiri" w:hAnsi="Amiri" w:eastAsia="Amiri" w:cs="Amiri"/>
          <w:color w:val="111111"/>
          <w:sz w:val="28"/>
          <w:sz w:val="28"/>
          <w:szCs w:val="28"/>
          <w:rtl w:val="true"/>
          <w:lang w:bidi="ar-SA"/>
        </w:rPr>
        <w:t>الكاشفة عن مرجوحيته دون تحريمه ، لعدم اشتمالها على ما يفيده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بإزائها مستفيضة أخرى دالّة على نفي البأس عنه وجوازه التي هي كالقرينة على إرادة الكراهة من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الأصل والإجماع المستقلّين في نفي الحرمة لو تعارضتا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تضرّ فتوى الصدوق بأنّه لا يجوز </w:t>
      </w:r>
      <w:r>
        <w:rPr>
          <w:rStyle w:val="FootnoteAnchor"/>
          <w:rtl w:val="true"/>
        </w:rPr>
        <w:footnoteReference w:id="2562"/>
      </w:r>
      <w:r>
        <w:rPr>
          <w:rFonts w:ascii="Amiri" w:hAnsi="Amiri" w:eastAsia="Amiri" w:cs="Amiri"/>
          <w:color w:val="111111"/>
          <w:sz w:val="28"/>
          <w:sz w:val="28"/>
          <w:szCs w:val="28"/>
          <w:rtl w:val="true"/>
          <w:lang w:bidi="ar-SA"/>
        </w:rPr>
        <w:t>، في ثبوت الإجماع ، مع أنّ استعماله في كلامه في شدة الكراهة كثير</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اختصاص الكراهة بما يتعارف من المخضوب وما يختضب به ، لانصراف المطلق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كراهة في خضاب غير اليد والرجلين والشعور ، وفاقا للمفيد </w:t>
      </w:r>
      <w:r>
        <w:rPr>
          <w:rStyle w:val="FootnoteAnchor"/>
          <w:rtl w:val="true"/>
        </w:rPr>
        <w:footnoteReference w:id="2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غير الحناء طباقا للديلمي </w:t>
      </w:r>
      <w:r>
        <w:rPr>
          <w:rStyle w:val="FootnoteAnchor"/>
          <w:rtl w:val="true"/>
        </w:rPr>
        <w:footnoteReference w:id="2564"/>
      </w:r>
      <w:r>
        <w:rPr>
          <w:rFonts w:ascii="Amiri" w:hAnsi="Amiri" w:eastAsia="Amiri" w:cs="Amiri"/>
          <w:color w:val="111111"/>
          <w:sz w:val="28"/>
          <w:sz w:val="28"/>
          <w:szCs w:val="28"/>
          <w:rtl w:val="true"/>
          <w:lang w:bidi="ar-SA"/>
        </w:rPr>
        <w:t xml:space="preserve">، وإن كان الظاهر إلحاق الوسمة به </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بالتعميم فيهما </w:t>
      </w:r>
      <w:r>
        <w:rPr>
          <w:rStyle w:val="FootnoteAnchor"/>
          <w:rtl w:val="true"/>
        </w:rPr>
        <w:footnoteReference w:id="2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توقّف جواز صومها وصحته بعد انقطاع الدم على الغسل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للأكثر ، 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لصدق الحائض عليها ، لعدم اشتراط بقاء المبدأ في صدق المشتق ، لاشتراطه في مثل ذلك كما بيّن في موضعه ، مع إمكان المعارضة لولاه بصدق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لعدم صحته من المستحاضة فمن الحائض أولى ، لكونها أغلظ حدثا منها ، لكونه قياسا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لاستصحاب ما ثبت بالحيض ، لمعارضته مع استصحاب صحته الثابتة قبل الحيض ، حيث لم يثبت المنع زائدا على حال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المسلّم عدم صحة الصوم من الحائض ، وهذه ليست بحائض ، فلا يستصحب ، لتغيّر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لموثّقة أبي بصير المنجبر 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طهرت بليل من حيضها ثمَّ توانت أن تغتسل في رمضان حتى أصبحت كان عليها قضاء ذلك اليوم </w:t>
      </w:r>
      <w:r>
        <w:rPr>
          <w:rFonts w:eastAsia="Amiri" w:cs="Amiri" w:ascii="Amiri" w:hAnsi="Amiri"/>
          <w:color w:val="111111"/>
          <w:sz w:val="28"/>
          <w:szCs w:val="28"/>
          <w:rtl w:val="true"/>
          <w:lang w:bidi="ar-SA"/>
        </w:rPr>
        <w:t xml:space="preserve">» </w:t>
      </w:r>
      <w:r>
        <w:rPr>
          <w:rStyle w:val="FootnoteAnchor"/>
          <w:rtl w:val="true"/>
        </w:rPr>
        <w:footnoteReference w:id="2566"/>
      </w:r>
      <w:r>
        <w:rPr>
          <w:rFonts w:ascii="Amiri" w:hAnsi="Amiri" w:eastAsia="Amiri" w:cs="Amiri"/>
          <w:color w:val="111111"/>
          <w:sz w:val="28"/>
          <w:sz w:val="28"/>
          <w:szCs w:val="28"/>
          <w:rtl w:val="true"/>
          <w:lang w:bidi="ar-SA"/>
        </w:rPr>
        <w:t>ويتعدّى إلى غير رمضان بعدم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عن العماني </w:t>
      </w:r>
      <w:r>
        <w:rPr>
          <w:rStyle w:val="FootnoteAnchor"/>
          <w:rtl w:val="true"/>
        </w:rPr>
        <w:footnoteReference w:id="2567"/>
      </w:r>
      <w:r>
        <w:rPr>
          <w:rFonts w:ascii="Amiri" w:hAnsi="Amiri" w:eastAsia="Amiri" w:cs="Amiri"/>
          <w:color w:val="111111"/>
          <w:sz w:val="28"/>
          <w:sz w:val="28"/>
          <w:szCs w:val="28"/>
          <w:rtl w:val="true"/>
          <w:lang w:bidi="ar-SA"/>
        </w:rPr>
        <w:t xml:space="preserve">، ونهاية الإحكام </w:t>
      </w:r>
      <w:r>
        <w:rPr>
          <w:rStyle w:val="FootnoteAnchor"/>
          <w:rtl w:val="true"/>
        </w:rPr>
        <w:footnoteReference w:id="2568"/>
      </w:r>
      <w:r>
        <w:rPr>
          <w:rFonts w:ascii="Amiri" w:hAnsi="Amiri" w:eastAsia="Amiri" w:cs="Amiri"/>
          <w:color w:val="111111"/>
          <w:sz w:val="28"/>
          <w:sz w:val="28"/>
          <w:szCs w:val="28"/>
          <w:rtl w:val="true"/>
          <w:lang w:bidi="ar-SA"/>
        </w:rPr>
        <w:t xml:space="preserve">، واستقواه في المدارك </w:t>
      </w:r>
      <w:r>
        <w:rPr>
          <w:rStyle w:val="FootnoteAnchor"/>
          <w:rtl w:val="true"/>
        </w:rPr>
        <w:footnoteReference w:id="2569"/>
      </w:r>
      <w:r>
        <w:rPr>
          <w:rFonts w:ascii="Amiri" w:hAnsi="Amiri" w:eastAsia="Amiri" w:cs="Amiri"/>
          <w:color w:val="111111"/>
          <w:sz w:val="28"/>
          <w:sz w:val="28"/>
          <w:szCs w:val="28"/>
          <w:rtl w:val="true"/>
          <w:lang w:bidi="ar-SA"/>
        </w:rPr>
        <w:t xml:space="preserve">، وتردّد في المعتبر </w:t>
      </w:r>
      <w:r>
        <w:rPr>
          <w:rStyle w:val="FootnoteAnchor"/>
          <w:rtl w:val="true"/>
        </w:rPr>
        <w:footnoteReference w:id="2570"/>
      </w:r>
      <w:r>
        <w:rPr>
          <w:rFonts w:ascii="Amiri" w:hAnsi="Amiri" w:eastAsia="Amiri" w:cs="Amiri"/>
          <w:color w:val="111111"/>
          <w:sz w:val="28"/>
          <w:sz w:val="28"/>
          <w:szCs w:val="28"/>
          <w:rtl w:val="true"/>
          <w:lang w:bidi="ar-SA"/>
        </w:rPr>
        <w:t>، للأصل ، وعموم أوامر الصوم ، وضعف الرواية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وجوابه ظاهر مما مرّ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وهل تجب الكفّارة بالترك أم لا؟ يجي‌ء تحقيقه في بحث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المعتبر ، والمنتهى ، والسرائر ، والتحرير </w:t>
      </w:r>
      <w:r>
        <w:rPr>
          <w:rStyle w:val="FootnoteAnchor"/>
          <w:rtl w:val="true"/>
        </w:rPr>
        <w:footnoteReference w:id="2571"/>
      </w:r>
      <w:r>
        <w:rPr>
          <w:rFonts w:ascii="Amiri" w:hAnsi="Amiri" w:eastAsia="Amiri" w:cs="Amiri"/>
          <w:color w:val="111111"/>
          <w:sz w:val="28"/>
          <w:sz w:val="28"/>
          <w:szCs w:val="28"/>
          <w:rtl w:val="true"/>
          <w:lang w:bidi="ar-SA"/>
        </w:rPr>
        <w:t>، واللوامع بجواز الأغسال المسنونة التي لا ترفع الحدث عن الحائض واستحبابها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عملا بعمومات استحبابها الخالية عن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حسنة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الحائض تتطهّر يوم الجمعة وتذكر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الطهر فلا </w:t>
      </w:r>
      <w:r>
        <w:rPr>
          <w:rFonts w:eastAsia="Amiri" w:cs="Amiri" w:ascii="Amiri" w:hAnsi="Amiri"/>
          <w:color w:val="111111"/>
          <w:sz w:val="28"/>
          <w:szCs w:val="28"/>
          <w:rtl w:val="true"/>
          <w:lang w:bidi="ar-SA"/>
        </w:rPr>
        <w:t xml:space="preserve">» </w:t>
      </w:r>
      <w:r>
        <w:rPr>
          <w:rStyle w:val="FootnoteAnchor"/>
          <w:rtl w:val="true"/>
        </w:rPr>
        <w:footnoteReference w:id="2572"/>
      </w:r>
      <w:r>
        <w:rPr>
          <w:rFonts w:ascii="Amiri" w:hAnsi="Amiri" w:eastAsia="Amiri" w:cs="Amiri"/>
          <w:color w:val="111111"/>
          <w:sz w:val="28"/>
          <w:sz w:val="28"/>
          <w:szCs w:val="28"/>
          <w:rtl w:val="true"/>
          <w:lang w:bidi="ar-SA"/>
        </w:rPr>
        <w:t>الحديث ، فلا تدلّ على عدم صحة غسل الجمعة عنها ، إذ لا دليل على كون الطهر غسل الجمعة ، ولو دلّ لما دلّ على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عدم وجوب غسل الجنابة عليها لو كانت جنبا ، للإجماع ، والنصوص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أنها لو اغتسلت للجنابة حال الحيض لم يرتفع حدثها ، وفي المعتبر عليه الإجماع </w:t>
      </w:r>
      <w:r>
        <w:rPr>
          <w:rStyle w:val="FootnoteAnchor"/>
          <w:rtl w:val="true"/>
        </w:rPr>
        <w:footnoteReference w:id="2573"/>
      </w:r>
      <w:r>
        <w:rPr>
          <w:rFonts w:ascii="Amiri" w:hAnsi="Amiri" w:eastAsia="Amiri" w:cs="Amiri"/>
          <w:color w:val="111111"/>
          <w:sz w:val="28"/>
          <w:sz w:val="28"/>
          <w:szCs w:val="28"/>
          <w:rtl w:val="true"/>
          <w:lang w:bidi="ar-SA"/>
        </w:rPr>
        <w:t>، وتؤيّده الحسنة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لها غسل الجنابة حينئذ ويكفي عنها لو اغتسلت ، فلا يجب عليها غسل الجنابة ثانيا ، ولا تتعلّق بها الأحكام المختصة بالجنب ، أم لا؟</w:t>
      </w:r>
    </w:p>
    <w:p>
      <w:pPr>
        <w:pStyle w:val="BookText"/>
        <w:rPr/>
      </w:pPr>
      <w:r>
        <w:rPr>
          <w:rFonts w:ascii="Amiri" w:hAnsi="Amiri" w:eastAsia="Amiri" w:cs="Amiri"/>
          <w:color w:val="111111"/>
          <w:sz w:val="28"/>
          <w:sz w:val="28"/>
          <w:szCs w:val="28"/>
          <w:rtl w:val="true"/>
          <w:lang w:bidi="ar-SA"/>
        </w:rPr>
        <w:t xml:space="preserve">صرّح في المنتهى والتذكرة بعدم الجواز </w:t>
      </w:r>
      <w:r>
        <w:rPr>
          <w:rStyle w:val="FootnoteAnchor"/>
          <w:rtl w:val="true"/>
        </w:rPr>
        <w:footnoteReference w:id="2574"/>
      </w:r>
      <w:r>
        <w:rPr>
          <w:rFonts w:ascii="Amiri" w:hAnsi="Amiri" w:eastAsia="Amiri" w:cs="Amiri"/>
          <w:color w:val="111111"/>
          <w:sz w:val="28"/>
          <w:sz w:val="28"/>
          <w:szCs w:val="28"/>
          <w:rtl w:val="true"/>
          <w:lang w:bidi="ar-SA"/>
        </w:rPr>
        <w:t xml:space="preserve">، واستدلّ عليه بما دلّ على الأمر بجعل غسلهما واحدا ، كموثّقتي أبي بصير والخشاب </w:t>
      </w:r>
      <w:r>
        <w:rPr>
          <w:rStyle w:val="FootnoteAnchor"/>
          <w:rtl w:val="true"/>
        </w:rPr>
        <w:footnoteReference w:id="2575"/>
      </w:r>
      <w:r>
        <w:rPr>
          <w:rFonts w:ascii="Amiri" w:hAnsi="Amiri" w:eastAsia="Amiri" w:cs="Amiri"/>
          <w:color w:val="111111"/>
          <w:sz w:val="28"/>
          <w:sz w:val="28"/>
          <w:szCs w:val="28"/>
          <w:rtl w:val="true"/>
          <w:lang w:bidi="ar-SA"/>
        </w:rPr>
        <w:t xml:space="preserve">، وبما صرّح بأنها لا تغتسل كصحيحة الكاهلي </w:t>
      </w:r>
      <w:r>
        <w:rPr>
          <w:rStyle w:val="FootnoteAnchor"/>
          <w:rtl w:val="true"/>
        </w:rPr>
        <w:footnoteReference w:id="2576"/>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الجميع خال عن الأمر والنهي الدالّين على الوجوب والحرمة ، بل غايتهما الإخبار المفيد للجواز أو 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جعلهما واحدا </w:t>
      </w:r>
    </w:p>
    <w:p>
      <w:pPr>
        <w:pStyle w:val="BookText"/>
        <w:rPr/>
      </w:pPr>
      <w:r>
        <w:rPr>
          <w:rFonts w:ascii="Amiri" w:hAnsi="Amiri" w:eastAsia="Amiri" w:cs="Amiri"/>
          <w:color w:val="111111"/>
          <w:sz w:val="28"/>
          <w:sz w:val="28"/>
          <w:szCs w:val="28"/>
          <w:rtl w:val="true"/>
          <w:lang w:bidi="ar-SA"/>
        </w:rPr>
        <w:t>ليس بواجب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في 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يواقعها زوجها ثمَّ تحيض قبل أن تغتسل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شاءت أن تغتسل فعلت ، وإن لم تفعل ليس عليها شي‌ء ، فإذا طهرت غسلت غسلا واحدا للحيض والجنابة </w:t>
      </w:r>
      <w:r>
        <w:rPr>
          <w:rFonts w:eastAsia="Amiri" w:cs="Amiri" w:ascii="Amiri" w:hAnsi="Amiri"/>
          <w:color w:val="111111"/>
          <w:sz w:val="28"/>
          <w:szCs w:val="28"/>
          <w:rtl w:val="true"/>
          <w:lang w:bidi="ar-SA"/>
        </w:rPr>
        <w:t xml:space="preserve">» </w:t>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كلام الشيخ في كتابي الحديث أنه يلوح بالجواز </w:t>
      </w:r>
      <w:r>
        <w:rPr>
          <w:rStyle w:val="FootnoteAnchor"/>
          <w:rtl w:val="true"/>
        </w:rPr>
        <w:footnoteReference w:id="2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به ليس ببعيد ، والإجماع على خلافه غير معلوم ، كيف ولم يصرّح بعدم الجواز إلاّ شاذ من المتأخّرين </w:t>
      </w:r>
      <w:r>
        <w:rPr>
          <w:rStyle w:val="FootnoteAnchor"/>
          <w:rtl w:val="true"/>
        </w:rPr>
        <w:footnoteReference w:id="2579"/>
      </w:r>
      <w:r>
        <w:rPr>
          <w:rFonts w:ascii="Amiri" w:hAnsi="Amiri" w:eastAsia="Amiri" w:cs="Amiri"/>
          <w:color w:val="111111"/>
          <w:sz w:val="28"/>
          <w:sz w:val="28"/>
          <w:szCs w:val="28"/>
          <w:rtl w:val="true"/>
          <w:lang w:bidi="ar-SA"/>
        </w:rPr>
        <w:t>، وأمر الاحتياط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طرأ الحيض بعد دخول الوقت ، فإن مضى منه ما تمكّنت فيه من فعل صلاة تامة ولو مخفّفة مشتملة على الواجبات خاصة ولم تصلّها ، وجب عليها قضاؤها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 الأجلّة </w:t>
      </w:r>
      <w:r>
        <w:rPr>
          <w:rStyle w:val="FootnoteAnchor"/>
          <w:rtl w:val="true"/>
        </w:rPr>
        <w:footnoteReference w:id="2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إذا دخل وقت الصلاة وهي طاهرة فأخّرت الصلاة حتى حاضت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تقضي إذا طهرت </w:t>
      </w:r>
      <w:r>
        <w:rPr>
          <w:rFonts w:eastAsia="Amiri" w:cs="Amiri" w:ascii="Amiri" w:hAnsi="Amiri"/>
          <w:color w:val="111111"/>
          <w:sz w:val="28"/>
          <w:szCs w:val="28"/>
          <w:rtl w:val="true"/>
          <w:lang w:bidi="ar-SA"/>
        </w:rPr>
        <w:t xml:space="preserve">» </w:t>
      </w:r>
      <w:r>
        <w:rPr>
          <w:rStyle w:val="FootnoteAnchor"/>
          <w:rtl w:val="true"/>
        </w:rPr>
        <w:footnoteReference w:id="2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ومضمرة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تطمث بعد ما تزول الشمس ولم تصلّ الظهر ، هل عليها قضاء تلك الصلاة؟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582"/>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الفضل بن يونس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رأت المرأة الدم بعد ما يمضي من زوال الشمس أربعة أقدام فلتمسك عن الصلاة ، فإذا طهرت من الدم فلتقض </w:t>
      </w:r>
    </w:p>
    <w:p>
      <w:pPr>
        <w:pStyle w:val="BookText"/>
        <w:rPr/>
      </w:pPr>
      <w:r>
        <w:rPr>
          <w:rFonts w:ascii="Amiri" w:hAnsi="Amiri" w:eastAsia="Amiri" w:cs="Amiri"/>
          <w:color w:val="111111"/>
          <w:sz w:val="28"/>
          <w:sz w:val="28"/>
          <w:szCs w:val="28"/>
          <w:rtl w:val="true"/>
          <w:lang w:bidi="ar-SA"/>
        </w:rPr>
        <w:t xml:space="preserve">صلاة الظهر ، لأنّ وقت الظهر دخل عليها وهي طاهر ، وخرج عنها وقت الظهر وهي طاهر ، فضيّعت صلاة الظهر ، فوجب عليها قضاؤها </w:t>
      </w:r>
      <w:r>
        <w:rPr>
          <w:rFonts w:eastAsia="Amiri" w:cs="Amiri" w:ascii="Amiri" w:hAnsi="Amiri"/>
          <w:color w:val="111111"/>
          <w:sz w:val="28"/>
          <w:szCs w:val="28"/>
          <w:rtl w:val="true"/>
          <w:lang w:bidi="ar-SA"/>
        </w:rPr>
        <w:t xml:space="preserve">» </w:t>
      </w:r>
      <w:r>
        <w:rPr>
          <w:rStyle w:val="FootnoteAnchor"/>
          <w:rtl w:val="true"/>
        </w:rPr>
        <w:footnoteReference w:id="2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والتعليل فيها بخروج الوقت أيضا لا يفيد الاختصاص بعد الإطلاقات المتقدّمة ، مع أنه مذهب أبي حنيفة </w:t>
      </w:r>
      <w:r>
        <w:rPr>
          <w:rStyle w:val="FootnoteAnchor"/>
          <w:rtl w:val="true"/>
        </w:rPr>
        <w:footnoteReference w:id="2584"/>
      </w:r>
      <w:r>
        <w:rPr>
          <w:rFonts w:ascii="Amiri" w:hAnsi="Amiri" w:eastAsia="Amiri" w:cs="Amiri"/>
          <w:color w:val="111111"/>
          <w:sz w:val="28"/>
          <w:sz w:val="28"/>
          <w:szCs w:val="28"/>
          <w:rtl w:val="true"/>
          <w:lang w:bidi="ar-SA"/>
        </w:rPr>
        <w:t>، فالتقية فيها 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وجوب القضاء إطلاق خبر أبي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تكون في صلاة الظهر وقد صلّت ركعتين ثمَّ ترى الدم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تقوم من مسجدها ولا تقضي الركعتين </w:t>
      </w:r>
      <w:r>
        <w:rPr>
          <w:rFonts w:eastAsia="Amiri" w:cs="Amiri" w:ascii="Amiri" w:hAnsi="Amiri"/>
          <w:color w:val="111111"/>
          <w:sz w:val="28"/>
          <w:szCs w:val="28"/>
          <w:rtl w:val="true"/>
          <w:lang w:bidi="ar-SA"/>
        </w:rPr>
        <w:t xml:space="preserve">» </w:t>
      </w:r>
      <w:r>
        <w:rPr>
          <w:rStyle w:val="FootnoteAnchor"/>
          <w:rtl w:val="true"/>
        </w:rPr>
        <w:footnoteReference w:id="2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صلّت من الظهر ركعتين ثمَّ إنها طمثت وهي جالسة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تقوم من مسجدها ولا تقضي تلك الركعتين </w:t>
      </w:r>
      <w:r>
        <w:rPr>
          <w:rFonts w:eastAsia="Amiri" w:cs="Amiri" w:ascii="Amiri" w:hAnsi="Amiri"/>
          <w:color w:val="111111"/>
          <w:sz w:val="28"/>
          <w:szCs w:val="28"/>
          <w:rtl w:val="true"/>
          <w:lang w:bidi="ar-SA"/>
        </w:rPr>
        <w:t xml:space="preserve">» </w:t>
      </w:r>
      <w:r>
        <w:rPr>
          <w:rStyle w:val="FootnoteAnchor"/>
          <w:rtl w:val="true"/>
        </w:rPr>
        <w:footnoteReference w:id="2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دلّتا بضميمة الإجماع المركّب على عدم القضاء مطلقا وإن كانت متمكنة من إتمام الصلاة طاهرا ، لأنهما مقيدتان بما إذا لم تكن كذلك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التعارض فغايته التساقط ، وتبقى عمومات موجبات قضاء الفوائت خالية عن المعارض</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تتعارضان فيما إذا لم تتمكن من إتمام الصلاة في الوقت وتمكّنت من نصفها أو الأقلّ ، فمقتضى الإطلاقات الأولى القضاء ، ومقتضى الثانية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تقديم الثانية ، لأخصّيتها بل موافقتها ظاهر الإجماع ، وإن أطلق في النهاية ، والوسيلة </w:t>
      </w:r>
      <w:r>
        <w:rPr>
          <w:rStyle w:val="FootnoteAnchor"/>
          <w:rtl w:val="true"/>
        </w:rPr>
        <w:footnoteReference w:id="2587"/>
      </w:r>
      <w:r>
        <w:rPr>
          <w:rFonts w:ascii="IRNazanin" w:hAnsi="IRNazanin" w:eastAsia="IRNazanin"/>
          <w:color w:val="111111"/>
          <w:sz w:val="28"/>
          <w:sz w:val="28"/>
          <w:szCs w:val="28"/>
          <w:rtl w:val="true"/>
          <w:lang w:bidi="fa-IR"/>
        </w:rPr>
        <w:t>وجوب القضاء إذا دخل الوقت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واحتمال إرادة مطلق الفعل من القضاء دون مقابل الأداء في الثانية ، حيث لم تتحقّق فيه الحقيقة الشرعية في المعنى الأخير ، فيمكن أن يكون المراد عدم فعل الركعتين الباقيتين حينئذ ، فلا يفيد في نفي القضاء في النصف فما دونه ، مردود ببعده في خبر أبي الورد ، لمكان تعريف الركعتين بعد ذكرهما بالتنكير ، فإنّ الظاهر المتبادر حينئذ هو الركعتان الأوليان ، ولا شك أنّ القضاء فيهما بالمعنى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ويؤكّده كونه بذلك المعنى قطعا فيما بعده في الركعة الأخيرة من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وكذلك في الموثّقة ، لمكان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أنه إشارة إلى الركعتين اللتين فعلهما وعدم قضائهما بالمعنى المصطلح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فلا شك في عدم وجوب القضاء مع عدم التمكّن من أكثر الصلاة ، بل وكذلك مع التمكّن من الأكثر ما لم تتمكّن من الإتمام على الأشهر ، بل عن الخلاف الإجماع عليه ، للأصل ، وتبعية وجوب القضاء لوجوب الأداء ، كما استدلّ به بعضهم </w:t>
      </w:r>
      <w:r>
        <w:rPr>
          <w:rStyle w:val="FootnoteAnchor"/>
          <w:rtl w:val="true"/>
        </w:rPr>
        <w:footnoteReference w:id="2588"/>
      </w:r>
      <w:r>
        <w:rPr>
          <w:rFonts w:ascii="Amiri" w:hAnsi="Amiri" w:eastAsia="Amiri" w:cs="Amiri"/>
          <w:color w:val="111111"/>
          <w:sz w:val="28"/>
          <w:sz w:val="28"/>
          <w:szCs w:val="28"/>
          <w:rtl w:val="true"/>
          <w:lang w:bidi="ar-SA"/>
        </w:rPr>
        <w:t xml:space="preserve">، وتوقّف القضاء على أمر جديد ، كما استدلّ به آخر </w:t>
      </w:r>
      <w:r>
        <w:rPr>
          <w:rStyle w:val="FootnoteAnchor"/>
          <w:rtl w:val="true"/>
        </w:rPr>
        <w:footnoteReference w:id="2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المضمرة </w:t>
      </w:r>
      <w:r>
        <w:rPr>
          <w:rStyle w:val="FootnoteAnchor"/>
          <w:rtl w:val="true"/>
        </w:rPr>
        <w:footnoteReference w:id="2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الأمر الجديد في المضمرة ، ومقتضاها وجوب القضاء مطلقا ، خرج ما لم تتمكّن من الأكثر بما مرّ ، فيبقى الباقي ، كما هو المحكي عن السيد </w:t>
      </w:r>
      <w:r>
        <w:rPr>
          <w:rStyle w:val="FootnoteAnchor"/>
          <w:rtl w:val="true"/>
        </w:rPr>
        <w:footnoteReference w:id="2591"/>
      </w:r>
      <w:r>
        <w:rPr>
          <w:rFonts w:ascii="Amiri" w:hAnsi="Amiri" w:eastAsia="Amiri" w:cs="Amiri"/>
          <w:color w:val="111111"/>
          <w:sz w:val="28"/>
          <w:sz w:val="28"/>
          <w:szCs w:val="28"/>
          <w:rtl w:val="true"/>
          <w:lang w:bidi="ar-SA"/>
        </w:rPr>
        <w:t xml:space="preserve">، والإسكافي </w:t>
      </w:r>
      <w:r>
        <w:rPr>
          <w:rStyle w:val="FootnoteAnchor"/>
          <w:rtl w:val="true"/>
        </w:rPr>
        <w:footnoteReference w:id="2592"/>
      </w:r>
      <w:r>
        <w:rPr>
          <w:rFonts w:ascii="Amiri" w:hAnsi="Amiri" w:eastAsia="Amiri" w:cs="Amiri"/>
          <w:color w:val="111111"/>
          <w:sz w:val="28"/>
          <w:sz w:val="28"/>
          <w:szCs w:val="28"/>
          <w:rtl w:val="true"/>
          <w:lang w:bidi="ar-SA"/>
        </w:rPr>
        <w:t xml:space="preserve">، وفي المدارك </w:t>
      </w:r>
      <w:r>
        <w:rPr>
          <w:rStyle w:val="FootnoteAnchor"/>
          <w:rtl w:val="true"/>
        </w:rPr>
        <w:footnoteReference w:id="2593"/>
      </w:r>
      <w:r>
        <w:rPr>
          <w:rFonts w:ascii="Amiri" w:hAnsi="Amiri" w:eastAsia="Amiri" w:cs="Amiri"/>
          <w:color w:val="111111"/>
          <w:sz w:val="28"/>
          <w:sz w:val="28"/>
          <w:szCs w:val="28"/>
          <w:rtl w:val="true"/>
          <w:lang w:bidi="ar-SA"/>
        </w:rPr>
        <w:t>عن الصدوق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الأحوط بل الأقوى</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تعارضها عمومات سقوط الصلاة عن الحائض ، لأعمّيتها ، مع أنّ في شمولها للمورد تأمّلا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يعارضها إطلاق خبر أبي الورد ، وموثّقة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يفيد ، لوجوب الرجوع إلى موجبات القضاء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يؤيّده خبر أبي الورد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رأت الدم وهي في صلاة المغرب وقد صلّت ركعتين فلتقم من مسجدها ، فإذا طهرت فلتقض الركعة التي فاتتها من المغرب </w:t>
      </w:r>
      <w:r>
        <w:rPr>
          <w:rFonts w:eastAsia="Amiri" w:cs="Amiri" w:ascii="Amiri" w:hAnsi="Amiri"/>
          <w:color w:val="111111"/>
          <w:sz w:val="28"/>
          <w:szCs w:val="28"/>
          <w:rtl w:val="true"/>
          <w:lang w:bidi="ar-SA"/>
        </w:rPr>
        <w:t xml:space="preserve">» </w:t>
      </w:r>
      <w:r>
        <w:rPr>
          <w:rStyle w:val="FootnoteAnchor"/>
          <w:rtl w:val="true"/>
        </w:rPr>
        <w:footnoteReference w:id="2594"/>
      </w:r>
      <w:r>
        <w:rPr>
          <w:rFonts w:ascii="Amiri" w:hAnsi="Amiri" w:eastAsia="Amiri" w:cs="Amiri"/>
          <w:color w:val="111111"/>
          <w:sz w:val="28"/>
          <w:sz w:val="28"/>
          <w:szCs w:val="28"/>
          <w:rtl w:val="true"/>
          <w:lang w:bidi="ar-SA"/>
        </w:rPr>
        <w:t>يحمل قضاء الركعة على قضاء الصلاة مجازا ، أو المراد بالركعة التي فاتتها مجموع الركعات حيث إنها فاتت بفوات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القول بوجوب القضاء مع عدم مضيّ زمان الطهارة أيضا ، لإمكان التقديم على الوقت ، كما احتمله الفاضل في النهاية </w:t>
      </w:r>
      <w:r>
        <w:rPr>
          <w:rStyle w:val="FootnoteAnchor"/>
          <w:rtl w:val="true"/>
        </w:rPr>
        <w:footnoteReference w:id="2595"/>
      </w:r>
      <w:r>
        <w:rPr>
          <w:rFonts w:ascii="Amiri" w:hAnsi="Amiri" w:eastAsia="Amiri" w:cs="Amiri"/>
          <w:color w:val="111111"/>
          <w:sz w:val="28"/>
          <w:sz w:val="28"/>
          <w:szCs w:val="28"/>
          <w:rtl w:val="true"/>
          <w:lang w:bidi="ar-SA"/>
        </w:rPr>
        <w:t>، وإن خالف فيه الأكثر إذا لم يأت بها قبل الوقت ، بناء على عدم جواز الأمر بالصلاة مع عدم مضيّ زمان الطهارة ، لاستلزامه التكليف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التابعية بين الأداء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الإتيان بها قبل الوقت فعدم الاشتراط أظهر ، لإمكان التكليف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طهرت في آخر الوقت بقدر الصلاتين ، وجبتا أداء ، وبقدر إحداهما وجبت كذلك ، وكذا يجب فعل ما يدرك بقدر ركعة منها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تفصيل المسألة في باب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وطؤها بالإجماع والكتاب والسنّة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الدينية </w:t>
      </w:r>
      <w:r>
        <w:rPr>
          <w:rStyle w:val="FootnoteAnchor"/>
          <w:rtl w:val="true"/>
        </w:rPr>
        <w:footnoteReference w:id="2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حكم بكفر مستحلّه لو لم يدّع شبهة 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جماعة </w:t>
      </w:r>
      <w:r>
        <w:rPr>
          <w:rStyle w:val="FootnoteAnchor"/>
          <w:rtl w:val="true"/>
        </w:rPr>
        <w:footnoteReference w:id="2597"/>
      </w:r>
      <w:r>
        <w:rPr>
          <w:rFonts w:ascii="Amiri" w:hAnsi="Amiri" w:eastAsia="Amiri" w:cs="Amiri"/>
          <w:color w:val="111111"/>
          <w:sz w:val="28"/>
          <w:sz w:val="28"/>
          <w:szCs w:val="28"/>
          <w:rtl w:val="true"/>
          <w:lang w:bidi="ar-SA"/>
        </w:rPr>
        <w:t>بتفسيق الواطئ مع عدم الاستحلال</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على القول بتخصيص الكبائر بما أوعد اللّه سبحانه عليه النار </w:t>
      </w:r>
    </w:p>
    <w:p>
      <w:pPr>
        <w:pStyle w:val="BookText"/>
        <w:rPr/>
      </w:pPr>
      <w:r>
        <w:rPr>
          <w:rFonts w:ascii="Amiri" w:hAnsi="Amiri" w:eastAsia="Amiri" w:cs="Amiri"/>
          <w:color w:val="111111"/>
          <w:sz w:val="28"/>
          <w:sz w:val="28"/>
          <w:szCs w:val="28"/>
          <w:rtl w:val="true"/>
          <w:lang w:bidi="ar-SA"/>
        </w:rPr>
        <w:t>صريحا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تعزيره بما يراه الحاكم ، أو بثمن حد الزّاني ، أو ربعه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للأكثر ، لإناطة التعزيرات بنظره في غير المنصوص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عدم النص ، مع أنّ لي في ثبوت التعزير في كلّ غير منصوص نظرا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 لولد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وصرّحوا بأنّه لا مأخذ له </w:t>
      </w:r>
      <w:r>
        <w:rPr>
          <w:rStyle w:val="FootnoteAnchor"/>
          <w:rtl w:val="true"/>
        </w:rPr>
        <w:footnoteReference w:id="2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وثالثها لبعض الثالثة </w:t>
      </w:r>
      <w:r>
        <w:rPr>
          <w:rStyle w:val="FootnoteAnchor"/>
          <w:rtl w:val="true"/>
        </w:rPr>
        <w:footnoteReference w:id="2599"/>
      </w:r>
      <w:r>
        <w:rPr>
          <w:rFonts w:ascii="Amiri" w:hAnsi="Amiri" w:eastAsia="Amiri" w:cs="Amiri"/>
          <w:color w:val="111111"/>
          <w:sz w:val="28"/>
          <w:sz w:val="28"/>
          <w:szCs w:val="28"/>
          <w:rtl w:val="true"/>
          <w:lang w:bidi="ar-SA"/>
        </w:rPr>
        <w:t xml:space="preserve">، كما نقله والدي العلاّمة ، ونفى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البعد ، لخبر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أتى أهله وهي حائض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يستغفر اللّه ولا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أدب؟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خمسة وعشرون سوطا ربع حد الزاني </w:t>
      </w:r>
      <w:r>
        <w:rPr>
          <w:rFonts w:eastAsia="Amiri" w:cs="Amiri" w:ascii="Amiri" w:hAnsi="Amiri"/>
          <w:color w:val="111111"/>
          <w:sz w:val="28"/>
          <w:szCs w:val="28"/>
          <w:rtl w:val="true"/>
          <w:lang w:bidi="ar-SA"/>
        </w:rPr>
        <w:t xml:space="preserve">» </w:t>
      </w:r>
      <w:r>
        <w:rPr>
          <w:rStyle w:val="FootnoteAnchor"/>
          <w:rtl w:val="true"/>
        </w:rPr>
        <w:footnoteReference w:id="2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وبمضمونه خبر ابن مسلم </w:t>
      </w:r>
      <w:r>
        <w:rPr>
          <w:rStyle w:val="FootnoteAnchor"/>
          <w:rtl w:val="true"/>
        </w:rPr>
        <w:footnoteReference w:id="2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الأظهر ،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والشذوذ المخرج عن الحجية فيهما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يعارضه المروي في تفسير القمي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أتى امرأته في الفرج في أول حيضها فعليه أن يتصدّق بدينار ، وعليه ربع حد الزاني خمسة وعشرون جلدة ، وإن أتاها في غير أول حيضها فعليه أن يتصدّق بنصف دينار ويضرب اثنتي عشرة جلدة ونصفا </w:t>
      </w:r>
      <w:r>
        <w:rPr>
          <w:rFonts w:eastAsia="Amiri" w:cs="Amiri" w:ascii="Amiri" w:hAnsi="Amiri"/>
          <w:color w:val="111111"/>
          <w:sz w:val="28"/>
          <w:szCs w:val="28"/>
          <w:rtl w:val="true"/>
          <w:lang w:bidi="ar-SA"/>
        </w:rPr>
        <w:t xml:space="preserve">» </w:t>
      </w:r>
      <w:r>
        <w:rPr>
          <w:rStyle w:val="FootnoteAnchor"/>
          <w:rtl w:val="true"/>
        </w:rPr>
        <w:footnoteReference w:id="2602"/>
      </w:r>
      <w:r>
        <w:rPr>
          <w:rFonts w:ascii="IRNazanin" w:hAnsi="IRNazanin" w:eastAsia="IRNazanin"/>
          <w:color w:val="111111"/>
          <w:sz w:val="28"/>
          <w:sz w:val="28"/>
          <w:szCs w:val="28"/>
          <w:rtl w:val="true"/>
          <w:lang w:bidi="fa-IR"/>
        </w:rPr>
        <w:t>لضعفها</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شي‌ء عليه لو جهل الحكم أو الموضوع أو نسيه ، لعمومات رفع الخطأ والنسيان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وتوقّف بعضهم في جاهل الحكم ، لعدم معذوريته إلاّ فيما استثني </w:t>
      </w:r>
      <w:r>
        <w:rPr>
          <w:rStyle w:val="FootnoteAnchor"/>
          <w:rtl w:val="true"/>
        </w:rPr>
        <w:footnoteReference w:id="2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في التحريم إذا لم يكن ساذجا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 فهو ساقط عن الجاهل كما ورد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بأيام الحيض أيام الاستظهار مطلقا على ما اخترناه من حيضيته ، دون ما بينه وبين العشرة وإن قلنا بحيضيته مع عدم التجاوز ، لأصالة الإباحة ، وعدم الانقطاع ، أي بقاء الحالة الكائنة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عورضت بأصالة عدم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الدم في كل آن متجدّد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تتساقطان وتبقى أصالة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والمناط في التحريم العلم بالحيضية شرعا ، فلا يضرّ احتماله بل ولا ظنّه ، إلاّ المستند إلى قول المرأة نفسها ، فإنه يتبع في المورد إجماعا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إشكال فيه ولا خلاف </w:t>
      </w:r>
      <w:r>
        <w:rPr>
          <w:rStyle w:val="FootnoteAnchor"/>
          <w:rtl w:val="true"/>
        </w:rPr>
        <w:footnoteReference w:id="2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بين الطائفة </w:t>
      </w:r>
      <w:r>
        <w:rPr>
          <w:rStyle w:val="FootnoteAnchor"/>
          <w:rtl w:val="true"/>
        </w:rPr>
        <w:footnoteReference w:id="2605"/>
      </w:r>
      <w:r>
        <w:rPr>
          <w:rFonts w:ascii="Amiri" w:hAnsi="Amiri" w:eastAsia="Amiri" w:cs="Amiri"/>
          <w:color w:val="111111"/>
          <w:sz w:val="28"/>
          <w:sz w:val="28"/>
          <w:szCs w:val="28"/>
          <w:rtl w:val="true"/>
          <w:lang w:bidi="ar-SA"/>
        </w:rPr>
        <w:t xml:space="preserve">، بل نفى الخلاف في القبول مع عدم التهمة الشامل لصورة عدم حصول الظن بالخلاف مطلقا ، وفي اللوامع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الحجة فيه ، مضافا إلى ظاهر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يَحِلُّ لَهُنَّ أَنْ يَكْتُمْنَ ما خَلَقَ اللّهُ فِي أَرْحامِهِنَّ </w:t>
      </w:r>
      <w:r>
        <w:rPr>
          <w:rFonts w:eastAsia="Amiri" w:cs="Amiri" w:ascii="Amiri" w:hAnsi="Amiri"/>
          <w:color w:val="111111"/>
          <w:sz w:val="28"/>
          <w:szCs w:val="28"/>
          <w:rtl w:val="true"/>
          <w:lang w:bidi="ar-SA"/>
        </w:rPr>
        <w:t xml:space="preserve">) </w:t>
      </w:r>
      <w:r>
        <w:rPr>
          <w:rStyle w:val="FootnoteAnchor"/>
          <w:rtl w:val="true"/>
        </w:rPr>
        <w:footnoteReference w:id="2606"/>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العدّة والحيض إلى النساء </w:t>
      </w:r>
      <w:r>
        <w:rPr>
          <w:rFonts w:eastAsia="Amiri" w:cs="Amiri" w:ascii="Amiri" w:hAnsi="Amiri"/>
          <w:color w:val="111111"/>
          <w:sz w:val="28"/>
          <w:szCs w:val="28"/>
          <w:rtl w:val="true"/>
          <w:lang w:bidi="ar-SA"/>
        </w:rPr>
        <w:t xml:space="preserve">» </w:t>
      </w:r>
      <w:r>
        <w:rPr>
          <w:rStyle w:val="FootnoteAnchor"/>
          <w:rtl w:val="true"/>
        </w:rPr>
        <w:footnoteReference w:id="2607"/>
      </w:r>
      <w:r>
        <w:rPr>
          <w:rFonts w:ascii="Amiri" w:hAnsi="Amiri" w:eastAsia="Amiri" w:cs="Amiri"/>
          <w:color w:val="111111"/>
          <w:sz w:val="28"/>
          <w:sz w:val="28"/>
          <w:szCs w:val="28"/>
          <w:rtl w:val="true"/>
          <w:lang w:bidi="ar-SA"/>
        </w:rPr>
        <w:t xml:space="preserve">ومثلها حسنته بزيادة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ادّعت صدّقت </w:t>
      </w:r>
      <w:r>
        <w:rPr>
          <w:rFonts w:eastAsia="Amiri" w:cs="Amiri" w:ascii="Amiri" w:hAnsi="Amiri"/>
          <w:color w:val="111111"/>
          <w:sz w:val="28"/>
          <w:szCs w:val="28"/>
          <w:rtl w:val="true"/>
          <w:lang w:bidi="ar-SA"/>
        </w:rPr>
        <w:t xml:space="preserve">» </w:t>
      </w:r>
      <w:r>
        <w:rPr>
          <w:rStyle w:val="FootnoteAnchor"/>
          <w:rtl w:val="true"/>
        </w:rPr>
        <w:footnoteReference w:id="26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عليه السلام في رواية ابن تغلب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عليك أن تصدّقها في نفسها </w:t>
      </w:r>
      <w:r>
        <w:rPr>
          <w:rFonts w:eastAsia="Amiri" w:cs="Amiri" w:ascii="Amiri" w:hAnsi="Amiri"/>
          <w:color w:val="111111"/>
          <w:sz w:val="28"/>
          <w:szCs w:val="28"/>
          <w:rtl w:val="true"/>
          <w:lang w:bidi="ar-SA"/>
        </w:rPr>
        <w:t xml:space="preserve">» </w:t>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ولتعذّر إقامة البيّنة عليه ، إذ غايته مشاهدة الدم وهو غير كاف في الحكم بالتحيّض ، فيقبل قولها فيه ، لعموم العلّية المستفادة من رواية الأشعري بعد حكمه عليه السلام بأنه ما عليه شي‌ء في قبول قولها في الزوج ،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 لو سألها البيّنة كان يجد من يشهد أن ليس لها زوج؟ </w:t>
      </w:r>
      <w:r>
        <w:rPr>
          <w:rFonts w:eastAsia="Amiri" w:cs="Amiri" w:ascii="Amiri" w:hAnsi="Amiri"/>
          <w:color w:val="111111"/>
          <w:sz w:val="28"/>
          <w:szCs w:val="28"/>
          <w:rtl w:val="true"/>
          <w:lang w:bidi="ar-SA"/>
        </w:rPr>
        <w:t xml:space="preserve">» </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تنافيها رواية السكوني ومرسلة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ادّعت أنّها حاضت في شهر واحد ثلاث 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كلّفوا نسوة من بطانتها أنّ حيضها كان فيما مضى على ما ادّعت ، فإن شهدت صدقت ، وإلاّ فهي كاذبة </w:t>
      </w:r>
      <w:r>
        <w:rPr>
          <w:rFonts w:eastAsia="Amiri" w:cs="Amiri" w:ascii="Amiri" w:hAnsi="Amiri"/>
          <w:color w:val="111111"/>
          <w:sz w:val="28"/>
          <w:szCs w:val="28"/>
          <w:rtl w:val="true"/>
          <w:lang w:bidi="ar-SA"/>
        </w:rPr>
        <w:t xml:space="preserve">» </w:t>
      </w:r>
      <w:r>
        <w:rPr>
          <w:rStyle w:val="FootnoteAnchor"/>
          <w:rtl w:val="true"/>
        </w:rPr>
        <w:footnoteReference w:id="2611"/>
      </w:r>
      <w:r>
        <w:rPr>
          <w:rFonts w:ascii="Amiri" w:hAnsi="Amiri" w:eastAsia="Amiri" w:cs="Amiri"/>
          <w:color w:val="111111"/>
          <w:sz w:val="28"/>
          <w:sz w:val="28"/>
          <w:szCs w:val="28"/>
          <w:rtl w:val="true"/>
          <w:lang w:bidi="ar-SA"/>
        </w:rPr>
        <w:t>لاحتمال اختصاصها بموردها ، حيث إنّ الدعوى فيها مخالفة للعادة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صورة التهمة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وجوب قبولها مع احتمال صدقها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مع ظن الكذب أم لا؟</w:t>
      </w:r>
    </w:p>
    <w:p>
      <w:pPr>
        <w:pStyle w:val="BookText"/>
        <w:rPr/>
      </w:pPr>
      <w:r>
        <w:rPr>
          <w:rFonts w:ascii="Amiri" w:hAnsi="Amiri" w:eastAsia="Amiri" w:cs="Amiri"/>
          <w:color w:val="111111"/>
          <w:sz w:val="28"/>
          <w:sz w:val="28"/>
          <w:szCs w:val="28"/>
          <w:rtl w:val="true"/>
          <w:lang w:bidi="ar-SA"/>
        </w:rPr>
        <w:t xml:space="preserve">الأوّل عن نهاية الفاضل ، وذكري الشهيد </w:t>
      </w:r>
      <w:r>
        <w:rPr>
          <w:rStyle w:val="FootnoteAnchor"/>
          <w:rtl w:val="true"/>
        </w:rPr>
        <w:footnoteReference w:id="2612"/>
      </w:r>
      <w:r>
        <w:rPr>
          <w:rFonts w:ascii="Amiri" w:hAnsi="Amiri" w:eastAsia="Amiri" w:cs="Amiri"/>
          <w:color w:val="111111"/>
          <w:sz w:val="28"/>
          <w:sz w:val="28"/>
          <w:szCs w:val="28"/>
          <w:rtl w:val="true"/>
          <w:lang w:bidi="ar-SA"/>
        </w:rPr>
        <w:t xml:space="preserve">، وفي الحدائق </w:t>
      </w:r>
      <w:r>
        <w:rPr>
          <w:rStyle w:val="FootnoteAnchor"/>
          <w:rtl w:val="true"/>
        </w:rPr>
        <w:footnoteReference w:id="2613"/>
      </w:r>
      <w:r>
        <w:rPr>
          <w:rFonts w:ascii="IRNazanin" w:hAnsi="IRNazanin" w:eastAsia="IRNazanin"/>
          <w:color w:val="111111"/>
          <w:sz w:val="28"/>
          <w:sz w:val="28"/>
          <w:szCs w:val="28"/>
          <w:rtl w:val="true"/>
          <w:lang w:bidi="fa-IR"/>
        </w:rPr>
        <w:t>، واللوامع ، لعموم الأخبار</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عن التذكرة ، والروض </w:t>
      </w:r>
      <w:r>
        <w:rPr>
          <w:rStyle w:val="FootnoteAnchor"/>
          <w:rtl w:val="true"/>
        </w:rPr>
        <w:footnoteReference w:id="2614"/>
      </w:r>
      <w:r>
        <w:rPr>
          <w:rFonts w:ascii="Amiri" w:hAnsi="Amiri" w:eastAsia="Amiri" w:cs="Amiri"/>
          <w:color w:val="111111"/>
          <w:sz w:val="28"/>
          <w:sz w:val="28"/>
          <w:szCs w:val="28"/>
          <w:rtl w:val="true"/>
          <w:lang w:bidi="ar-SA"/>
        </w:rPr>
        <w:t>، لاستصحاب الإباحة ، وعدم تبادر التهمة من المعتبرة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باندفاعه بما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غير جار في الحيض السابق إذا أخبرت عن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كفاية عدم تبادرها ، بل اللازم تبادر عدم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إخبارها عن الطهر ، فإن كان مع عدم معلومية الحيض سابقا فيقبل قطعا ،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ونفى عنه الخلاف في اللّوامع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عن حدوث طهر بعد سبق حيض ، ففي اللوامع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هنا مع التهمة الاجتناب ، للاستصحاب مع عدم القطع بالمزيل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القبول هنا أيضا مطلقا ، لظاهر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يحرم الوطء على الزوج يحرم التمكين على الزوجة مع إمكان العدم ، لكونه إعانة على الإثم ، ووجوب النهي عن المنكر ، وهو هنا يتحقّق بالامتناع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إثم على الزوج لو غرّته ، أو أكرهته ، أو استدخلت ذكره في النوم ، إذ لا إثم على الزوج حينئذ ولا منكر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المحقق الثاني في شرح القواعد </w:t>
      </w:r>
      <w:r>
        <w:rPr>
          <w:rStyle w:val="FootnoteAnchor"/>
          <w:rtl w:val="true"/>
        </w:rPr>
        <w:footnoteReference w:id="2615"/>
      </w:r>
      <w:r>
        <w:rPr>
          <w:rFonts w:ascii="Amiri" w:hAnsi="Amiri" w:eastAsia="Amiri" w:cs="Amiri"/>
          <w:color w:val="111111"/>
          <w:sz w:val="28"/>
          <w:sz w:val="28"/>
          <w:szCs w:val="28"/>
          <w:rtl w:val="true"/>
          <w:lang w:bidi="ar-SA"/>
        </w:rPr>
        <w:t>، ووالدي في اللوامع بتأثيمها وتعزيرها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كان حسنا لو ثبت حرمة التمكين عليها مطلقا ، وهو غير معلوم ، ولذا استدلّوا عليها بكونه معاونة على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الاحتياط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التحريم مختص بالجماع في القبل ، فيجوز الاستمتاع بما عداه ، أمّا فيما فوق السرّة وتحت الركبة فبالإجماع المحقّق ، والمحكي في كلام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المنتهى ، والتذكرة ، والمعتبر </w:t>
      </w:r>
      <w:r>
        <w:rPr>
          <w:rStyle w:val="FootnoteAnchor"/>
          <w:rtl w:val="true"/>
        </w:rPr>
        <w:footnoteReference w:id="2616"/>
      </w:r>
      <w:r>
        <w:rPr>
          <w:rFonts w:ascii="Amiri" w:hAnsi="Amiri" w:eastAsia="Amiri" w:cs="Amiri"/>
          <w:color w:val="111111"/>
          <w:sz w:val="28"/>
          <w:sz w:val="28"/>
          <w:szCs w:val="28"/>
          <w:rtl w:val="true"/>
          <w:lang w:bidi="ar-SA"/>
        </w:rPr>
        <w:t>، واللوامع ، وغيرها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فيما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بالوطء في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الحقّ الموافق لصريح السرائر ، </w:t>
      </w:r>
    </w:p>
    <w:p>
      <w:pPr>
        <w:pStyle w:val="BookText"/>
        <w:rPr/>
      </w:pPr>
      <w:r>
        <w:rPr>
          <w:rFonts w:ascii="IRNazanin" w:hAnsi="IRNazanin" w:eastAsia="IRNazanin"/>
          <w:color w:val="111111"/>
          <w:sz w:val="28"/>
          <w:sz w:val="28"/>
          <w:szCs w:val="28"/>
          <w:rtl w:val="true"/>
          <w:lang w:bidi="fa-IR"/>
        </w:rPr>
        <w:t xml:space="preserve">وظاهر المعتبر ، والشرائع ، والنافع </w:t>
      </w:r>
      <w:r>
        <w:rPr>
          <w:rStyle w:val="FootnoteAnchor"/>
          <w:rtl w:val="true"/>
        </w:rPr>
        <w:footnoteReference w:id="2617"/>
      </w:r>
      <w:r>
        <w:rPr>
          <w:rFonts w:ascii="Amiri" w:hAnsi="Amiri" w:eastAsia="Amiri" w:cs="Amiri"/>
          <w:color w:val="111111"/>
          <w:sz w:val="28"/>
          <w:sz w:val="28"/>
          <w:szCs w:val="28"/>
          <w:rtl w:val="true"/>
          <w:lang w:bidi="ar-SA"/>
        </w:rPr>
        <w:t xml:space="preserve">، والمنتهى ، والتذكرة ، والقواعد ، والنهاية </w:t>
      </w:r>
      <w:r>
        <w:rPr>
          <w:rStyle w:val="FootnoteAnchor"/>
          <w:rtl w:val="true"/>
        </w:rPr>
        <w:footnoteReference w:id="2618"/>
      </w:r>
      <w:r>
        <w:rPr>
          <w:rFonts w:ascii="Amiri" w:hAnsi="Amiri" w:eastAsia="Amiri" w:cs="Amiri"/>
          <w:color w:val="111111"/>
          <w:sz w:val="28"/>
          <w:sz w:val="28"/>
          <w:szCs w:val="28"/>
          <w:rtl w:val="true"/>
          <w:lang w:bidi="ar-SA"/>
        </w:rPr>
        <w:t xml:space="preserve">، والدروس ، والبيان </w:t>
      </w:r>
      <w:r>
        <w:rPr>
          <w:rStyle w:val="FootnoteAnchor"/>
          <w:rtl w:val="true"/>
        </w:rPr>
        <w:footnoteReference w:id="2619"/>
      </w:r>
      <w:r>
        <w:rPr>
          <w:rFonts w:ascii="Amiri" w:hAnsi="Amiri" w:eastAsia="Amiri" w:cs="Amiri"/>
          <w:color w:val="111111"/>
          <w:sz w:val="28"/>
          <w:sz w:val="28"/>
          <w:szCs w:val="28"/>
          <w:rtl w:val="true"/>
          <w:lang w:bidi="ar-SA"/>
        </w:rPr>
        <w:t xml:space="preserve">، وعن ظاهر الاقتصاد ، والتحرير ، والمختلف </w:t>
      </w:r>
      <w:r>
        <w:rPr>
          <w:rStyle w:val="FootnoteAnchor"/>
          <w:rtl w:val="true"/>
        </w:rPr>
        <w:footnoteReference w:id="2620"/>
      </w:r>
      <w:r>
        <w:rPr>
          <w:rFonts w:ascii="Amiri" w:hAnsi="Amiri" w:eastAsia="Amiri" w:cs="Amiri"/>
          <w:color w:val="111111"/>
          <w:sz w:val="28"/>
          <w:sz w:val="28"/>
          <w:szCs w:val="28"/>
          <w:rtl w:val="true"/>
          <w:lang w:bidi="ar-SA"/>
        </w:rPr>
        <w:t xml:space="preserve">، والتبيان ، ومجمع البيان </w:t>
      </w:r>
      <w:r>
        <w:rPr>
          <w:rStyle w:val="FootnoteAnchor"/>
          <w:rtl w:val="true"/>
        </w:rPr>
        <w:footnoteReference w:id="2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ظاهر الأخيرين وصريح الخلاف </w:t>
      </w:r>
      <w:r>
        <w:rPr>
          <w:rStyle w:val="FootnoteAnchor"/>
          <w:rtl w:val="true"/>
        </w:rPr>
        <w:footnoteReference w:id="2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وجعله في الأول الأظهر من المذهب ، ونسبه في الثاني إلى جمهور الأصحاب ، وفي الثالث إلى الأكثر </w:t>
      </w:r>
      <w:r>
        <w:rPr>
          <w:rStyle w:val="FootnoteAnchor"/>
          <w:rtl w:val="true"/>
        </w:rPr>
        <w:footnoteReference w:id="2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للأصل ، وعمومات الاستمتاع من النساء من الكتاب والسنّة وإطلاقاتها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بانصرافها إلى الشائع وهو حال الطهر ،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فرع شيوع المنع منه حالة الحيض ، وهو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والمستفيضة من النصوص ، كرواية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لصاحب المرأة الحائض منها؟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ما عدا القبل بعينه </w:t>
      </w:r>
      <w:r>
        <w:rPr>
          <w:rFonts w:eastAsia="Amiri" w:cs="Amiri" w:ascii="Amiri" w:hAnsi="Amiri"/>
          <w:color w:val="111111"/>
          <w:sz w:val="28"/>
          <w:szCs w:val="28"/>
          <w:rtl w:val="true"/>
          <w:lang w:bidi="ar-SA"/>
        </w:rPr>
        <w:t xml:space="preserve">» </w:t>
      </w:r>
      <w:r>
        <w:rPr>
          <w:rStyle w:val="FootnoteAnchor"/>
          <w:rtl w:val="true"/>
        </w:rPr>
        <w:footnoteReference w:id="2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ابن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حاضت المرأة فليأتها زوجها حيث شاء ما اتّقى موضع الدم </w:t>
      </w:r>
      <w:r>
        <w:rPr>
          <w:rFonts w:eastAsia="Amiri" w:cs="Amiri" w:ascii="Amiri" w:hAnsi="Amiri"/>
          <w:color w:val="111111"/>
          <w:sz w:val="28"/>
          <w:szCs w:val="28"/>
          <w:rtl w:val="true"/>
          <w:lang w:bidi="ar-SA"/>
        </w:rPr>
        <w:t xml:space="preserve">» </w:t>
      </w:r>
      <w:r>
        <w:rPr>
          <w:rStyle w:val="FootnoteAnchor"/>
          <w:rtl w:val="true"/>
        </w:rPr>
        <w:footnoteReference w:id="2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ابن حنظلة </w:t>
      </w:r>
      <w:r>
        <w:rPr>
          <w:rStyle w:val="FootnoteAnchor"/>
          <w:rtl w:val="true"/>
        </w:rPr>
        <w:footnoteReference w:id="2626"/>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 عمومها الشامل للدبر ما دلّ على حلّ ما دون الفرج له ، كروايات </w:t>
      </w:r>
    </w:p>
    <w:p>
      <w:pPr>
        <w:pStyle w:val="BookText"/>
        <w:rPr/>
      </w:pPr>
      <w:r>
        <w:rPr>
          <w:rFonts w:ascii="IRNazanin" w:hAnsi="IRNazanin" w:eastAsia="IRNazanin"/>
          <w:color w:val="111111"/>
          <w:sz w:val="28"/>
          <w:sz w:val="28"/>
          <w:szCs w:val="28"/>
          <w:rtl w:val="true"/>
          <w:lang w:bidi="fa-IR"/>
        </w:rPr>
        <w:t xml:space="preserve">أبناء سنان </w:t>
      </w:r>
      <w:r>
        <w:rPr>
          <w:rStyle w:val="FootnoteAnchor"/>
          <w:rtl w:val="true"/>
        </w:rPr>
        <w:footnoteReference w:id="2627"/>
      </w:r>
      <w:r>
        <w:rPr>
          <w:rFonts w:ascii="IRNazanin" w:hAnsi="IRNazanin" w:eastAsia="IRNazanin"/>
          <w:color w:val="111111"/>
          <w:sz w:val="28"/>
          <w:sz w:val="28"/>
          <w:szCs w:val="28"/>
          <w:rtl w:val="true"/>
          <w:lang w:bidi="fa-IR"/>
        </w:rPr>
        <w:t xml:space="preserve">وعمرو </w:t>
      </w:r>
      <w:r>
        <w:rPr>
          <w:rStyle w:val="FootnoteAnchor"/>
          <w:rtl w:val="true"/>
        </w:rPr>
        <w:footnoteReference w:id="2628"/>
      </w:r>
      <w:r>
        <w:rPr>
          <w:rFonts w:ascii="Amiri" w:hAnsi="Amiri" w:eastAsia="Amiri" w:cs="Amiri"/>
          <w:color w:val="111111"/>
          <w:sz w:val="28"/>
          <w:sz w:val="28"/>
          <w:szCs w:val="28"/>
          <w:rtl w:val="true"/>
          <w:lang w:bidi="ar-SA"/>
        </w:rPr>
        <w:t xml:space="preserve">وعمّار </w:t>
      </w:r>
      <w:r>
        <w:rPr>
          <w:rStyle w:val="FootnoteAnchor"/>
          <w:rtl w:val="true"/>
        </w:rPr>
        <w:footnoteReference w:id="2629"/>
      </w:r>
      <w:r>
        <w:rPr>
          <w:rFonts w:ascii="Amiri" w:hAnsi="Amiri" w:eastAsia="Amiri" w:cs="Amiri"/>
          <w:color w:val="111111"/>
          <w:sz w:val="28"/>
          <w:sz w:val="28"/>
          <w:szCs w:val="28"/>
          <w:rtl w:val="true"/>
          <w:lang w:bidi="ar-SA"/>
        </w:rPr>
        <w:t>، إذ الظاهر من الفرج القبل ، فهي توافقه ولا تنافيه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عدم الظهور فلا ظهور له في شمول الدبر ، إذ ليس المراد منه معناه اللغوي قطعا ، بل هو إمّا فرجة مخصوصة أو معهودة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وشمولها للدبر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ما نهى عن الإيقاب بقول مطلق ، كصحيحة ابن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للرجل من الحائض؟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 أليتيها ولا يوقب </w:t>
      </w:r>
      <w:r>
        <w:rPr>
          <w:rFonts w:eastAsia="Amiri" w:cs="Amiri" w:ascii="Amiri" w:hAnsi="Amiri"/>
          <w:color w:val="111111"/>
          <w:sz w:val="28"/>
          <w:szCs w:val="28"/>
          <w:rtl w:val="true"/>
          <w:lang w:bidi="ar-SA"/>
        </w:rPr>
        <w:t xml:space="preserve">» </w:t>
      </w:r>
      <w:r>
        <w:rPr>
          <w:rStyle w:val="FootnoteAnchor"/>
          <w:rtl w:val="true"/>
        </w:rPr>
        <w:footnoteReference w:id="2630"/>
      </w:r>
      <w:r>
        <w:rPr>
          <w:rFonts w:ascii="Amiri" w:hAnsi="Amiri" w:eastAsia="Amiri" w:cs="Amiri"/>
          <w:color w:val="111111"/>
          <w:sz w:val="28"/>
          <w:sz w:val="28"/>
          <w:szCs w:val="28"/>
          <w:rtl w:val="true"/>
          <w:lang w:bidi="ar-SA"/>
        </w:rPr>
        <w:t>، لعدم تعيين ما يوقب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دلالة لها إلاّ على مرجوحية الإيقاب مطلقا ، وهو مسلّم ، فهي أيضا من أدلّة المطلوب ، لعموم صدرها الخالي عن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منافاتهما ، لكانت بالعموم من وجه ، فيرفع اليد عنهما ويرجع إلى أصل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السيد </w:t>
      </w:r>
      <w:r>
        <w:rPr>
          <w:rStyle w:val="FootnoteAnchor"/>
          <w:rtl w:val="true"/>
        </w:rPr>
        <w:footnoteReference w:id="2631"/>
      </w:r>
      <w:r>
        <w:rPr>
          <w:rFonts w:ascii="Amiri" w:hAnsi="Amiri" w:eastAsia="Amiri" w:cs="Amiri"/>
          <w:color w:val="111111"/>
          <w:sz w:val="28"/>
          <w:sz w:val="28"/>
          <w:szCs w:val="28"/>
          <w:rtl w:val="true"/>
          <w:lang w:bidi="ar-SA"/>
        </w:rPr>
        <w:t xml:space="preserve">، فمنع عمّا بين السرّة والركبة ، للأمر بالاعتزال في المحيض ، والنهي عن قربهنّ </w:t>
      </w:r>
      <w:r>
        <w:rPr>
          <w:rStyle w:val="FootnoteAnchor"/>
          <w:rtl w:val="true"/>
        </w:rPr>
        <w:footnoteReference w:id="2632"/>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الحائض ما يحل لزوجها منها؟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تتزر بإزار إلى الركبتين وتخرج سرّتها ، ثمَّ له ما فوق الإزار </w:t>
      </w:r>
      <w:r>
        <w:rPr>
          <w:rFonts w:eastAsia="Amiri" w:cs="Amiri" w:ascii="Amiri" w:hAnsi="Amiri"/>
          <w:color w:val="111111"/>
          <w:sz w:val="28"/>
          <w:szCs w:val="28"/>
          <w:rtl w:val="true"/>
          <w:lang w:bidi="ar-SA"/>
        </w:rPr>
        <w:t xml:space="preserve">» </w:t>
      </w:r>
      <w:r>
        <w:rPr>
          <w:rStyle w:val="FootnoteAnchor"/>
          <w:rtl w:val="true"/>
        </w:rPr>
        <w:footnoteReference w:id="2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موثّقة أبي بصير </w:t>
      </w:r>
      <w:r>
        <w:rPr>
          <w:rStyle w:val="FootnoteAnchor"/>
          <w:rtl w:val="true"/>
        </w:rPr>
        <w:footnoteReference w:id="2634"/>
      </w:r>
      <w:r>
        <w:rPr>
          <w:rFonts w:ascii="Amiri" w:hAnsi="Amiri" w:eastAsia="Amiri" w:cs="Amiri"/>
          <w:color w:val="111111"/>
          <w:sz w:val="28"/>
          <w:sz w:val="28"/>
          <w:szCs w:val="28"/>
          <w:rtl w:val="true"/>
          <w:lang w:bidi="ar-SA"/>
        </w:rPr>
        <w:t xml:space="preserve">بتبديل السرة بالساق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وصحيحة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ما يحلّ له من الطامث؟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شي‌ء حتى تطهر </w:t>
      </w:r>
      <w:r>
        <w:rPr>
          <w:rFonts w:eastAsia="Amiri" w:cs="Amiri" w:ascii="Amiri" w:hAnsi="Amiri"/>
          <w:color w:val="111111"/>
          <w:sz w:val="28"/>
          <w:szCs w:val="28"/>
          <w:rtl w:val="true"/>
          <w:lang w:bidi="ar-SA"/>
        </w:rPr>
        <w:t xml:space="preserve">» </w:t>
      </w:r>
      <w:r>
        <w:rPr>
          <w:rStyle w:val="FootnoteAnchor"/>
          <w:rtl w:val="true"/>
        </w:rPr>
        <w:footnoteReference w:id="2635"/>
      </w:r>
      <w:r>
        <w:rPr>
          <w:rFonts w:ascii="Amiri" w:hAnsi="Amiri" w:eastAsia="Amiri" w:cs="Amiri"/>
          <w:color w:val="111111"/>
          <w:sz w:val="28"/>
          <w:sz w:val="28"/>
          <w:szCs w:val="28"/>
          <w:rtl w:val="true"/>
          <w:lang w:bidi="ar-SA"/>
        </w:rPr>
        <w:t>خرج ما خرج بالإجماع ،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يضعّف الاستدلال بالآيتين </w:t>
      </w:r>
      <w:r>
        <w:rPr>
          <w:rStyle w:val="FootnoteAnchor"/>
          <w:rtl w:val="true"/>
        </w:rPr>
        <w:footnoteReference w:id="2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حقيقة عدم القرب والاعتزال ليست مرادة إجماعا ، ولا يجوز جعلهما من باب المطلق المقيّد أو العام المخصّص حتى يبقى ما عدا الثابت خروجه ، لاستلزامه خروج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ما هو حقيقة عدم القرب والاعتزال لا يختلف بالاستمتاع فيما بين السرّة والركبة وغيره ، بل هو أمر خارج عن حقيقتهما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المصير إلى التجوّز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وإرادة ترك الوطء في القبل ليست مرجوحة عن غيره ، بل هو أولى بها ، للشيوع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إمكان إرادة مكان الحيض من الآية الأولى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2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المصدر واسم الزمان ، لخلوّه عن الإضمار والتخصيص اللازم فيهما ، وإن لزم تخصيص حالة الطهر على إرادة المكان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تخصيص الأخيرة بما بين السرّة والركبة بالإجماع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بأنها تعارض ما مرّ بالعموم من وجه ، والترجيح لما مرّ ، لمخالفتها لأكثر العامة </w:t>
      </w:r>
      <w:r>
        <w:rPr>
          <w:rStyle w:val="FootnoteAnchor"/>
          <w:rtl w:val="true"/>
        </w:rPr>
        <w:footnoteReference w:id="2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لولاه لكان المرجع إلى الأصل أيضا ، مضافا إلى عدم دلالة الأولى على حرمة ما تحت السرّة إلاّ بالمفهوم الضعيف</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والتضعيف </w:t>
      </w:r>
      <w:r>
        <w:rPr>
          <w:rStyle w:val="FootnoteAnchor"/>
          <w:rtl w:val="true"/>
        </w:rPr>
        <w:footnoteReference w:id="2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نفي الحلّ الظاهر في متساوي الطرفين لا يثبت الحرمة ، ضعيف ، لأنّ المتبادر منه نفي مطلق الجواز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بما ذكرنا يظهر ضعف الاستدلال بها على الكراهة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فتوى الأكثر بها ودعوى جماعة </w:t>
      </w:r>
      <w:r>
        <w:rPr>
          <w:rStyle w:val="FootnoteAnchor"/>
          <w:rtl w:val="true"/>
        </w:rPr>
        <w:footnoteReference w:id="2640"/>
      </w:r>
      <w:r>
        <w:rPr>
          <w:rFonts w:ascii="Amiri" w:hAnsi="Amiri" w:eastAsia="Amiri" w:cs="Amiri"/>
          <w:color w:val="111111"/>
          <w:sz w:val="28"/>
          <w:sz w:val="28"/>
          <w:szCs w:val="28"/>
          <w:rtl w:val="true"/>
          <w:lang w:bidi="ar-SA"/>
        </w:rPr>
        <w:t>الشهرة عليها كافية في إثباتها ، فعليها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مشايخنا الأخباريين </w:t>
      </w:r>
      <w:r>
        <w:rPr>
          <w:rStyle w:val="FootnoteAnchor"/>
          <w:rtl w:val="true"/>
        </w:rPr>
        <w:footnoteReference w:id="2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وطئها زوجها عالما عامدا وجبت عليه الكفّارة بدينار في أوله ، ونصفه في وسطه ، وربعه في آخره ، وفاقا في الوجوب بل التفصيل للمحكي عن الصدوقين </w:t>
      </w:r>
      <w:r>
        <w:rPr>
          <w:rStyle w:val="FootnoteAnchor"/>
          <w:rtl w:val="true"/>
        </w:rPr>
        <w:footnoteReference w:id="2642"/>
      </w:r>
      <w:r>
        <w:rPr>
          <w:rFonts w:ascii="Amiri" w:hAnsi="Amiri" w:eastAsia="Amiri" w:cs="Amiri"/>
          <w:color w:val="111111"/>
          <w:sz w:val="28"/>
          <w:sz w:val="28"/>
          <w:szCs w:val="28"/>
          <w:rtl w:val="true"/>
          <w:lang w:bidi="ar-SA"/>
        </w:rPr>
        <w:t xml:space="preserve">، والسيد ، والمفيد ، والمبسوط ، والخلاف ، والجمل والعقود </w:t>
      </w:r>
      <w:r>
        <w:rPr>
          <w:rStyle w:val="FootnoteAnchor"/>
          <w:rtl w:val="true"/>
        </w:rPr>
        <w:footnoteReference w:id="2643"/>
      </w:r>
      <w:r>
        <w:rPr>
          <w:rFonts w:ascii="Amiri" w:hAnsi="Amiri" w:eastAsia="Amiri" w:cs="Amiri"/>
          <w:color w:val="111111"/>
          <w:sz w:val="28"/>
          <w:sz w:val="28"/>
          <w:szCs w:val="28"/>
          <w:rtl w:val="true"/>
          <w:lang w:bidi="ar-SA"/>
        </w:rPr>
        <w:t xml:space="preserve">، وأبناء البراج وحمزة وإدريس وزهرة </w:t>
      </w:r>
      <w:r>
        <w:rPr>
          <w:rStyle w:val="FootnoteAnchor"/>
          <w:rtl w:val="true"/>
        </w:rPr>
        <w:footnoteReference w:id="2644"/>
      </w:r>
      <w:r>
        <w:rPr>
          <w:rFonts w:ascii="Amiri" w:hAnsi="Amiri" w:eastAsia="Amiri" w:cs="Amiri"/>
          <w:color w:val="111111"/>
          <w:sz w:val="28"/>
          <w:sz w:val="28"/>
          <w:szCs w:val="28"/>
          <w:rtl w:val="true"/>
          <w:lang w:bidi="ar-SA"/>
        </w:rPr>
        <w:t xml:space="preserve">، واختاره غير واحد من مشايخنا </w:t>
      </w:r>
      <w:r>
        <w:rPr>
          <w:rStyle w:val="FootnoteAnchor"/>
          <w:rtl w:val="true"/>
        </w:rPr>
        <w:footnoteReference w:id="2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عليه في الانتصار ، وعن الغنية ، والخلاف ، الإجماع ، ونسب دعواه إلى السرائر أيضا </w:t>
      </w:r>
      <w:r>
        <w:rPr>
          <w:rStyle w:val="FootnoteAnchor"/>
          <w:rtl w:val="true"/>
        </w:rPr>
        <w:footnoteReference w:id="2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لأصحابنا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 الوجوب الأظهر من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في التذكرة إلى أكثر علمائنا </w:t>
      </w:r>
      <w:r>
        <w:rPr>
          <w:rStyle w:val="FootnoteAnchor"/>
          <w:rtl w:val="true"/>
        </w:rPr>
        <w:footnoteReference w:id="2647"/>
      </w:r>
      <w:r>
        <w:rPr>
          <w:rFonts w:ascii="Amiri" w:hAnsi="Amiri" w:eastAsia="Amiri" w:cs="Amiri"/>
          <w:color w:val="111111"/>
          <w:sz w:val="28"/>
          <w:sz w:val="28"/>
          <w:szCs w:val="28"/>
          <w:rtl w:val="true"/>
          <w:lang w:bidi="ar-SA"/>
        </w:rPr>
        <w:t xml:space="preserve">، وجماعة </w:t>
      </w:r>
      <w:r>
        <w:rPr>
          <w:rStyle w:val="FootnoteAnchor"/>
          <w:rtl w:val="true"/>
        </w:rPr>
        <w:footnoteReference w:id="2648"/>
      </w:r>
      <w:r>
        <w:rPr>
          <w:rFonts w:ascii="Amiri" w:hAnsi="Amiri" w:eastAsia="Amiri" w:cs="Amiri"/>
          <w:color w:val="111111"/>
          <w:sz w:val="28"/>
          <w:sz w:val="28"/>
          <w:szCs w:val="28"/>
          <w:rtl w:val="true"/>
          <w:lang w:bidi="ar-SA"/>
        </w:rPr>
        <w:t>إلى أكثر القدماء</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جامعت امرأتك في أول الحيض تصدّق بدينار ، وإن كان في وسطه فنصف دينار ، وإن كان في آخره فربع دينار </w:t>
      </w:r>
      <w:r>
        <w:rPr>
          <w:rFonts w:eastAsia="Amiri" w:cs="Amiri" w:ascii="Amiri" w:hAnsi="Amiri"/>
          <w:color w:val="111111"/>
          <w:sz w:val="28"/>
          <w:szCs w:val="28"/>
          <w:rtl w:val="true"/>
          <w:lang w:bidi="ar-SA"/>
        </w:rPr>
        <w:t xml:space="preserve">» </w:t>
      </w:r>
      <w:r>
        <w:rPr>
          <w:rStyle w:val="FootnoteAnchor"/>
          <w:rtl w:val="true"/>
        </w:rPr>
        <w:footnoteReference w:id="26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والمروي في المقنع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جامعها في أول الحيض فعليه أن يتصدّق بدينار ، وإن كان في نصفه فنصف دينار ، وإن كان في آخره فربع دينار </w:t>
      </w:r>
      <w:r>
        <w:rPr>
          <w:rFonts w:eastAsia="Amiri" w:cs="Amiri" w:ascii="Amiri" w:hAnsi="Amiri"/>
          <w:color w:val="111111"/>
          <w:sz w:val="28"/>
          <w:szCs w:val="28"/>
          <w:rtl w:val="true"/>
          <w:lang w:bidi="ar-SA"/>
        </w:rPr>
        <w:t xml:space="preserve">» </w:t>
      </w:r>
      <w:r>
        <w:rPr>
          <w:rStyle w:val="FootnoteAnchor"/>
          <w:rtl w:val="true"/>
        </w:rPr>
        <w:footnoteReference w:id="2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وضعفهما بعد انجبارهما بما ذكر غير 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بل يدلّ على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داود في كفّارة الطمث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يتصدّق إذا كان في أوله بدينار ، وفي وسطه نصف دينار ، وفي آخره ربع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عنده ما يكفّر؟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فليتصدّق على مسكين واحد ، وإلاّ استغفر اللّه ولا يعود ، فإنّ الاستغفار توبة وكفّارة لمن لم يجد السبيل إلى شي‌ء من الكفّارة </w:t>
      </w:r>
      <w:r>
        <w:rPr>
          <w:rFonts w:eastAsia="Amiri" w:cs="Amiri" w:ascii="Amiri" w:hAnsi="Amiri"/>
          <w:color w:val="111111"/>
          <w:sz w:val="28"/>
          <w:szCs w:val="28"/>
          <w:rtl w:val="true"/>
          <w:lang w:bidi="ar-SA"/>
        </w:rPr>
        <w:t xml:space="preserve">» </w:t>
      </w:r>
      <w:r>
        <w:rPr>
          <w:rStyle w:val="FootnoteAnchor"/>
          <w:rtl w:val="true"/>
        </w:rPr>
        <w:footnoteReference w:id="2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تضرّها رواية القمي ، المتقدمة </w:t>
      </w:r>
      <w:r>
        <w:rPr>
          <w:rStyle w:val="FootnoteAnchor"/>
          <w:rtl w:val="true"/>
        </w:rPr>
        <w:footnoteReference w:id="2652"/>
      </w:r>
      <w:r>
        <w:rPr>
          <w:rFonts w:ascii="Amiri" w:hAnsi="Amiri" w:eastAsia="Amiri" w:cs="Amiri"/>
          <w:color w:val="111111"/>
          <w:sz w:val="28"/>
          <w:sz w:val="28"/>
          <w:szCs w:val="28"/>
          <w:rtl w:val="true"/>
          <w:lang w:bidi="ar-SA"/>
        </w:rPr>
        <w:t xml:space="preserve">، ورواية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المرأة وهي حائض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عليه في استقبال الحيض دينار وفي استدباره نصف دينار </w:t>
      </w:r>
      <w:r>
        <w:rPr>
          <w:rFonts w:eastAsia="Amiri" w:cs="Amiri" w:ascii="Amiri" w:hAnsi="Amiri"/>
          <w:color w:val="111111"/>
          <w:sz w:val="28"/>
          <w:szCs w:val="28"/>
          <w:rtl w:val="true"/>
          <w:lang w:bidi="ar-SA"/>
        </w:rPr>
        <w:t xml:space="preserve">» </w:t>
      </w:r>
      <w:r>
        <w:rPr>
          <w:rStyle w:val="FootnoteAnchor"/>
          <w:rtl w:val="true"/>
        </w:rPr>
        <w:footnoteReference w:id="2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أتى حائضا فعليه نصف دينار </w:t>
      </w:r>
      <w:r>
        <w:rPr>
          <w:rFonts w:eastAsia="Amiri" w:cs="Amiri" w:ascii="Amiri" w:hAnsi="Amiri"/>
          <w:color w:val="111111"/>
          <w:sz w:val="28"/>
          <w:szCs w:val="28"/>
          <w:rtl w:val="true"/>
          <w:lang w:bidi="ar-SA"/>
        </w:rPr>
        <w:t xml:space="preserve">» </w:t>
      </w:r>
      <w:r>
        <w:rPr>
          <w:rStyle w:val="FootnoteAnchor"/>
          <w:rtl w:val="true"/>
        </w:rPr>
        <w:footnoteReference w:id="2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ومضمرة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أتى امرأته وهي طامث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يتصدّق بدينار </w:t>
      </w:r>
      <w:r>
        <w:rPr>
          <w:rFonts w:eastAsia="Amiri" w:cs="Amiri" w:ascii="Amiri" w:hAnsi="Amiri"/>
          <w:color w:val="111111"/>
          <w:sz w:val="28"/>
          <w:szCs w:val="28"/>
          <w:rtl w:val="true"/>
          <w:lang w:bidi="ar-SA"/>
        </w:rPr>
        <w:t xml:space="preserve">» </w:t>
      </w:r>
      <w:r>
        <w:rPr>
          <w:rStyle w:val="FootnoteAnchor"/>
          <w:rtl w:val="true"/>
        </w:rPr>
        <w:footnoteReference w:id="2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فإنّها مطلقة من جهة وقت الحيض بالنسبة إلى الأخبار الأولى ، والمطلق لا ينافي المقيد بل يحمل عليه ، فهي أيضا أدلّة لبعض المطلوب</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حسنة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يقع على امرأته وهي حائض ، ما عليه؟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يتصدّق على مسكين بقدر شبعه </w:t>
      </w:r>
      <w:r>
        <w:rPr>
          <w:rFonts w:eastAsia="Amiri" w:cs="Amiri" w:ascii="Amiri" w:hAnsi="Amiri"/>
          <w:color w:val="111111"/>
          <w:sz w:val="28"/>
          <w:szCs w:val="28"/>
          <w:rtl w:val="true"/>
          <w:lang w:bidi="ar-SA"/>
        </w:rPr>
        <w:t xml:space="preserve">» </w:t>
      </w:r>
      <w:r>
        <w:rPr>
          <w:rStyle w:val="FootnoteAnchor"/>
          <w:rtl w:val="true"/>
        </w:rPr>
        <w:footnoteReference w:id="2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لأعميتها مطلقا مما مرّ ، حيث يختص ما مرّ بالعالم العامد وواجد للكفّارة إجماعا ونصا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رجحان التصدّق على مسكين لا ينافي وجوب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ذكره مع السؤال عمّا يجب عليه لا ينفي الوجوب ، لجواز مصلحة فيه ، وكونه مقام الحاجة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منافاته له فتكون الرواية شاذة ، لعدم مفت بمضمونها إلاّ عن نادر </w:t>
      </w:r>
      <w:r>
        <w:rPr>
          <w:rStyle w:val="FootnoteAnchor"/>
          <w:rtl w:val="true"/>
        </w:rPr>
        <w:footnoteReference w:id="2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وبهذين الوجهين يظهر عدم مضرّة حسنته الأخرى ، وموثّقة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واقع امرأته وهي حائض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واقعها في استقبال الدم فيستغفر اللّه ، ويتصدّق على سبعة نفر من المؤمنين بقدر قوت كلّ رجل منهم ليومه ، ولا يعد ، وإن كان واقعها في إدبار الدم في آخر أيامها قبل الغسل فلا شي‌ء عليه </w:t>
      </w:r>
      <w:r>
        <w:rPr>
          <w:rFonts w:eastAsia="Amiri" w:cs="Amiri" w:ascii="Amiri" w:hAnsi="Amiri"/>
          <w:color w:val="111111"/>
          <w:sz w:val="28"/>
          <w:szCs w:val="28"/>
          <w:rtl w:val="true"/>
          <w:lang w:bidi="ar-SA"/>
        </w:rPr>
        <w:t xml:space="preserve">» </w:t>
      </w:r>
      <w:r>
        <w:rPr>
          <w:rStyle w:val="FootnoteAnchor"/>
          <w:rtl w:val="true"/>
        </w:rPr>
        <w:footnoteReference w:id="2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أتى جاريته وهي طامث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نصف دينار أو دينار ، فقال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فليتصدّق على عشرة مساكين </w:t>
      </w:r>
      <w:r>
        <w:rPr>
          <w:rFonts w:eastAsia="Amiri" w:cs="Amiri" w:ascii="Amiri" w:hAnsi="Amiri"/>
          <w:color w:val="111111"/>
          <w:sz w:val="28"/>
          <w:szCs w:val="28"/>
          <w:rtl w:val="true"/>
          <w:lang w:bidi="ar-SA"/>
        </w:rPr>
        <w:t xml:space="preserve">» </w:t>
      </w:r>
      <w:r>
        <w:rPr>
          <w:rStyle w:val="FootnoteAnchor"/>
          <w:rtl w:val="true"/>
        </w:rPr>
        <w:footnoteReference w:id="2659"/>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في الأولى إلى أنّ الظاهر من جزئها الأخير أنه بعد الطهر وقبل الغسل ، ولا أقلّ من الشمول له الموجب للأعمية المطلقة مما مرّ الباعث </w:t>
      </w:r>
    </w:p>
    <w:p>
      <w:pPr>
        <w:pStyle w:val="BookText"/>
        <w:rPr/>
      </w:pPr>
      <w:r>
        <w:rPr>
          <w:rFonts w:ascii="Amiri" w:hAnsi="Amiri" w:eastAsia="Amiri" w:cs="Amiri"/>
          <w:color w:val="111111"/>
          <w:sz w:val="28"/>
          <w:sz w:val="28"/>
          <w:szCs w:val="28"/>
          <w:rtl w:val="true"/>
          <w:lang w:bidi="ar-SA"/>
        </w:rPr>
        <w:t>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الثانية إلى احتمال أن يكون عدم ذكره للكفارة أوّلا للتقية ، حيث إنّه مذهب أبي حنيفة ومالك </w:t>
      </w:r>
      <w:r>
        <w:rPr>
          <w:rStyle w:val="FootnoteAnchor"/>
          <w:rtl w:val="true"/>
        </w:rPr>
        <w:footnoteReference w:id="2660"/>
      </w:r>
      <w:r>
        <w:rPr>
          <w:rFonts w:ascii="Amiri" w:hAnsi="Amiri" w:eastAsia="Amiri" w:cs="Amiri"/>
          <w:color w:val="111111"/>
          <w:sz w:val="28"/>
          <w:sz w:val="28"/>
          <w:szCs w:val="28"/>
          <w:rtl w:val="true"/>
          <w:lang w:bidi="ar-SA"/>
        </w:rPr>
        <w:t xml:space="preserve">المشتهر في عصره عليه السلام ، فلما ذكر الراوي إيجاب العامة لها أيضا حيث إنّهم يروونها عن ابن عباس </w:t>
      </w:r>
      <w:r>
        <w:rPr>
          <w:rStyle w:val="FootnoteAnchor"/>
          <w:rtl w:val="true"/>
        </w:rPr>
        <w:footnoteReference w:id="2661"/>
      </w:r>
      <w:r>
        <w:rPr>
          <w:rFonts w:ascii="Amiri" w:hAnsi="Amiri" w:eastAsia="Amiri" w:cs="Amiri"/>
          <w:color w:val="111111"/>
          <w:sz w:val="28"/>
          <w:sz w:val="28"/>
          <w:szCs w:val="28"/>
          <w:rtl w:val="true"/>
          <w:lang w:bidi="ar-SA"/>
        </w:rPr>
        <w:t xml:space="preserve">، وهو مذهب أحمد وأحد قولي الشافعي ، أمر عليه السلام أيضا بالكفّارة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الكفارة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عشرة 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بعد أن يكون الراجح في الكفّارة هذا النوع من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 من اشتهار عدم الوجوب عند رؤساء منافقي عصره يظهر عدم مضرّة ما دلّ على نفيها مطلقا أيضا ، كصحيحة العيص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واقع امرأته وهي طامث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 عليه كفارة؟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أعلم فيه شيئا ، يستغفر اللّه </w:t>
      </w:r>
      <w:r>
        <w:rPr>
          <w:rFonts w:eastAsia="Amiri" w:cs="Amiri" w:ascii="Amiri" w:hAnsi="Amiri"/>
          <w:color w:val="111111"/>
          <w:sz w:val="28"/>
          <w:szCs w:val="28"/>
          <w:rtl w:val="true"/>
          <w:lang w:bidi="ar-SA"/>
        </w:rPr>
        <w:t xml:space="preserve">» </w:t>
      </w:r>
      <w:r>
        <w:rPr>
          <w:rStyle w:val="FootnoteAnchor"/>
          <w:rtl w:val="true"/>
        </w:rPr>
        <w:footnoteReference w:id="2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الحائض يأتيها زوجها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 يستغفر اللّه </w:t>
      </w:r>
      <w:r>
        <w:rPr>
          <w:rFonts w:eastAsia="Amiri" w:cs="Amiri" w:ascii="Amiri" w:hAnsi="Amiri"/>
          <w:color w:val="111111"/>
          <w:sz w:val="28"/>
          <w:szCs w:val="28"/>
          <w:rtl w:val="true"/>
          <w:lang w:bidi="ar-SA"/>
        </w:rPr>
        <w:t xml:space="preserve">» </w:t>
      </w:r>
      <w:r>
        <w:rPr>
          <w:rStyle w:val="FootnoteAnchor"/>
          <w:rtl w:val="true"/>
        </w:rPr>
        <w:footnoteReference w:id="2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وقوع الرجل على امرأته وهي طامث خطأ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وقد عصى ربّه </w:t>
      </w:r>
      <w:r>
        <w:rPr>
          <w:rFonts w:eastAsia="Amiri" w:cs="Amiri" w:ascii="Amiri" w:hAnsi="Amiri"/>
          <w:color w:val="111111"/>
          <w:sz w:val="28"/>
          <w:szCs w:val="28"/>
          <w:rtl w:val="true"/>
          <w:lang w:bidi="ar-SA"/>
        </w:rPr>
        <w:t xml:space="preserve">» </w:t>
      </w:r>
      <w:r>
        <w:rPr>
          <w:rStyle w:val="FootnoteAnchor"/>
          <w:rtl w:val="true"/>
        </w:rPr>
        <w:footnoteReference w:id="2664"/>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أتى حائضا فقد أتى ما لا يحلّ له ، وعليه أن </w:t>
      </w:r>
    </w:p>
    <w:p>
      <w:pPr>
        <w:pStyle w:val="BookText"/>
        <w:rPr/>
      </w:pPr>
      <w:r>
        <w:rPr>
          <w:rFonts w:ascii="Amiri" w:hAnsi="Amiri" w:eastAsia="Amiri" w:cs="Amiri"/>
          <w:color w:val="111111"/>
          <w:sz w:val="28"/>
          <w:sz w:val="28"/>
          <w:szCs w:val="28"/>
          <w:rtl w:val="true"/>
          <w:lang w:bidi="ar-SA"/>
        </w:rPr>
        <w:t xml:space="preserve">يستغفر اللّه ويتوب من خطيئته ، وإن تصدّق مع ذلك فقد أحسن </w:t>
      </w:r>
      <w:r>
        <w:rPr>
          <w:rFonts w:eastAsia="Amiri" w:cs="Amiri" w:ascii="Amiri" w:hAnsi="Amiri"/>
          <w:color w:val="111111"/>
          <w:sz w:val="28"/>
          <w:szCs w:val="28"/>
          <w:rtl w:val="true"/>
          <w:lang w:bidi="ar-SA"/>
        </w:rPr>
        <w:t xml:space="preserve">» </w:t>
      </w:r>
      <w:r>
        <w:rPr>
          <w:rStyle w:val="FootnoteAnchor"/>
          <w:rtl w:val="true"/>
        </w:rPr>
        <w:footnoteReference w:id="2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عموم غير الأخير بالنسبة إلى المتمكّن وغيره ، وخصوص ما مرّ ، فيجب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وورود ما قبله في الخاطي وليس عليه كفارة إن كان خطوة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احتماليه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ومطلقا عند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حمله على ضرب من التجوّز بقرينة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وتحقّق العصيان بترك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الحمل على الجهل بالحكم وإمكان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 لكفاية الاحتمال في سقوط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لنا أن نقول بشمول ما تقدّم عليه أيضا للخاطئ ، ولا ينافيه الاستغفار ، لأنّه راجح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 ، فمع عدم دلالته على نفي الوجوب ، ضعيف لا يصلح لمقاومة ما مرّ</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فالقول بعدم الوجوب لبعض ما ذكر ، وللأصل المندفع بما مرّ ، ولاختلاف الأخبار الموجبة ، المعلوم وجهه مع عدم صلاحيته لنفي الإيجاب ، كما في المنتهى ناسبا له إلى أكثر أهل العلم </w:t>
      </w:r>
      <w:r>
        <w:rPr>
          <w:rStyle w:val="FootnoteAnchor"/>
          <w:rtl w:val="true"/>
        </w:rPr>
        <w:footnoteReference w:id="2666"/>
      </w:r>
      <w:r>
        <w:rPr>
          <w:rFonts w:ascii="Amiri" w:hAnsi="Amiri" w:eastAsia="Amiri" w:cs="Amiri"/>
          <w:color w:val="111111"/>
          <w:sz w:val="28"/>
          <w:sz w:val="28"/>
          <w:szCs w:val="28"/>
          <w:rtl w:val="true"/>
          <w:lang w:bidi="ar-SA"/>
        </w:rPr>
        <w:t xml:space="preserve">، والتذكرة ، ونهاية الإحكام ، والمعتبر ، وظاهر الشرائع ، والنافع </w:t>
      </w:r>
      <w:r>
        <w:rPr>
          <w:rStyle w:val="FootnoteAnchor"/>
          <w:rtl w:val="true"/>
        </w:rPr>
        <w:footnoteReference w:id="2667"/>
      </w:r>
      <w:r>
        <w:rPr>
          <w:rFonts w:ascii="Amiri" w:hAnsi="Amiri" w:eastAsia="Amiri" w:cs="Amiri"/>
          <w:color w:val="111111"/>
          <w:sz w:val="28"/>
          <w:sz w:val="28"/>
          <w:szCs w:val="28"/>
          <w:rtl w:val="true"/>
          <w:lang w:bidi="ar-SA"/>
        </w:rPr>
        <w:t xml:space="preserve">، والمحقق الثاني </w:t>
      </w:r>
      <w:r>
        <w:rPr>
          <w:rStyle w:val="FootnoteAnchor"/>
          <w:rtl w:val="true"/>
        </w:rPr>
        <w:footnoteReference w:id="2668"/>
      </w:r>
      <w:r>
        <w:rPr>
          <w:rFonts w:ascii="Amiri" w:hAnsi="Amiri" w:eastAsia="Amiri" w:cs="Amiri"/>
          <w:color w:val="111111"/>
          <w:sz w:val="28"/>
          <w:sz w:val="28"/>
          <w:szCs w:val="28"/>
          <w:rtl w:val="true"/>
          <w:lang w:bidi="ar-SA"/>
        </w:rPr>
        <w:t xml:space="preserve">، ووالدي العلاّمة ، وعن نكاح المبسوط </w:t>
      </w:r>
      <w:r>
        <w:rPr>
          <w:rStyle w:val="FootnoteAnchor"/>
          <w:rtl w:val="true"/>
        </w:rPr>
        <w:footnoteReference w:id="2669"/>
      </w:r>
      <w:r>
        <w:rPr>
          <w:rFonts w:ascii="Amiri" w:hAnsi="Amiri" w:eastAsia="Amiri" w:cs="Amiri"/>
          <w:color w:val="111111"/>
          <w:sz w:val="28"/>
          <w:sz w:val="28"/>
          <w:szCs w:val="28"/>
          <w:rtl w:val="true"/>
          <w:lang w:bidi="ar-SA"/>
        </w:rPr>
        <w:t xml:space="preserve">، ونسب إلى أكثر المتأخرين </w:t>
      </w:r>
      <w:r>
        <w:rPr>
          <w:rStyle w:val="FootnoteAnchor"/>
          <w:rtl w:val="true"/>
        </w:rPr>
        <w:footnoteReference w:id="2670"/>
      </w:r>
      <w:r>
        <w:rPr>
          <w:rFonts w:ascii="Amiri" w:hAnsi="Amiri" w:eastAsia="Amiri" w:cs="Amiri"/>
          <w:color w:val="111111"/>
          <w:sz w:val="28"/>
          <w:sz w:val="28"/>
          <w:szCs w:val="28"/>
          <w:rtl w:val="true"/>
          <w:lang w:bidi="ar-SA"/>
        </w:rPr>
        <w:t xml:space="preserve">، ضعيف ، كالتوقّف ، كما هو ظاهر </w:t>
      </w:r>
      <w:bookmarkStart w:id="152" w:name="pg11612_111123"/>
    </w:p>
    <w:p>
      <w:pPr>
        <w:pStyle w:val="BookText"/>
        <w:rPr/>
      </w:pPr>
      <w:bookmarkEnd w:id="152"/>
      <w:r>
        <w:rPr>
          <w:rFonts w:ascii="Amiri" w:hAnsi="Amiri" w:eastAsia="Amiri" w:cs="Amiri"/>
          <w:color w:val="111111"/>
          <w:sz w:val="28"/>
          <w:sz w:val="28"/>
          <w:szCs w:val="28"/>
          <w:rtl w:val="true"/>
          <w:lang w:bidi="ar-SA"/>
        </w:rPr>
        <w:t xml:space="preserve">الدروس ، والبيان ، وعن اللمعة </w:t>
      </w:r>
      <w:r>
        <w:rPr>
          <w:rStyle w:val="FootnoteAnchor"/>
          <w:rtl w:val="true"/>
        </w:rPr>
        <w:footnoteReference w:id="2671"/>
      </w:r>
      <w:r>
        <w:rPr>
          <w:rFonts w:ascii="Amiri" w:hAnsi="Amiri" w:eastAsia="Amiri" w:cs="Amiri"/>
          <w:color w:val="111111"/>
          <w:sz w:val="28"/>
          <w:sz w:val="28"/>
          <w:szCs w:val="28"/>
          <w:rtl w:val="true"/>
          <w:lang w:bidi="ar-SA"/>
        </w:rPr>
        <w:t xml:space="preserve">، وشيخنا البهائي </w:t>
      </w:r>
      <w:r>
        <w:rPr>
          <w:rStyle w:val="FootnoteAnchor"/>
          <w:rtl w:val="true"/>
        </w:rPr>
        <w:footnoteReference w:id="2672"/>
      </w:r>
      <w:r>
        <w:rPr>
          <w:rFonts w:ascii="Amiri" w:hAnsi="Amiri" w:eastAsia="Amiri" w:cs="Amiri"/>
          <w:color w:val="111111"/>
          <w:sz w:val="28"/>
          <w:sz w:val="28"/>
          <w:szCs w:val="28"/>
          <w:rtl w:val="true"/>
          <w:lang w:bidi="ar-SA"/>
        </w:rPr>
        <w:t xml:space="preserve">، والتفرقة بين الشاب والمضطر وغيرهما ، كما عن الراوندي </w:t>
      </w:r>
      <w:r>
        <w:rPr>
          <w:rStyle w:val="FootnoteAnchor"/>
          <w:rtl w:val="true"/>
        </w:rPr>
        <w:footnoteReference w:id="26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3" w:name="__RefHeading___Toc5524419_73709187"/>
      <w:bookmarkStart w:id="154" w:name="_Toc58"/>
      <w:bookmarkEnd w:id="153"/>
      <w:r>
        <w:rPr>
          <w:rtl w:val="true"/>
        </w:rPr>
        <w:t xml:space="preserve">فروع </w:t>
      </w:r>
      <w:r>
        <w:rPr>
          <w:rtl w:val="true"/>
        </w:rPr>
        <w:t>:</w:t>
      </w:r>
      <w:bookmarkEnd w:id="154"/>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تلحق بالزوجة المشتبهة والمزني بها ، لإطلاق بعض الأخبار ، وعدم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الزوجة بين الدائمة والمنقطعة ، لعموم بعض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فرق بين الحرّة والأمة ، فإنّ ما ذكر مخصوص بالحرة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الكفّارة في الأمة فثلاثة أمداد من الطعام ، وفاقا للصدوق ، والشيخ في كفارات النهاية ، والسيد في كفّارات الانتصار </w:t>
      </w:r>
      <w:r>
        <w:rPr>
          <w:rStyle w:val="FootnoteAnchor"/>
          <w:rtl w:val="true"/>
        </w:rPr>
        <w:footnoteReference w:id="2674"/>
      </w:r>
      <w:r>
        <w:rPr>
          <w:rFonts w:ascii="Amiri" w:hAnsi="Amiri" w:eastAsia="Amiri" w:cs="Amiri"/>
          <w:color w:val="111111"/>
          <w:sz w:val="28"/>
          <w:sz w:val="28"/>
          <w:szCs w:val="28"/>
          <w:rtl w:val="true"/>
          <w:lang w:bidi="ar-SA"/>
        </w:rPr>
        <w:t xml:space="preserve">، والسرائر ، والمعتبر ، والمنتهى ، والقواعد ، والبيان ، والدروس </w:t>
      </w:r>
      <w:r>
        <w:rPr>
          <w:rStyle w:val="FootnoteAnchor"/>
          <w:rtl w:val="true"/>
        </w:rPr>
        <w:footnoteReference w:id="2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وجوبه ، 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لمرسلة الفقيه وفي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جامع أمته وهي حائض تصدق بثلاثة أمداد من الطعام </w:t>
      </w:r>
      <w:r>
        <w:rPr>
          <w:rFonts w:eastAsia="Amiri" w:cs="Amiri" w:ascii="Amiri" w:hAnsi="Amiri"/>
          <w:color w:val="111111"/>
          <w:sz w:val="28"/>
          <w:szCs w:val="28"/>
          <w:rtl w:val="true"/>
          <w:lang w:bidi="ar-SA"/>
        </w:rPr>
        <w:t xml:space="preserve">» </w:t>
      </w:r>
      <w:r>
        <w:rPr>
          <w:rStyle w:val="FootnoteAnchor"/>
          <w:rtl w:val="true"/>
        </w:rPr>
        <w:footnoteReference w:id="2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جامعت أمتك وهي حائض تصدّقت بثلاثة أمداد من طعام </w:t>
      </w:r>
      <w:r>
        <w:rPr>
          <w:rFonts w:eastAsia="Amiri" w:cs="Amiri" w:ascii="Amiri" w:hAnsi="Amiri"/>
          <w:color w:val="111111"/>
          <w:sz w:val="28"/>
          <w:szCs w:val="28"/>
          <w:rtl w:val="true"/>
          <w:lang w:bidi="ar-SA"/>
        </w:rPr>
        <w:t xml:space="preserve">» </w:t>
      </w:r>
      <w:r>
        <w:rPr>
          <w:rStyle w:val="FootnoteAnchor"/>
          <w:rtl w:val="true"/>
        </w:rPr>
        <w:footnoteReference w:id="2677"/>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منضما إلى عدم القول بالجمع بين ذلك وبين الدنانير يقيّد إطلاق بعض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ذلك على الوجوب؟ كما هو ظاهر الفقيه الانتصار ، أو الاستحباب؟ كما هو صريح المعتبر والمنتهى وأكثر عبارات الباقين محتمل للأمرين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الأخير ، لخلوّ الروايات عن الدالّ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التكفير مختص بالواطئ ، فلا كفّارة على الموطوء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الأشهر الموافق لظاهر الأخبار اختلاف الأول والوسط والآخر باختلاف الحيض الذي وطئ فيه ، فالأول لذات الثلاثة الأول </w:t>
      </w:r>
      <w:r>
        <w:rPr>
          <w:rStyle w:val="FootnoteAnchor"/>
          <w:rtl w:val="true"/>
        </w:rPr>
        <w:footnoteReference w:id="2678"/>
      </w:r>
      <w:r>
        <w:rPr>
          <w:rFonts w:ascii="Amiri" w:hAnsi="Amiri" w:eastAsia="Amiri" w:cs="Amiri"/>
          <w:color w:val="111111"/>
          <w:sz w:val="28"/>
          <w:sz w:val="28"/>
          <w:szCs w:val="28"/>
          <w:rtl w:val="true"/>
          <w:lang w:bidi="ar-SA"/>
        </w:rPr>
        <w:t>، ولذات الأربعة مع ثلث الثاني ، ولذات الخمسة مع ثلثيه ، وهكذا ، ومثله الوسط والآخر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التثليث مرعيّ بالإضافة إلى أيام الحيض مطلقا ، ذات عادة كانت أم غيرها ، كانت العادة عشرة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الديلمي </w:t>
      </w:r>
      <w:r>
        <w:rPr>
          <w:rStyle w:val="FootnoteAnchor"/>
          <w:rtl w:val="true"/>
        </w:rPr>
        <w:footnoteReference w:id="2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الوسط بما بين الخمسة إلى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والراوندي </w:t>
      </w:r>
      <w:r>
        <w:rPr>
          <w:rStyle w:val="FootnoteAnchor"/>
          <w:rtl w:val="true"/>
        </w:rPr>
        <w:footnoteReference w:id="2680"/>
      </w:r>
      <w:r>
        <w:rPr>
          <w:rFonts w:ascii="Amiri" w:hAnsi="Amiri" w:eastAsia="Amiri" w:cs="Amiri"/>
          <w:color w:val="111111"/>
          <w:sz w:val="28"/>
          <w:sz w:val="28"/>
          <w:szCs w:val="28"/>
          <w:rtl w:val="true"/>
          <w:lang w:bidi="ar-SA"/>
        </w:rPr>
        <w:t>اعتبر العشرة مطلقا فثلّثها ، فلا وسط لمن حيضها ثلاثة وثلث فما دون ، ولا آخر لمن حيضها سبعة إلاّ ثلثا ، على الاعتبارين ، ويفترقان في صاحبة الأربعة والسبعة ، فلا وسط للأول ولا آخر للثاني على الأول ، ويتحقّقان على الثاني ، وهما الثلثان الأخيران من اليوم الرابع أو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الدينار المثقال الشرعي من الذهب الخالص إجماعا ، المسكوك على الأصح ، وفاقا لجماعة </w:t>
      </w:r>
      <w:r>
        <w:rPr>
          <w:rStyle w:val="FootnoteAnchor"/>
          <w:rtl w:val="true"/>
        </w:rPr>
        <w:footnoteReference w:id="2681"/>
      </w:r>
      <w:r>
        <w:rPr>
          <w:rFonts w:ascii="Amiri" w:hAnsi="Amiri" w:eastAsia="Amiri" w:cs="Amiri"/>
          <w:color w:val="111111"/>
          <w:sz w:val="28"/>
          <w:sz w:val="28"/>
          <w:szCs w:val="28"/>
          <w:rtl w:val="true"/>
          <w:lang w:bidi="ar-SA"/>
        </w:rPr>
        <w:t>، للتبادر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لآخرين </w:t>
      </w:r>
      <w:r>
        <w:rPr>
          <w:rStyle w:val="FootnoteAnchor"/>
          <w:rtl w:val="true"/>
        </w:rPr>
        <w:footnoteReference w:id="2682"/>
      </w:r>
      <w:r>
        <w:rPr>
          <w:rFonts w:ascii="Amiri" w:hAnsi="Amiri" w:eastAsia="Amiri" w:cs="Amiri"/>
          <w:color w:val="111111"/>
          <w:sz w:val="28"/>
          <w:sz w:val="28"/>
          <w:szCs w:val="28"/>
          <w:rtl w:val="true"/>
          <w:lang w:bidi="ar-SA"/>
        </w:rPr>
        <w:t>، فاكتفوا بالتبر لإطلاق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والأصحّ تعيينه ، فلا تجزئ القيمة ، اقتصارا على ظاهر النص ، ومثله </w:t>
      </w:r>
    </w:p>
    <w:p>
      <w:pPr>
        <w:pStyle w:val="BookText"/>
        <w:rPr/>
      </w:pPr>
      <w:r>
        <w:rPr>
          <w:rFonts w:ascii="Amiri" w:hAnsi="Amiri" w:eastAsia="Amiri" w:cs="Amiri"/>
          <w:color w:val="111111"/>
          <w:sz w:val="28"/>
          <w:sz w:val="28"/>
          <w:szCs w:val="28"/>
          <w:rtl w:val="true"/>
          <w:lang w:bidi="ar-SA"/>
        </w:rPr>
        <w:t>النصف والربع ، فيشارك الفقير المالك في النصف من دينار أو ربعه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ومصرفه مصرف سائر الكفارات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فيه التعدد ، لإطلاق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برجحان التصدّق على عشرة مساكين ، لأنه أحد احتمالي رواية عبد الملك </w:t>
      </w:r>
      <w:r>
        <w:rPr>
          <w:rStyle w:val="FootnoteAnchor"/>
          <w:rtl w:val="true"/>
        </w:rPr>
        <w:footnoteReference w:id="2683"/>
      </w:r>
      <w:r>
        <w:rPr>
          <w:rFonts w:ascii="Amiri" w:hAnsi="Amiri" w:eastAsia="Amiri" w:cs="Amiri"/>
          <w:color w:val="111111"/>
          <w:sz w:val="28"/>
          <w:sz w:val="28"/>
          <w:szCs w:val="28"/>
          <w:rtl w:val="true"/>
          <w:lang w:bidi="ar-SA"/>
        </w:rPr>
        <w:t>، لم يكن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وطؤها بعد الطهر وقبل الغسل وفاقا للمعظم ، بل في الانتصار ، والسرائر ، وعن الخلاف ، والغنية </w:t>
      </w:r>
      <w:r>
        <w:rPr>
          <w:rStyle w:val="FootnoteAnchor"/>
          <w:rtl w:val="true"/>
        </w:rPr>
        <w:footnoteReference w:id="2684"/>
      </w:r>
      <w:r>
        <w:rPr>
          <w:rFonts w:ascii="Amiri" w:hAnsi="Amiri" w:eastAsia="Amiri" w:cs="Amiri"/>
          <w:color w:val="111111"/>
          <w:sz w:val="28"/>
          <w:sz w:val="28"/>
          <w:szCs w:val="28"/>
          <w:rtl w:val="true"/>
          <w:lang w:bidi="ar-SA"/>
        </w:rPr>
        <w:t xml:space="preserve">، وظاهر التبيان ، والمجمع ، والروض ، وأحكام الراوندي </w:t>
      </w:r>
      <w:r>
        <w:rPr>
          <w:rStyle w:val="FootnoteAnchor"/>
          <w:rtl w:val="true"/>
        </w:rPr>
        <w:footnoteReference w:id="2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لتعليق الاعتزال في الآية </w:t>
      </w:r>
      <w:r>
        <w:rPr>
          <w:rStyle w:val="FootnoteAnchor"/>
          <w:rtl w:val="true"/>
        </w:rPr>
        <w:footnoteReference w:id="2686"/>
      </w:r>
      <w:r>
        <w:rPr>
          <w:rFonts w:ascii="Amiri" w:hAnsi="Amiri" w:eastAsia="Amiri" w:cs="Amiri"/>
          <w:color w:val="111111"/>
          <w:sz w:val="28"/>
          <w:sz w:val="28"/>
          <w:szCs w:val="28"/>
          <w:rtl w:val="true"/>
          <w:lang w:bidi="ar-SA"/>
        </w:rPr>
        <w:t>على المحيض فينتفي بانتفائه ، لانتفاء المفهوم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لجعل غاية النهي عن المقاربة فيها الطهر في القراءات السبع فلا يحرم بعده ، لعدم ثبوت كون الطهر فيها ولو على قراءة التخفيف بمعنى انقطاع الدم ، فيجوز أن يراد به الحالة الحاصلة بعد الغسل وإن لم تثبت له الحقيقة الشرعية في الغسل عند نزول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ذلك ما ورد في الأخبار من أن غسل الحيض سنة </w:t>
      </w:r>
      <w:r>
        <w:rPr>
          <w:rStyle w:val="FootnoteAnchor"/>
          <w:rtl w:val="true"/>
        </w:rPr>
        <w:footnoteReference w:id="2687"/>
      </w:r>
      <w:r>
        <w:rPr>
          <w:rFonts w:ascii="Amiri" w:hAnsi="Amiri" w:eastAsia="Amiri" w:cs="Amiri"/>
          <w:color w:val="111111"/>
          <w:sz w:val="28"/>
          <w:sz w:val="28"/>
          <w:szCs w:val="28"/>
          <w:rtl w:val="true"/>
          <w:lang w:bidi="ar-SA"/>
        </w:rPr>
        <w:t>، أي لا يثبت وجوبه من الكتاب ، لأنّ تعليق جواز المقاربة على الغسل غير إيجابه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للأصل ، والمستفيضة كصحيحة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ينقطع عنها دم الحيض </w:t>
      </w:r>
    </w:p>
    <w:p>
      <w:pPr>
        <w:pStyle w:val="BookText"/>
        <w:rPr/>
      </w:pPr>
      <w:r>
        <w:rPr>
          <w:rFonts w:ascii="Amiri" w:hAnsi="Amiri" w:eastAsia="Amiri" w:cs="Amiri"/>
          <w:color w:val="111111"/>
          <w:sz w:val="28"/>
          <w:sz w:val="28"/>
          <w:szCs w:val="28"/>
          <w:rtl w:val="true"/>
          <w:lang w:bidi="ar-SA"/>
        </w:rPr>
        <w:t xml:space="preserve">في آخر أيامها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أصاب زوجها شبق فليأمرها فلتغسل فرجها ثمَّ يمسّها إن شاء قبل أن تغتسل </w:t>
      </w:r>
      <w:r>
        <w:rPr>
          <w:rFonts w:eastAsia="Amiri" w:cs="Amiri" w:ascii="Amiri" w:hAnsi="Amiri"/>
          <w:color w:val="111111"/>
          <w:sz w:val="28"/>
          <w:szCs w:val="28"/>
          <w:rtl w:val="true"/>
          <w:lang w:bidi="ar-SA"/>
        </w:rPr>
        <w:t xml:space="preserve">» </w:t>
      </w:r>
      <w:r>
        <w:rPr>
          <w:rStyle w:val="FootnoteAnchor"/>
          <w:rtl w:val="true"/>
        </w:rPr>
        <w:footnoteReference w:id="2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الحائض ترى الطهر فيقع عليها زوجها قبل أن تغتسل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وبعد الغسل أحب إليّ </w:t>
      </w:r>
      <w:r>
        <w:rPr>
          <w:rFonts w:eastAsia="Amiri" w:cs="Amiri" w:ascii="Amiri" w:hAnsi="Amiri"/>
          <w:color w:val="111111"/>
          <w:sz w:val="28"/>
          <w:szCs w:val="28"/>
          <w:rtl w:val="true"/>
          <w:lang w:bidi="ar-SA"/>
        </w:rPr>
        <w:t xml:space="preserve">» </w:t>
      </w:r>
      <w:r>
        <w:rPr>
          <w:rStyle w:val="FootnoteAnchor"/>
          <w:rtl w:val="true"/>
        </w:rPr>
        <w:footnoteReference w:id="2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ابن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انقطع الدم ولم تغتسل فليأتها زوجها إن شاء </w:t>
      </w:r>
      <w:r>
        <w:rPr>
          <w:rFonts w:eastAsia="Amiri" w:cs="Amiri" w:ascii="Amiri" w:hAnsi="Amiri"/>
          <w:color w:val="111111"/>
          <w:sz w:val="28"/>
          <w:szCs w:val="28"/>
          <w:rtl w:val="true"/>
          <w:lang w:bidi="ar-SA"/>
        </w:rPr>
        <w:t xml:space="preserve">» </w:t>
      </w:r>
      <w:r>
        <w:rPr>
          <w:rStyle w:val="FootnoteAnchor"/>
          <w:rtl w:val="true"/>
        </w:rPr>
        <w:footnoteReference w:id="2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ابن المغيرة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طهرت من الحيض ولم تمس الماء فلا يقع عليها زوجها حتى تغتسل ، وإن فعل فلا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تمس الماء أحب إليّ </w:t>
      </w:r>
      <w:r>
        <w:rPr>
          <w:rFonts w:eastAsia="Amiri" w:cs="Amiri" w:ascii="Amiri" w:hAnsi="Amiri"/>
          <w:color w:val="111111"/>
          <w:sz w:val="28"/>
          <w:szCs w:val="28"/>
          <w:rtl w:val="true"/>
          <w:lang w:bidi="ar-SA"/>
        </w:rPr>
        <w:t xml:space="preserve">» </w:t>
      </w:r>
      <w:r>
        <w:rPr>
          <w:rStyle w:val="FootnoteAnchor"/>
          <w:rtl w:val="true"/>
        </w:rPr>
        <w:footnoteReference w:id="2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وخلافا للفقيه في غير ما إذا كان الزوج مشبقا فحرّمه </w:t>
      </w:r>
      <w:r>
        <w:rPr>
          <w:rStyle w:val="FootnoteAnchor"/>
          <w:rtl w:val="true"/>
        </w:rPr>
        <w:footnoteReference w:id="2692"/>
      </w:r>
      <w:r>
        <w:rPr>
          <w:rFonts w:ascii="Amiri" w:hAnsi="Amiri" w:eastAsia="Amiri" w:cs="Amiri"/>
          <w:color w:val="111111"/>
          <w:sz w:val="28"/>
          <w:sz w:val="28"/>
          <w:szCs w:val="28"/>
          <w:rtl w:val="true"/>
          <w:lang w:bidi="ar-SA"/>
        </w:rPr>
        <w:t xml:space="preserve">، واستقواه في الروض </w:t>
      </w:r>
      <w:r>
        <w:rPr>
          <w:rStyle w:val="FootnoteAnchor"/>
          <w:rtl w:val="true"/>
        </w:rPr>
        <w:footnoteReference w:id="2693"/>
      </w:r>
      <w:r>
        <w:rPr>
          <w:rFonts w:ascii="Amiri" w:hAnsi="Amiri" w:eastAsia="Amiri" w:cs="Amiri"/>
          <w:color w:val="111111"/>
          <w:sz w:val="28"/>
          <w:sz w:val="28"/>
          <w:szCs w:val="28"/>
          <w:rtl w:val="true"/>
          <w:lang w:bidi="ar-SA"/>
        </w:rPr>
        <w:t>، للاستصحاب ، والآية مع قراءة التشديد</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كانت طامثا فرأت الطهر ، أيقع عليها زوجها قبل أن تغتسل؟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حتى تغتسل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امرأة حاضت في السفر ثمَّ طهرت فلم تجد ماء يوما أو اثنين ، أيحلّ لزوجها أن يجامعها قبل أن تغتسل؟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حتى تغتسل </w:t>
      </w:r>
      <w:r>
        <w:rPr>
          <w:rFonts w:eastAsia="Amiri" w:cs="Amiri" w:ascii="Amiri" w:hAnsi="Amiri"/>
          <w:color w:val="111111"/>
          <w:sz w:val="28"/>
          <w:szCs w:val="28"/>
          <w:rtl w:val="true"/>
          <w:lang w:bidi="ar-SA"/>
        </w:rPr>
        <w:t xml:space="preserve">» </w:t>
      </w:r>
      <w:r>
        <w:rPr>
          <w:rStyle w:val="FootnoteAnchor"/>
          <w:rtl w:val="true"/>
        </w:rPr>
        <w:footnoteReference w:id="2694"/>
      </w:r>
      <w:r>
        <w:rPr>
          <w:rFonts w:ascii="Amiri" w:hAnsi="Amiri" w:eastAsia="Amiri" w:cs="Amiri"/>
          <w:color w:val="111111"/>
          <w:sz w:val="28"/>
          <w:sz w:val="28"/>
          <w:szCs w:val="28"/>
          <w:rtl w:val="true"/>
          <w:lang w:bidi="ar-SA"/>
        </w:rPr>
        <w:t xml:space="preserve">ونحو آخرها موثّقة عبد الرحمن </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وموثّقة ابن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تحرم عليها الصلاة فتوضّأ من غير أن تغتسل ، فلزوجها أن يأتيها قبل أن تغتسل؟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حتى تغتسل </w:t>
      </w:r>
      <w:r>
        <w:rPr>
          <w:rFonts w:eastAsia="Amiri" w:cs="Amiri" w:ascii="Amiri" w:hAnsi="Amiri"/>
          <w:color w:val="111111"/>
          <w:sz w:val="28"/>
          <w:szCs w:val="28"/>
          <w:rtl w:val="true"/>
          <w:lang w:bidi="ar-SA"/>
        </w:rPr>
        <w:t xml:space="preserve">» </w:t>
      </w:r>
      <w:r>
        <w:rPr>
          <w:rStyle w:val="FootnoteAnchor"/>
          <w:rtl w:val="true"/>
        </w:rPr>
        <w:footnoteReference w:id="2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بالمعارضة مع استصحاب الجواز السابق على الحيض ، حيث لم يعلم المنع زائدا على أيام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بمعارضة القراءتين مع أرجحية التخفيف بالشهرة ، مضافا إلى أنّ إرادة غسل الفرج من التطهير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دلالة الأولى بل الأخيرة على الحرمة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حملها على الكراهة متعيّن بقرينة الأخبار السابقة ، فلا 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فالترجيح للأولى ، لمخالفتها لأكثر العامة ، كما نقلها جماعة من الخاصة </w:t>
      </w:r>
      <w:r>
        <w:rPr>
          <w:rStyle w:val="FootnoteAnchor"/>
          <w:rtl w:val="true"/>
        </w:rPr>
        <w:footnoteReference w:id="2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إطلاق الثانية ممّا لم يقل به أحد ممّن سبق ، حيث إنّ الصدوق استثنى الشبق ، فلا بدّ إمّا من تخصيصها أو حملها على الكراهة ، وليس الأول أولى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تسليم الجميع فغايته التعارض الموجب للرجوع إلى أصالة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يكره ذلك ، للإجماع على المرجوحية واشتهار الكراهة ، لا لقوله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دلالته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تزول الكراهة بغسل الفرج كما صرّح في السرائر </w:t>
      </w:r>
      <w:r>
        <w:rPr>
          <w:rStyle w:val="FootnoteAnchor"/>
          <w:rtl w:val="true"/>
        </w:rPr>
        <w:footnoteReference w:id="2698"/>
      </w:r>
      <w:r>
        <w:rPr>
          <w:rFonts w:ascii="IRNazanin" w:hAnsi="IRNazanin" w:eastAsia="IRNazanin"/>
          <w:color w:val="111111"/>
          <w:sz w:val="28"/>
          <w:sz w:val="28"/>
          <w:szCs w:val="28"/>
          <w:rtl w:val="true"/>
          <w:lang w:bidi="fa-IR"/>
        </w:rPr>
        <w:t>؟ الظاهر لا ، للأصل</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اشتراط زوال الحرمة به وعدمه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للمحكي عن الصدوق ، </w:t>
      </w:r>
    </w:p>
    <w:p>
      <w:pPr>
        <w:pStyle w:val="BookText"/>
        <w:rPr/>
      </w:pPr>
      <w:r>
        <w:rPr>
          <w:rFonts w:ascii="Amiri" w:hAnsi="Amiri" w:eastAsia="Amiri" w:cs="Amiri"/>
          <w:color w:val="111111"/>
          <w:sz w:val="28"/>
          <w:sz w:val="28"/>
          <w:szCs w:val="28"/>
          <w:rtl w:val="true"/>
          <w:lang w:bidi="ar-SA"/>
        </w:rPr>
        <w:t xml:space="preserve">وصريح الغنية </w:t>
      </w:r>
      <w:r>
        <w:rPr>
          <w:rStyle w:val="FootnoteAnchor"/>
          <w:rtl w:val="true"/>
        </w:rPr>
        <w:footnoteReference w:id="2699"/>
      </w:r>
      <w:r>
        <w:rPr>
          <w:rFonts w:ascii="Amiri" w:hAnsi="Amiri" w:eastAsia="Amiri" w:cs="Amiri"/>
          <w:color w:val="111111"/>
          <w:sz w:val="28"/>
          <w:sz w:val="28"/>
          <w:szCs w:val="28"/>
          <w:rtl w:val="true"/>
          <w:lang w:bidi="ar-SA"/>
        </w:rPr>
        <w:t xml:space="preserve">، وظاهر التبيان ، والمجمع ، وأحكام الراوندي </w:t>
      </w:r>
      <w:r>
        <w:rPr>
          <w:rStyle w:val="FootnoteAnchor"/>
          <w:rtl w:val="true"/>
        </w:rPr>
        <w:footnoteReference w:id="2700"/>
      </w:r>
      <w:r>
        <w:rPr>
          <w:rFonts w:ascii="Amiri" w:hAnsi="Amiri" w:eastAsia="Amiri" w:cs="Amiri"/>
          <w:color w:val="111111"/>
          <w:sz w:val="28"/>
          <w:sz w:val="28"/>
          <w:szCs w:val="28"/>
          <w:rtl w:val="true"/>
          <w:lang w:bidi="ar-SA"/>
        </w:rPr>
        <w:t>، لكن مخيّرا بينه وبين الوضوء ، فحكموا باشتراط أحد الأمرين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ذلك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ظاهر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الصحيحة </w:t>
      </w:r>
      <w:r>
        <w:rPr>
          <w:rStyle w:val="FootnoteAnchor"/>
          <w:rtl w:val="true"/>
        </w:rPr>
        <w:footnoteReference w:id="2701"/>
      </w:r>
      <w:r>
        <w:rPr>
          <w:rFonts w:ascii="Amiri" w:hAnsi="Amiri" w:eastAsia="Amiri" w:cs="Amiri"/>
          <w:color w:val="111111"/>
          <w:sz w:val="28"/>
          <w:sz w:val="28"/>
          <w:szCs w:val="28"/>
          <w:rtl w:val="true"/>
          <w:lang w:bidi="ar-SA"/>
        </w:rPr>
        <w:t xml:space="preserve">كون جواز المس معقبا لغسل الفرج ، وأيضا في خبر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الحائض ترى الطهر في السفر وليس معها من الماء ما يكفي لغسلها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يأتيها زوجها في تلك الحال؟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إذا غسلت فرجها وتيمّمت فلا بأس </w:t>
      </w:r>
      <w:r>
        <w:rPr>
          <w:rFonts w:eastAsia="Amiri" w:cs="Amiri" w:ascii="Amiri" w:hAnsi="Amiri"/>
          <w:color w:val="111111"/>
          <w:sz w:val="28"/>
          <w:szCs w:val="28"/>
          <w:rtl w:val="true"/>
          <w:lang w:bidi="ar-SA"/>
        </w:rPr>
        <w:t xml:space="preserve">» </w:t>
      </w:r>
      <w:r>
        <w:rPr>
          <w:rStyle w:val="FootnoteAnchor"/>
          <w:rtl w:val="true"/>
        </w:rPr>
        <w:footnoteReference w:id="2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لو دلّتا لدلّتا على شرطية غسل الفرج خاصة أو مع التيمّم ، ولا قائل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دلالة الأولى على عدم جوازه قبل غسل الفرج بمنطوق ولا مفهوم ، والجواز عقيبه لا يدلّ على عدمه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الثانية أيضا ، إذ ثبوت البأس قبله يمكن أن لا يكون للوطء قبله واشتراطه به ، بل لتركه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هو واجبا نفسيا وإن لم يشترط به جواز الوطء كما اختاره بعض الأجلّة حاكيا له عن ظاهر الأكثر </w:t>
      </w:r>
      <w:r>
        <w:rPr>
          <w:rStyle w:val="FootnoteAnchor"/>
          <w:rtl w:val="true"/>
        </w:rPr>
        <w:footnoteReference w:id="2703"/>
      </w:r>
      <w:r>
        <w:rPr>
          <w:rFonts w:ascii="Amiri" w:hAnsi="Amiri" w:eastAsia="Amiri" w:cs="Amiri"/>
          <w:color w:val="111111"/>
          <w:sz w:val="28"/>
          <w:sz w:val="28"/>
          <w:szCs w:val="28"/>
          <w:rtl w:val="true"/>
          <w:lang w:bidi="ar-SA"/>
        </w:rPr>
        <w:t xml:space="preserve">، وتشعر به عبارة القواعد </w:t>
      </w:r>
      <w:r>
        <w:rPr>
          <w:rStyle w:val="FootnoteAnchor"/>
          <w:rtl w:val="true"/>
        </w:rPr>
        <w:footnoteReference w:id="2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المختار ، للأمر به في الصحيحة ، فإنّ الأمر بالأمر بشي‌ء يدلّ على وجوبه ، وإثبات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في خبر الحذاء</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أن يكون مستحبا بنفسه ، كما عن صريح المعتبر ، والمنتهى ، والتحرير ، والذكرى ، والبيان </w:t>
      </w:r>
      <w:r>
        <w:rPr>
          <w:rStyle w:val="FootnoteAnchor"/>
          <w:rtl w:val="true"/>
        </w:rPr>
        <w:footnoteReference w:id="2705"/>
      </w:r>
      <w:r>
        <w:rPr>
          <w:rFonts w:ascii="Amiri" w:hAnsi="Amiri" w:eastAsia="Amiri" w:cs="Amiri"/>
          <w:color w:val="111111"/>
          <w:sz w:val="28"/>
          <w:sz w:val="28"/>
          <w:szCs w:val="28"/>
          <w:rtl w:val="true"/>
          <w:lang w:bidi="ar-SA"/>
        </w:rPr>
        <w:t xml:space="preserve">، للأصل ، وخلوّ أكثر الأخبار المجوّزة الواردة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مقام الحاجة عنه ، فلو وجب غسله لزم تأخير البيان عن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عن خلوّ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كونها في مقام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التأخير إنّما يلزم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يعدمها </w:t>
      </w:r>
      <w:r>
        <w:rPr>
          <w:rFonts w:eastAsia="Amiri" w:cs="Amiri" w:ascii="Amiri" w:hAnsi="Amiri"/>
          <w:color w:val="111111"/>
          <w:sz w:val="28"/>
          <w:szCs w:val="28"/>
          <w:rtl w:val="true"/>
          <w:lang w:bidi="ar-SA"/>
        </w:rPr>
        <w:t xml:space="preserve">) </w:t>
      </w:r>
      <w:r>
        <w:rPr>
          <w:rStyle w:val="FootnoteAnchor"/>
          <w:rtl w:val="true"/>
        </w:rPr>
        <w:footnoteReference w:id="2706"/>
      </w:r>
      <w:r>
        <w:rPr>
          <w:rFonts w:ascii="Amiri" w:hAnsi="Amiri" w:eastAsia="Amiri" w:cs="Amiri"/>
          <w:color w:val="111111"/>
          <w:sz w:val="28"/>
          <w:sz w:val="28"/>
          <w:szCs w:val="28"/>
          <w:rtl w:val="true"/>
          <w:lang w:bidi="ar-SA"/>
        </w:rPr>
        <w:t>البيان وهو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زمان الاستظهار زمان الحيض استصحابا ، فلا يجوز الوطء فيه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أيضا قوية مالك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النفساء يغشاها زوجها وهي في نفاسها من الدم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إذا مضى بها منذ وضعت بقدر أيام عدة حيضها ثمَّ تستظهر بيوم فلا بأس بعد أن يغشاها زوجها ، يأمرها فتغتسل ثمَّ يغشاها إن أحبّ </w:t>
      </w:r>
      <w:r>
        <w:rPr>
          <w:rFonts w:eastAsia="Amiri" w:cs="Amiri" w:ascii="Amiri" w:hAnsi="Amiri"/>
          <w:color w:val="111111"/>
          <w:sz w:val="28"/>
          <w:szCs w:val="28"/>
          <w:rtl w:val="true"/>
          <w:lang w:bidi="ar-SA"/>
        </w:rPr>
        <w:t xml:space="preserve">» </w:t>
      </w:r>
      <w:r>
        <w:rPr>
          <w:rStyle w:val="FootnoteAnchor"/>
          <w:rtl w:val="true"/>
        </w:rPr>
        <w:footnoteReference w:id="27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11612_111131"/>
      <w:bookmarkStart w:id="156" w:name="pg11612_111131"/>
      <w:bookmarkEnd w:id="156"/>
    </w:p>
    <w:p>
      <w:pPr>
        <w:pStyle w:val="Heading2"/>
        <w:numPr>
          <w:ilvl w:val="1"/>
          <w:numId w:val="1"/>
        </w:numPr>
        <w:rPr/>
      </w:pPr>
      <w:bookmarkStart w:id="157" w:name="pg11612_111131"/>
      <w:bookmarkStart w:id="158" w:name="__RefHeading___Toc5524421_73709187"/>
      <w:bookmarkStart w:id="159" w:name="_Toc59"/>
      <w:bookmarkEnd w:id="157"/>
      <w:bookmarkEnd w:id="158"/>
      <w:r>
        <w:rPr>
          <w:rtl w:val="true"/>
        </w:rPr>
        <w:t>فهرس الموضوعات</w:t>
      </w:r>
      <w:bookmarkEnd w:id="159"/>
    </w:p>
    <w:p>
      <w:pPr>
        <w:pStyle w:val="BookText"/>
        <w:rPr/>
      </w:pPr>
      <w:r>
        <w:rPr>
          <w:rFonts w:ascii="IRNazanin" w:hAnsi="IRNazanin" w:eastAsia="IRNazanin"/>
          <w:color w:val="111111"/>
          <w:sz w:val="28"/>
          <w:sz w:val="28"/>
          <w:szCs w:val="28"/>
          <w:rtl w:val="true"/>
          <w:lang w:bidi="fa-IR"/>
        </w:rPr>
        <w:t>الوضوء</w:t>
      </w:r>
    </w:p>
    <w:p>
      <w:pPr>
        <w:pStyle w:val="BookText"/>
        <w:rPr/>
      </w:pPr>
      <w:r>
        <w:rPr>
          <w:rFonts w:ascii="IRNazanin" w:hAnsi="IRNazanin" w:eastAsia="IRNazanin"/>
          <w:color w:val="111111"/>
          <w:sz w:val="28"/>
          <w:sz w:val="28"/>
          <w:szCs w:val="28"/>
          <w:rtl w:val="true"/>
          <w:lang w:bidi="fa-IR"/>
        </w:rPr>
        <w:t xml:space="preserve">نواقض الوضوء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ناقضية البول والغائط والريح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حكم الخروج من الموضع غير الطبيعي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ناقضية النوم الغالب على السمع والعقل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ناقضية كل مزيل للعقل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اشتراط العلم بتحقق الناقض</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ما اختلف في ناقضيته للوضوء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تقبيل المرأة ومس الفرجين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القهقهة في الصلاة والحقنة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الدم الخارج من السبيلين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مس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يستحب له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الوضوء الواجب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وجوب الوضوء للصلاة والطواف الواجبين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وجوب الوضوء لمس خط المصحف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وجوب الوضوء بالنذر وشبهه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الوضوء واجب 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الوضوء المستحب باعتبار الغاية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للصلاة المندوبة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لصلاة الجنازة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للطواف المندوب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لمناسك الحج الغير المشترطة فيها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لمس كتابة المصحف وتلاوته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لدخول المساجد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للكون على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للتأهب للفريضة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الوضوء التجديدي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لطلب الحاجة وزيارة قبور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للنوم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لذكر الحائض وتغسيل الجنب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لإدخال الميت في القبر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لوطء جارية بعد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لجماع المحتلم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لدخول المرأة على زوجها ليلة زفافها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لجلوس القاضي في مجلس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لتكفين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قبل الأغسال المسنونة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الوضوء الرافع لكراهة بعض المباحات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واجبات الوضوء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اعتبار قصد القربة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ما يتحقق به قصد القربة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وجه عدم اعتبار النية في الطهارة عن الخبث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وجوب اشتمال النية على قصد ما لا يتحقق إلا بالقصد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الكلام في اعتبار التمييز في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الكلام في اعتبار قصد الوجه في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الكلام في اعتبار نية الاستباحة والرفع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اعتبار الخلوص في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بطلان العمل الريائي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حكم سائر الضمائم غير الرياء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عدم اعتبار الإخطار في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معنى الاستدامة الحكمية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معنى مقارنة النية لأول جزء من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فروع في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وجوب غسل الوجه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المراد من القصاص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وجوب استيعاب الوجه بالغسل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حكم تخليل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حكم المجدور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وجوب الابتداء بالأعلى</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جواز غسل الوجه بكل من اليدين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وجوب غسل اليدين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معنى المرفق</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وجوب الابتداء بالمرفق</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حكم مقطوع 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حكم من بيده زائدة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وجوب إيصال الماء تحت الخاتم ونحوه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حكم غسل شعر 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حكم غسل الأظفار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وجوب مسح الرأس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القدر الواجب في مسح الرأس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وجوب مسح مقدم الرأس</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كفاية المسح على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عدم جواز المسح على الحائل</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وجوب مسح الرجلين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القدر الواجب في مسح الرجلين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عدم وجوب إدخال الكعبين في المسح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عدم جواز المسح على الحائل</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جواز المسح على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وجوب المسح بنداوة اليدين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جواز أخذ البلل من سائر الأعضاء مع جفاف 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حكم نداوة محل المسح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هل يجب المسح بباطن الكف؟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حكم النكس في المسح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عدم إجزاء الغسل بدل المسح</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حكم مقطوع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وجوب الترتيب بين أفعال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الترتيب بين الرجلين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وجوب الموالاة الشرعية في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عدم اعتبار الموالاة العرفية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حكم جفاف بعض الأعضاء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بطلان الوضوء بالجفاف الناشئ من التأخير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عدم بطلان الوضوء بالتأخير من غير جفاف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وجوب مباشرة المكلف أفعال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جواز تولية الغير أفعال الوضوء في حال الاضطرار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ما يشترط في ماء الوضوء ومكانه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مستحبات الوضوء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 الإناء على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الاغتراف باليمين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الغسل والمسح باليمين إلا الرجل اليسرى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التسمية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غسل اليدين قبل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المضمضة والاستنشاق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تثنية الغسلات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بدأة الرجل بظاهر ذراعيه والمرأة بباطنهما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إسباغ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السواك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فتح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إمرار اليد بالغسل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مكروهات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في صب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التمندل</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نفض 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التوضؤ من إناء فيه تماثيل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الوضوء في المسجد عن البول والغائط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التوضؤ ببعض المياه المكروه استعمالها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أحكام 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الغسلة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حكم الغسلة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حكم تكرار المسح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حكم تثنية بعض الأعضاء وتثليثه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اعتبار مسمى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وضوء ذي الجبيرة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فروع في وضوء ذي الجبيرة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كفاية وضوء واحد لجميع غاياته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حرمة مس كتابة القرآن على المحدث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فروع في مس المحدث كتابة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حكم المسلوس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حكم المبطون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حكم تيقن الطهارة والشك في الحدث وبالعكس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حكم تيقن الطهارة والحدث والشك في المتأخر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حكم الإخلال ببعض أجزاء الوضوء وشرائطه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حكم الشك في أفعال الوضوء قبل الفراغ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حكم كثير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حكم الشك في أفعال الوضوء بعد الفراغ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حكم ترك الاستنجاء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حكم ما لو تذكر الإخلال بالوضوء بعد الصلاة وفي أثنائها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حكم ما لو تذكر الإخلال بأحد الوضوءين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ما لو تذكر وقوع الحدث بعد أحد الوضوءين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غسل الجنابة</w:t>
      </w:r>
    </w:p>
    <w:p>
      <w:pPr>
        <w:pStyle w:val="BookText"/>
        <w:rPr/>
      </w:pPr>
      <w:r>
        <w:rPr>
          <w:rFonts w:ascii="Amiri" w:hAnsi="Amiri" w:eastAsia="Amiri" w:cs="Amiri"/>
          <w:color w:val="111111"/>
          <w:sz w:val="28"/>
          <w:sz w:val="28"/>
          <w:szCs w:val="28"/>
          <w:rtl w:val="true"/>
          <w:lang w:bidi="ar-SA"/>
        </w:rPr>
        <w:t xml:space="preserve">أسباب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حقيقة المني وأوصافه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ايجاب خروج المني للجنابة ولو مع فقد الأوصاف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حكم إنزال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حكم اشتباه الخارج والرجوع إلى الأوصاف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عدم وجوب الغسل بالخارج من غير الطبيعي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حكم الخارج من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لو رأى الاحتلام ولم يجد البلل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لو وجد المني في ثوبه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حكم واجد المني في الثوب المشترك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الموجب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حكم الواطئ في الدبر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حكم الموطوء في دبره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حكم وطئ الميت والنائم والوطئ بآلة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حكم وطء الخنثى وغير البالغ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حكم وطئ الكافر وإنزاله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أحكام الجنب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حرمة الصلاة والطواف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حرمة قراءة العزائم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حرمة مس كتابة المصحف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حكم مس أسماء اللّه سبحانه والأنبياء والأئمة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حرمة اللبث في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الاجتياز في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المشاهد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حرمة وضع شئ في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حرمة الاجتياز في المسجدين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كراهة الأكل والشرب حال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مزيل كراهة الأكل والشرب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كراهة قراءة غير العزائم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كراهة حمل المصحف وتعليقه ومس ما عدا 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كراهة النوم حال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مزيل كراهة النوم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كراهة الخضاب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كراهة الادهان والجماع حال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غايات غسل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الغسل واجب 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واجبات الغسل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وجوب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وجوب غسل البشرة واستيعابها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وجوب تخليل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حكم غسل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وجوب غسل الظفر والعضو الزائد</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حكم غسل البواطن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وجوب المباشرة في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ما يشترط في ماء الغسل ومكانه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وجوب الترتيب بين الرأس والجسد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هل العنق داخل في الرأس؟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حكم الترتيب بين الأيمن والأيسر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وجوب الابتداء بالأعلى</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حكم السرة والعورتين من جهة الترتيب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حكم الإخلال بالترتيب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الغسل الارتماسي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الغسل تحت المطر</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مستحبات غسل الجنابة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إمرار 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البول قبل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الاستبراء باليد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غسل اليدين قبل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المضمضة والاستنشاق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الغسل بصاع من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المبالغة في إيصال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تثليث الغسلات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أحكام الغسل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البلل الخارج بعد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حكم تخلل الحدث الأصغر في أثناء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حكم تخلل الحدث الأصغر في أثناء غسل غير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تخلل الحدث في أثناء الغسل الارتماسي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كفاية غسل الجنابة عن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هل يكفي سائر الأغسال عن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هل يجب تطهير المحل قبل إجراء ماء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كراهة الغسل الارتماسي في الماء الراكد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كفاية الغسل الواحد عن المتعدد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سقوط الوضوء في سائر الأغسال إذا اتحد مع غسل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غسل الحيض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دم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عدم حيضية ما تراه قبل البلوغ أو بعد اليأس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سن اليأس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المراد من القرشية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صفات دم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تمييز دم الحيض عن دم العذرة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تمييز دم الحيض عن دم القرحة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أقل الحيض وأكثره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اشتراط التوالي في ثلاثة 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أقل الطهر وأكثره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اجتماع الحيض مع الحبل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قاعدة الإمكان في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أقسام النساء بلحاظ التحيض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مبدأ تحيض المبتدأة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حكم الدم الذي تراه في العشرة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حكم تجاوز دم المبتدأة عن العشرة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فاقدة التمييز ترجع إلى أقاربها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حكم فقد الأقارب أو اختلافها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أحكام ذات العادة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بماذا تتحقق العادة؟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تحيض ذات العادتين بمجرد رؤية الدم في زمان العادة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حكم رؤية الدم قبل العادة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حكم رؤية الدم متأخرا عن العادة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حكم انقطاع دم ذات العادتين على العدد أو الأقل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تجاوز دمها عن العدد ومشروعية الاستظهار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وجوب الاستظهار أو استحبابه</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عدم اعتبار صفات الحيض في ثبوت الاستظهار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حكم أيام الاستظهار وما بعدها مع التجاوز عن العشرة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حكم تجاوز الدم عن العشرة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حكم تعارض العادة والصفة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أحكام ذات العادة العددية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أقسام الناسية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حكم تجاوز الدم عن العشرة في الناسية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أحكام الحائض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الاستبراء إذا انقطع دمها قبل العشرة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وجوب الغسل بعد الاستبراء لمشروط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حرمة الصلاة والصوم والطواف على الحائض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حرمة مس كتابة المصحف واللبث في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جواز الاجتياز في المساجد عدا المسجدين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حرمة وضع شيء في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حرمة قراءة العزائم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وجوب قضاء الصوم عليها دون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وجوب سجود العزيمة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استحباب التوضؤ عند وقت كل صلاة وذكر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كراهة قراءة ما عدا العزائم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كراهة الخضاب وحمل المصحف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اشتراط صحة صومها بالاغتسال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هل يصح من الحائض الأغسال المسنونة وغسل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حكم طرو الحيض بعد دخول وقت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حكم طهارتها في آخر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حرمة وطء الحائض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حجية قول المرأة في دعوى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حكم الاستمتاع بما عدا القبل في حال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وجوب الكفارة في وطء الحائض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كفارة وطء الأمة الحائض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معنى أول الحيض ووسطه وآخره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معنى الدينار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مصرف الكفارة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وطء الحائض بعد الطهر وقبل الاغتسال</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نقله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بهاتين الروايتين وبالإجماع يخصّص عموم صحيحة زرارة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يوجب الوضوء إلا غائط </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يترك</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الوحيد البهبهاني في شرح المفاتيح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المفاتيح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وصاحبا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نسبه في 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لاستقامة المعنى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نقل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 ولم نعثر عليه فيه نعم في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ناقضية النوم إذا ذهب العقل ، من دين الإمامية ، وروى في الخصال في حديث شرائع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ينقض الوضوء الا البول والريح والنوم والغائط والجنابة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كلاما عن علي بن بابويه في ذلك</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المسألة الرابعة من الفصل الخامس من التيمم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فيه ، ولكن نقل عنه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عده من دين الإمامية ، نعم ربما يستفاد من كلامه في المجالس حيث إنه عدّ من دين الإمامية ناقضية النوم المزيل للعقل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 للشافعي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المسألة من البحث السادس من غسل الجنابة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الألفية للشهيد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في كتب المحقق على دعوى المعروفية من مذهب الأصحاب ولم ينسب إليه في كتب المتأخرين ، والمظنون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المحقق والكركي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يؤيده تقديم التذكرة عليه في الذكر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أصالة عدم وجوبه لأجل نفسه لوفاق الكل على وجوبه لغيره أو عدم وجوبه في غير وقت وجوب مشروط الطهارة إن قلنا بعدم تحقق الوجوب الغيري قبل وقت الغير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يتعيّن الإرادة المتصلة لكونها أقرب المجازات ، بل قيل بعدم إمكان إرادة القيام منه إطلاقا لاسم السبب على المسبب ، إذ لا بدّ من إرادة الصلاة من القيام أيضا لعدم وجوبه لجزء الصلاة بل لنفسها ، فيلزم استعمال لفظ في استعمال واحد في مجازين بعلاقتين متغايرتين وهو غير جائز</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ذلك القاضي أبو بكر العنبري وذكر محقق الكتاب 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 أبو بكر العربي فراجع</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المشارق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الوضوء ، غيّرناه لاستقامة المعنى ، وهو متعلق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 المصحف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التأكد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تمام الرواية في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فيه ، بل وجدناه في 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به في 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الطهارة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صلاة 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تجديد الوضوء مطلقا ولو مع عدم إرادة الصلاة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ملحق بحديث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استيقنت انك قد أحدثت فتوضأ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الوضوء التجديدي الذي يستحب ولو مع عدم إرادة الصلاة ، استحبابه مطلق غير مقيد بالمرّة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أظفر لخصوصه بنصّ</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أردت أن تغسل ميتا وأنت جنب </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بعض المتأخرين لم يحكم باستحباب الوضوء لجماع الغاسل للميت على نحو الإطلاق بل خصصه بما إذا كان جنبا ، أخذا بظاهر السؤال في حسنة شهاب حيث إنّ الضمير في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غسل ميتا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الى 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الرضوي كاف في إثبات التعميم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والإماء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هذه الرواية هي التي سيتعرض لها المصنف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للمروي في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الاستدلال بها من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النكاح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النفلية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الأغسال المسنونة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ابن سعيد في 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مقنع الصدوق ، ولكنا لم نعثر عليها فيه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والصواب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الوحيد البهبهاني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الايمان والكفر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الايمان والكفر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الايمان والكفر 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الايمان والكفر 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الايمان والكفر 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الايمان والكفر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بإتيانه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يطلب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الايمان والكفر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الايمان والكفر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الايمان والكفر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الايمان والكفر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الايمان والكفر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الوصايا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والصدقات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الايمان والكفر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الصلوات المندوبة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فيه الزكاة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الصدقة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اشتهرت في كلماتهم نسبة هذا القول اليه ، ويمكن ان يستفاد من مواضع من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ويستفاد أيضا من العلامة في أجوبة المسائل المهنائية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وادعوه خوفا وطمعا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وحاشيته للوحيد البهبهاني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كغسل الثوب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بمعنى كفاية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جميع النسخ والمظنون انه 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جمال الدين بن طاوس كما نقل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رواية لزرارة بهذا المضمون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رواية يونس بن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الحاكي للوضوء</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استفادته من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الإشارة إلى مصادر الأقوال في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مقام حكاية الاستدلال على وجوب القصد إلى الاستباحة والرفع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لافتراقهما معنى ، ووجودا في دائم الحدث والمتيمم ، لاستباحتهما خاصة ، والحائض لرفع غسلها الأكبر من غير استباحة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المحقق القمي في 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وبأن الرفع والاستباحة قد يتفارقان في غسل الحائض بدون الوضوء ، والمتيمم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وبالتأمل في هاتين العبارتين يظهر قصور عبارة المتن ، والأنسب تبديل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بالغسل ، حتى يكون موردا لانفكاك الاستباحة عن الرفع كما أن التيمم مورد لانفكاك الرفع عن الاستباحة فتدبر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الايمان والكفر 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الايمان والكفر 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الايمان والكفر 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الايمان والكفر 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الايمان والكفر 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بالصحة والضمير راجع إليها ، 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والتفصيل بالصحة ان كانت القربة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من الأوّل كون متعلق الضميمة نفس الماهية أو جزأها أو شرطها أو وصفها المطلوبة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ما إذا كان كل منهما جزء السبب</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إذا لم يكن التقرّب باعثا أصليا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وصلية ، والأنسب تغيير 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حينئذ وإن أمكن الاستناد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الايمان والكفر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إذا كان متعلق الضميمة الخصوصيات والأوصاف غير اللازمة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ينضم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وجوب التذكر للفعل فقط</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عدم الانتقال من النية إلى مخالفها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هذا الإشكال من 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ما ذكره العلامة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نية الصلاة يجب أن تكون محصورة بين الألف والراء في تكبيرة الإحرام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الوسيلة لأمير المؤمنين عليه السلام ، بتفاوت يسير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صاحبا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الوحيد البهبهاني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للتردد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للوحيد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للوحيد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للوحيد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البهائي في 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فسّره به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فسّره به في 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الصدغ ، ومواضع التحذيف ، والعذار ، والعارض</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خروجه مطلقا أو في الجملة إجماعي</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شرح المفاتيح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والثاني في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يستدل على الوجوب ببلوغ الإبهام والوسطى بهما فيكونان داخلين في تحديد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وضعفه ظاهر ، فإن ذلك إنما يعتبر في وسط التدوير من الوجه خاصة وإلاّ لوجب غسل كل ما نالته الإبهام والوسطى وان تجاوز العارض وهو باطل إجماعا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الوحيد البهبهاني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الشهيدين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 جميع الفقهاء على وجوب غسل البشرة الظاهرة خلال الشعر ، وصرّح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بوجود الخلاف فيه ، وفي المشارق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موردا للخلاف بين الأصحاب ، واستظهر من الشيخ والمحقق والعلامة القول بعدم وجوبه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عدم تطابق المتون الثلاثة التي أوردها المصنف مع ما أشار إليه في المقام بحسب الترتيب ، فالمتن الأول صحيحة زرارة ، والثاني صحيحة محمّد بن مسلم والثالث رواية زرارة ، فلاحظ</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وجوب التخليل في بعض أفراد الخفيفة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صرّح بوجوب التخليل فيها 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واختاره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والمشارق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شعيرات بين الشفة السفلى والذقن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هدب العين ، بضم الهاء وسكون الدال وبضمّتين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نبت من الشعر على أشفارها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يخفى انّه لم يصرّح فيهما بعدم الاستحباب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استظهاره بملاحظة عدم ذكرهما التخليل في عداد المستحبات ، ولهذا قال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ظاهر النفلية والبيان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وأطبق الجمهور على الاستحباب ، وراجع المغني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والمهذّب للشيرازي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نسبه إليهم في 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ونفى عنه البعد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ويظهر الميل إليه في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واستظهره في المشارق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الشهرة بين الأصحاب والتكليف اليقيني بالغسل انما يقتضيان ملازمة الاحتياط</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صحيحة لزرارة بهذا المضمون ، والآتية هي صحيحة علي بن جعفر كما في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ذكر سوى الآية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وان قال بعدم وجوب البدء بالأعلى في غسل الوجه ولكن قال بوجوبه 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بغسل اليدين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كفاية الأحكام ولا في التهذيب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فيه استحباب غسل موضع القطع ، 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للوفاق ، إشارة إلى دليل الحكم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فيهما على دعوى الإجماع</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وكذا يجب غسل ما تحت الشعر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مناقشة في الاستدلال الذي أشار إليه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استنادا الى وجوب غسل كل جزء</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كالقواعد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المشكاة عدم وجوب غسلها على إشكال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المشكاة للسيّد بحر العلوم كما يستفاد من 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والأفضل ان يكون مقدار الممسوح ثلاث أصابع مضمومة ويجزي مقدار إصبع واحدة بالإجماع المذكور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تبصرة المتعلّمين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الأول في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مسح مقدم الرأس بمسماه وهو بإطلاقه يدل على الاجتزاء بأقل من إصبع ولهذا قال الثاني في شرحها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ولو يجزئ من إصبع واما كلماته في الدروس والبيان والذكرى فلا تفيد الاجتزاء بالأقل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من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تفيد العكس</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الأردبيلي في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وصاحبا 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الوحيد البهبهاني في شرح المفاتيح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تظهر النسبة من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المفاتيح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لاستقامة المعنى</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كلام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استدل بإطلاق الآية على إجزاء الإصبع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يلزم على ذلك ما دون الإصبع ، لأنّا لو خلّينا والظاهر لقلنا ذلك ، ولكن السنّة منعت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كلام الراوندي في 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 عليه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قبل سطور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يجمع بينهما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 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والى هذا القول يميل المحدّث الأمين الأسترآبادي</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اليوم والليلة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النفلية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والموجود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مسح مقدم الرأس بمسماه ولا يحصل بأقل من إصبع وقيل ثلاث مضمومة للمختار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مجمل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المفاتيح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المحدّث الكاشاني في 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المفردات في غريب القرآن للراغب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ابي عقيل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صاحبا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الكلمات التي حكاها عن المتقدمين وقال إنها محتملة للمعاني الثلاثة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حمل الكلمات المحتملة ، على المعنى الثاني وهو 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أرجعه إلى مختاره وهو المعنى الثالث أي العظم الواقع في ملتقى الساق والقدم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بهما الثاني والثالث فان المفصل والعظم الواقع في ملتقى الساق والقدم متحدان بحسب المحل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التقييد به لان المفصل من حيث هو غير العظم المذكور الا أن موضعهما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التقييد به لان المفصل من حيث هو غير العظم المذكور الا أن موضعهما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الأثيرية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القائلون بالقول الثاني والثالث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والشيخ البهائي ومن تبعهما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موجود في نوادر أحمد بن محمد بن عيسى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عليه السلام ،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البهائي في 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وبه جزم المحدّث الكاشاني في 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ونفى عنه البعد صاحب رياض المسائل وحياض الدلائل ولا يخفى أن الموجود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المراد به ما يجوّز المسح على نفس النعل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معتبرة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شيخه صاحب الرياض المسائل</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الوحيد البهبهاني في شرح المفاتيح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نجده في الألفية والمظنون انها تصحيف النفلية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المخالف هو ابن الجنيد كما سيأتي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ومسائل الميافارقيات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 المصدر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جميعها في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عن والده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الدليل للقول الأوّل</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الدليل للقول الثالث</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تقدير صحة ما في المتن فلعلها إشارة إلى نفس الصحيحة حيث انها رويت بسندين أحدهما مشتمل على إبراهيم بن هاشم ، ولأجله تعد حسنة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الثاني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الإشارة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ابن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سهل ،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الوضوء ، والضمير الأوّل راجع إلى الترتيب والثاني راجع إلى الجفاف ، فالمراد أنه مع عدم الجفاف لا يعيد الوضوء بل يعيد ما يحصل به الترتيب</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 ما بعده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غسل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غسل اليدين يحصل الترتيب بإعادة غسل اليدين ولا حاجة إلى إعادة غسل الوجه ، نعم لو بدأ بغسل اليدين ولم يغسل وجهه فاللازم عليه أن يغسله مقدما ثمَّ يغسل اليدين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بابويه 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ابن أبي عقيل وابن الجنيد حكاه عنهما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الحر العاملي في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وبداية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شرح المفاتيح للوحيد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وعن الإسكافي 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وجدناه من كلامهما مما يشعر به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نقله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الألفية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فيحمل</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والراوندي في 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ادعاه 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الكامل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الإسكافي بل المعتبر لنداوة الأقرب لا يسلّمه البتة ، وإن سلّمه فهذا لا يصلح دليلا لأنّه يكون مستثنى عن محل النزاع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الإشارة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الرسالة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مدينة العلم للصدوق</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تبعض</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متشابهة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أنسب</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الأولى</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القائلين به 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مضمونه في 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بأي الرجلين يبدأ بالغسل</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الثاني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في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الى المشهور في 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وغسل اليدين من الزند مرة من النوم والبول والغائط والمشهور فيه مرتان ،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عدم معارضة الذيل للإطلاق</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المراد انه لو كان الذيل مشتملا على ما يوجب التقييد يتعارض مع صدره حيث ان صدره مصرّح بغسل اليد ولو مع العلم بعدم الملاقاة للنجس</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وكالمحقق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الفيروزآبادي في 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نهاية الإحكام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فيها دعوى الإجماع</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موجودة في مجالس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وليست في مجالس أبي علي وهو ابن الشيخ ، ورواها في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مجالس أبي علي ، وكثيرا ما يرى مثل هذه النسبة أو عكسها ، انظر لتوضيح الحال مقدمة مجالس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للعلامة المرحوم السيد محمّد صادق آل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على الرواية في النهج</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السواك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الإشارة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أنسب</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النقلية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الصيام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 اختيار ابن الباقي في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وتبدأ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الوضوء بباطن الذراع والرجل بظاهره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أضفناها لاقتضاء سياق البحث كما يظهر من ملاحظة الروايات التي استدل بها وما أفاد في المتن حولها ، وانظر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السواك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السواك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السواك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السواك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السواك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المصدر</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السواك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السواك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السواك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السواك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العشرة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للوضوء</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26934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يظهر ذلك من الوحيد البهبهاني في حاشية 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إرشاد المفيد وخرائج الراوندي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عليها</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البزنطي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الطهارة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لسعد بن عبد اللّه نقل عنه في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ووجدناها في 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ولا يخفى أن المراد بها رواية ابن بكير المتقدمة وهي ليست بموثقة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لم يعبر عنها المصنّف بهذا الوصف فيما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لاشتمالها على زياد بن مروان القندي ، والظاهر ان الكلمة مصحفة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المتقدمة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في فقه الإمام الشافعي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ويستفاد من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الأوّل ، اعتبار الجري ، والمراد من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 في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أقلّ الجري ولو بمثل التدهين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عليه في المقنعة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للإطلاقات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قوله الآتي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ولمرسلة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ريح وثلج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قبل سطور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بتخصيص أوّل الإطلاقين </w:t>
      </w:r>
      <w:r>
        <w:rPr>
          <w:rFonts w:eastAsia="IRNazanin" w:cs="IRNazanin"/>
          <w:b w:val="false"/>
          <w:bCs w:val="false"/>
          <w:i w:val="false"/>
          <w:iCs w:val="false"/>
          <w:color w:val="333333"/>
          <w:sz w:val="20"/>
          <w:szCs w:val="20"/>
          <w:rtl w:val="true"/>
        </w:rPr>
        <w:t>..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 ولعلّ المناسب تغيير 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هذا فتقييدها بحالة الإضطرار بالإجماع ، ليس بأولی من تقييدها بالبلّ المشتمل علی الجري المتضمن مع الغسل ، و إبقاء الحالة علی عمومها</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للإطلاقات</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صحيحة الحلبي المتقدمة في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للإطلاقات</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مرسلة الكليني المتقدمة في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النزع إن أمكن والا فيمسح على الجبائر ، نعم يستحب في صورة عدم إمكان النزع وضع موضع الجبيرة في الماء</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وجوب النزع إن أمكن والا فالمسح عليها ولم يذكر الوضع ولا التكرير</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الجميع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اغسل ما حوله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بصورة الأمر</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مبتدأ مؤخر وخبره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التخيير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الثاني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الجوهري في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حسنة الحلبي المتقدمة في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حسنة الحلبي المتقدمة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حسنتي كليب والوشاء المتقدمتين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الوحيد البهبهاني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بنصه ، وقد يستفاد مضمونه مما ورد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المتعة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ان يكون وجه النسبة إلى الكليني نقله رواية تدل على النهي عن مسّ الكتاب من دون الوضوء ، فلاحظ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ويكره للمحدث مسّ كتابة المصحف</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الخبر المروي في مجمع البيان المتقدم في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الدرة النجفية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النجفية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لاستقامة العبارة</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تيقن الطهارة وتيقن الحدث</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مضافا في الأوّل يعني به تيقن الطهارة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مضافا في الثاني يعني تيقن الحدث</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نسبه في 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والمحكية ، كما حكاها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للكركي</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الإتيان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يدلّ على وجوب الإتيان به وبما بعده وجوب الترتيب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لقوله قبل سطور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ما دل بظاهره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المختلف عن ابن الجنيد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روى توقيت الدرهم ابن سعيد عن زرارة عن أبي جعفر عليه السلام ، وابن منصور عن زيد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حديث أبي أمامة عن النبي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الشهيد في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كلام ابن الجنيد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الأصحاب لم يعتبروا مذهب أبي علي والأخبار لم تثبت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بالأول ، وجوب الإتيان بالمشكوك المستفاد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يأتي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والمراد بالثاني وجوب الإتيان بما بعده ، وبالثالث عدم استيناف الوضوء في غير صورة الجفاف ، وبالرابع وجوب الاستيناف في صورة الجفاف</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لفظة إنما لا تفيد الحصر على الأقوى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ره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الفرّاء في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والجهل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الشهرة</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ثفل الغذاء ، وهو الغائط</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في جميع النسخ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يضر المستحبة ضم إعادة الوضوء في وجوب إعادتها في البول مع الصلاة في البول في قوله 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كما ترى مشوشة ، فأصلحناها بما في المتن</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وأراد به</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الصلاح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وهما وإن لم يذكرا الفرع بعينه ، ولكن يمكن استفادته مما ذكراه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فاتت منه صلاة واحدة من الخمس غير معلومة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يقضى الخمس بأسرها ، فتأمل</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ثنائية فرباعية فثلاثية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ثنائية فثلاثية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ابن قدامة في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حنيفة ومالك واحمد أن الموجب للغسل خروج المني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الماء الغليظ الدافق الذي يخرج عن اشتداد الشهوة</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يشعر به كلام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وجدان</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لخروج</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المتن في الجميع</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في الصفحة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محلّ الوفاق ، في الصفحة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فيه عن معاوية بن عمار ،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مصدرها في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الجنابة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الجنابة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مقارنة الشهوة والفتور</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الرجل الصحيح</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مقارنة الشهوة في المريض والمرأة</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بالحكم الأوّل وجوب الغسل فيما اشتمل على الصفات الثلاثة</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للرجل الصحيح</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الحكم الثاني للرجل الصحيح ، وهو عدم وجوب الغسل في الفاقد</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بعض أفراد الفاقد وهو الفاقد للشهوة والفتور ، وحاصل المراد أنّ منطوق الجزء الثاني ومفهوم الجزء الأول متوافقان في عدم وجوب الغسل لفاقد الشهوة والفتور ، وأمّا بالنسبة إلى واجد الشهوة والفتور وفاقد الدفع فيتعارض فيه المفهومان فإنّ مقتضى مفهوم الجزء الأوّل عدم وجوب الغسل فيه بينما أنّ مقتضى مفهوم الجزء الثاني وجوب الغسل</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مقارنة الشهوة</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اشتبه اعتبر بالدفق وفتور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وتكفي في المريض الشهوة</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هو 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أصالة الطهارة وأصالة عدم وجوب الغسل</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وصريح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المنجس</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الأول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الثاني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النفلية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 السيد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المتن المذكور ، وقد يستفاد مضمونه ممّا ورد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الجنابة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من صحيحة زرارة المتقدمة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وسيشير إليه المصنف في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المواقعة دون الفرج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خبر فسّرت فيه الملامسة بالإدخال أو المباشرة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قد فسّرت في بعض الأخبار بالجماع أو الوقاع ، 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النكاح 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النكاح المحرم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الإجماع الذي نقله عن السيد</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صحيحة زرارة المتقدمة في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مطلقات وجوبه بالإدخال</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البهائي في 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صحيحة محمّد بن إسماعيل المتقدمة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مطلقات وجوب الغسل بالتقاء الختانين</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المروي عن أمير المؤمنين المتقدم في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يضعّف الدليل الأوّل على الحكم الأوّل وهو إيجاب الوطء في دبر المرأة للغسل ، وتقدم الدليل الأوّل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يضعف الدليل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الإجماع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الحكم الثاني وهو إيجاب الوطء في دبر الذكر للغسل</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حسنة الحضرمي المتقدمة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التردد</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المحكي</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كما حكاه بعضهم عن المبسوط ، وهو كاشف اللثام والمحقق الخوانساري</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نقله في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طهارة المبسوط ، راجع المبسوط كتاب 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فذكر أنّ فيه روايتين ، ولم يرجّح شيئا ، وحكم في كتاب النكاح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بوجوب الغسل ، وفي كتاب الصوم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جعل الجماع في دبر المرأة من نواقض الصوم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 أنّ الوطء في الدبر لا يوجب نقض الصوم إلاّ إذا أنزل معه وانّ المفعول به لا ينتقض صومه بحال ، والأحوط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ظاهر الديلمي ، وقد يستفاد من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الحائرية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في وجه النسبة أنّهما رويا الرواية الدالة على عدم وجوب الغسل</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معطوف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والضمير راجع إلى الخاص</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تردد في وجوب الغسل بالوطء في دبر المرأة ، ومن جزم بعدم وجوب الغسل</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الوطء في دبر الغلام</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الأكثر في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وإلى المشهور في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القول بوجوب الغسل بالوطء في الدبر</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البحث عنه في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احتمال عدم وجوبه عليها فلجواز أن لا يكون شي‌ء من الموضعين فرجا ولا ذكرا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احتمال وجوبه عليهما فلاحتمال كونهما فرجا وذكرا 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علّة للنفي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لأجل</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لأجل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المحدّث الكاشاني في الوافي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والمحدث البحراني في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إليها في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 أن فيها تحريم العزائم الأربع ، فيكون الاحتمال فيه مبنيا على احتمال إرادة الآية من لفظة العزائم</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بالتقريب المتقدم</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فيحرم عليه قراءة العزائم</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رياض المسائل من مشايخ صاحب الحدائق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مذكور في كتاب عوائد الأيام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والمشهور تحريم مسّ شي‌ء مكتوب عليه اسم اللّه تعالى أو أسماء الأنبياء والأئمة </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الخوانساري في 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المعتبر والمنتهى والتحرير</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فيه تحريم مس أسماء اللّه فقط ،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فيه تحريم ما عليه اسم اللّه فقط ،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كتبه نعم قد يستفاد من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 الخلاف فيه حيث نسب الخلاف إلى سلاّر دون غيره</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مرفوعة وليست بصحيحة ، نعم رواها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 ولكنها ليست مشتملة على حكم الحائض</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في الكافي والوسائل أيضا ورد كذلك</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في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إليهما في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يكره الاجتياز في المساجد للجنب والحائض مع أمن التلويث للتعظيم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علم التلويث حرم الجميع ، وألحق المفيد في العزية المشاهد المشرفة بالمساجد ، وهو حسن لتحقق معنى المسجدية فيها وزيادة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في كتبه الموجودة لي نقله الإجماع على وجوب الغسل له ، نعم قال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له وضع شي‌ء في المساجد مطلقا ويجوز له أخذ ما يريد منها وهو مذهب علمائنا إلاّ سلاّر</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يظهر من الخلاف في موضع</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الحلّي في المقتصر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 والد الصدوق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الثاني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الوضح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البرص</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الشيخ الصدوق ، ووالده ، والشيخ المفيد ، والسيد المرتضى ، والشيخ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وعن اتباعهم 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والمصادر ، ولكن قال في 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ويشبه أن يكون مما صحّف وكان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لنغتسل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من أن يكسلوا في شي‌ء من عبادة ربهم جلّ وعز</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وخلافا لجماعة أخرى</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وخلافا لجماعة ثالثة</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بعض نسخها ،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المذكور في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بيناه</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في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الموثقة ، وهو سهو كما يظهر بالمراجعة</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تبديل غيره بنحوه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نعم هو وارد في ذيل حديث آخر فانظر المكارم والوسائل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الجنابة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الأمور المباحة للجنب، فهي معطوفة علی قوله، أمّا المكروهة في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الوسائل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سجدتا السهو</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دخول المسجد الحرام</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الألفية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27</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بنسبة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بنيّة ، والصواب ما أثبتناه</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ابن شهرآشوب كما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للمرتضی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للمحقق الخوانساري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على دعوى الإجماع في كتب الفاضل</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على الأول ، المتقدم في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الحيض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لم ينقل الإجماع</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البهائي في 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والفيض الكاشاني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انبسطت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امتشطت </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وجوبه ، وما أثبتناه هو الصحيح</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فيه عن والده أيضا</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ما اشتمل على بيان فعل الإمام عليه السلام وأنه عليه السلام غسل مرتبا ، والظاهر أنه أشار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كالحسن إلى ما رواه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فيه إبراهيم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كيفيّة غسل الجنابة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بدأ بفرجه ثمَّ صب على رأسه ثلاث أكف ثمَّ صب على منكبه الأيمن مرتين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وتعرض لنحو هذا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لا يخفى أن الحسنة المذكورة أجنبية عن بيان فعل الإمام رأسا ، والتوهم نشأ من إرجاع الضمير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الامام عليه السلام ، وهو خطأ منشؤه تقطيع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غير عزيز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في الوسائل تمام الرواية في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 فراجع</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نقل عنه في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يخفى أنه غير الرياض المعروف وأنّ مؤلفه من مشايخ صاحب الحدائق الذي يعبّر عنه بشيخنا المحقق</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في النسخ كان مؤخرا عن الحديث العامي ، وقدمناه لاقتضاء السياق</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أسندها 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عائشة ، والذي عثرنا عليه في كتبهم عن عائشة أن رسول اللّه صلی اللّه عليه وآله بدأ بشق رأسه الأيمن ثمَّ الأيسر ثمَّ أخذ بكفيه الماء فقال بهما على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رسول اللّه يعجبه التيمن في تنعله وترجله وطهوره وفي شأنه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ولضعف تلك الوجوه مال </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بابويه ، نقله عنه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ومحمّد بن علي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الإسكافي والعماني ، نقله عنهما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هو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 المراد بالمحكي عنه هو 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إليه مال الأستاذ المعتبر أدام اللّه تعالى حراسته ، والمراد منه كاشف الغطاء راجع 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الجوهري في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رمس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والفيروزآبادي في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رمس </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صاحب الحدائق إلى شيخه عبد اللّه بن صالح البحراني في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البحار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ونقل فيه عن والده أيضا</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المقنعة</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المتقدمين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يغسل</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المتن</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والثاني في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عليه في المقنع ولا على كلام والد الصدوق</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الوحيد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تضعيف أدلة الوجوب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والأحوط البناء على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يستفاد منه الوجوب التخييري فإنه أوجب 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الاستبراء بالبول ثمَّ الاجتهاد لو لم يتأت البول</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المفاتيح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الجنابة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لاستقامة العبارة</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والثاني في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الجنابة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نقله عنه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قدامة في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وحكي هذا عن أبي حنيفة ولكن يظهر من 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أنكر النسبة</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الجنابة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الجنابة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ولايخفی أن تعبير الماتن عنها بالصحيحة مع اشتمال سندها علی إبراهيم بن هاشم يخالف دأبه من التعبير عن مثلها بالحسنة</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يظهر وجه للتعبير عنها بالحسنة مع كونها صحيحة فلاحظ</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عنهما والموجود في كلام الصدوق لا يوافقه فلاحظ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الثاني في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ونقله فيه عن والده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والقول موجود أيضا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الطوسي</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الأمالي ونقله عنه في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أشار إليه الشهيدان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الجنابة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المغني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ونيل الأوطار للشوكاني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عليها في الفقيه ، والموجود مرسلة محمّد بن أحمد بن يحيى رواها الشيخ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وأبواب النفاس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الإيراد عليها وعلى الحديثين المتعقبين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مردود </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والد الصدوق</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والطوسي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الصلاح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ما علقنا على مرسلة الفقيه ، ولا يخفى أنّ الاستدلال بها على المطلوب لا يتم إلاّ على أن يكون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 الغسل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خبرا كما احتمله الماتن في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وسيشير إليه</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مشايخه ، وهو الوحيد البهبهاني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الماء ، والصواب كما أثبتناه</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الخوانساري في 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الأغسال الواجبة خاصة ، فيفرق مع الصورة الرابعة ، لأنها أعم من الواجبة والمستحبة</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نقله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الكافي</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شيئان ، والصواب ما أثبتناه</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انّ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الندب</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نقله في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فيه ، ولكن نسبه إليه في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لكن لم نعثر عليه من الشيخ إلاّ في المبسوط والتبيان</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التبيان والمجمع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به في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كصاحبي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مذكورة في باب عدة المطلّقة المسترابة من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ذكره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غلظة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انها 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حرقة كما نقله في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حسنة البختري المتقدمة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المفاتيح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صحيحة ابن عمّار المتقدّمة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وليس موجودا في المقنعة ولم نعثر على من نسبه إليه والظاهر أنه 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لتشابه رمزيهما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وصريحه في 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ويحتمله القواعد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فراجع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صحيحة زياد المتقدمة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صحيحة خلف المتقدمة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الآتية عن قريب</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فيه ، ولكن نقله عن المفيد في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وصاحبا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حكى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المشايخ شهادة المتدينة من النسوة ، وقد يكون مراده أستاذه الوحيد البهبهاني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ولأنّ المعروف من النساء والمشهور بينهن أنّ الأمر كذلك فاستعلم منهنّ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جمال الدين بن طاوس ، نقله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رسالة أبيه ،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كلامه في كتبه الموجودة ولا على ناقل عنه</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وصاحبا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المستدرك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زاد الدم </w:t>
      </w:r>
      <w:r>
        <w:rPr>
          <w:rFonts w:eastAsia="IRNazanin" w:cs="IRNazanin"/>
          <w:b w:val="false"/>
          <w:bCs w:val="false"/>
          <w:i w:val="false"/>
          <w:iCs w:val="false"/>
          <w:color w:val="333333"/>
          <w:sz w:val="20"/>
          <w:szCs w:val="20"/>
          <w:rtl w:val="true"/>
        </w:rPr>
        <w:t>.. ».</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ويعطيه ما في الكافي</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 نعم قال في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 الى السيد حسن ابن السيد جعفر معاصر شيخنا الشهيد الثاني</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حمله 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والد الصدوق</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عليه في المقنعة</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الحنبلي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يظهر هذا من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يجمع بين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بلحاظ عدد الأيام</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علي بن جعفر نقل عنها في 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ابتدأها الحيض ، فعلى الأول تصير المبتدأة اسم فاعل وتكسر الدال ، وعلى الثاني اسم مفعول ، كما في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كموثقة سماعة الآتية في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الوحيد البهبهاني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المراسم</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المراسم</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عليه في المقنعة</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عليها </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كموثقة سماعة المتقدمة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فيه عن والده ، المقنع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ولعله 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 فإن القول موجود فيها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 عنها في الرياض أيضا</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مصدرها في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ذهب إليه علماؤنا</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وتحيضي في كل شهر في علم اللّه ستة أو سبعة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علمك اللّه من عادات النساء فإنه الغالب عليهن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خلاف الذكرى حيث ألحق اتفاق الأغلب باتفاق الجميع ، فحكم فيه بالرجوع إلى عادة الأغلب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حكى عن القواعد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وتأمّل</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يظهر هذا من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نسبه في مفتاح الكرامة إلى مذهب الصدوق وظاهر السيد</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موضع من المبسوط أيضا</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مرسلة يونس الطويلة المتقدم مصدرها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عن الكتب المذكورة في المتن</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بها المرسلة الطويلة ، تقدم مصدرها في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رأت في شهر خمسة لا غير وفي آخر خمسة مرتين استقرت العادة</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الآتية عن قريب</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الحيض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مصدرها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مضافا في الأخيرة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الوقتية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عليه السلام </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نقله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ادّعى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الأصحاب عليه</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الحيض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مرسلة ،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مرسلة يونس الطويلة ، تقدم مصدرها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نعمل عليه </w:t>
      </w:r>
      <w:r>
        <w:rPr>
          <w:rFonts w:eastAsia="IRNazanin" w:cs="IRNazanin"/>
          <w:b w:val="false"/>
          <w:bCs w:val="false"/>
          <w:i w:val="false"/>
          <w:iCs w:val="false"/>
          <w:color w:val="333333"/>
          <w:sz w:val="20"/>
          <w:szCs w:val="20"/>
          <w:rtl w:val="true"/>
        </w:rPr>
        <w:t>.. ».</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بدون الوصف</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السرائر والموجود فيه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خلافه</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إحداهما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وأخراهما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عمير ، والصواب ما أثبتناه</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روايتان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إحداهما رواها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والأخرى رواها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روايتان موثقتان روى إحداهما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والأخرى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به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وبه قال ابن بابويه</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المنتهى عن المفيد ،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السيد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الإسكافي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ظاهر الشيخين في المقنعة والجمل لإطلاقهما صبرها حتى تنقى</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ظاهر ما نقله عنه في المنتهى</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الشهيدان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الثاني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مصدرها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الاستظهار الذي قال به مالك بثلاثة أيام فهو شي‌ء انفرد به مالك وأصحابه وخالفهم في ذلك جميع فقهاء الأمصار ما عدى الأوزاعي</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به المحقق الأردبيلي في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جمعه في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أوضح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الاستظهار منهما فراجع</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أيام الاستظهار مع الثاني أي مع التجاوز عن العشرة</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ما بعد أيام الاستظهار مع الأول أي مع عدم التجاوز عن العشرة</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مصدرها في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مصدرها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وكذا عن المفيد</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الأكثر قائلون بقاعدة الإمكان كما تقدم في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والمقام من مصاديق تلك القاعدة كما صرّح به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الأظهر الرجوع إلى العادة مع عدم اختلاف الدمين بالتمييز</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الفاقدة للعادة ذات التمييز كالمضطربة والمبتدأة والناسية فإنها ترجع إليه وهو مذهب علمائنا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رجوع المبتدأة والمضطربة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صورة تجاوز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التمييز مذهب فقهاء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أنه يفيد في المقام بناء على شمول المضطربة للناسية ، فتدبر ولاحظ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مصدرها في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مرسلة يونس الطويلة</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هنا الجمع بينهما بجعل الجميع حيضا وقضاء عبادات ما زاد أو نقص عن أيام العادة</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نسبه في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في الحدائق ، والذي عثرنا عليه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دعوى الإجماع على ترك الصلاة والصوم في كل شهر سبعة أيام</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اختاره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التخيير ، ونسب الاحتياط الى قيل</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الكبير ، والصواب ما أثبتناه</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العشرة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العشرة</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الشهرة واختاره في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مروية في سنن أبي داود كتاب الطهارة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خلافه</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مصدرها في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قد صرّح فيها بالحرمة كما تقدم النقل عنها</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الإجماع عليه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على ما حكاه عنه الشهيد الثاني في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الثاني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 نعثر عليه في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والده</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الكافي للحلبي ، ولا على من نسب إليه 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قال في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يخفى انّ ظاهر صاحب الكافي أيضا القول بالوجوب حيث عنون به الباب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على الحائض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ومراده من صاحب الكافي هو الكليني ، فمن المحتمل وقوع تصحيف في العبارة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الكليني </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الوحيد البهبهاني في حاشية 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والفقهاء اتفقوا على عدم الوجوب</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وربما استعمل في الوجوب والتحريم بل هو الغالب في الاخبار </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 في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حسنة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 في صدر المسألة معبّرا عنها بالصحيحة</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تجلس في مصلاّها</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الرقم</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والعلاّمة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عنه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عليه في المقنعة</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المنقول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صحة صومها على الاغتسال</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الجنابة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العلاّمة كما تقدم النقل عنه آنفا</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حزم الظاهري في المحلى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حاضت امرأة في أول وقت الصلاة أو في آخر الوقت ولم تكن صلت سقطت عنها ولا إعادة عليها فيها وهو قول أبي حنيفة والأوزاعي وأصحابنا</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ظاهر المرتضى وابن بابويه</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 في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اختاره في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الحدود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الحدود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النكاح 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الهامش منه </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الشرائع وهو موجود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النكاح ب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بدل عبد الملك ،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الحيض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النكاح ب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النكاح ب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النكاح ب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مروية عن علي بن الحسن فهي موثقة وليست بصحيحة بحسب الاصطلاح</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انه ليست هنا إلاّ آية واحدة كما أشرنا إليها</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مالك والشافعي وابي حنيفة انّ له منها ما فوق الإزار ، وفي 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ذهب أكثر العلماء الى التحريم </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ضعّفه في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 أيضا</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بحر العلوم في الدرة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الرياض ، وفي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المشهور بين المتقدمين</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الحدود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الايمان والنذور والكفارات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بدل عبد الملك ،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والوجوب أحوط ،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نسبه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بالنسبة الى امرأة حيضها ثلاثة 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اليوم الأوّل ، وبالنسبة الى امرأة حيضها أربعة هو اليوم الأوّل مع ثلث اليوم الثاني </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اختاره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أشار إليها في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ما يدل على انه سنّة وأشار إليها أيضا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نعثر عليها ، فانظر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المراد ما ورد في رواية سعد بن أبي 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الغسل في أربعة عشر موطنا واحد فريضة والباقي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الدلالة محل منع كما يظهر بالتأمل في سائر روايات الباب فراجع وتأمل</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النكاح 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عن ابن بكير عن بعض أصحابنا عن علي بن يقطين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محمّد بن مسلم المتقدّمة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يهدمها</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image" Target="media/image2.jpeg"/><Relationship Id="rId517" Type="http://schemas.openxmlformats.org/officeDocument/2006/relationships/image" Target="media/image2.jpeg"/><Relationship Id="rId518" Type="http://schemas.openxmlformats.org/officeDocument/2006/relationships/footer" Target="footer511.xml"/><Relationship Id="rId519" Type="http://schemas.openxmlformats.org/officeDocument/2006/relationships/footnotes" Target="footnotes.xml"/><Relationship Id="rId520" Type="http://schemas.openxmlformats.org/officeDocument/2006/relationships/numbering" Target="numbering.xml"/><Relationship Id="rId521" Type="http://schemas.openxmlformats.org/officeDocument/2006/relationships/fontTable" Target="fontTable.xml"/><Relationship Id="rId522" Type="http://schemas.openxmlformats.org/officeDocument/2006/relationships/settings" Target="settings.xml"/><Relationship Id="rId5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516</Pages>
  <Words>138400</Words>
  <Characters>510190</Characters>
  <CharactersWithSpaces>644643</CharactersWithSpaces>
  <Paragraphs>7158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2026-08-22T02:55:05Z</dcterms:created>
  <dc:creator>ghaemiyeh.com</dc:creator>
  <dc:description/>
  <dc:language>en-US</dc:language>
  <cp:lastModifiedBy/>
  <dcterms:modified xsi:type="dcterms:W3CDTF">2026-08-22T06:25:31Z</dcterms:modified>
  <cp:revision>1</cp:revision>
  <dc:subject/>
  <dc:title>مستند الشیعه جلد 2</dc:title>
</cp:coreProperties>
</file>

<file path=docProps/custom.xml><?xml version="1.0" encoding="utf-8"?>
<Properties xmlns="http://schemas.openxmlformats.org/officeDocument/2006/custom-properties" xmlns:vt="http://schemas.openxmlformats.org/officeDocument/2006/docPropsVTypes"/>
</file>